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B070D" w14:textId="313E886C" w:rsidR="007F18E7" w:rsidRPr="00262328" w:rsidRDefault="007F18E7">
      <w:pPr>
        <w:jc w:val="both"/>
        <w:rPr>
          <w:rFonts w:ascii="Times New Roman" w:hAnsi="Times New Roman" w:cs="Times New Roman"/>
          <w:sz w:val="24"/>
          <w:szCs w:val="24"/>
        </w:rPr>
      </w:pPr>
    </w:p>
    <w:p w14:paraId="192A2CE0" w14:textId="77777777" w:rsidR="003E5020" w:rsidRPr="003E5020" w:rsidRDefault="003E5020">
      <w:pPr>
        <w:jc w:val="both"/>
        <w:rPr>
          <w:rFonts w:ascii="Times New Roman" w:hAnsi="Times New Roman" w:cs="Times New Roman"/>
          <w:sz w:val="24"/>
          <w:szCs w:val="24"/>
          <w:lang w:val="sr-Cyrl-RS"/>
        </w:rPr>
      </w:pPr>
    </w:p>
    <w:p w14:paraId="4704780B" w14:textId="4828B320" w:rsidR="00262328" w:rsidRDefault="003E5020">
      <w:pPr>
        <w:jc w:val="both"/>
        <w:rPr>
          <w:rFonts w:ascii="Times New Roman" w:hAnsi="Times New Roman" w:cs="Times New Roman"/>
          <w:sz w:val="24"/>
          <w:szCs w:val="24"/>
        </w:rPr>
      </w:pPr>
      <w:r w:rsidRPr="003E5020">
        <w:rPr>
          <w:rFonts w:ascii="Times New Roman" w:hAnsi="Times New Roman" w:cs="Times New Roman"/>
          <w:sz w:val="24"/>
          <w:szCs w:val="24"/>
          <w:lang w:val="sr-Cyrl-RS"/>
        </w:rPr>
        <w:tab/>
        <w:t>На основу члана 38. став 1. Закона о планском систему</w:t>
      </w:r>
      <w:r w:rsidR="003221F8">
        <w:rPr>
          <w:rFonts w:ascii="Times New Roman" w:hAnsi="Times New Roman" w:cs="Times New Roman"/>
          <w:sz w:val="24"/>
          <w:szCs w:val="24"/>
          <w:lang w:val="sr-Cyrl-RS"/>
        </w:rPr>
        <w:t xml:space="preserve"> </w:t>
      </w:r>
      <w:r w:rsidR="003221F8" w:rsidRPr="003221F8">
        <w:rPr>
          <w:rFonts w:ascii="Times New Roman" w:hAnsi="Times New Roman" w:cs="Times New Roman"/>
          <w:sz w:val="24"/>
          <w:szCs w:val="24"/>
          <w:lang w:val="sr-Cyrl-RS"/>
        </w:rPr>
        <w:t>Републике Србије</w:t>
      </w:r>
      <w:r w:rsidRPr="003E5020">
        <w:rPr>
          <w:rFonts w:ascii="Times New Roman" w:hAnsi="Times New Roman" w:cs="Times New Roman"/>
          <w:sz w:val="24"/>
          <w:szCs w:val="24"/>
          <w:lang w:val="sr-Cyrl-RS"/>
        </w:rPr>
        <w:t xml:space="preserve"> („Службени гласник РСˮ, број 30/18), </w:t>
      </w:r>
    </w:p>
    <w:p w14:paraId="2B8DD3A0" w14:textId="77777777" w:rsidR="00262328" w:rsidRDefault="00262328">
      <w:pPr>
        <w:jc w:val="both"/>
        <w:rPr>
          <w:rFonts w:ascii="Times New Roman" w:hAnsi="Times New Roman" w:cs="Times New Roman"/>
          <w:sz w:val="24"/>
          <w:szCs w:val="24"/>
        </w:rPr>
      </w:pPr>
    </w:p>
    <w:p w14:paraId="020845CD" w14:textId="117E0B8D" w:rsidR="003E5020" w:rsidRPr="003E5020" w:rsidRDefault="003E5020" w:rsidP="00262328">
      <w:pPr>
        <w:ind w:firstLine="72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Влада доноси</w:t>
      </w:r>
    </w:p>
    <w:p w14:paraId="4D2CF6F5" w14:textId="77777777" w:rsidR="003E5020" w:rsidRDefault="003E5020">
      <w:pPr>
        <w:jc w:val="both"/>
        <w:rPr>
          <w:rFonts w:ascii="Times New Roman" w:hAnsi="Times New Roman" w:cs="Times New Roman"/>
          <w:sz w:val="24"/>
          <w:szCs w:val="24"/>
        </w:rPr>
      </w:pPr>
    </w:p>
    <w:p w14:paraId="7AFC6BD3" w14:textId="77777777" w:rsidR="00262328" w:rsidRPr="00262328" w:rsidRDefault="00262328">
      <w:pPr>
        <w:jc w:val="both"/>
        <w:rPr>
          <w:rFonts w:ascii="Times New Roman" w:hAnsi="Times New Roman" w:cs="Times New Roman"/>
          <w:sz w:val="24"/>
          <w:szCs w:val="24"/>
        </w:rPr>
      </w:pPr>
    </w:p>
    <w:p w14:paraId="010CF7E5" w14:textId="1250E8AE" w:rsidR="003E5020" w:rsidRPr="003E5020" w:rsidRDefault="003E5020" w:rsidP="003E5020">
      <w:pPr>
        <w:jc w:val="center"/>
        <w:rPr>
          <w:rFonts w:ascii="Times New Roman" w:hAnsi="Times New Roman" w:cs="Times New Roman"/>
          <w:b/>
          <w:sz w:val="24"/>
          <w:szCs w:val="24"/>
          <w:lang w:val="sr-Cyrl-RS"/>
        </w:rPr>
      </w:pPr>
      <w:r w:rsidRPr="003E5020">
        <w:rPr>
          <w:rFonts w:ascii="Times New Roman" w:hAnsi="Times New Roman" w:cs="Times New Roman"/>
          <w:b/>
          <w:sz w:val="24"/>
          <w:szCs w:val="24"/>
          <w:lang w:val="sr-Cyrl-RS"/>
        </w:rPr>
        <w:t>СТРАТЕГИЈУ</w:t>
      </w:r>
    </w:p>
    <w:p w14:paraId="2CE0F5FA" w14:textId="698EBDA4" w:rsidR="003E5020" w:rsidRPr="003E5020" w:rsidRDefault="003E5020" w:rsidP="003E5020">
      <w:pPr>
        <w:jc w:val="center"/>
        <w:rPr>
          <w:rFonts w:ascii="Times New Roman" w:hAnsi="Times New Roman" w:cs="Times New Roman"/>
          <w:b/>
          <w:sz w:val="24"/>
          <w:szCs w:val="24"/>
          <w:lang w:val="sr-Cyrl-RS"/>
        </w:rPr>
      </w:pPr>
      <w:r w:rsidRPr="003E5020">
        <w:rPr>
          <w:rFonts w:ascii="Times New Roman" w:hAnsi="Times New Roman" w:cs="Times New Roman"/>
          <w:b/>
          <w:sz w:val="24"/>
          <w:szCs w:val="24"/>
          <w:lang w:val="sr-Cyrl-RS"/>
        </w:rPr>
        <w:t>ЉУДСКИХ РЕСУРСА У ПРАВОСУЂУ ЗА ПЕРИОД 2022-2026. ГОДИНЕ</w:t>
      </w:r>
    </w:p>
    <w:p w14:paraId="126A7456" w14:textId="77777777" w:rsidR="003E5020" w:rsidRPr="003E5020" w:rsidRDefault="003E5020">
      <w:pPr>
        <w:jc w:val="both"/>
        <w:rPr>
          <w:rFonts w:ascii="Times New Roman" w:hAnsi="Times New Roman" w:cs="Times New Roman"/>
          <w:b/>
          <w:sz w:val="24"/>
          <w:szCs w:val="24"/>
          <w:lang w:val="sr-Cyrl-RS"/>
        </w:rPr>
      </w:pPr>
    </w:p>
    <w:p w14:paraId="18FDB6D4" w14:textId="77777777" w:rsidR="003E5020" w:rsidRPr="003E5020" w:rsidRDefault="003E5020">
      <w:pPr>
        <w:jc w:val="both"/>
        <w:rPr>
          <w:rFonts w:ascii="Times New Roman" w:hAnsi="Times New Roman" w:cs="Times New Roman"/>
          <w:sz w:val="24"/>
          <w:szCs w:val="24"/>
          <w:lang w:val="sr-Cyrl-RS"/>
        </w:rPr>
      </w:pPr>
    </w:p>
    <w:p w14:paraId="2F1F0883" w14:textId="3DBAB270" w:rsidR="00955F36" w:rsidRPr="003E5020" w:rsidRDefault="00955F36">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0" w:name="_Toc84778615"/>
      <w:r w:rsidRPr="003E5020">
        <w:rPr>
          <w:rFonts w:ascii="Times New Roman" w:hAnsi="Times New Roman" w:cs="Times New Roman"/>
          <w:color w:val="auto"/>
          <w:sz w:val="24"/>
          <w:szCs w:val="24"/>
          <w:lang w:val="sr-Cyrl-RS"/>
        </w:rPr>
        <w:t>УВОД</w:t>
      </w:r>
      <w:bookmarkEnd w:id="0"/>
      <w:r w:rsidRPr="003E5020">
        <w:rPr>
          <w:rFonts w:ascii="Times New Roman" w:hAnsi="Times New Roman" w:cs="Times New Roman"/>
          <w:color w:val="auto"/>
          <w:sz w:val="24"/>
          <w:szCs w:val="24"/>
          <w:lang w:val="sr-Cyrl-RS"/>
        </w:rPr>
        <w:t xml:space="preserve"> </w:t>
      </w:r>
    </w:p>
    <w:p w14:paraId="5496557E" w14:textId="77777777" w:rsidR="00955F36" w:rsidRPr="003E5020" w:rsidRDefault="00955F36">
      <w:pPr>
        <w:jc w:val="both"/>
        <w:rPr>
          <w:rFonts w:ascii="Times New Roman" w:hAnsi="Times New Roman" w:cs="Times New Roman"/>
          <w:sz w:val="24"/>
          <w:szCs w:val="24"/>
          <w:lang w:val="sr-Cyrl-RS"/>
        </w:rPr>
      </w:pPr>
    </w:p>
    <w:p w14:paraId="59975BA3" w14:textId="2016C980" w:rsidR="002A2327" w:rsidRPr="003E5020" w:rsidRDefault="0034156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Стратегијом људски</w:t>
      </w:r>
      <w:r w:rsidR="00E8300C" w:rsidRPr="003E5020">
        <w:rPr>
          <w:rFonts w:ascii="Times New Roman" w:hAnsi="Times New Roman" w:cs="Times New Roman"/>
          <w:sz w:val="24"/>
          <w:szCs w:val="24"/>
          <w:lang w:val="sr-Cyrl-RS"/>
        </w:rPr>
        <w:t>х</w:t>
      </w:r>
      <w:r w:rsidRPr="003E5020">
        <w:rPr>
          <w:rFonts w:ascii="Times New Roman" w:hAnsi="Times New Roman" w:cs="Times New Roman"/>
          <w:sz w:val="24"/>
          <w:szCs w:val="24"/>
          <w:lang w:val="sr-Cyrl-RS"/>
        </w:rPr>
        <w:t xml:space="preserve"> ресурс</w:t>
      </w:r>
      <w:r w:rsidR="004A2785" w:rsidRPr="003E5020">
        <w:rPr>
          <w:rFonts w:ascii="Times New Roman" w:hAnsi="Times New Roman" w:cs="Times New Roman"/>
          <w:sz w:val="24"/>
          <w:szCs w:val="24"/>
          <w:lang w:val="sr-Cyrl-RS"/>
        </w:rPr>
        <w:t xml:space="preserve">а у правосуђу </w:t>
      </w:r>
      <w:r w:rsidR="008C706A" w:rsidRPr="003E5020">
        <w:rPr>
          <w:rFonts w:ascii="Times New Roman" w:hAnsi="Times New Roman" w:cs="Times New Roman"/>
          <w:sz w:val="24"/>
          <w:szCs w:val="24"/>
          <w:lang w:val="sr-Cyrl-RS"/>
        </w:rPr>
        <w:t xml:space="preserve">за период </w:t>
      </w:r>
      <w:r w:rsidRPr="003E5020">
        <w:rPr>
          <w:rFonts w:ascii="Times New Roman" w:hAnsi="Times New Roman" w:cs="Times New Roman"/>
          <w:sz w:val="24"/>
          <w:szCs w:val="24"/>
          <w:lang w:val="sr-Cyrl-RS"/>
        </w:rPr>
        <w:t>202</w:t>
      </w:r>
      <w:r w:rsidR="00442E46" w:rsidRPr="003E5020">
        <w:rPr>
          <w:rFonts w:ascii="Times New Roman" w:hAnsi="Times New Roman" w:cs="Times New Roman"/>
          <w:sz w:val="24"/>
          <w:szCs w:val="24"/>
          <w:lang w:val="sr-Latn-RS"/>
        </w:rPr>
        <w:t>2</w:t>
      </w:r>
      <w:r w:rsidR="00F73F4B"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202</w:t>
      </w:r>
      <w:r w:rsidR="00442E46" w:rsidRPr="003E5020">
        <w:rPr>
          <w:rFonts w:ascii="Times New Roman" w:hAnsi="Times New Roman" w:cs="Times New Roman"/>
          <w:sz w:val="24"/>
          <w:szCs w:val="24"/>
          <w:lang w:val="sr-Latn-RS"/>
        </w:rPr>
        <w:t>6</w:t>
      </w:r>
      <w:r w:rsidRPr="003E5020">
        <w:rPr>
          <w:rFonts w:ascii="Times New Roman" w:hAnsi="Times New Roman" w:cs="Times New Roman"/>
          <w:sz w:val="24"/>
          <w:szCs w:val="24"/>
          <w:lang w:val="sr-Cyrl-RS"/>
        </w:rPr>
        <w:t xml:space="preserve">. </w:t>
      </w:r>
      <w:r w:rsidR="00661A3B" w:rsidRPr="003E5020">
        <w:rPr>
          <w:rFonts w:ascii="Times New Roman" w:hAnsi="Times New Roman" w:cs="Times New Roman"/>
          <w:sz w:val="24"/>
          <w:szCs w:val="24"/>
          <w:lang w:val="sr-Cyrl-RS"/>
        </w:rPr>
        <w:t>година</w:t>
      </w:r>
      <w:r w:rsidR="005E2683" w:rsidRPr="003E5020">
        <w:rPr>
          <w:rFonts w:ascii="Times New Roman" w:hAnsi="Times New Roman" w:cs="Times New Roman"/>
          <w:sz w:val="24"/>
          <w:szCs w:val="24"/>
          <w:lang w:val="sr-Cyrl-RS"/>
        </w:rPr>
        <w:t xml:space="preserve"> (у даљем тексту: „</w:t>
      </w:r>
      <w:r w:rsidR="005E2683" w:rsidRPr="003E5020">
        <w:rPr>
          <w:rFonts w:ascii="Times New Roman" w:hAnsi="Times New Roman" w:cs="Times New Roman"/>
          <w:b/>
          <w:sz w:val="24"/>
          <w:szCs w:val="24"/>
          <w:lang w:val="sr-Cyrl-RS"/>
        </w:rPr>
        <w:t>Стратегија</w:t>
      </w:r>
      <w:r w:rsidR="003E5020">
        <w:rPr>
          <w:rFonts w:ascii="Times New Roman" w:hAnsi="Times New Roman" w:cs="Times New Roman"/>
          <w:sz w:val="24"/>
          <w:szCs w:val="24"/>
          <w:lang w:val="sr-Cyrl-RS"/>
        </w:rPr>
        <w:t>ˮ</w:t>
      </w:r>
      <w:r w:rsidR="005E2683"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5E2683" w:rsidRPr="003E5020">
        <w:rPr>
          <w:rFonts w:ascii="Times New Roman" w:hAnsi="Times New Roman" w:cs="Times New Roman"/>
          <w:sz w:val="24"/>
          <w:szCs w:val="24"/>
          <w:lang w:val="sr-Cyrl-RS"/>
        </w:rPr>
        <w:t>утврђују се циљеви и мере</w:t>
      </w:r>
      <w:r w:rsidR="00F1043C" w:rsidRPr="003E5020">
        <w:rPr>
          <w:rFonts w:ascii="Times New Roman" w:hAnsi="Times New Roman" w:cs="Times New Roman"/>
          <w:sz w:val="24"/>
          <w:szCs w:val="24"/>
          <w:lang w:val="sr-Cyrl-RS"/>
        </w:rPr>
        <w:t xml:space="preserve"> које је неопходно спровести</w:t>
      </w:r>
      <w:r w:rsidR="005E2683" w:rsidRPr="003E5020">
        <w:rPr>
          <w:rFonts w:ascii="Times New Roman" w:hAnsi="Times New Roman" w:cs="Times New Roman"/>
          <w:sz w:val="24"/>
          <w:szCs w:val="24"/>
          <w:lang w:val="sr-Cyrl-RS"/>
        </w:rPr>
        <w:t xml:space="preserve"> у области управљања људским ресурсима у правосуђу</w:t>
      </w:r>
      <w:r w:rsidR="00463354" w:rsidRPr="003E5020">
        <w:rPr>
          <w:rFonts w:ascii="Times New Roman" w:hAnsi="Times New Roman" w:cs="Times New Roman"/>
          <w:sz w:val="24"/>
          <w:szCs w:val="24"/>
          <w:lang w:val="sr-Cyrl-RS"/>
        </w:rPr>
        <w:t>, а чије</w:t>
      </w:r>
      <w:r w:rsidR="00F1043C" w:rsidRPr="003E5020">
        <w:rPr>
          <w:rFonts w:ascii="Times New Roman" w:hAnsi="Times New Roman" w:cs="Times New Roman"/>
          <w:sz w:val="24"/>
          <w:szCs w:val="24"/>
          <w:lang w:val="sr-Cyrl-RS"/>
        </w:rPr>
        <w:t xml:space="preserve"> спровођење треба </w:t>
      </w:r>
      <w:r w:rsidR="00406533" w:rsidRPr="003E5020">
        <w:rPr>
          <w:rFonts w:ascii="Times New Roman" w:hAnsi="Times New Roman" w:cs="Times New Roman"/>
          <w:sz w:val="24"/>
          <w:szCs w:val="24"/>
          <w:lang w:val="sr-Cyrl-RS"/>
        </w:rPr>
        <w:t xml:space="preserve">непосредно </w:t>
      </w:r>
      <w:r w:rsidR="00F1043C" w:rsidRPr="003E5020">
        <w:rPr>
          <w:rFonts w:ascii="Times New Roman" w:hAnsi="Times New Roman" w:cs="Times New Roman"/>
          <w:sz w:val="24"/>
          <w:szCs w:val="24"/>
          <w:lang w:val="sr-Cyrl-RS"/>
        </w:rPr>
        <w:t>да резулт</w:t>
      </w:r>
      <w:r w:rsidR="008C17FE" w:rsidRPr="003E5020">
        <w:rPr>
          <w:rFonts w:ascii="Times New Roman" w:hAnsi="Times New Roman" w:cs="Times New Roman"/>
          <w:sz w:val="24"/>
          <w:szCs w:val="24"/>
          <w:lang w:val="sr-Cyrl-RS"/>
        </w:rPr>
        <w:t>ује</w:t>
      </w:r>
      <w:r w:rsidR="00F1043C" w:rsidRPr="003E5020">
        <w:rPr>
          <w:rFonts w:ascii="Times New Roman" w:hAnsi="Times New Roman" w:cs="Times New Roman"/>
          <w:sz w:val="24"/>
          <w:szCs w:val="24"/>
          <w:lang w:val="sr-Cyrl-RS"/>
        </w:rPr>
        <w:t xml:space="preserve"> </w:t>
      </w:r>
      <w:r w:rsidR="004C3AFB" w:rsidRPr="003E5020">
        <w:rPr>
          <w:rFonts w:ascii="Times New Roman" w:hAnsi="Times New Roman" w:cs="Times New Roman"/>
          <w:sz w:val="24"/>
          <w:szCs w:val="24"/>
          <w:lang w:val="sr-Cyrl-RS"/>
        </w:rPr>
        <w:t>непристрасн</w:t>
      </w:r>
      <w:r w:rsidR="00CF0EB8" w:rsidRPr="003E5020">
        <w:rPr>
          <w:rFonts w:ascii="Times New Roman" w:hAnsi="Times New Roman" w:cs="Times New Roman"/>
          <w:sz w:val="24"/>
          <w:szCs w:val="24"/>
          <w:lang w:val="sr-Cyrl-RS"/>
        </w:rPr>
        <w:t>им</w:t>
      </w:r>
      <w:r w:rsidR="004C3AFB" w:rsidRPr="003E5020">
        <w:rPr>
          <w:rFonts w:ascii="Times New Roman" w:hAnsi="Times New Roman" w:cs="Times New Roman"/>
          <w:sz w:val="24"/>
          <w:szCs w:val="24"/>
          <w:lang w:val="sr-Cyrl-RS"/>
        </w:rPr>
        <w:t xml:space="preserve"> и транспарентн</w:t>
      </w:r>
      <w:r w:rsidR="00CF0EB8" w:rsidRPr="003E5020">
        <w:rPr>
          <w:rFonts w:ascii="Times New Roman" w:hAnsi="Times New Roman" w:cs="Times New Roman"/>
          <w:sz w:val="24"/>
          <w:szCs w:val="24"/>
          <w:lang w:val="sr-Cyrl-RS"/>
        </w:rPr>
        <w:t>им</w:t>
      </w:r>
      <w:r w:rsidR="004C3AFB" w:rsidRPr="003E5020">
        <w:rPr>
          <w:rFonts w:ascii="Times New Roman" w:hAnsi="Times New Roman" w:cs="Times New Roman"/>
          <w:sz w:val="24"/>
          <w:szCs w:val="24"/>
          <w:lang w:val="sr-Cyrl-RS"/>
        </w:rPr>
        <w:t xml:space="preserve"> </w:t>
      </w:r>
      <w:r w:rsidR="00CF0EB8" w:rsidRPr="003E5020">
        <w:rPr>
          <w:rFonts w:ascii="Times New Roman" w:hAnsi="Times New Roman" w:cs="Times New Roman"/>
          <w:sz w:val="24"/>
          <w:szCs w:val="24"/>
          <w:lang w:val="sr-Cyrl-RS"/>
        </w:rPr>
        <w:t xml:space="preserve">поступком </w:t>
      </w:r>
      <w:r w:rsidR="00137F85" w:rsidRPr="003E5020">
        <w:rPr>
          <w:rFonts w:ascii="Times New Roman" w:hAnsi="Times New Roman" w:cs="Times New Roman"/>
          <w:sz w:val="24"/>
          <w:szCs w:val="24"/>
          <w:lang w:val="sr-Cyrl-RS"/>
        </w:rPr>
        <w:t>одабира</w:t>
      </w:r>
      <w:r w:rsidR="004C3AFB" w:rsidRPr="003E5020">
        <w:rPr>
          <w:rFonts w:ascii="Times New Roman" w:hAnsi="Times New Roman" w:cs="Times New Roman"/>
          <w:sz w:val="24"/>
          <w:szCs w:val="24"/>
          <w:lang w:val="sr-Cyrl-RS"/>
        </w:rPr>
        <w:t xml:space="preserve"> кадр</w:t>
      </w:r>
      <w:r w:rsidR="00F73F4B" w:rsidRPr="003E5020">
        <w:rPr>
          <w:rFonts w:ascii="Times New Roman" w:hAnsi="Times New Roman" w:cs="Times New Roman"/>
          <w:sz w:val="24"/>
          <w:szCs w:val="24"/>
          <w:lang w:val="sr-Cyrl-RS"/>
        </w:rPr>
        <w:t>ов</w:t>
      </w:r>
      <w:r w:rsidR="004C3AFB" w:rsidRPr="003E5020">
        <w:rPr>
          <w:rFonts w:ascii="Times New Roman" w:hAnsi="Times New Roman" w:cs="Times New Roman"/>
          <w:sz w:val="24"/>
          <w:szCs w:val="24"/>
          <w:lang w:val="sr-Cyrl-RS"/>
        </w:rPr>
        <w:t xml:space="preserve">а, ефикасним системом </w:t>
      </w:r>
      <w:r w:rsidR="00843E3E" w:rsidRPr="003E5020">
        <w:rPr>
          <w:rFonts w:ascii="Times New Roman" w:hAnsi="Times New Roman" w:cs="Times New Roman"/>
          <w:sz w:val="24"/>
          <w:szCs w:val="24"/>
          <w:lang w:val="sr-Cyrl-RS"/>
        </w:rPr>
        <w:t>оцене радног</w:t>
      </w:r>
      <w:r w:rsidR="004C3AFB" w:rsidRPr="003E5020">
        <w:rPr>
          <w:rFonts w:ascii="Times New Roman" w:hAnsi="Times New Roman" w:cs="Times New Roman"/>
          <w:sz w:val="24"/>
          <w:szCs w:val="24"/>
          <w:lang w:val="sr-Cyrl-RS"/>
        </w:rPr>
        <w:t xml:space="preserve"> учинка, савременим системом континуираног стручног оспособљавања и усавршавања, стратешког планирања потреба за људским ресурсима, као и успостављањем посебне функције управљањ</w:t>
      </w:r>
      <w:r w:rsidR="002A2327" w:rsidRPr="003E5020">
        <w:rPr>
          <w:rFonts w:ascii="Times New Roman" w:hAnsi="Times New Roman" w:cs="Times New Roman"/>
          <w:sz w:val="24"/>
          <w:szCs w:val="24"/>
          <w:lang w:val="sr-Cyrl-RS"/>
        </w:rPr>
        <w:t>а људским ресурсима у правосуђу, чији би задатак био да се стара о испуњењу претходно наведених циљева</w:t>
      </w:r>
      <w:r w:rsidR="009D7382" w:rsidRPr="003E5020">
        <w:rPr>
          <w:rFonts w:ascii="Times New Roman" w:hAnsi="Times New Roman" w:cs="Times New Roman"/>
          <w:sz w:val="24"/>
          <w:szCs w:val="24"/>
          <w:lang w:val="sr-Cyrl-RS"/>
        </w:rPr>
        <w:t xml:space="preserve">. </w:t>
      </w:r>
    </w:p>
    <w:p w14:paraId="0FF06149" w14:textId="13D0F800" w:rsidR="00BD0D30" w:rsidRPr="003E5020" w:rsidRDefault="00BD0D30">
      <w:pPr>
        <w:ind w:left="851"/>
        <w:jc w:val="both"/>
        <w:rPr>
          <w:rFonts w:ascii="Times New Roman" w:hAnsi="Times New Roman" w:cs="Times New Roman"/>
          <w:sz w:val="24"/>
          <w:szCs w:val="24"/>
          <w:lang w:val="sr-Cyrl-RS"/>
        </w:rPr>
      </w:pPr>
    </w:p>
    <w:p w14:paraId="52C6E09B" w14:textId="361B356A" w:rsidR="00BD0D30" w:rsidRPr="003E5020" w:rsidRDefault="00BD0D3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Саставни део Стратегије је и Акциони план који ближе уређује питања њене реализације и који је представљен у </w:t>
      </w:r>
      <w:hyperlink w:anchor="_АКЦИОНИ_ПЛАН" w:history="1">
        <w:r w:rsidR="005E0FD5" w:rsidRPr="002149D4">
          <w:rPr>
            <w:rStyle w:val="Hyperlink"/>
            <w:rFonts w:ascii="Times New Roman" w:hAnsi="Times New Roman" w:cs="Times New Roman"/>
            <w:color w:val="auto"/>
            <w:sz w:val="24"/>
            <w:szCs w:val="24"/>
            <w:u w:val="none"/>
            <w:lang w:val="sr-Cyrl-RS"/>
          </w:rPr>
          <w:t>тачки 12</w:t>
        </w:r>
      </w:hyperlink>
      <w:r w:rsidR="003E5020" w:rsidRPr="002149D4">
        <w:rPr>
          <w:rStyle w:val="Hyperlink"/>
          <w:rFonts w:ascii="Times New Roman" w:hAnsi="Times New Roman" w:cs="Times New Roman"/>
          <w:color w:val="auto"/>
          <w:sz w:val="24"/>
          <w:szCs w:val="24"/>
          <w:u w:val="none"/>
          <w:lang w:val="sr-Cyrl-RS"/>
        </w:rPr>
        <w:t>.</w:t>
      </w:r>
      <w:r w:rsidR="007A1194" w:rsidRPr="003E5020">
        <w:rPr>
          <w:rFonts w:ascii="Times New Roman" w:hAnsi="Times New Roman" w:cs="Times New Roman"/>
          <w:sz w:val="24"/>
          <w:szCs w:val="24"/>
          <w:lang w:val="sr-Cyrl-RS"/>
        </w:rPr>
        <w:t xml:space="preserve"> овог документа</w:t>
      </w:r>
      <w:r w:rsidR="00310080" w:rsidRPr="003E5020">
        <w:rPr>
          <w:rFonts w:ascii="Times New Roman" w:hAnsi="Times New Roman" w:cs="Times New Roman"/>
          <w:sz w:val="24"/>
          <w:szCs w:val="24"/>
          <w:lang w:val="sr-Cyrl-RS"/>
        </w:rPr>
        <w:t xml:space="preserve"> (у даљем тексту: „</w:t>
      </w:r>
      <w:r w:rsidR="00310080" w:rsidRPr="003E5020">
        <w:rPr>
          <w:rFonts w:ascii="Times New Roman" w:hAnsi="Times New Roman" w:cs="Times New Roman"/>
          <w:b/>
          <w:bCs/>
          <w:sz w:val="24"/>
          <w:szCs w:val="24"/>
          <w:lang w:val="sr-Cyrl-RS"/>
        </w:rPr>
        <w:t>Акциони план</w:t>
      </w:r>
      <w:r w:rsidR="003E5020">
        <w:rPr>
          <w:rFonts w:ascii="Times New Roman" w:hAnsi="Times New Roman" w:cs="Times New Roman"/>
          <w:sz w:val="24"/>
          <w:szCs w:val="24"/>
          <w:lang w:val="sr-Cyrl-RS"/>
        </w:rPr>
        <w:t>ˮ</w:t>
      </w:r>
      <w:r w:rsidR="00310080" w:rsidRPr="003E5020">
        <w:rPr>
          <w:rFonts w:ascii="Times New Roman" w:hAnsi="Times New Roman" w:cs="Times New Roman"/>
          <w:sz w:val="24"/>
          <w:szCs w:val="24"/>
          <w:lang w:val="sr-Cyrl-RS"/>
        </w:rPr>
        <w:t>)</w:t>
      </w:r>
      <w:r w:rsidR="007A1194" w:rsidRPr="003E5020">
        <w:rPr>
          <w:rFonts w:ascii="Times New Roman" w:hAnsi="Times New Roman" w:cs="Times New Roman"/>
          <w:sz w:val="24"/>
          <w:szCs w:val="24"/>
          <w:lang w:val="sr-Cyrl-RS"/>
        </w:rPr>
        <w:t xml:space="preserve">. Имајући у виду </w:t>
      </w:r>
      <w:r w:rsidR="00182F91" w:rsidRPr="003E5020">
        <w:rPr>
          <w:rFonts w:ascii="Times New Roman" w:hAnsi="Times New Roman" w:cs="Times New Roman"/>
          <w:sz w:val="24"/>
          <w:szCs w:val="24"/>
          <w:lang w:val="sr-Cyrl-RS"/>
        </w:rPr>
        <w:t>Нацрт акта о промени Устава</w:t>
      </w:r>
      <w:r w:rsidR="00182F91" w:rsidRPr="003E5020">
        <w:rPr>
          <w:rFonts w:ascii="Times New Roman" w:hAnsi="Times New Roman" w:cs="Times New Roman"/>
          <w:sz w:val="24"/>
          <w:szCs w:val="24"/>
          <w:lang w:eastAsia="en-US"/>
        </w:rPr>
        <w:t xml:space="preserve"> Републике Србије који је припремио Одбор за уставна питања и законодавство Народне скупштине РС</w:t>
      </w:r>
      <w:r w:rsidR="00182F91" w:rsidRPr="003E5020">
        <w:rPr>
          <w:rFonts w:ascii="Times New Roman" w:hAnsi="Times New Roman" w:cs="Times New Roman"/>
          <w:sz w:val="24"/>
          <w:szCs w:val="24"/>
          <w:lang w:val="sr-Cyrl-RS"/>
        </w:rPr>
        <w:t>,</w:t>
      </w:r>
      <w:r w:rsidR="007A1194" w:rsidRPr="003E5020">
        <w:rPr>
          <w:rFonts w:ascii="Times New Roman" w:hAnsi="Times New Roman" w:cs="Times New Roman"/>
          <w:sz w:val="24"/>
          <w:szCs w:val="24"/>
          <w:lang w:val="sr-Cyrl-RS"/>
        </w:rPr>
        <w:t xml:space="preserve"> чије се усвајање и проглашење очекује од стране Народне скупштине, </w:t>
      </w:r>
      <w:r w:rsidR="00310080" w:rsidRPr="003E5020">
        <w:rPr>
          <w:rFonts w:ascii="Times New Roman" w:hAnsi="Times New Roman" w:cs="Times New Roman"/>
          <w:sz w:val="24"/>
          <w:szCs w:val="24"/>
          <w:lang w:val="sr-Cyrl-RS"/>
        </w:rPr>
        <w:t>мере у овој Стратегији, као ни мере и пратеће активности које су предвиђене Акционим планом, не обухватају носиоце правосудних фун</w:t>
      </w:r>
      <w:r w:rsidR="00154373" w:rsidRPr="003E5020">
        <w:rPr>
          <w:rFonts w:ascii="Times New Roman" w:hAnsi="Times New Roman" w:cs="Times New Roman"/>
          <w:sz w:val="24"/>
          <w:szCs w:val="24"/>
          <w:lang w:val="sr-Cyrl-RS"/>
        </w:rPr>
        <w:t>к</w:t>
      </w:r>
      <w:r w:rsidR="00310080" w:rsidRPr="003E5020">
        <w:rPr>
          <w:rFonts w:ascii="Times New Roman" w:hAnsi="Times New Roman" w:cs="Times New Roman"/>
          <w:sz w:val="24"/>
          <w:szCs w:val="24"/>
          <w:lang w:val="sr-Cyrl-RS"/>
        </w:rPr>
        <w:t>ција.</w:t>
      </w:r>
    </w:p>
    <w:p w14:paraId="127ECF24" w14:textId="77777777" w:rsidR="00BD0D30" w:rsidRPr="003E5020" w:rsidRDefault="00BD0D30">
      <w:pPr>
        <w:ind w:left="851"/>
        <w:jc w:val="both"/>
        <w:rPr>
          <w:rFonts w:ascii="Times New Roman" w:hAnsi="Times New Roman" w:cs="Times New Roman"/>
          <w:sz w:val="24"/>
          <w:szCs w:val="24"/>
          <w:lang w:val="sr-Cyrl-RS"/>
        </w:rPr>
      </w:pPr>
    </w:p>
    <w:p w14:paraId="51306047" w14:textId="529D6D77" w:rsidR="008E466C" w:rsidRPr="003E5020" w:rsidRDefault="008E466C" w:rsidP="008E466C">
      <w:pPr>
        <w:pStyle w:val="Heading2"/>
        <w:numPr>
          <w:ilvl w:val="1"/>
          <w:numId w:val="1"/>
        </w:numPr>
        <w:spacing w:before="0"/>
        <w:ind w:hanging="792"/>
        <w:jc w:val="both"/>
        <w:rPr>
          <w:rFonts w:ascii="Times New Roman" w:hAnsi="Times New Roman" w:cs="Times New Roman"/>
          <w:color w:val="auto"/>
          <w:sz w:val="24"/>
          <w:szCs w:val="24"/>
          <w:lang w:val="sr-Cyrl-RS"/>
        </w:rPr>
      </w:pPr>
      <w:bookmarkStart w:id="1" w:name="_Toc84778616"/>
      <w:r w:rsidRPr="003E5020">
        <w:rPr>
          <w:rFonts w:ascii="Times New Roman" w:hAnsi="Times New Roman" w:cs="Times New Roman"/>
          <w:color w:val="auto"/>
          <w:sz w:val="24"/>
          <w:szCs w:val="24"/>
          <w:lang w:val="sr-Cyrl-RS"/>
        </w:rPr>
        <w:t xml:space="preserve">Правни основ за доношење </w:t>
      </w:r>
      <w:r w:rsidR="009578A0" w:rsidRPr="003E5020">
        <w:rPr>
          <w:rFonts w:ascii="Times New Roman" w:hAnsi="Times New Roman" w:cs="Times New Roman"/>
          <w:color w:val="auto"/>
          <w:sz w:val="24"/>
          <w:szCs w:val="24"/>
          <w:lang w:val="sr-Cyrl-RS"/>
        </w:rPr>
        <w:t>С</w:t>
      </w:r>
      <w:r w:rsidRPr="003E5020">
        <w:rPr>
          <w:rFonts w:ascii="Times New Roman" w:hAnsi="Times New Roman" w:cs="Times New Roman"/>
          <w:color w:val="auto"/>
          <w:sz w:val="24"/>
          <w:szCs w:val="24"/>
          <w:lang w:val="sr-Cyrl-RS"/>
        </w:rPr>
        <w:t>тратегије</w:t>
      </w:r>
      <w:bookmarkEnd w:id="1"/>
    </w:p>
    <w:p w14:paraId="47EA5491" w14:textId="77777777" w:rsidR="008E466C" w:rsidRPr="003E5020" w:rsidRDefault="008E466C" w:rsidP="008E466C">
      <w:pPr>
        <w:jc w:val="both"/>
        <w:rPr>
          <w:rFonts w:ascii="Times New Roman" w:hAnsi="Times New Roman" w:cs="Times New Roman"/>
          <w:sz w:val="24"/>
          <w:szCs w:val="24"/>
          <w:lang w:val="sr-Cyrl-RS"/>
        </w:rPr>
      </w:pPr>
    </w:p>
    <w:p w14:paraId="03BB112D" w14:textId="4CDCFDA5" w:rsidR="008E466C" w:rsidRPr="003E5020" w:rsidRDefault="008E466C" w:rsidP="008E46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Чланом 9</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Закона о министарствима успостављена је надлежност Министарства правде Републике Србије, између осталог, у области организације и рада правосудних органа, стручног усавршавања носилаца правосудних функција и правосудних професија, статистику и аналитику рада правосудних органа и правосудних професија. </w:t>
      </w:r>
      <w:r w:rsidR="00FA3220" w:rsidRPr="003E5020">
        <w:rPr>
          <w:rFonts w:ascii="Times New Roman" w:hAnsi="Times New Roman" w:cs="Times New Roman"/>
          <w:sz w:val="24"/>
          <w:szCs w:val="24"/>
          <w:lang w:val="sr-Cyrl-RS"/>
        </w:rPr>
        <w:t xml:space="preserve"> </w:t>
      </w:r>
    </w:p>
    <w:p w14:paraId="3A8E9E4D" w14:textId="77777777" w:rsidR="008E466C" w:rsidRPr="003E5020" w:rsidRDefault="008E466C" w:rsidP="008E466C">
      <w:pPr>
        <w:ind w:left="851"/>
        <w:jc w:val="both"/>
        <w:rPr>
          <w:rFonts w:ascii="Times New Roman" w:hAnsi="Times New Roman" w:cs="Times New Roman"/>
          <w:sz w:val="24"/>
          <w:szCs w:val="24"/>
          <w:lang w:val="sr-Cyrl-RS"/>
        </w:rPr>
      </w:pPr>
    </w:p>
    <w:p w14:paraId="0C5BB73C" w14:textId="3275131C" w:rsidR="008E466C" w:rsidRPr="003E5020" w:rsidRDefault="008E466C" w:rsidP="008E46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Стратегија је израђена у складу са чланом 10</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став 2</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тачка 1</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Закона о планском систему, а у вези са члановима 11, 12, 13, 18</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19</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наведеног закона, као и чланом 38</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став 1</w:t>
      </w:r>
      <w:r w:rsid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Закона о планском систему, којим је прописано да документе јавних политика (стратегија је документ јавне политике у складу са наведеним законом) усваја Влада, осим ако је другачије прописано посебним законом. </w:t>
      </w:r>
    </w:p>
    <w:p w14:paraId="3591224F" w14:textId="77777777" w:rsidR="008E466C" w:rsidRPr="003E5020" w:rsidRDefault="008E466C" w:rsidP="008E466C">
      <w:pPr>
        <w:jc w:val="both"/>
        <w:rPr>
          <w:rFonts w:ascii="Times New Roman" w:hAnsi="Times New Roman" w:cs="Times New Roman"/>
          <w:sz w:val="24"/>
          <w:szCs w:val="24"/>
          <w:lang w:val="sr-Cyrl-RS"/>
        </w:rPr>
      </w:pPr>
    </w:p>
    <w:p w14:paraId="1BDDFC4E" w14:textId="014BD763" w:rsidR="008E466C" w:rsidRPr="003E5020" w:rsidRDefault="008E466C" w:rsidP="008E46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Акциони план за Поглавље 23</w:t>
      </w:r>
      <w:r w:rsidR="008D3153" w:rsidRPr="003E5020">
        <w:rPr>
          <w:rFonts w:ascii="Times New Roman" w:hAnsi="Times New Roman" w:cs="Times New Roman"/>
          <w:sz w:val="24"/>
          <w:szCs w:val="24"/>
          <w:lang w:val="sr-Cyrl-RS"/>
        </w:rPr>
        <w:t xml:space="preserve"> из јула 2020. године</w:t>
      </w:r>
      <w:r w:rsidRPr="003E5020">
        <w:rPr>
          <w:rFonts w:ascii="Times New Roman" w:hAnsi="Times New Roman" w:cs="Times New Roman"/>
          <w:sz w:val="24"/>
          <w:szCs w:val="24"/>
          <w:lang w:val="sr-Cyrl-RS"/>
        </w:rPr>
        <w:t>, под тачком 1.3.4.2,</w:t>
      </w:r>
      <w:r w:rsidR="00BC1D9E"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предвиђа</w:t>
      </w:r>
      <w:r w:rsidR="00D92820"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израду и усвајање стратегије људских ресурса за правосуђе. </w:t>
      </w:r>
    </w:p>
    <w:p w14:paraId="2E24FA61" w14:textId="77777777" w:rsidR="008E466C" w:rsidRPr="003E5020" w:rsidRDefault="008E466C" w:rsidP="008E466C">
      <w:pPr>
        <w:ind w:left="851"/>
        <w:jc w:val="both"/>
        <w:rPr>
          <w:rFonts w:ascii="Times New Roman" w:hAnsi="Times New Roman" w:cs="Times New Roman"/>
          <w:sz w:val="24"/>
          <w:szCs w:val="24"/>
          <w:lang w:val="sr-Cyrl-RS"/>
        </w:rPr>
      </w:pPr>
    </w:p>
    <w:p w14:paraId="5BA61DFF" w14:textId="746801EE" w:rsidR="008E466C" w:rsidRPr="003E5020" w:rsidRDefault="008E466C" w:rsidP="008E466C">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w:t>
      </w:r>
      <w:r w:rsidR="002165D6"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развоја правосуђа за период 20</w:t>
      </w:r>
      <w:r w:rsidR="00BC1D9E"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BC1D9E"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w:t>
      </w:r>
      <w:r w:rsidR="00772062" w:rsidRPr="003E5020">
        <w:rPr>
          <w:rFonts w:ascii="Times New Roman" w:hAnsi="Times New Roman" w:cs="Times New Roman"/>
          <w:sz w:val="24"/>
          <w:szCs w:val="24"/>
          <w:lang w:val="sr-Cyrl-RS"/>
        </w:rPr>
        <w:t xml:space="preserve"> („Службени гласник Републике Србије</w:t>
      </w:r>
      <w:r w:rsidR="00701BFF">
        <w:rPr>
          <w:rFonts w:ascii="Times New Roman" w:hAnsi="Times New Roman" w:cs="Times New Roman"/>
          <w:sz w:val="24"/>
          <w:szCs w:val="24"/>
          <w:lang w:val="sr-Cyrl-RS"/>
        </w:rPr>
        <w:t>ˮ</w:t>
      </w:r>
      <w:r w:rsidR="00772062" w:rsidRPr="003E5020">
        <w:rPr>
          <w:rFonts w:ascii="Times New Roman" w:hAnsi="Times New Roman" w:cs="Times New Roman"/>
          <w:sz w:val="24"/>
          <w:szCs w:val="24"/>
          <w:lang w:val="sr-Cyrl-RS"/>
        </w:rPr>
        <w:t>, бр. 101/2020)</w:t>
      </w:r>
      <w:r w:rsidR="002165D6" w:rsidRPr="003E5020">
        <w:rPr>
          <w:rFonts w:ascii="Times New Roman" w:hAnsi="Times New Roman" w:cs="Times New Roman"/>
          <w:sz w:val="24"/>
          <w:szCs w:val="24"/>
          <w:lang w:val="sr-Cyrl-RS"/>
        </w:rPr>
        <w:t>, у</w:t>
      </w:r>
      <w:r w:rsidRPr="003E5020">
        <w:rPr>
          <w:rFonts w:ascii="Times New Roman" w:hAnsi="Times New Roman" w:cs="Times New Roman"/>
          <w:sz w:val="24"/>
          <w:szCs w:val="24"/>
          <w:lang w:val="sr-Cyrl-RS"/>
        </w:rPr>
        <w:t xml:space="preserve"> секцији V</w:t>
      </w:r>
      <w:r w:rsidR="003C3098" w:rsidRPr="003E5020">
        <w:rPr>
          <w:rFonts w:ascii="Times New Roman" w:hAnsi="Times New Roman" w:cs="Times New Roman"/>
          <w:sz w:val="24"/>
          <w:szCs w:val="24"/>
          <w:lang w:val="sr-Cyrl-RS"/>
        </w:rPr>
        <w:t>.4.</w:t>
      </w:r>
      <w:r w:rsidRPr="003E5020">
        <w:rPr>
          <w:rFonts w:ascii="Times New Roman" w:hAnsi="Times New Roman" w:cs="Times New Roman"/>
          <w:sz w:val="24"/>
          <w:szCs w:val="24"/>
          <w:lang w:val="sr-Cyrl-RS"/>
        </w:rPr>
        <w:t xml:space="preserve"> – Ефикасност правосуђа, предвиђа доношење </w:t>
      </w:r>
      <w:r w:rsidR="00772062" w:rsidRPr="003E5020">
        <w:rPr>
          <w:rFonts w:ascii="Times New Roman" w:hAnsi="Times New Roman" w:cs="Times New Roman"/>
          <w:sz w:val="24"/>
          <w:szCs w:val="24"/>
          <w:lang w:val="sr-Cyrl-RS"/>
        </w:rPr>
        <w:t>с</w:t>
      </w:r>
      <w:r w:rsidRPr="003E5020">
        <w:rPr>
          <w:rFonts w:ascii="Times New Roman" w:hAnsi="Times New Roman" w:cs="Times New Roman"/>
          <w:sz w:val="24"/>
          <w:szCs w:val="24"/>
          <w:lang w:val="sr-Cyrl-RS"/>
        </w:rPr>
        <w:t>тратегиј</w:t>
      </w:r>
      <w:r w:rsidR="00DA6F9C" w:rsidRPr="003E5020">
        <w:rPr>
          <w:rFonts w:ascii="Times New Roman" w:hAnsi="Times New Roman" w:cs="Times New Roman"/>
          <w:sz w:val="24"/>
          <w:szCs w:val="24"/>
          <w:lang w:val="sr-Cyrl-RS"/>
        </w:rPr>
        <w:t>е</w:t>
      </w:r>
      <w:r w:rsidR="00E04D32" w:rsidRPr="003E5020">
        <w:rPr>
          <w:rFonts w:ascii="Times New Roman" w:hAnsi="Times New Roman" w:cs="Times New Roman"/>
          <w:sz w:val="24"/>
          <w:szCs w:val="24"/>
          <w:lang w:val="sr-Cyrl-RS"/>
        </w:rPr>
        <w:t xml:space="preserve"> људских ресурса</w:t>
      </w:r>
      <w:r w:rsidRPr="003E5020">
        <w:rPr>
          <w:rFonts w:ascii="Times New Roman" w:hAnsi="Times New Roman" w:cs="Times New Roman"/>
          <w:sz w:val="24"/>
          <w:szCs w:val="24"/>
          <w:lang w:val="sr-Cyrl-RS"/>
        </w:rPr>
        <w:t xml:space="preserve"> као важне карике у свеукупној реформи </w:t>
      </w:r>
      <w:r w:rsidRPr="003E5020">
        <w:rPr>
          <w:rFonts w:ascii="Times New Roman" w:hAnsi="Times New Roman" w:cs="Times New Roman"/>
          <w:sz w:val="24"/>
          <w:szCs w:val="24"/>
          <w:lang w:val="sr-Cyrl-RS"/>
        </w:rPr>
        <w:lastRenderedPageBreak/>
        <w:t>правосуђа [</w:t>
      </w:r>
      <w:r w:rsidRPr="003E5020">
        <w:rPr>
          <w:rFonts w:ascii="Times New Roman" w:hAnsi="Times New Roman" w:cs="Times New Roman"/>
          <w:b/>
          <w:sz w:val="24"/>
          <w:szCs w:val="24"/>
          <w:lang w:val="sr-Cyrl-RS"/>
        </w:rPr>
        <w:t>цитат</w:t>
      </w:r>
      <w:r w:rsidRPr="003E5020">
        <w:rPr>
          <w:rFonts w:ascii="Times New Roman" w:hAnsi="Times New Roman" w:cs="Times New Roman"/>
          <w:sz w:val="24"/>
          <w:szCs w:val="24"/>
          <w:lang w:val="sr-Cyrl-RS"/>
        </w:rPr>
        <w:t>]</w:t>
      </w:r>
      <w:r w:rsidR="00B85A46" w:rsidRPr="003E5020">
        <w:rPr>
          <w:rFonts w:ascii="Times New Roman" w:hAnsi="Times New Roman" w:cs="Times New Roman"/>
          <w:sz w:val="24"/>
          <w:szCs w:val="24"/>
          <w:lang w:val="sr-Cyrl-RS"/>
        </w:rPr>
        <w:t xml:space="preserve"> </w:t>
      </w:r>
      <w:r w:rsidR="00701BFF">
        <w:rPr>
          <w:rFonts w:ascii="Times New Roman" w:hAnsi="Times New Roman" w:cs="Times New Roman"/>
          <w:sz w:val="24"/>
          <w:szCs w:val="24"/>
          <w:lang w:val="sr-Cyrl-RS"/>
        </w:rPr>
        <w:t>ˮ</w:t>
      </w:r>
      <w:r w:rsidRPr="003E5020">
        <w:rPr>
          <w:rFonts w:ascii="Times New Roman" w:hAnsi="Times New Roman" w:cs="Times New Roman"/>
          <w:i/>
          <w:sz w:val="24"/>
          <w:szCs w:val="24"/>
          <w:lang w:val="sr-Cyrl-RS"/>
        </w:rPr>
        <w:t>Такође, свеобухватна стратегија кадровских ресурса која би довела до повећања ефикасности кроз бољу алокацију људских ресурса у правосуђу, те мотивацију запослених кроз систем награђивања и напредовања који подстиче квалитетан рад и ажурност у решавању предмета, још увек није усвојена, те је рад на њој неопходно окончати у наредном периоду</w:t>
      </w:r>
      <w:r w:rsidRPr="003E5020">
        <w:rPr>
          <w:rFonts w:ascii="Times New Roman" w:hAnsi="Times New Roman" w:cs="Times New Roman"/>
          <w:sz w:val="24"/>
          <w:szCs w:val="24"/>
          <w:lang w:val="sr-Cyrl-RS"/>
        </w:rPr>
        <w:t>.</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w:t>
      </w:r>
      <w:r w:rsidRPr="003E5020">
        <w:rPr>
          <w:rFonts w:ascii="Times New Roman" w:hAnsi="Times New Roman" w:cs="Times New Roman"/>
          <w:b/>
          <w:sz w:val="24"/>
          <w:szCs w:val="24"/>
          <w:lang w:val="sr-Cyrl-RS"/>
        </w:rPr>
        <w:t>крај цитата</w:t>
      </w:r>
      <w:r w:rsidRPr="003E5020">
        <w:rPr>
          <w:rFonts w:ascii="Times New Roman" w:hAnsi="Times New Roman" w:cs="Times New Roman"/>
          <w:sz w:val="24"/>
          <w:szCs w:val="24"/>
          <w:lang w:val="sr-Cyrl-RS"/>
        </w:rPr>
        <w:t>].</w:t>
      </w:r>
      <w:r w:rsidR="00772062" w:rsidRPr="003E5020">
        <w:rPr>
          <w:rFonts w:ascii="Times New Roman" w:hAnsi="Times New Roman" w:cs="Times New Roman"/>
          <w:sz w:val="24"/>
          <w:szCs w:val="24"/>
          <w:lang w:val="sr-Cyrl-RS"/>
        </w:rPr>
        <w:t xml:space="preserve"> </w:t>
      </w:r>
      <w:r w:rsidR="00772062" w:rsidRPr="003E5020">
        <w:rPr>
          <w:rFonts w:ascii="Times New Roman" w:hAnsi="Times New Roman" w:cs="Times New Roman"/>
          <w:iCs/>
          <w:sz w:val="24"/>
          <w:szCs w:val="24"/>
          <w:lang w:val="sr-Cyrl-RS"/>
        </w:rPr>
        <w:t>Да би се омогућила реализација посебног циља 4</w:t>
      </w:r>
      <w:r w:rsidR="003804D0" w:rsidRPr="003E5020">
        <w:rPr>
          <w:rFonts w:ascii="Times New Roman" w:hAnsi="Times New Roman" w:cs="Times New Roman"/>
          <w:iCs/>
          <w:sz w:val="24"/>
          <w:szCs w:val="24"/>
          <w:lang w:val="sr-Cyrl-RS"/>
        </w:rPr>
        <w:t xml:space="preserve"> – унапређење ефикасности правосуђа, као једна од кључних мера предвиђено је и </w:t>
      </w:r>
      <w:r w:rsidR="003804D0" w:rsidRPr="003E5020">
        <w:rPr>
          <w:rFonts w:ascii="Times New Roman" w:hAnsi="Times New Roman" w:cs="Times New Roman"/>
          <w:sz w:val="24"/>
          <w:szCs w:val="24"/>
          <w:lang w:val="sr-Cyrl-RS"/>
        </w:rPr>
        <w:t>[</w:t>
      </w:r>
      <w:r w:rsidR="003804D0" w:rsidRPr="003E5020">
        <w:rPr>
          <w:rFonts w:ascii="Times New Roman" w:hAnsi="Times New Roman" w:cs="Times New Roman"/>
          <w:b/>
          <w:sz w:val="24"/>
          <w:szCs w:val="24"/>
          <w:lang w:val="sr-Cyrl-RS"/>
        </w:rPr>
        <w:t>цитат</w:t>
      </w:r>
      <w:r w:rsidR="003804D0" w:rsidRPr="003E5020">
        <w:rPr>
          <w:rFonts w:ascii="Times New Roman" w:hAnsi="Times New Roman" w:cs="Times New Roman"/>
          <w:sz w:val="24"/>
          <w:szCs w:val="24"/>
          <w:lang w:val="sr-Cyrl-RS"/>
        </w:rPr>
        <w:t xml:space="preserve">] </w:t>
      </w:r>
      <w:r w:rsidR="003804D0" w:rsidRPr="003E5020">
        <w:rPr>
          <w:rFonts w:ascii="Times New Roman" w:hAnsi="Times New Roman" w:cs="Times New Roman"/>
          <w:i/>
          <w:sz w:val="24"/>
          <w:szCs w:val="24"/>
          <w:lang w:val="sr-Cyrl-RS"/>
        </w:rPr>
        <w:t>„Усвајање и ефикасна примена Стратегије за управљање људским ресурсима у циљу делотворнијег/оптималнијег планирања, запошљавања, распоређивања, мотивисања и напредовања у оквиру правосуђа</w:t>
      </w:r>
      <w:r w:rsidR="00701BFF">
        <w:rPr>
          <w:rFonts w:ascii="Times New Roman" w:hAnsi="Times New Roman" w:cs="Times New Roman"/>
          <w:i/>
          <w:sz w:val="24"/>
          <w:szCs w:val="24"/>
          <w:lang w:val="sr-Cyrl-RS"/>
        </w:rPr>
        <w:t>ˮ</w:t>
      </w:r>
      <w:r w:rsidR="00004EB0" w:rsidRPr="003E5020">
        <w:rPr>
          <w:rFonts w:ascii="Times New Roman" w:hAnsi="Times New Roman" w:cs="Times New Roman"/>
          <w:sz w:val="24"/>
          <w:szCs w:val="24"/>
          <w:lang w:val="sr-Cyrl-RS"/>
        </w:rPr>
        <w:t xml:space="preserve"> [</w:t>
      </w:r>
      <w:r w:rsidR="00004EB0" w:rsidRPr="003E5020">
        <w:rPr>
          <w:rFonts w:ascii="Times New Roman" w:hAnsi="Times New Roman" w:cs="Times New Roman"/>
          <w:b/>
          <w:sz w:val="24"/>
          <w:szCs w:val="24"/>
          <w:lang w:val="sr-Cyrl-RS"/>
        </w:rPr>
        <w:t>крај цитата</w:t>
      </w:r>
      <w:r w:rsidR="00004EB0" w:rsidRPr="003E5020">
        <w:rPr>
          <w:rFonts w:ascii="Times New Roman" w:hAnsi="Times New Roman" w:cs="Times New Roman"/>
          <w:sz w:val="24"/>
          <w:szCs w:val="24"/>
          <w:lang w:val="sr-Cyrl-RS"/>
        </w:rPr>
        <w:t>].</w:t>
      </w:r>
    </w:p>
    <w:p w14:paraId="0ED9B9C6" w14:textId="77777777" w:rsidR="008E466C" w:rsidRPr="003E5020" w:rsidRDefault="008E466C" w:rsidP="008E466C">
      <w:pPr>
        <w:ind w:left="851"/>
        <w:jc w:val="both"/>
        <w:rPr>
          <w:rFonts w:ascii="Times New Roman" w:hAnsi="Times New Roman" w:cs="Times New Roman"/>
          <w:sz w:val="24"/>
          <w:szCs w:val="24"/>
          <w:lang w:val="sr-Cyrl-RS"/>
        </w:rPr>
      </w:pPr>
    </w:p>
    <w:p w14:paraId="51B89740" w14:textId="582248CB" w:rsidR="008E466C" w:rsidRPr="003E5020" w:rsidRDefault="008E466C" w:rsidP="008E466C">
      <w:pPr>
        <w:ind w:left="851"/>
        <w:jc w:val="both"/>
        <w:rPr>
          <w:rFonts w:ascii="Times New Roman" w:eastAsiaTheme="majorEastAsia" w:hAnsi="Times New Roman" w:cs="Times New Roman"/>
          <w:i/>
          <w:sz w:val="24"/>
          <w:szCs w:val="24"/>
          <w:lang w:val="sr-Cyrl-RS"/>
        </w:rPr>
      </w:pPr>
      <w:r w:rsidRPr="003E5020">
        <w:rPr>
          <w:rFonts w:ascii="Times New Roman" w:hAnsi="Times New Roman" w:cs="Times New Roman"/>
          <w:sz w:val="24"/>
          <w:szCs w:val="24"/>
          <w:lang w:val="sr-Cyrl-RS"/>
        </w:rPr>
        <w:t xml:space="preserve">Веза ове Стратегије са правним оквиром за рад правосуђа и главним документима јавне политике у правосудном сектору детаљније је објашњена у </w:t>
      </w:r>
      <w:r w:rsidR="00C32AE8" w:rsidRPr="003E5020">
        <w:rPr>
          <w:rFonts w:ascii="Times New Roman" w:hAnsi="Times New Roman" w:cs="Times New Roman"/>
          <w:sz w:val="24"/>
          <w:szCs w:val="24"/>
          <w:lang w:val="sr-Cyrl-RS"/>
        </w:rPr>
        <w:t>тачки</w:t>
      </w:r>
      <w:r w:rsidRPr="003E5020">
        <w:rPr>
          <w:rFonts w:ascii="Times New Roman" w:hAnsi="Times New Roman" w:cs="Times New Roman"/>
          <w:sz w:val="24"/>
          <w:szCs w:val="24"/>
          <w:lang w:val="sr-Cyrl-RS"/>
        </w:rPr>
        <w:t xml:space="preserve"> </w:t>
      </w:r>
      <w:hyperlink w:anchor="_ВЕЗА_СА_ПЛАНСКИМ" w:history="1">
        <w:r w:rsidRPr="003E5020">
          <w:rPr>
            <w:rStyle w:val="Hyperlink"/>
            <w:rFonts w:ascii="Times New Roman" w:hAnsi="Times New Roman" w:cs="Times New Roman"/>
            <w:color w:val="auto"/>
            <w:sz w:val="24"/>
            <w:szCs w:val="24"/>
            <w:lang w:val="sr-Cyrl-RS"/>
          </w:rPr>
          <w:t>2</w:t>
        </w:r>
      </w:hyperlink>
      <w:r w:rsidRPr="003E5020">
        <w:rPr>
          <w:rFonts w:ascii="Times New Roman" w:hAnsi="Times New Roman" w:cs="Times New Roman"/>
          <w:sz w:val="24"/>
          <w:szCs w:val="24"/>
          <w:lang w:val="sr-Cyrl-RS"/>
        </w:rPr>
        <w:t xml:space="preserve"> - </w:t>
      </w:r>
      <w:r w:rsidRPr="003E5020">
        <w:rPr>
          <w:rFonts w:ascii="Times New Roman" w:eastAsiaTheme="majorEastAsia" w:hAnsi="Times New Roman" w:cs="Times New Roman"/>
          <w:i/>
          <w:sz w:val="24"/>
          <w:szCs w:val="24"/>
          <w:lang w:val="sr-Cyrl-RS"/>
        </w:rPr>
        <w:t>Веза са планским документима и правним оквиром.</w:t>
      </w:r>
    </w:p>
    <w:p w14:paraId="655D9260" w14:textId="77777777" w:rsidR="008E466C" w:rsidRPr="003E5020" w:rsidRDefault="008E466C" w:rsidP="008E466C">
      <w:pPr>
        <w:ind w:left="851"/>
        <w:jc w:val="both"/>
        <w:rPr>
          <w:rFonts w:ascii="Times New Roman" w:hAnsi="Times New Roman" w:cs="Times New Roman"/>
          <w:sz w:val="24"/>
          <w:szCs w:val="24"/>
          <w:lang w:val="sr-Cyrl-RS"/>
        </w:rPr>
      </w:pPr>
    </w:p>
    <w:p w14:paraId="51C54956" w14:textId="1E8AA3B7" w:rsidR="008E466C" w:rsidRPr="003E5020" w:rsidRDefault="008E466C" w:rsidP="008E46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Стратегија је прва ове врсте у Републици Србији, односно питање организације и унапређења људских ресурса у правосуђу, до сада, није било регулисано посебним стратешким документом, већ искључиво кроз „кровну</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националну стратегију реформе правосуђа. </w:t>
      </w:r>
    </w:p>
    <w:p w14:paraId="20852539" w14:textId="77777777" w:rsidR="00731DA8" w:rsidRPr="003E5020" w:rsidRDefault="00731DA8" w:rsidP="00CA628C">
      <w:pPr>
        <w:jc w:val="both"/>
        <w:rPr>
          <w:rFonts w:ascii="Times New Roman" w:hAnsi="Times New Roman" w:cs="Times New Roman"/>
          <w:sz w:val="24"/>
          <w:szCs w:val="24"/>
          <w:lang w:val="sr-Cyrl-RS"/>
        </w:rPr>
      </w:pPr>
    </w:p>
    <w:p w14:paraId="5F854405" w14:textId="77777777" w:rsidR="00AB3577" w:rsidRPr="003E5020" w:rsidRDefault="00AB3577" w:rsidP="00AB3577">
      <w:pPr>
        <w:pStyle w:val="Heading2"/>
        <w:numPr>
          <w:ilvl w:val="1"/>
          <w:numId w:val="1"/>
        </w:numPr>
        <w:spacing w:before="0"/>
        <w:ind w:hanging="792"/>
        <w:jc w:val="both"/>
        <w:rPr>
          <w:rFonts w:ascii="Times New Roman" w:hAnsi="Times New Roman" w:cs="Times New Roman"/>
          <w:color w:val="auto"/>
          <w:sz w:val="24"/>
          <w:szCs w:val="24"/>
          <w:lang w:val="sr-Cyrl-RS"/>
        </w:rPr>
      </w:pPr>
      <w:bookmarkStart w:id="2" w:name="_Правни_основ_за"/>
      <w:bookmarkStart w:id="3" w:name="_Toc84778617"/>
      <w:bookmarkEnd w:id="2"/>
      <w:r w:rsidRPr="003E5020">
        <w:rPr>
          <w:rFonts w:ascii="Times New Roman" w:hAnsi="Times New Roman" w:cs="Times New Roman"/>
          <w:color w:val="auto"/>
          <w:sz w:val="24"/>
          <w:szCs w:val="24"/>
          <w:lang w:val="sr-Cyrl-RS"/>
        </w:rPr>
        <w:t>Разлози за доношење стратегије</w:t>
      </w:r>
      <w:bookmarkEnd w:id="3"/>
      <w:r w:rsidRPr="003E5020">
        <w:rPr>
          <w:rFonts w:ascii="Times New Roman" w:hAnsi="Times New Roman" w:cs="Times New Roman"/>
          <w:color w:val="auto"/>
          <w:sz w:val="24"/>
          <w:szCs w:val="24"/>
          <w:lang w:val="sr-Cyrl-RS"/>
        </w:rPr>
        <w:t xml:space="preserve"> </w:t>
      </w:r>
    </w:p>
    <w:p w14:paraId="168F500E" w14:textId="77777777" w:rsidR="00AB3577" w:rsidRPr="003E5020" w:rsidRDefault="00AB3577" w:rsidP="00AB3577">
      <w:pPr>
        <w:jc w:val="both"/>
        <w:rPr>
          <w:rFonts w:ascii="Times New Roman" w:hAnsi="Times New Roman" w:cs="Times New Roman"/>
          <w:i/>
          <w:iCs/>
          <w:sz w:val="24"/>
          <w:szCs w:val="24"/>
          <w:lang w:val="sr-Cyrl-RS"/>
        </w:rPr>
      </w:pPr>
    </w:p>
    <w:p w14:paraId="12FEF391" w14:textId="5F0A6C24"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Анализа постојећег стања људских ресурса у правосуђу</w:t>
      </w:r>
      <w:r w:rsidRPr="003E5020">
        <w:rPr>
          <w:rStyle w:val="FootnoteReference"/>
          <w:rFonts w:ascii="Times New Roman" w:hAnsi="Times New Roman" w:cs="Times New Roman"/>
          <w:sz w:val="24"/>
          <w:szCs w:val="24"/>
          <w:lang w:val="sr-Cyrl-RS"/>
        </w:rPr>
        <w:footnoteReference w:id="2"/>
      </w:r>
      <w:r w:rsidRPr="003E5020">
        <w:rPr>
          <w:rFonts w:ascii="Times New Roman" w:hAnsi="Times New Roman" w:cs="Times New Roman"/>
          <w:sz w:val="24"/>
          <w:szCs w:val="24"/>
          <w:lang w:val="sr-Cyrl-RS"/>
        </w:rPr>
        <w:t xml:space="preserve"> показала је кључне проблеме са којима се правосуђе Републике Србије у том домену суочава. Наведени проблеми су приказани у </w:t>
      </w:r>
      <w:r w:rsidR="002529D7" w:rsidRPr="003E5020">
        <w:rPr>
          <w:rFonts w:ascii="Times New Roman" w:hAnsi="Times New Roman" w:cs="Times New Roman"/>
          <w:sz w:val="24"/>
          <w:szCs w:val="24"/>
          <w:lang w:val="sr-Cyrl-RS"/>
        </w:rPr>
        <w:t xml:space="preserve">наредној </w:t>
      </w:r>
      <w:r w:rsidRPr="003E5020">
        <w:rPr>
          <w:rFonts w:ascii="Times New Roman" w:hAnsi="Times New Roman" w:cs="Times New Roman"/>
          <w:sz w:val="24"/>
          <w:szCs w:val="24"/>
          <w:lang w:val="sr-Cyrl-RS"/>
        </w:rPr>
        <w:t>табели, како следи:</w:t>
      </w:r>
    </w:p>
    <w:p w14:paraId="59D2CA48" w14:textId="77777777" w:rsidR="00AB3577" w:rsidRPr="003E5020" w:rsidRDefault="00AB3577" w:rsidP="00AB3577">
      <w:pPr>
        <w:ind w:left="851"/>
        <w:jc w:val="both"/>
        <w:rPr>
          <w:rFonts w:ascii="Times New Roman" w:hAnsi="Times New Roman" w:cs="Times New Roman"/>
          <w:sz w:val="24"/>
          <w:szCs w:val="24"/>
          <w:lang w:val="sr-Cyrl-RS"/>
        </w:rPr>
      </w:pPr>
    </w:p>
    <w:p w14:paraId="06A70660" w14:textId="77777777" w:rsidR="00AB3577" w:rsidRPr="003E5020" w:rsidRDefault="00AB3577" w:rsidP="00AB3577">
      <w:pPr>
        <w:pStyle w:val="ListParagraph"/>
        <w:ind w:left="1571"/>
        <w:jc w:val="both"/>
        <w:rPr>
          <w:rFonts w:ascii="Times New Roman" w:hAnsi="Times New Roman" w:cs="Times New Roman"/>
          <w:i/>
          <w:sz w:val="24"/>
          <w:szCs w:val="24"/>
          <w:lang w:val="sr-Cyrl-RS"/>
        </w:rPr>
        <w:sectPr w:rsidR="00AB3577" w:rsidRPr="003E5020" w:rsidSect="00262328">
          <w:headerReference w:type="default" r:id="rId8"/>
          <w:pgSz w:w="11907" w:h="16840" w:code="9"/>
          <w:pgMar w:top="1134" w:right="1134" w:bottom="1134" w:left="1134" w:header="720" w:footer="720" w:gutter="0"/>
          <w:cols w:space="720"/>
          <w:titlePg/>
          <w:docGrid w:linePitch="360"/>
        </w:sectPr>
      </w:pPr>
    </w:p>
    <w:p w14:paraId="50AC38A9" w14:textId="77777777" w:rsidR="00AB3577" w:rsidRPr="003E5020" w:rsidRDefault="00AB3577" w:rsidP="00AB3577">
      <w:pPr>
        <w:pStyle w:val="ListParagraph"/>
        <w:ind w:left="-142"/>
        <w:jc w:val="both"/>
        <w:rPr>
          <w:rFonts w:ascii="Times New Roman" w:eastAsiaTheme="majorEastAsia" w:hAnsi="Times New Roman" w:cs="Times New Roman"/>
          <w:b/>
          <w:sz w:val="24"/>
          <w:szCs w:val="24"/>
          <w:lang w:val="sr-Cyrl-RS"/>
        </w:rPr>
      </w:pPr>
      <w:r w:rsidRPr="003E5020">
        <w:rPr>
          <w:rFonts w:ascii="Times New Roman" w:eastAsiaTheme="majorEastAsia" w:hAnsi="Times New Roman" w:cs="Times New Roman"/>
          <w:b/>
          <w:sz w:val="24"/>
          <w:szCs w:val="24"/>
          <w:lang w:val="sr-Cyrl-RS"/>
        </w:rPr>
        <w:t>Табела 1 – Кључни проблеми као разлози за доношење Стратегије</w:t>
      </w:r>
    </w:p>
    <w:p w14:paraId="7A06968A" w14:textId="77777777" w:rsidR="00AB3577" w:rsidRPr="003E5020" w:rsidRDefault="00AB3577" w:rsidP="00AB3577">
      <w:pPr>
        <w:pStyle w:val="ListParagraph"/>
        <w:ind w:left="1571"/>
        <w:jc w:val="both"/>
        <w:rPr>
          <w:rFonts w:ascii="Times New Roman" w:eastAsiaTheme="majorEastAsia" w:hAnsi="Times New Roman" w:cs="Times New Roman"/>
          <w:b/>
          <w:sz w:val="24"/>
          <w:szCs w:val="24"/>
          <w:lang w:val="sr-Cyrl-RS"/>
        </w:rPr>
      </w:pPr>
    </w:p>
    <w:tbl>
      <w:tblPr>
        <w:tblStyle w:val="TableGrid"/>
        <w:tblW w:w="14670" w:type="dxa"/>
        <w:jc w:val="center"/>
        <w:tblBorders>
          <w:top w:val="dotted" w:sz="4" w:space="0" w:color="2E74B5" w:themeColor="accent1" w:themeShade="BF"/>
          <w:left w:val="dotted" w:sz="4" w:space="0" w:color="2E74B5" w:themeColor="accent1" w:themeShade="BF"/>
          <w:bottom w:val="dotted" w:sz="4" w:space="0" w:color="2E74B5" w:themeColor="accent1" w:themeShade="BF"/>
          <w:right w:val="dotted" w:sz="4" w:space="0" w:color="2E74B5" w:themeColor="accent1" w:themeShade="BF"/>
          <w:insideH w:val="dotted" w:sz="4" w:space="0" w:color="2E74B5" w:themeColor="accent1" w:themeShade="BF"/>
          <w:insideV w:val="dotted" w:sz="4" w:space="0" w:color="2E74B5" w:themeColor="accent1" w:themeShade="BF"/>
        </w:tblBorders>
        <w:tblLayout w:type="fixed"/>
        <w:tblLook w:val="04A0" w:firstRow="1" w:lastRow="0" w:firstColumn="1" w:lastColumn="0" w:noHBand="0" w:noVBand="1"/>
      </w:tblPr>
      <w:tblGrid>
        <w:gridCol w:w="1170"/>
        <w:gridCol w:w="3330"/>
        <w:gridCol w:w="4500"/>
        <w:gridCol w:w="5670"/>
      </w:tblGrid>
      <w:tr w:rsidR="003E5020" w:rsidRPr="003E5020" w14:paraId="264735F5" w14:textId="77777777" w:rsidTr="00096F5E">
        <w:trPr>
          <w:jc w:val="center"/>
        </w:trPr>
        <w:tc>
          <w:tcPr>
            <w:tcW w:w="1170" w:type="dxa"/>
            <w:shd w:val="clear" w:color="auto" w:fill="2E74B5" w:themeFill="accent1" w:themeFillShade="BF"/>
          </w:tcPr>
          <w:p w14:paraId="6A02BF61" w14:textId="77777777" w:rsidR="00DF15D6" w:rsidRPr="003E5020" w:rsidRDefault="00DF15D6" w:rsidP="004D0771">
            <w:pPr>
              <w:spacing w:after="120"/>
              <w:jc w:val="center"/>
              <w:rPr>
                <w:rFonts w:ascii="Times New Roman" w:hAnsi="Times New Roman" w:cs="Times New Roman"/>
                <w:b/>
                <w:lang w:val="sr-Cyrl-RS"/>
              </w:rPr>
            </w:pPr>
            <w:r w:rsidRPr="003E5020">
              <w:rPr>
                <w:rFonts w:ascii="Times New Roman" w:hAnsi="Times New Roman" w:cs="Times New Roman"/>
                <w:b/>
                <w:lang w:val="sr-Cyrl-RS"/>
              </w:rPr>
              <w:t>Бр.</w:t>
            </w:r>
          </w:p>
        </w:tc>
        <w:tc>
          <w:tcPr>
            <w:tcW w:w="3330" w:type="dxa"/>
            <w:shd w:val="clear" w:color="auto" w:fill="2E74B5" w:themeFill="accent1" w:themeFillShade="BF"/>
          </w:tcPr>
          <w:p w14:paraId="0674CA80" w14:textId="77777777" w:rsidR="00DF15D6" w:rsidRPr="003E5020" w:rsidRDefault="00DF15D6" w:rsidP="004D0771">
            <w:pPr>
              <w:spacing w:after="120"/>
              <w:rPr>
                <w:rFonts w:ascii="Times New Roman" w:hAnsi="Times New Roman" w:cs="Times New Roman"/>
                <w:b/>
                <w:lang w:val="sr-Cyrl-RS"/>
              </w:rPr>
            </w:pPr>
            <w:r w:rsidRPr="003E5020">
              <w:rPr>
                <w:rFonts w:ascii="Times New Roman" w:hAnsi="Times New Roman" w:cs="Times New Roman"/>
                <w:b/>
                <w:lang w:val="sr-Cyrl-RS"/>
              </w:rPr>
              <w:t>Опис проблема</w:t>
            </w:r>
          </w:p>
        </w:tc>
        <w:tc>
          <w:tcPr>
            <w:tcW w:w="4500" w:type="dxa"/>
            <w:shd w:val="clear" w:color="auto" w:fill="2E74B5" w:themeFill="accent1" w:themeFillShade="BF"/>
          </w:tcPr>
          <w:p w14:paraId="4989574F" w14:textId="77777777" w:rsidR="00DF15D6" w:rsidRPr="003E5020" w:rsidRDefault="00DF15D6" w:rsidP="004D0771">
            <w:pPr>
              <w:spacing w:after="120"/>
              <w:rPr>
                <w:rFonts w:ascii="Times New Roman" w:hAnsi="Times New Roman" w:cs="Times New Roman"/>
                <w:b/>
                <w:lang w:val="sr-Cyrl-RS"/>
              </w:rPr>
            </w:pPr>
            <w:r w:rsidRPr="003E5020">
              <w:rPr>
                <w:rFonts w:ascii="Times New Roman" w:hAnsi="Times New Roman" w:cs="Times New Roman"/>
                <w:b/>
                <w:lang w:val="sr-Cyrl-RS"/>
              </w:rPr>
              <w:t>Манифестација и постојеће последице</w:t>
            </w:r>
          </w:p>
        </w:tc>
        <w:tc>
          <w:tcPr>
            <w:tcW w:w="5670" w:type="dxa"/>
            <w:shd w:val="clear" w:color="auto" w:fill="2E74B5" w:themeFill="accent1" w:themeFillShade="BF"/>
          </w:tcPr>
          <w:p w14:paraId="34E73E21" w14:textId="77777777" w:rsidR="00DF15D6" w:rsidRPr="003E5020" w:rsidRDefault="00DF15D6" w:rsidP="004D0771">
            <w:pPr>
              <w:spacing w:after="120"/>
              <w:rPr>
                <w:rFonts w:ascii="Times New Roman" w:hAnsi="Times New Roman" w:cs="Times New Roman"/>
                <w:b/>
                <w:lang w:val="sr-Cyrl-RS"/>
              </w:rPr>
            </w:pPr>
            <w:r w:rsidRPr="003E5020">
              <w:rPr>
                <w:rFonts w:ascii="Times New Roman" w:hAnsi="Times New Roman" w:cs="Times New Roman"/>
                <w:b/>
                <w:lang w:val="sr-Cyrl-RS"/>
              </w:rPr>
              <w:t xml:space="preserve">Будуће последице нерешавања проблема </w:t>
            </w:r>
          </w:p>
        </w:tc>
      </w:tr>
      <w:tr w:rsidR="003E5020" w:rsidRPr="003E5020" w14:paraId="1FAAA992" w14:textId="77777777" w:rsidTr="00096F5E">
        <w:trPr>
          <w:jc w:val="center"/>
        </w:trPr>
        <w:tc>
          <w:tcPr>
            <w:tcW w:w="1170" w:type="dxa"/>
          </w:tcPr>
          <w:p w14:paraId="14EDB3CD" w14:textId="77777777" w:rsidR="00DF15D6" w:rsidRPr="003E5020" w:rsidRDefault="00DF15D6" w:rsidP="00143190">
            <w:pPr>
              <w:numPr>
                <w:ilvl w:val="0"/>
                <w:numId w:val="29"/>
              </w:numPr>
              <w:spacing w:after="120"/>
              <w:ind w:left="720"/>
              <w:contextualSpacing/>
              <w:jc w:val="center"/>
              <w:rPr>
                <w:rFonts w:ascii="Times New Roman" w:hAnsi="Times New Roman" w:cs="Times New Roman"/>
                <w:b/>
                <w:lang w:val="sr-Cyrl-RS"/>
              </w:rPr>
            </w:pPr>
          </w:p>
        </w:tc>
        <w:tc>
          <w:tcPr>
            <w:tcW w:w="3330" w:type="dxa"/>
          </w:tcPr>
          <w:p w14:paraId="7E1770FF" w14:textId="77777777" w:rsidR="00DF15D6" w:rsidRPr="003E5020" w:rsidRDefault="00DF15D6" w:rsidP="004D0771">
            <w:pPr>
              <w:spacing w:after="120"/>
              <w:rPr>
                <w:rFonts w:ascii="Times New Roman" w:hAnsi="Times New Roman" w:cs="Times New Roman"/>
                <w:lang w:val="sr-Cyrl-RS"/>
              </w:rPr>
            </w:pPr>
            <w:r w:rsidRPr="003E5020">
              <w:rPr>
                <w:rFonts w:ascii="Times New Roman" w:hAnsi="Times New Roman" w:cs="Times New Roman"/>
                <w:b/>
                <w:lang w:val="sr-Cyrl-RS"/>
              </w:rPr>
              <w:t>Недостатак стратешког планирања у управљању људским ресурсима</w:t>
            </w:r>
            <w:r w:rsidRPr="003E5020">
              <w:rPr>
                <w:rFonts w:ascii="Times New Roman" w:hAnsi="Times New Roman" w:cs="Times New Roman"/>
                <w:lang w:val="sr-Cyrl-RS"/>
              </w:rPr>
              <w:t xml:space="preserve"> </w:t>
            </w:r>
          </w:p>
          <w:p w14:paraId="6456E94F" w14:textId="77777777" w:rsidR="00DF15D6" w:rsidRPr="003E5020" w:rsidRDefault="00DF15D6" w:rsidP="004D0771">
            <w:pPr>
              <w:spacing w:after="120"/>
              <w:ind w:left="1571"/>
              <w:contextualSpacing/>
              <w:jc w:val="both"/>
              <w:rPr>
                <w:rFonts w:ascii="Times New Roman" w:hAnsi="Times New Roman" w:cs="Times New Roman"/>
                <w:lang w:val="sr-Cyrl-RS"/>
              </w:rPr>
            </w:pPr>
            <w:r w:rsidRPr="003E5020">
              <w:rPr>
                <w:rFonts w:ascii="Times New Roman" w:hAnsi="Times New Roman" w:cs="Times New Roman"/>
                <w:lang w:val="sr-Cyrl-RS"/>
              </w:rPr>
              <w:t xml:space="preserve"> </w:t>
            </w:r>
          </w:p>
          <w:p w14:paraId="75417382" w14:textId="77777777" w:rsidR="00DF15D6" w:rsidRPr="003E5020" w:rsidRDefault="00DF15D6" w:rsidP="004D0771">
            <w:pPr>
              <w:spacing w:after="120"/>
              <w:rPr>
                <w:rFonts w:ascii="Times New Roman" w:hAnsi="Times New Roman" w:cs="Times New Roman"/>
                <w:lang w:val="sr-Cyrl-RS"/>
              </w:rPr>
            </w:pPr>
          </w:p>
        </w:tc>
        <w:tc>
          <w:tcPr>
            <w:tcW w:w="4500" w:type="dxa"/>
          </w:tcPr>
          <w:p w14:paraId="6AF92D12" w14:textId="77B00253"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Непостојање </w:t>
            </w:r>
            <w:r w:rsidR="00E41DD9" w:rsidRPr="003E5020">
              <w:rPr>
                <w:rFonts w:ascii="Times New Roman" w:hAnsi="Times New Roman" w:cs="Times New Roman"/>
                <w:lang w:val="sr-Cyrl-RS"/>
              </w:rPr>
              <w:t xml:space="preserve">усклађености </w:t>
            </w:r>
            <w:r w:rsidRPr="003E5020">
              <w:rPr>
                <w:rFonts w:ascii="Times New Roman" w:hAnsi="Times New Roman" w:cs="Times New Roman"/>
                <w:lang w:val="sr-Cyrl-RS"/>
              </w:rPr>
              <w:t>приликом процене потреба за стручним и другим кадром, па самим тим и његов вишак или мањак, што за последицу има диспропорцију између објективних потреба за кадром (нпр. у односу на укупан број и врсту предмета) и стварног броја и структуре кадра у оквиру мреже правосудних органа.</w:t>
            </w:r>
          </w:p>
          <w:p w14:paraId="74430CA3" w14:textId="51395AAB" w:rsidR="00DF15D6" w:rsidRPr="003E5020" w:rsidRDefault="00940BC5"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С</w:t>
            </w:r>
            <w:r w:rsidR="00DF15D6" w:rsidRPr="003E5020">
              <w:rPr>
                <w:rFonts w:ascii="Times New Roman" w:hAnsi="Times New Roman" w:cs="Times New Roman"/>
                <w:lang w:val="sr-Cyrl-RS"/>
              </w:rPr>
              <w:t xml:space="preserve">тратешко планирање и </w:t>
            </w:r>
            <w:r w:rsidRPr="003E5020">
              <w:rPr>
                <w:rFonts w:ascii="Times New Roman" w:hAnsi="Times New Roman" w:cs="Times New Roman"/>
                <w:lang w:val="sr-Cyrl-RS"/>
              </w:rPr>
              <w:t xml:space="preserve">равномерна </w:t>
            </w:r>
            <w:r w:rsidR="00DF15D6" w:rsidRPr="003E5020">
              <w:rPr>
                <w:rFonts w:ascii="Times New Roman" w:hAnsi="Times New Roman" w:cs="Times New Roman"/>
                <w:lang w:val="sr-Cyrl-RS"/>
              </w:rPr>
              <w:t xml:space="preserve">оптерећеност судија </w:t>
            </w:r>
            <w:r w:rsidR="004E0115" w:rsidRPr="003E5020">
              <w:rPr>
                <w:rFonts w:ascii="Times New Roman" w:hAnsi="Times New Roman" w:cs="Times New Roman"/>
                <w:lang w:val="sr-Cyrl-RS"/>
              </w:rPr>
              <w:t xml:space="preserve">и јаних тужилаца </w:t>
            </w:r>
            <w:r w:rsidRPr="003E5020">
              <w:rPr>
                <w:rFonts w:ascii="Times New Roman" w:hAnsi="Times New Roman" w:cs="Times New Roman"/>
                <w:lang w:val="sr-Cyrl-RS"/>
              </w:rPr>
              <w:t xml:space="preserve">заснована </w:t>
            </w:r>
            <w:r w:rsidR="00DF15D6" w:rsidRPr="003E5020">
              <w:rPr>
                <w:rFonts w:ascii="Times New Roman" w:hAnsi="Times New Roman" w:cs="Times New Roman"/>
                <w:lang w:val="sr-Cyrl-RS"/>
              </w:rPr>
              <w:t>на броју и сложености предмета (пондерисање предмета)</w:t>
            </w:r>
            <w:r w:rsidR="00F04881" w:rsidRPr="003E5020">
              <w:rPr>
                <w:rFonts w:ascii="Times New Roman" w:hAnsi="Times New Roman" w:cs="Times New Roman"/>
                <w:lang w:val="sr-Cyrl-RS"/>
              </w:rPr>
              <w:t xml:space="preserve"> је у фази развоја</w:t>
            </w:r>
            <w:r w:rsidR="00DF15D6" w:rsidRPr="003E5020">
              <w:rPr>
                <w:rFonts w:ascii="Times New Roman" w:hAnsi="Times New Roman" w:cs="Times New Roman"/>
                <w:lang w:val="sr-Cyrl-RS"/>
              </w:rPr>
              <w:t>.</w:t>
            </w:r>
          </w:p>
          <w:p w14:paraId="7C5BE281" w14:textId="6F60828B" w:rsidR="00E6569A" w:rsidRPr="003E5020" w:rsidRDefault="00E6569A" w:rsidP="00E6569A">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Рад судијских/тужилачких помоћника утиче на резултате рада носилаца правосудних функција.</w:t>
            </w:r>
          </w:p>
          <w:p w14:paraId="4B48C838" w14:textId="7238F5CB"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Недовољни укупни капацитети, односно конкретна радна места/јединице за стратешко планирање и управљачки тимови у </w:t>
            </w:r>
            <w:r w:rsidR="00F04881" w:rsidRPr="003E5020">
              <w:rPr>
                <w:rFonts w:ascii="Times New Roman" w:hAnsi="Times New Roman" w:cs="Times New Roman"/>
                <w:lang w:val="sr-Cyrl-RS"/>
              </w:rPr>
              <w:t>МП</w:t>
            </w:r>
            <w:r w:rsidR="00310CAA" w:rsidRPr="003E5020">
              <w:rPr>
                <w:rFonts w:ascii="Times New Roman" w:hAnsi="Times New Roman" w:cs="Times New Roman"/>
                <w:lang w:val="sr-Cyrl-RS"/>
              </w:rPr>
              <w:t>/</w:t>
            </w:r>
            <w:r w:rsidRPr="003E5020">
              <w:rPr>
                <w:rFonts w:ascii="Times New Roman" w:hAnsi="Times New Roman" w:cs="Times New Roman"/>
                <w:lang w:val="sr-Cyrl-RS"/>
              </w:rPr>
              <w:t>ВСС/ДВТ</w:t>
            </w:r>
            <w:r w:rsidR="00310CAA" w:rsidRPr="003E5020">
              <w:rPr>
                <w:rFonts w:ascii="Times New Roman" w:hAnsi="Times New Roman" w:cs="Times New Roman"/>
                <w:lang w:val="sr-Cyrl-RS"/>
              </w:rPr>
              <w:t>/ПА</w:t>
            </w:r>
            <w:r w:rsidR="002B1C59" w:rsidRPr="003E5020">
              <w:rPr>
                <w:rFonts w:ascii="Times New Roman" w:hAnsi="Times New Roman" w:cs="Times New Roman"/>
                <w:lang w:val="sr-Latn-RS"/>
              </w:rPr>
              <w:t>,</w:t>
            </w:r>
            <w:r w:rsidRPr="003E5020">
              <w:rPr>
                <w:rFonts w:ascii="Times New Roman" w:hAnsi="Times New Roman" w:cs="Times New Roman"/>
                <w:lang w:val="sr-Cyrl-RS"/>
              </w:rPr>
              <w:t xml:space="preserve"> судовима </w:t>
            </w:r>
            <w:r w:rsidR="002B1C59" w:rsidRPr="003E5020">
              <w:rPr>
                <w:rFonts w:ascii="Times New Roman" w:hAnsi="Times New Roman" w:cs="Times New Roman"/>
                <w:lang w:val="sr-Cyrl-RS"/>
              </w:rPr>
              <w:t>и јавним тужилаштвима</w:t>
            </w:r>
            <w:r w:rsidR="006C5B99" w:rsidRPr="003E5020">
              <w:rPr>
                <w:rFonts w:ascii="Times New Roman" w:hAnsi="Times New Roman" w:cs="Times New Roman"/>
                <w:lang w:val="sr-Cyrl-RS"/>
              </w:rPr>
              <w:t xml:space="preserve">, </w:t>
            </w:r>
            <w:r w:rsidRPr="003E5020">
              <w:rPr>
                <w:rFonts w:ascii="Times New Roman" w:hAnsi="Times New Roman" w:cs="Times New Roman"/>
                <w:lang w:val="sr-Cyrl-RS"/>
              </w:rPr>
              <w:t xml:space="preserve">који би се бавили стратешким планирањем обима посла и ресурса у правосуђу. </w:t>
            </w:r>
          </w:p>
          <w:p w14:paraId="4235E1B0" w14:textId="04D7947C" w:rsidR="00DF15D6" w:rsidRPr="003E5020" w:rsidRDefault="00743329"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Неодговарајућа организација обук</w:t>
            </w:r>
            <w:r w:rsidR="00EF51FE" w:rsidRPr="003E5020">
              <w:rPr>
                <w:rFonts w:ascii="Times New Roman" w:hAnsi="Times New Roman" w:cs="Times New Roman"/>
                <w:lang w:val="sr-Cyrl-RS"/>
              </w:rPr>
              <w:t>а и</w:t>
            </w:r>
            <w:r w:rsidRPr="003E5020">
              <w:rPr>
                <w:rFonts w:ascii="Times New Roman" w:hAnsi="Times New Roman" w:cs="Times New Roman"/>
                <w:lang w:val="sr-Cyrl-RS"/>
              </w:rPr>
              <w:t xml:space="preserve"> </w:t>
            </w:r>
            <w:r w:rsidR="00EF51FE" w:rsidRPr="003E5020">
              <w:rPr>
                <w:rFonts w:ascii="Times New Roman" w:hAnsi="Times New Roman" w:cs="Times New Roman"/>
                <w:lang w:val="sr-Cyrl-RS"/>
              </w:rPr>
              <w:t xml:space="preserve">непостојање </w:t>
            </w:r>
            <w:r w:rsidR="00DF15D6" w:rsidRPr="003E5020">
              <w:rPr>
                <w:rFonts w:ascii="Times New Roman" w:hAnsi="Times New Roman" w:cs="Times New Roman"/>
                <w:lang w:val="sr-Cyrl-RS"/>
              </w:rPr>
              <w:t>обука за стратешко планирање за руководиоце у Министарству правде</w:t>
            </w:r>
            <w:r w:rsidR="009F37FD" w:rsidRPr="003E5020">
              <w:rPr>
                <w:rFonts w:ascii="Times New Roman" w:hAnsi="Times New Roman" w:cs="Times New Roman"/>
                <w:lang w:val="sr-Cyrl-RS"/>
              </w:rPr>
              <w:t xml:space="preserve"> Републике Србије</w:t>
            </w:r>
            <w:r w:rsidR="00DF15D6" w:rsidRPr="003E5020">
              <w:rPr>
                <w:rFonts w:ascii="Times New Roman" w:hAnsi="Times New Roman" w:cs="Times New Roman"/>
                <w:lang w:val="sr-Cyrl-RS"/>
              </w:rPr>
              <w:t>, Високом савету судства, Државном већу тужилаца</w:t>
            </w:r>
            <w:r w:rsidR="00544D8C" w:rsidRPr="003E5020">
              <w:rPr>
                <w:rFonts w:ascii="Times New Roman" w:hAnsi="Times New Roman" w:cs="Times New Roman"/>
                <w:lang w:val="sr-Cyrl-RS"/>
              </w:rPr>
              <w:t xml:space="preserve">, </w:t>
            </w:r>
            <w:r w:rsidR="00DF15D6" w:rsidRPr="003E5020">
              <w:rPr>
                <w:rFonts w:ascii="Times New Roman" w:hAnsi="Times New Roman" w:cs="Times New Roman"/>
                <w:lang w:val="sr-Cyrl-RS"/>
              </w:rPr>
              <w:t>судовима</w:t>
            </w:r>
            <w:r w:rsidR="002B1C59" w:rsidRPr="003E5020">
              <w:rPr>
                <w:rFonts w:ascii="Times New Roman" w:hAnsi="Times New Roman" w:cs="Times New Roman"/>
                <w:lang w:val="sr-Cyrl-RS"/>
              </w:rPr>
              <w:t xml:space="preserve"> и јавним тужилаштвима</w:t>
            </w:r>
            <w:r w:rsidR="00DF15D6" w:rsidRPr="003E5020">
              <w:rPr>
                <w:rFonts w:ascii="Times New Roman" w:hAnsi="Times New Roman" w:cs="Times New Roman"/>
                <w:lang w:val="sr-Cyrl-RS"/>
              </w:rPr>
              <w:t xml:space="preserve">. </w:t>
            </w:r>
          </w:p>
          <w:p w14:paraId="38CD1301" w14:textId="6F5CC9DA" w:rsidR="00137A89" w:rsidRPr="003E5020" w:rsidRDefault="00FE64B8"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Финансијска средства за пријем нових запослених била су одобравана, али нису реализована због ограничења запошљавања у јавном сектору и неадекватних про</w:t>
            </w:r>
            <w:r w:rsidR="00D2017F">
              <w:rPr>
                <w:rFonts w:ascii="Times New Roman" w:hAnsi="Times New Roman" w:cs="Times New Roman"/>
                <w:lang w:val="sr-Cyrl-RS"/>
              </w:rPr>
              <w:t>с</w:t>
            </w:r>
            <w:r w:rsidRPr="003E5020">
              <w:rPr>
                <w:rFonts w:ascii="Times New Roman" w:hAnsi="Times New Roman" w:cs="Times New Roman"/>
                <w:lang w:val="sr-Cyrl-RS"/>
              </w:rPr>
              <w:t>торно-техничких услова за рад</w:t>
            </w:r>
            <w:r w:rsidR="004B0766" w:rsidRPr="003E5020">
              <w:rPr>
                <w:rFonts w:ascii="Times New Roman" w:hAnsi="Times New Roman" w:cs="Times New Roman"/>
                <w:lang w:val="sr-Latn-RS"/>
              </w:rPr>
              <w:t>.</w:t>
            </w:r>
          </w:p>
          <w:p w14:paraId="281FF282" w14:textId="4CE6BF4B" w:rsidR="00DF15D6" w:rsidRPr="003E5020" w:rsidRDefault="00DF15D6" w:rsidP="003A183F">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Непостојање</w:t>
            </w:r>
            <w:r w:rsidR="00FC657A" w:rsidRPr="003E5020">
              <w:rPr>
                <w:rFonts w:ascii="Times New Roman" w:hAnsi="Times New Roman" w:cs="Times New Roman"/>
                <w:lang w:val="sr-Cyrl-RS"/>
              </w:rPr>
              <w:t xml:space="preserve"> довољно развијене процедуре за финансијско управљање и контр</w:t>
            </w:r>
            <w:r w:rsidR="00FF2B88" w:rsidRPr="003E5020">
              <w:rPr>
                <w:rFonts w:ascii="Times New Roman" w:hAnsi="Times New Roman" w:cs="Times New Roman"/>
                <w:lang w:val="sr-Latn-RS"/>
              </w:rPr>
              <w:t>o</w:t>
            </w:r>
            <w:r w:rsidR="00FC657A" w:rsidRPr="003E5020">
              <w:rPr>
                <w:rFonts w:ascii="Times New Roman" w:hAnsi="Times New Roman" w:cs="Times New Roman"/>
                <w:lang w:val="sr-Cyrl-RS"/>
              </w:rPr>
              <w:t>л</w:t>
            </w:r>
            <w:r w:rsidR="003A183F" w:rsidRPr="003E5020">
              <w:rPr>
                <w:rFonts w:ascii="Times New Roman" w:hAnsi="Times New Roman" w:cs="Times New Roman"/>
                <w:lang w:val="sr-Cyrl-RS"/>
              </w:rPr>
              <w:t>у</w:t>
            </w:r>
            <w:r w:rsidR="00FC657A" w:rsidRPr="003E5020">
              <w:rPr>
                <w:rFonts w:ascii="Times New Roman" w:hAnsi="Times New Roman" w:cs="Times New Roman"/>
                <w:lang w:val="sr-Cyrl-RS"/>
              </w:rPr>
              <w:t xml:space="preserve"> (ФУК). </w:t>
            </w:r>
          </w:p>
        </w:tc>
        <w:tc>
          <w:tcPr>
            <w:tcW w:w="5670" w:type="dxa"/>
          </w:tcPr>
          <w:p w14:paraId="6CA72955" w14:textId="2071B6C9" w:rsidR="00DF15D6" w:rsidRPr="003E5020" w:rsidRDefault="007C41B4"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Непрестано</w:t>
            </w:r>
            <w:r w:rsidR="00DF15D6" w:rsidRPr="003E5020">
              <w:rPr>
                <w:rFonts w:ascii="Times New Roman" w:hAnsi="Times New Roman" w:cs="Times New Roman"/>
                <w:lang w:val="sr-Cyrl-RS"/>
              </w:rPr>
              <w:t xml:space="preserve"> </w:t>
            </w:r>
            <w:r w:rsidRPr="003E5020">
              <w:rPr>
                <w:rFonts w:ascii="Times New Roman" w:hAnsi="Times New Roman" w:cs="Times New Roman"/>
                <w:lang w:val="sr-Cyrl-RS"/>
              </w:rPr>
              <w:t>слабљење</w:t>
            </w:r>
            <w:r w:rsidR="00DF15D6" w:rsidRPr="003E5020">
              <w:rPr>
                <w:rFonts w:ascii="Times New Roman" w:hAnsi="Times New Roman" w:cs="Times New Roman"/>
                <w:lang w:val="sr-Cyrl-RS"/>
              </w:rPr>
              <w:t xml:space="preserve"> људских ресурса у правосуђу, свих нивоа и категорија, која ће у многоме отежати или чак онемогућити спровођење даљих реформи у правосуђу у оквирима циљева постављених „кровном</w:t>
            </w:r>
            <w:r w:rsidR="00701BFF">
              <w:rPr>
                <w:rFonts w:ascii="Times New Roman" w:hAnsi="Times New Roman" w:cs="Times New Roman"/>
                <w:lang w:val="sr-Cyrl-RS"/>
              </w:rPr>
              <w:t>ˮ</w:t>
            </w:r>
            <w:r w:rsidR="00DF15D6" w:rsidRPr="003E5020">
              <w:rPr>
                <w:rFonts w:ascii="Times New Roman" w:hAnsi="Times New Roman" w:cs="Times New Roman"/>
                <w:lang w:val="sr-Cyrl-RS"/>
              </w:rPr>
              <w:t xml:space="preserve"> Стратегијом развоја правосуђа за период 2020-2025. године.</w:t>
            </w:r>
          </w:p>
          <w:p w14:paraId="1DD1783A" w14:textId="516DBBB2" w:rsidR="00E6569A" w:rsidRPr="003E5020" w:rsidRDefault="00E6569A" w:rsidP="00E6569A">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Недостатак квали</w:t>
            </w:r>
            <w:r w:rsidR="00D2017F">
              <w:rPr>
                <w:rFonts w:ascii="Times New Roman" w:hAnsi="Times New Roman" w:cs="Times New Roman"/>
                <w:lang w:val="sr-Cyrl-RS"/>
              </w:rPr>
              <w:t>тетног кадра судијских/тужилачки</w:t>
            </w:r>
            <w:r w:rsidRPr="003E5020">
              <w:rPr>
                <w:rFonts w:ascii="Times New Roman" w:hAnsi="Times New Roman" w:cs="Times New Roman"/>
                <w:lang w:val="sr-Cyrl-RS"/>
              </w:rPr>
              <w:t>х помоћника се одражава на ефикасност рада носиласаца правосудних функција.</w:t>
            </w:r>
          </w:p>
          <w:p w14:paraId="63E9A65A" w14:textId="1F864061" w:rsidR="00DF15D6" w:rsidRPr="003E5020" w:rsidRDefault="00A20CA1"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Отежано </w:t>
            </w:r>
            <w:r w:rsidR="00DF15D6" w:rsidRPr="003E5020">
              <w:rPr>
                <w:rFonts w:ascii="Times New Roman" w:hAnsi="Times New Roman" w:cs="Times New Roman"/>
                <w:lang w:val="sr-Cyrl-RS"/>
              </w:rPr>
              <w:t>остваривања сврхе правосуђа, као основног инструмента заштите права и слобода грађана и урушавање правне сигурности.</w:t>
            </w:r>
          </w:p>
          <w:p w14:paraId="159FA9EF" w14:textId="0D577521"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Успоравање или застој преговарачког процеса  у Поглављу 23 услед немогућности наставка реформе правосуђа.</w:t>
            </w:r>
          </w:p>
          <w:p w14:paraId="6EB9E17D" w14:textId="77777777"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Свеукупан и неповратан губитак поверења грађана у правосудни систем, његову даљу реформу и опоравак, који би био базиран на савременим основама и ЕУ тековинама.</w:t>
            </w:r>
          </w:p>
          <w:p w14:paraId="2946E422" w14:textId="34225C7B" w:rsidR="007C41B4" w:rsidRPr="003E5020" w:rsidRDefault="007C41B4" w:rsidP="007C41B4">
            <w:pPr>
              <w:spacing w:after="120"/>
              <w:ind w:left="360"/>
              <w:contextualSpacing/>
              <w:rPr>
                <w:rFonts w:ascii="Times New Roman" w:hAnsi="Times New Roman" w:cs="Times New Roman"/>
                <w:lang w:val="sr-Cyrl-RS"/>
              </w:rPr>
            </w:pPr>
          </w:p>
        </w:tc>
      </w:tr>
      <w:tr w:rsidR="003E5020" w:rsidRPr="003E5020" w14:paraId="7457F482" w14:textId="77777777" w:rsidTr="00096F5E">
        <w:trPr>
          <w:jc w:val="center"/>
        </w:trPr>
        <w:tc>
          <w:tcPr>
            <w:tcW w:w="1170" w:type="dxa"/>
          </w:tcPr>
          <w:p w14:paraId="713808DF" w14:textId="77777777" w:rsidR="00DF15D6" w:rsidRPr="003E5020" w:rsidRDefault="00DF15D6" w:rsidP="00143190">
            <w:pPr>
              <w:numPr>
                <w:ilvl w:val="0"/>
                <w:numId w:val="29"/>
              </w:numPr>
              <w:spacing w:after="120"/>
              <w:ind w:left="720"/>
              <w:contextualSpacing/>
              <w:jc w:val="center"/>
              <w:rPr>
                <w:rFonts w:ascii="Times New Roman" w:hAnsi="Times New Roman" w:cs="Times New Roman"/>
                <w:b/>
                <w:lang w:val="sr-Cyrl-RS"/>
              </w:rPr>
            </w:pPr>
          </w:p>
        </w:tc>
        <w:tc>
          <w:tcPr>
            <w:tcW w:w="3330" w:type="dxa"/>
          </w:tcPr>
          <w:p w14:paraId="0DB9541E" w14:textId="001DF9D8" w:rsidR="001533D4" w:rsidRPr="003E5020" w:rsidRDefault="001533D4" w:rsidP="001533D4">
            <w:pPr>
              <w:spacing w:after="120"/>
              <w:rPr>
                <w:rFonts w:ascii="Times New Roman" w:hAnsi="Times New Roman" w:cs="Times New Roman"/>
                <w:b/>
                <w:lang w:val="sr-Cyrl-RS"/>
              </w:rPr>
            </w:pPr>
            <w:r w:rsidRPr="003E5020">
              <w:rPr>
                <w:rFonts w:ascii="Times New Roman" w:hAnsi="Times New Roman" w:cs="Times New Roman"/>
                <w:b/>
                <w:lang w:val="sr-Cyrl-RS"/>
              </w:rPr>
              <w:t>Подељена надлежност у управљању људским ресурсима између Министарства правде</w:t>
            </w:r>
            <w:r w:rsidR="009F37FD" w:rsidRPr="003E5020">
              <w:rPr>
                <w:rFonts w:ascii="Times New Roman" w:hAnsi="Times New Roman" w:cs="Times New Roman"/>
                <w:b/>
                <w:lang w:val="sr-Cyrl-RS"/>
              </w:rPr>
              <w:t xml:space="preserve"> Републике Србије</w:t>
            </w:r>
            <w:r w:rsidRPr="003E5020">
              <w:rPr>
                <w:rFonts w:ascii="Times New Roman" w:hAnsi="Times New Roman" w:cs="Times New Roman"/>
                <w:b/>
                <w:lang w:val="sr-Cyrl-RS"/>
              </w:rPr>
              <w:t xml:space="preserve"> с једне и Високог савета судства и Државног већа тужилаца, с друге стране</w:t>
            </w:r>
          </w:p>
        </w:tc>
        <w:tc>
          <w:tcPr>
            <w:tcW w:w="4500" w:type="dxa"/>
          </w:tcPr>
          <w:p w14:paraId="19DCB52E" w14:textId="0E3A64A2"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Неефикасно</w:t>
            </w:r>
            <w:r w:rsidR="00761E04" w:rsidRPr="003E5020">
              <w:rPr>
                <w:rFonts w:ascii="Times New Roman" w:hAnsi="Times New Roman" w:cs="Times New Roman"/>
                <w:lang w:val="sr-Cyrl-RS"/>
              </w:rPr>
              <w:t xml:space="preserve"> </w:t>
            </w:r>
            <w:r w:rsidRPr="003E5020">
              <w:rPr>
                <w:rFonts w:ascii="Times New Roman" w:hAnsi="Times New Roman" w:cs="Times New Roman"/>
                <w:lang w:val="sr-Cyrl-RS"/>
              </w:rPr>
              <w:t>коришћење постојећих људских ресурса.</w:t>
            </w:r>
          </w:p>
          <w:p w14:paraId="431F549E" w14:textId="400563DE"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Непостојање </w:t>
            </w:r>
            <w:r w:rsidR="00761E04" w:rsidRPr="003E5020">
              <w:rPr>
                <w:rFonts w:ascii="Times New Roman" w:hAnsi="Times New Roman" w:cs="Times New Roman"/>
                <w:lang w:val="sr-Cyrl-RS"/>
              </w:rPr>
              <w:t xml:space="preserve">стандардизованих </w:t>
            </w:r>
            <w:r w:rsidR="008A5C0D" w:rsidRPr="003E5020">
              <w:rPr>
                <w:rFonts w:ascii="Times New Roman" w:hAnsi="Times New Roman" w:cs="Times New Roman"/>
                <w:lang w:val="sr-Cyrl-RS"/>
              </w:rPr>
              <w:t xml:space="preserve">описа </w:t>
            </w:r>
            <w:r w:rsidRPr="003E5020">
              <w:rPr>
                <w:rFonts w:ascii="Times New Roman" w:hAnsi="Times New Roman" w:cs="Times New Roman"/>
                <w:lang w:val="sr-Cyrl-RS"/>
              </w:rPr>
              <w:t>послова у правосуђу (каталог и класификација радних места са јасно дефинисаним и јединствен</w:t>
            </w:r>
            <w:r w:rsidR="008A5C0D" w:rsidRPr="003E5020">
              <w:rPr>
                <w:rFonts w:ascii="Times New Roman" w:hAnsi="Times New Roman" w:cs="Times New Roman"/>
                <w:lang w:val="sr-Cyrl-RS"/>
              </w:rPr>
              <w:t>о</w:t>
            </w:r>
            <w:r w:rsidRPr="003E5020">
              <w:rPr>
                <w:rFonts w:ascii="Times New Roman" w:hAnsi="Times New Roman" w:cs="Times New Roman"/>
                <w:lang w:val="sr-Cyrl-RS"/>
              </w:rPr>
              <w:t xml:space="preserve"> опис</w:t>
            </w:r>
            <w:r w:rsidR="008A5C0D" w:rsidRPr="003E5020">
              <w:rPr>
                <w:rFonts w:ascii="Times New Roman" w:hAnsi="Times New Roman" w:cs="Times New Roman"/>
                <w:lang w:val="sr-Cyrl-RS"/>
              </w:rPr>
              <w:t>аним</w:t>
            </w:r>
            <w:r w:rsidRPr="003E5020">
              <w:rPr>
                <w:rFonts w:ascii="Times New Roman" w:hAnsi="Times New Roman" w:cs="Times New Roman"/>
                <w:lang w:val="sr-Cyrl-RS"/>
              </w:rPr>
              <w:t xml:space="preserve"> </w:t>
            </w:r>
            <w:r w:rsidR="008A5C0D" w:rsidRPr="003E5020">
              <w:rPr>
                <w:rFonts w:ascii="Times New Roman" w:hAnsi="Times New Roman" w:cs="Times New Roman"/>
                <w:lang w:val="sr-Cyrl-RS"/>
              </w:rPr>
              <w:t>радним задацима</w:t>
            </w:r>
            <w:r w:rsidRPr="003E5020">
              <w:rPr>
                <w:rFonts w:ascii="Times New Roman" w:hAnsi="Times New Roman" w:cs="Times New Roman"/>
                <w:lang w:val="sr-Cyrl-RS"/>
              </w:rPr>
              <w:t>, потребним компетенцијама, итд).</w:t>
            </w:r>
          </w:p>
          <w:p w14:paraId="23FE0000" w14:textId="77777777"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Одлив кадрова због неадекватних услова за развој каријере и награђивања према учинку.</w:t>
            </w:r>
          </w:p>
          <w:p w14:paraId="1CD85D2C" w14:textId="4DA83D21" w:rsidR="00DF15D6" w:rsidRPr="003E5020" w:rsidRDefault="00C35C14" w:rsidP="00214404">
            <w:pPr>
              <w:numPr>
                <w:ilvl w:val="0"/>
                <w:numId w:val="31"/>
              </w:numPr>
              <w:spacing w:after="120"/>
              <w:contextualSpacing/>
              <w:rPr>
                <w:rFonts w:ascii="Times New Roman" w:hAnsi="Times New Roman" w:cs="Times New Roman"/>
                <w:lang w:val="sr-Cyrl-RS"/>
              </w:rPr>
            </w:pPr>
            <w:bookmarkStart w:id="4" w:name="_Hlk75013771"/>
            <w:r w:rsidRPr="003E5020">
              <w:rPr>
                <w:rFonts w:ascii="Times New Roman" w:hAnsi="Times New Roman" w:cs="Times New Roman"/>
                <w:lang w:val="sr-Cyrl-RS"/>
              </w:rPr>
              <w:t>Фактичко одлучивање о броју особља суд</w:t>
            </w:r>
            <w:r w:rsidR="00CF63F4" w:rsidRPr="003E5020">
              <w:rPr>
                <w:rFonts w:ascii="Times New Roman" w:hAnsi="Times New Roman" w:cs="Times New Roman"/>
                <w:lang w:val="sr-Cyrl-RS"/>
              </w:rPr>
              <w:t>ова и јавних</w:t>
            </w:r>
            <w:r w:rsidRPr="003E5020">
              <w:rPr>
                <w:rFonts w:ascii="Times New Roman" w:hAnsi="Times New Roman" w:cs="Times New Roman"/>
                <w:lang w:val="sr-Cyrl-RS"/>
              </w:rPr>
              <w:t xml:space="preserve"> тужилаштва </w:t>
            </w:r>
            <w:r w:rsidR="00DF15D6" w:rsidRPr="003E5020">
              <w:rPr>
                <w:rFonts w:ascii="Times New Roman" w:hAnsi="Times New Roman" w:cs="Times New Roman"/>
                <w:lang w:val="sr-Cyrl-RS"/>
              </w:rPr>
              <w:t>које се бави стручним пословима у вези са решавањем предмета (судијски и јавнотужилачки помоћници</w:t>
            </w:r>
            <w:r w:rsidRPr="003E5020">
              <w:rPr>
                <w:rFonts w:ascii="Times New Roman" w:hAnsi="Times New Roman" w:cs="Times New Roman"/>
                <w:lang w:val="sr-Cyrl-RS"/>
              </w:rPr>
              <w:t xml:space="preserve"> и приправници</w:t>
            </w:r>
            <w:r w:rsidR="00DF15D6" w:rsidRPr="003E5020">
              <w:rPr>
                <w:rFonts w:ascii="Times New Roman" w:hAnsi="Times New Roman" w:cs="Times New Roman"/>
                <w:lang w:val="sr-Cyrl-RS"/>
              </w:rPr>
              <w:t xml:space="preserve">) </w:t>
            </w:r>
            <w:r w:rsidR="00155B93" w:rsidRPr="003E5020">
              <w:rPr>
                <w:rFonts w:ascii="Times New Roman" w:hAnsi="Times New Roman" w:cs="Times New Roman"/>
                <w:lang w:val="sr-Cyrl-RS"/>
              </w:rPr>
              <w:t xml:space="preserve">као и о броју </w:t>
            </w:r>
            <w:r w:rsidR="00CF63F4" w:rsidRPr="003E5020">
              <w:rPr>
                <w:rFonts w:ascii="Times New Roman" w:hAnsi="Times New Roman" w:cs="Times New Roman"/>
                <w:lang w:val="sr-Cyrl-RS"/>
              </w:rPr>
              <w:t xml:space="preserve">судског/ тужилачког </w:t>
            </w:r>
            <w:r w:rsidR="00155B93" w:rsidRPr="003E5020">
              <w:rPr>
                <w:rFonts w:ascii="Times New Roman" w:hAnsi="Times New Roman" w:cs="Times New Roman"/>
                <w:lang w:val="sr-Cyrl-RS"/>
              </w:rPr>
              <w:t>особља који се баве пословима подршке судским</w:t>
            </w:r>
            <w:r w:rsidR="00214404" w:rsidRPr="003E5020">
              <w:rPr>
                <w:rFonts w:ascii="Times New Roman" w:hAnsi="Times New Roman" w:cs="Times New Roman"/>
                <w:lang w:val="sr-Cyrl-RS"/>
              </w:rPr>
              <w:t>/јавнотужилачким</w:t>
            </w:r>
            <w:r w:rsidR="00155B93" w:rsidRPr="003E5020">
              <w:rPr>
                <w:rFonts w:ascii="Times New Roman" w:hAnsi="Times New Roman" w:cs="Times New Roman"/>
                <w:lang w:val="sr-Latn-RS"/>
              </w:rPr>
              <w:t xml:space="preserve"> </w:t>
            </w:r>
            <w:r w:rsidR="00155B93" w:rsidRPr="003E5020">
              <w:rPr>
                <w:rFonts w:ascii="Times New Roman" w:hAnsi="Times New Roman" w:cs="Times New Roman"/>
                <w:lang w:val="sr-Cyrl-RS"/>
              </w:rPr>
              <w:t xml:space="preserve">главним  пословима  </w:t>
            </w:r>
            <w:r w:rsidR="00DF15D6" w:rsidRPr="003E5020">
              <w:rPr>
                <w:rFonts w:ascii="Times New Roman" w:hAnsi="Times New Roman" w:cs="Times New Roman"/>
                <w:lang w:val="sr-Cyrl-RS"/>
              </w:rPr>
              <w:t>је у надлежности Министарства правде</w:t>
            </w:r>
            <w:r w:rsidR="009F37FD" w:rsidRPr="003E5020">
              <w:rPr>
                <w:rFonts w:ascii="Times New Roman" w:hAnsi="Times New Roman" w:cs="Times New Roman"/>
                <w:lang w:val="sr-Cyrl-RS"/>
              </w:rPr>
              <w:t xml:space="preserve"> Републике Србије</w:t>
            </w:r>
            <w:r w:rsidRPr="003E5020">
              <w:rPr>
                <w:rFonts w:ascii="Times New Roman" w:hAnsi="Times New Roman" w:cs="Times New Roman"/>
                <w:lang w:val="sr-Cyrl-RS"/>
              </w:rPr>
              <w:t xml:space="preserve"> и Министарства финансија</w:t>
            </w:r>
            <w:r w:rsidR="00DE7FC8" w:rsidRPr="003E5020">
              <w:rPr>
                <w:rFonts w:ascii="Times New Roman" w:hAnsi="Times New Roman" w:cs="Times New Roman"/>
                <w:lang w:val="sr-Cyrl-RS"/>
              </w:rPr>
              <w:t xml:space="preserve"> Републике Србије</w:t>
            </w:r>
            <w:r w:rsidRPr="003E5020">
              <w:rPr>
                <w:rFonts w:ascii="Times New Roman" w:hAnsi="Times New Roman" w:cs="Times New Roman"/>
                <w:lang w:val="sr-Cyrl-RS"/>
              </w:rPr>
              <w:t xml:space="preserve">. </w:t>
            </w:r>
            <w:bookmarkEnd w:id="4"/>
          </w:p>
        </w:tc>
        <w:tc>
          <w:tcPr>
            <w:tcW w:w="5670" w:type="dxa"/>
          </w:tcPr>
          <w:p w14:paraId="337B1D61" w14:textId="150AA5E1" w:rsidR="00DF15D6" w:rsidRPr="003E5020" w:rsidRDefault="00DF15D6" w:rsidP="00143190">
            <w:pPr>
              <w:numPr>
                <w:ilvl w:val="0"/>
                <w:numId w:val="31"/>
              </w:numPr>
              <w:spacing w:after="120"/>
              <w:contextualSpacing/>
              <w:rPr>
                <w:rFonts w:ascii="Times New Roman" w:hAnsi="Times New Roman" w:cs="Times New Roman"/>
                <w:lang w:val="sr-Cyrl-RS"/>
              </w:rPr>
            </w:pPr>
            <w:r w:rsidRPr="003E5020">
              <w:rPr>
                <w:rFonts w:ascii="Times New Roman" w:hAnsi="Times New Roman" w:cs="Times New Roman"/>
                <w:lang w:val="sr-Cyrl-RS"/>
              </w:rPr>
              <w:t>Немогућност успостављања стратешког планирања људских ресурса у правосуђу и наставка започетих развојних процеса, што ће у крајњем исходу резултовати наступањем последица у тачки 1 табеле.</w:t>
            </w:r>
            <w:r w:rsidR="0017506E" w:rsidRPr="003E5020">
              <w:rPr>
                <w:rFonts w:ascii="Times New Roman" w:hAnsi="Times New Roman" w:cs="Times New Roman"/>
                <w:lang w:val="sr-Cyrl-RS"/>
              </w:rPr>
              <w:t xml:space="preserve"> </w:t>
            </w:r>
          </w:p>
          <w:p w14:paraId="1522D527" w14:textId="77777777" w:rsidR="00DF15D6" w:rsidRPr="003E5020" w:rsidRDefault="00DF15D6" w:rsidP="004D0771">
            <w:pPr>
              <w:spacing w:after="120"/>
              <w:rPr>
                <w:rFonts w:ascii="Times New Roman" w:hAnsi="Times New Roman" w:cs="Times New Roman"/>
                <w:lang w:val="sr-Cyrl-RS"/>
              </w:rPr>
            </w:pPr>
          </w:p>
        </w:tc>
      </w:tr>
      <w:tr w:rsidR="003E5020" w:rsidRPr="003E5020" w14:paraId="3BAF73EB" w14:textId="77777777" w:rsidTr="00096F5E">
        <w:trPr>
          <w:trHeight w:val="1421"/>
          <w:jc w:val="center"/>
        </w:trPr>
        <w:tc>
          <w:tcPr>
            <w:tcW w:w="1170" w:type="dxa"/>
          </w:tcPr>
          <w:p w14:paraId="6D4C1A08" w14:textId="77777777" w:rsidR="00DF15D6" w:rsidRPr="003E5020" w:rsidRDefault="00DF15D6" w:rsidP="00143190">
            <w:pPr>
              <w:numPr>
                <w:ilvl w:val="0"/>
                <w:numId w:val="29"/>
              </w:numPr>
              <w:spacing w:after="120"/>
              <w:ind w:left="720"/>
              <w:contextualSpacing/>
              <w:jc w:val="center"/>
              <w:rPr>
                <w:rFonts w:ascii="Times New Roman" w:hAnsi="Times New Roman" w:cs="Times New Roman"/>
                <w:b/>
                <w:lang w:val="sr-Cyrl-RS"/>
              </w:rPr>
            </w:pPr>
          </w:p>
        </w:tc>
        <w:tc>
          <w:tcPr>
            <w:tcW w:w="3330" w:type="dxa"/>
          </w:tcPr>
          <w:p w14:paraId="204FEED4" w14:textId="1E495F17" w:rsidR="003E695C" w:rsidRPr="003E5020" w:rsidRDefault="003E695C" w:rsidP="000C45AD">
            <w:pPr>
              <w:spacing w:after="120"/>
              <w:rPr>
                <w:rFonts w:ascii="Times New Roman" w:hAnsi="Times New Roman" w:cs="Times New Roman"/>
                <w:b/>
                <w:lang w:val="sr-Cyrl-RS"/>
              </w:rPr>
            </w:pPr>
            <w:r w:rsidRPr="003E5020">
              <w:rPr>
                <w:rFonts w:ascii="Times New Roman" w:hAnsi="Times New Roman" w:cs="Times New Roman"/>
                <w:b/>
                <w:lang w:val="sr-Cyrl-RS"/>
              </w:rPr>
              <w:t xml:space="preserve">Парцијална и недовољна примена кључних елемената за планирање судског буџета </w:t>
            </w:r>
          </w:p>
          <w:p w14:paraId="1B8F9A06" w14:textId="494773C3" w:rsidR="00DF15D6" w:rsidRPr="003E5020" w:rsidRDefault="00DF15D6" w:rsidP="000C45AD">
            <w:pPr>
              <w:spacing w:after="120"/>
              <w:rPr>
                <w:rFonts w:ascii="Times New Roman" w:hAnsi="Times New Roman" w:cs="Times New Roman"/>
                <w:b/>
                <w:lang w:val="sr-Cyrl-RS"/>
              </w:rPr>
            </w:pPr>
          </w:p>
        </w:tc>
        <w:tc>
          <w:tcPr>
            <w:tcW w:w="4500" w:type="dxa"/>
          </w:tcPr>
          <w:p w14:paraId="6F14880E" w14:textId="2F0100CD" w:rsidR="00DF15D6" w:rsidRPr="003E5020" w:rsidRDefault="00581A75" w:rsidP="00BE6E61">
            <w:pPr>
              <w:numPr>
                <w:ilvl w:val="0"/>
                <w:numId w:val="34"/>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Неодговарајућа сарадња </w:t>
            </w:r>
            <w:r w:rsidR="003E695C" w:rsidRPr="003E5020">
              <w:rPr>
                <w:rFonts w:ascii="Times New Roman" w:hAnsi="Times New Roman" w:cs="Times New Roman"/>
                <w:lang w:val="sr-Cyrl-RS"/>
              </w:rPr>
              <w:t xml:space="preserve">у планирању ресурса и дефинисању </w:t>
            </w:r>
            <w:r w:rsidR="00DF15D6" w:rsidRPr="003E5020">
              <w:rPr>
                <w:rFonts w:ascii="Times New Roman" w:hAnsi="Times New Roman" w:cs="Times New Roman"/>
                <w:lang w:val="sr-Cyrl-RS"/>
              </w:rPr>
              <w:t xml:space="preserve">јединствених програмско буџетских елемената за планирање укупно потребних ресурса у правосуђу по врстама, броју и структури, које се управо на најосетљивијем сегменту правосуђа - људским ресурсима раздваја у два правца и компликује. Недостаје јединствено и усклађено програмско планирање свих, па и буџетских ресурса правосуђа, које би било засновано на планираном учинку правосуђа по обиму и структури (број решених судских предмета), као основу за планирање броја и структуре људских ресурса, за које се обезбеђују средства у правосудном буџету. </w:t>
            </w:r>
          </w:p>
        </w:tc>
        <w:tc>
          <w:tcPr>
            <w:tcW w:w="5670" w:type="dxa"/>
          </w:tcPr>
          <w:p w14:paraId="01B483EA" w14:textId="647FDCFC" w:rsidR="00DF15D6" w:rsidRPr="003E5020" w:rsidRDefault="00DF15D6" w:rsidP="00143190">
            <w:pPr>
              <w:numPr>
                <w:ilvl w:val="0"/>
                <w:numId w:val="34"/>
              </w:numPr>
              <w:spacing w:after="120"/>
              <w:contextualSpacing/>
              <w:rPr>
                <w:rFonts w:ascii="Times New Roman" w:hAnsi="Times New Roman" w:cs="Times New Roman"/>
                <w:lang w:val="sr-Cyrl-RS"/>
              </w:rPr>
            </w:pPr>
            <w:r w:rsidRPr="003E5020">
              <w:rPr>
                <w:rFonts w:ascii="Times New Roman" w:hAnsi="Times New Roman" w:cs="Times New Roman"/>
                <w:lang w:val="sr-Cyrl-RS"/>
              </w:rPr>
              <w:t>Немогућност усклађеног</w:t>
            </w:r>
            <w:r w:rsidRPr="003E5020">
              <w:rPr>
                <w:rFonts w:ascii="Times New Roman" w:hAnsi="Times New Roman" w:cs="Times New Roman"/>
                <w:lang w:val="sr-Latn-RS"/>
              </w:rPr>
              <w:t xml:space="preserve"> </w:t>
            </w:r>
            <w:r w:rsidRPr="003E5020">
              <w:rPr>
                <w:rFonts w:ascii="Times New Roman" w:hAnsi="Times New Roman" w:cs="Times New Roman"/>
                <w:lang w:val="sr-Cyrl-RS"/>
              </w:rPr>
              <w:t>планирања  јединственог обима и структуре људских ресурса потребних за ефикасан рад правосуђа.</w:t>
            </w:r>
          </w:p>
          <w:p w14:paraId="0535612F" w14:textId="77777777" w:rsidR="00DF15D6" w:rsidRPr="003E5020" w:rsidRDefault="00DF15D6" w:rsidP="004D0771">
            <w:pPr>
              <w:spacing w:after="120"/>
              <w:ind w:left="268"/>
              <w:contextualSpacing/>
              <w:rPr>
                <w:rFonts w:ascii="Times New Roman" w:hAnsi="Times New Roman" w:cs="Times New Roman"/>
                <w:lang w:val="sr-Cyrl-RS"/>
              </w:rPr>
            </w:pPr>
          </w:p>
          <w:p w14:paraId="6BDDEBE4" w14:textId="77777777" w:rsidR="00DF15D6" w:rsidRPr="003E5020" w:rsidRDefault="00DF15D6" w:rsidP="004D0771">
            <w:pPr>
              <w:spacing w:after="120"/>
              <w:rPr>
                <w:rFonts w:ascii="Times New Roman" w:hAnsi="Times New Roman" w:cs="Times New Roman"/>
                <w:lang w:val="sr-Cyrl-RS"/>
              </w:rPr>
            </w:pPr>
          </w:p>
        </w:tc>
      </w:tr>
      <w:tr w:rsidR="003E5020" w:rsidRPr="003E5020" w14:paraId="7FD97DF3" w14:textId="77777777" w:rsidTr="00096F5E">
        <w:trPr>
          <w:jc w:val="center"/>
        </w:trPr>
        <w:tc>
          <w:tcPr>
            <w:tcW w:w="1170" w:type="dxa"/>
          </w:tcPr>
          <w:p w14:paraId="54FED0DE" w14:textId="778BC128"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4E9FADF6" w14:textId="15D4FF13" w:rsidR="00DF15D6" w:rsidRPr="003E5020" w:rsidRDefault="00B43894" w:rsidP="00B43894">
            <w:pPr>
              <w:spacing w:after="120"/>
              <w:rPr>
                <w:rFonts w:ascii="Times New Roman" w:hAnsi="Times New Roman" w:cs="Times New Roman"/>
                <w:b/>
                <w:lang w:val="sr-Cyrl-RS"/>
              </w:rPr>
            </w:pPr>
            <w:r w:rsidRPr="003E5020">
              <w:rPr>
                <w:rFonts w:ascii="Times New Roman" w:hAnsi="Times New Roman" w:cs="Times New Roman"/>
                <w:b/>
                <w:lang w:val="sr-Cyrl-RS"/>
              </w:rPr>
              <w:t>Неодговарујаћа уск</w:t>
            </w:r>
            <w:r w:rsidR="00C656F5" w:rsidRPr="003E5020">
              <w:rPr>
                <w:rFonts w:ascii="Times New Roman" w:hAnsi="Times New Roman" w:cs="Times New Roman"/>
                <w:b/>
                <w:lang w:val="sr-Cyrl-RS"/>
              </w:rPr>
              <w:t>л</w:t>
            </w:r>
            <w:r w:rsidRPr="003E5020">
              <w:rPr>
                <w:rFonts w:ascii="Times New Roman" w:hAnsi="Times New Roman" w:cs="Times New Roman"/>
                <w:b/>
                <w:lang w:val="sr-Cyrl-RS"/>
              </w:rPr>
              <w:t xml:space="preserve">ађеност броја судија са обимом и структуром њиховог радног оптерећења </w:t>
            </w:r>
          </w:p>
        </w:tc>
        <w:tc>
          <w:tcPr>
            <w:tcW w:w="4500" w:type="dxa"/>
          </w:tcPr>
          <w:p w14:paraId="358E1AA0" w14:textId="20959A56" w:rsidR="00DF15D6" w:rsidRPr="003E5020" w:rsidRDefault="00DF15D6" w:rsidP="00143190">
            <w:pPr>
              <w:pStyle w:val="ListParagraph"/>
              <w:numPr>
                <w:ilvl w:val="0"/>
                <w:numId w:val="37"/>
              </w:numPr>
              <w:spacing w:after="120"/>
              <w:rPr>
                <w:rFonts w:ascii="Times New Roman" w:hAnsi="Times New Roman" w:cs="Times New Roman"/>
                <w:lang w:val="sr-Cyrl-RS"/>
              </w:rPr>
            </w:pPr>
            <w:r w:rsidRPr="003E5020">
              <w:rPr>
                <w:rFonts w:ascii="Times New Roman" w:hAnsi="Times New Roman" w:cs="Times New Roman"/>
                <w:lang w:val="sr-Cyrl-RS"/>
              </w:rPr>
              <w:t xml:space="preserve">У </w:t>
            </w:r>
            <w:r w:rsidRPr="003E5020">
              <w:rPr>
                <w:rFonts w:ascii="Times New Roman" w:hAnsi="Times New Roman" w:cs="Times New Roman"/>
                <w:lang w:val="sr-Latn-RS"/>
              </w:rPr>
              <w:t xml:space="preserve">2020. </w:t>
            </w:r>
            <w:r w:rsidRPr="003E5020">
              <w:rPr>
                <w:rFonts w:ascii="Times New Roman" w:hAnsi="Times New Roman" w:cs="Times New Roman"/>
                <w:lang w:val="sr-Cyrl-RS"/>
              </w:rPr>
              <w:t>години, у судовима у Републици Србији</w:t>
            </w:r>
            <w:r w:rsidR="00E40AF2" w:rsidRPr="003E5020">
              <w:rPr>
                <w:rFonts w:ascii="Times New Roman" w:hAnsi="Times New Roman" w:cs="Times New Roman"/>
                <w:lang w:val="sr-Latn-RS"/>
              </w:rPr>
              <w:t>,</w:t>
            </w:r>
            <w:r w:rsidRPr="003E5020">
              <w:rPr>
                <w:rFonts w:ascii="Times New Roman" w:hAnsi="Times New Roman" w:cs="Times New Roman"/>
                <w:lang w:val="sr-Cyrl-RS"/>
              </w:rPr>
              <w:t xml:space="preserve"> од укупног броја од 3.038 судијских места, попуњено је 2.652, односно укупно 386 судијских места је упражњено.</w:t>
            </w:r>
            <w:r w:rsidR="00B43894" w:rsidRPr="003E5020">
              <w:rPr>
                <w:rFonts w:ascii="Times New Roman" w:hAnsi="Times New Roman" w:cs="Times New Roman"/>
                <w:lang w:val="sr-Cyrl-RS"/>
              </w:rPr>
              <w:t xml:space="preserve"> </w:t>
            </w:r>
          </w:p>
          <w:p w14:paraId="27A02A2B" w14:textId="43E8B8EE" w:rsidR="00DF15D6" w:rsidRPr="003E5020" w:rsidRDefault="009B035F" w:rsidP="00143190">
            <w:pPr>
              <w:pStyle w:val="ListParagraph"/>
              <w:numPr>
                <w:ilvl w:val="0"/>
                <w:numId w:val="37"/>
              </w:numPr>
              <w:spacing w:after="120"/>
              <w:rPr>
                <w:rFonts w:ascii="Times New Roman" w:hAnsi="Times New Roman" w:cs="Times New Roman"/>
                <w:lang w:val="sr-Cyrl-RS"/>
              </w:rPr>
            </w:pPr>
            <w:r w:rsidRPr="003E5020">
              <w:rPr>
                <w:rFonts w:ascii="Times New Roman" w:hAnsi="Times New Roman" w:cs="Times New Roman"/>
                <w:lang w:val="sr-Cyrl-RS"/>
              </w:rPr>
              <w:t xml:space="preserve">Непопуњеност судијских места </w:t>
            </w:r>
            <w:r w:rsidR="00DF15D6" w:rsidRPr="003E5020">
              <w:rPr>
                <w:rFonts w:ascii="Times New Roman" w:hAnsi="Times New Roman" w:cs="Times New Roman"/>
                <w:lang w:val="sr-Cyrl-RS"/>
              </w:rPr>
              <w:t>препознат</w:t>
            </w:r>
            <w:r w:rsidR="00CE4E4C" w:rsidRPr="003E5020">
              <w:rPr>
                <w:rFonts w:ascii="Times New Roman" w:hAnsi="Times New Roman" w:cs="Times New Roman"/>
                <w:lang w:val="sr-Latn-RS"/>
              </w:rPr>
              <w:t>a</w:t>
            </w:r>
            <w:r w:rsidR="00DF15D6" w:rsidRPr="003E5020">
              <w:rPr>
                <w:rFonts w:ascii="Times New Roman" w:hAnsi="Times New Roman" w:cs="Times New Roman"/>
                <w:lang w:val="sr-Cyrl-RS"/>
              </w:rPr>
              <w:t xml:space="preserve"> је као један од разлога за дуго трајање судских поступка</w:t>
            </w:r>
            <w:r w:rsidR="001F6FDE" w:rsidRPr="003E5020">
              <w:rPr>
                <w:rFonts w:ascii="Times New Roman" w:hAnsi="Times New Roman" w:cs="Times New Roman"/>
                <w:lang w:val="sr-Cyrl-RS"/>
              </w:rPr>
              <w:t>.</w:t>
            </w:r>
            <w:r w:rsidR="00DF15D6" w:rsidRPr="003E5020">
              <w:rPr>
                <w:rFonts w:ascii="Times New Roman" w:hAnsi="Times New Roman" w:cs="Times New Roman"/>
                <w:lang w:val="sr-Cyrl-RS"/>
              </w:rPr>
              <w:t xml:space="preserve"> </w:t>
            </w:r>
          </w:p>
          <w:p w14:paraId="467E7662" w14:textId="520B5AA7" w:rsidR="00DF15D6" w:rsidRPr="003E5020" w:rsidRDefault="00DF15D6" w:rsidP="00143190">
            <w:pPr>
              <w:pStyle w:val="ListParagraph"/>
              <w:numPr>
                <w:ilvl w:val="0"/>
                <w:numId w:val="37"/>
              </w:numPr>
              <w:spacing w:after="120"/>
              <w:rPr>
                <w:rFonts w:ascii="Times New Roman" w:hAnsi="Times New Roman" w:cs="Times New Roman"/>
                <w:lang w:val="sr-Cyrl-RS"/>
              </w:rPr>
            </w:pPr>
            <w:r w:rsidRPr="003E5020">
              <w:rPr>
                <w:rFonts w:ascii="Times New Roman" w:hAnsi="Times New Roman" w:cs="Times New Roman"/>
                <w:lang w:val="sr-Cyrl-RS"/>
              </w:rPr>
              <w:t xml:space="preserve">Проблем </w:t>
            </w:r>
            <w:r w:rsidR="00387A54" w:rsidRPr="003E5020">
              <w:rPr>
                <w:rFonts w:ascii="Times New Roman" w:hAnsi="Times New Roman" w:cs="Times New Roman"/>
                <w:lang w:val="sr-Cyrl-RS"/>
              </w:rPr>
              <w:t xml:space="preserve">непопуњености </w:t>
            </w:r>
            <w:r w:rsidRPr="003E5020">
              <w:rPr>
                <w:rFonts w:ascii="Times New Roman" w:hAnsi="Times New Roman" w:cs="Times New Roman"/>
                <w:lang w:val="sr-Cyrl-RS"/>
              </w:rPr>
              <w:t>судијск</w:t>
            </w:r>
            <w:r w:rsidR="00387A54" w:rsidRPr="003E5020">
              <w:rPr>
                <w:rFonts w:ascii="Times New Roman" w:hAnsi="Times New Roman" w:cs="Times New Roman"/>
                <w:lang w:val="sr-Cyrl-RS"/>
              </w:rPr>
              <w:t>ог</w:t>
            </w:r>
            <w:r w:rsidRPr="003E5020">
              <w:rPr>
                <w:rFonts w:ascii="Times New Roman" w:hAnsi="Times New Roman" w:cs="Times New Roman"/>
                <w:lang w:val="sr-Cyrl-RS"/>
              </w:rPr>
              <w:t xml:space="preserve"> кадра негативно се одражава како на број и структуру расположивог судског особља, тако и на дужину трајања поступака.</w:t>
            </w:r>
          </w:p>
          <w:p w14:paraId="49F45633" w14:textId="18A18A7E" w:rsidR="00DF15D6" w:rsidRPr="003E5020" w:rsidRDefault="00DF15D6" w:rsidP="00143190">
            <w:pPr>
              <w:numPr>
                <w:ilvl w:val="0"/>
                <w:numId w:val="37"/>
              </w:numPr>
              <w:spacing w:after="120"/>
              <w:contextualSpacing/>
              <w:rPr>
                <w:rFonts w:ascii="Times New Roman" w:hAnsi="Times New Roman" w:cs="Times New Roman"/>
                <w:lang w:val="sr-Cyrl-RS"/>
              </w:rPr>
            </w:pPr>
            <w:r w:rsidRPr="003E5020">
              <w:rPr>
                <w:rFonts w:ascii="Times New Roman" w:hAnsi="Times New Roman" w:cs="Times New Roman"/>
                <w:lang w:val="sr-Cyrl-RS"/>
              </w:rPr>
              <w:t>Постојећи систем вредновања рада судија не препознаје повезаност уједначеног оптерећења судија у односу на сложеност предмета, стваран утрошак времена за решавање предмета у зависности од њихове сложености, додатна стручна усавршавања и обуке.</w:t>
            </w:r>
          </w:p>
          <w:p w14:paraId="3D9BB087" w14:textId="77777777" w:rsidR="00DF15D6" w:rsidRPr="003E5020" w:rsidRDefault="00DF15D6" w:rsidP="00143190">
            <w:pPr>
              <w:numPr>
                <w:ilvl w:val="0"/>
                <w:numId w:val="37"/>
              </w:numPr>
              <w:spacing w:after="120"/>
              <w:contextualSpacing/>
              <w:rPr>
                <w:rFonts w:ascii="Times New Roman" w:hAnsi="Times New Roman" w:cs="Times New Roman"/>
                <w:lang w:val="sr-Cyrl-RS"/>
              </w:rPr>
            </w:pPr>
            <w:r w:rsidRPr="003E5020">
              <w:rPr>
                <w:rFonts w:ascii="Times New Roman" w:hAnsi="Times New Roman" w:cs="Times New Roman"/>
                <w:lang w:val="sr-Cyrl-RS"/>
              </w:rPr>
              <w:t>Непостојање свеобухватне анализе потреба за обуком (ТНА) и на њој заснованих релевантних садржаја програма и планова обука свих судија.</w:t>
            </w:r>
          </w:p>
        </w:tc>
        <w:tc>
          <w:tcPr>
            <w:tcW w:w="5670" w:type="dxa"/>
          </w:tcPr>
          <w:p w14:paraId="18D00842" w14:textId="79909698" w:rsidR="00DF15D6" w:rsidRPr="003E5020" w:rsidRDefault="00DF15D6" w:rsidP="005A06F1">
            <w:pPr>
              <w:numPr>
                <w:ilvl w:val="0"/>
                <w:numId w:val="37"/>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Немогућност судова да решавају предмете у разумном року, као и </w:t>
            </w:r>
            <w:r w:rsidR="005A06F1" w:rsidRPr="003E5020">
              <w:rPr>
                <w:rFonts w:ascii="Times New Roman" w:hAnsi="Times New Roman" w:cs="Times New Roman"/>
                <w:lang w:val="sr-Cyrl-RS"/>
              </w:rPr>
              <w:t>опадање квалитет</w:t>
            </w:r>
            <w:r w:rsidR="00CE4E4C" w:rsidRPr="003E5020">
              <w:rPr>
                <w:rFonts w:ascii="Times New Roman" w:hAnsi="Times New Roman" w:cs="Times New Roman"/>
                <w:lang w:val="sr-Cyrl-RS"/>
              </w:rPr>
              <w:t>а</w:t>
            </w:r>
            <w:r w:rsidR="005A06F1" w:rsidRPr="003E5020">
              <w:rPr>
                <w:rFonts w:ascii="Times New Roman" w:hAnsi="Times New Roman" w:cs="Times New Roman"/>
                <w:lang w:val="sr-Cyrl-RS"/>
              </w:rPr>
              <w:t xml:space="preserve"> рада</w:t>
            </w:r>
            <w:r w:rsidRPr="003E5020">
              <w:rPr>
                <w:rFonts w:ascii="Times New Roman" w:hAnsi="Times New Roman" w:cs="Times New Roman"/>
                <w:lang w:val="sr-Cyrl-RS"/>
              </w:rPr>
              <w:t xml:space="preserve"> </w:t>
            </w:r>
            <w:r w:rsidR="005A06F1" w:rsidRPr="003E5020">
              <w:rPr>
                <w:rFonts w:ascii="Times New Roman" w:hAnsi="Times New Roman" w:cs="Times New Roman"/>
                <w:lang w:val="sr-Cyrl-RS"/>
              </w:rPr>
              <w:t>судова</w:t>
            </w:r>
            <w:r w:rsidRPr="003E5020">
              <w:rPr>
                <w:rFonts w:ascii="Times New Roman" w:hAnsi="Times New Roman" w:cs="Times New Roman"/>
                <w:lang w:val="sr-Cyrl-RS"/>
              </w:rPr>
              <w:t>, а тиме и свеукупно урушавање поверења јавности у рад правосуђа и угледа судова и судијске функције.</w:t>
            </w:r>
          </w:p>
        </w:tc>
      </w:tr>
      <w:tr w:rsidR="003E5020" w:rsidRPr="003E5020" w14:paraId="191EF2DE" w14:textId="77777777" w:rsidTr="00096F5E">
        <w:trPr>
          <w:jc w:val="center"/>
        </w:trPr>
        <w:tc>
          <w:tcPr>
            <w:tcW w:w="1170" w:type="dxa"/>
          </w:tcPr>
          <w:p w14:paraId="55C1D966" w14:textId="1325645E"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08BDFD4B" w14:textId="77777777" w:rsidR="00DF15D6" w:rsidRPr="003E5020" w:rsidRDefault="00DF15D6" w:rsidP="004D0771">
            <w:pPr>
              <w:spacing w:after="120"/>
              <w:rPr>
                <w:rFonts w:ascii="Times New Roman" w:hAnsi="Times New Roman" w:cs="Times New Roman"/>
                <w:b/>
                <w:highlight w:val="yellow"/>
                <w:lang w:val="sr-Cyrl-RS"/>
              </w:rPr>
            </w:pPr>
            <w:r w:rsidRPr="003E5020">
              <w:rPr>
                <w:rFonts w:ascii="Times New Roman" w:hAnsi="Times New Roman" w:cs="Times New Roman"/>
                <w:b/>
                <w:lang w:val="sr-Cyrl-RS"/>
              </w:rPr>
              <w:t xml:space="preserve">Неадекватан статус и положај судијских помоћника </w:t>
            </w:r>
          </w:p>
        </w:tc>
        <w:tc>
          <w:tcPr>
            <w:tcW w:w="4500" w:type="dxa"/>
          </w:tcPr>
          <w:p w14:paraId="7BAAD48C" w14:textId="26681F56" w:rsidR="00DF15D6" w:rsidRPr="003E5020" w:rsidRDefault="00DF15D6" w:rsidP="00143190">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Неадекватан </w:t>
            </w:r>
            <w:r w:rsidR="0099243E" w:rsidRPr="003E5020">
              <w:rPr>
                <w:rFonts w:ascii="Times New Roman" w:hAnsi="Times New Roman" w:cs="Times New Roman"/>
                <w:lang w:val="sr-Cyrl-RS"/>
              </w:rPr>
              <w:t>правни</w:t>
            </w:r>
            <w:r w:rsidRPr="003E5020">
              <w:rPr>
                <w:rFonts w:ascii="Times New Roman" w:hAnsi="Times New Roman" w:cs="Times New Roman"/>
                <w:lang w:val="sr-Cyrl-RS"/>
              </w:rPr>
              <w:t xml:space="preserve"> оквир за статус и положај судијских помоћника, односно њихово изједначавање у звањима са државним службеницима у државној управи, упркос томе што они не обављају послове државне управе, већ специфичне стручне послове у вези са решавањем судских предмета.</w:t>
            </w:r>
          </w:p>
          <w:p w14:paraId="63A908CD" w14:textId="1E81A66B" w:rsidR="00DF15D6" w:rsidRPr="003E5020" w:rsidRDefault="00DF15D6" w:rsidP="00143190">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Непостојање адекватног </w:t>
            </w:r>
            <w:r w:rsidR="00AD4ECA" w:rsidRPr="003E5020">
              <w:rPr>
                <w:rFonts w:ascii="Times New Roman" w:hAnsi="Times New Roman" w:cs="Times New Roman"/>
                <w:lang w:val="sr-Cyrl-RS"/>
              </w:rPr>
              <w:t>правн</w:t>
            </w:r>
            <w:r w:rsidR="001F2980" w:rsidRPr="003E5020">
              <w:rPr>
                <w:rFonts w:ascii="Times New Roman" w:hAnsi="Times New Roman" w:cs="Times New Roman"/>
                <w:lang w:val="sr-Cyrl-RS"/>
              </w:rPr>
              <w:t>ог</w:t>
            </w:r>
            <w:r w:rsidR="00AD4ECA" w:rsidRPr="003E5020">
              <w:rPr>
                <w:rFonts w:ascii="Times New Roman" w:hAnsi="Times New Roman" w:cs="Times New Roman"/>
                <w:lang w:val="sr-Cyrl-RS"/>
              </w:rPr>
              <w:t xml:space="preserve"> </w:t>
            </w:r>
            <w:r w:rsidRPr="003E5020">
              <w:rPr>
                <w:rFonts w:ascii="Times New Roman" w:hAnsi="Times New Roman" w:cs="Times New Roman"/>
                <w:lang w:val="sr-Cyrl-RS"/>
              </w:rPr>
              <w:t xml:space="preserve">оквира који би омогућио извесност и стабилност каријерног развоја судијских помоћника у </w:t>
            </w:r>
            <w:r w:rsidR="001F2980" w:rsidRPr="003E5020">
              <w:rPr>
                <w:rFonts w:ascii="Times New Roman" w:hAnsi="Times New Roman" w:cs="Times New Roman"/>
                <w:lang w:val="sr-Cyrl-RS"/>
              </w:rPr>
              <w:t>оквирима законом прописаних звања</w:t>
            </w:r>
            <w:r w:rsidRPr="003E5020">
              <w:rPr>
                <w:rFonts w:ascii="Times New Roman" w:hAnsi="Times New Roman" w:cs="Times New Roman"/>
                <w:lang w:val="sr-Cyrl-RS"/>
              </w:rPr>
              <w:t>, са реалном оценом учинка, а тиме и могућности за адекватно напредовање, материјални положај, награђивање и стручно усавршавање.</w:t>
            </w:r>
          </w:p>
          <w:p w14:paraId="4A10D90E" w14:textId="46379749" w:rsidR="00F83F59" w:rsidRPr="003E5020" w:rsidRDefault="00F83F59" w:rsidP="00F83F59">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Неусаглашеност мерила за вредновање рада судија и оцену рада судијских помоћника. </w:t>
            </w:r>
          </w:p>
          <w:p w14:paraId="76884617" w14:textId="48B73CB5" w:rsidR="00DF15D6" w:rsidRPr="003E5020" w:rsidRDefault="001F2980" w:rsidP="00C67073">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Одобр</w:t>
            </w:r>
            <w:r w:rsidR="00C67073" w:rsidRPr="003E5020">
              <w:rPr>
                <w:rFonts w:ascii="Times New Roman" w:hAnsi="Times New Roman" w:cs="Times New Roman"/>
                <w:lang w:val="sr-Cyrl-RS"/>
              </w:rPr>
              <w:t>е</w:t>
            </w:r>
            <w:r w:rsidRPr="003E5020">
              <w:rPr>
                <w:rFonts w:ascii="Times New Roman" w:hAnsi="Times New Roman" w:cs="Times New Roman"/>
                <w:lang w:val="sr-Cyrl-RS"/>
              </w:rPr>
              <w:t>н број суд</w:t>
            </w:r>
            <w:r w:rsidR="00587FED" w:rsidRPr="003E5020">
              <w:rPr>
                <w:rFonts w:ascii="Times New Roman" w:hAnsi="Times New Roman" w:cs="Times New Roman"/>
                <w:lang w:val="sr-Cyrl-RS"/>
              </w:rPr>
              <w:t>иј</w:t>
            </w:r>
            <w:r w:rsidRPr="003E5020">
              <w:rPr>
                <w:rFonts w:ascii="Times New Roman" w:hAnsi="Times New Roman" w:cs="Times New Roman"/>
                <w:lang w:val="sr-Cyrl-RS"/>
              </w:rPr>
              <w:t xml:space="preserve">ских помоћника </w:t>
            </w:r>
            <w:r w:rsidR="00C67073" w:rsidRPr="003E5020">
              <w:rPr>
                <w:rFonts w:ascii="Times New Roman" w:hAnsi="Times New Roman" w:cs="Times New Roman"/>
                <w:lang w:val="sr-Cyrl-RS"/>
              </w:rPr>
              <w:t>у радном односу не одговара стварним потребама.</w:t>
            </w:r>
          </w:p>
          <w:p w14:paraId="61D9EA27" w14:textId="77777777" w:rsidR="00DF15D6" w:rsidRPr="003E5020" w:rsidRDefault="00DF15D6" w:rsidP="00143190">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Недовољан број судијских помоћника препознат је као један од разлога за дуго трајање судских поступка, а посебно у основним и вишим судовима.</w:t>
            </w:r>
          </w:p>
          <w:p w14:paraId="3513D8D1" w14:textId="28C2CD3B" w:rsidR="00DF15D6" w:rsidRPr="003E5020" w:rsidRDefault="00DF15D6" w:rsidP="00F56643">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Постојећи систем </w:t>
            </w:r>
            <w:r w:rsidR="00F56643" w:rsidRPr="003E5020">
              <w:rPr>
                <w:rFonts w:ascii="Times New Roman" w:hAnsi="Times New Roman" w:cs="Times New Roman"/>
                <w:lang w:val="sr-Cyrl-RS"/>
              </w:rPr>
              <w:t xml:space="preserve">оцењивања </w:t>
            </w:r>
            <w:r w:rsidRPr="003E5020">
              <w:rPr>
                <w:rFonts w:ascii="Times New Roman" w:hAnsi="Times New Roman" w:cs="Times New Roman"/>
                <w:lang w:val="sr-Cyrl-RS"/>
              </w:rPr>
              <w:t xml:space="preserve">рада судијских помоћника не препознаје повезаност уједначеног оптерећења предметима различите сложености, посебна знања и  вештине и личну иницијативу. </w:t>
            </w:r>
          </w:p>
          <w:p w14:paraId="7FF8C35D" w14:textId="03ECBAEE" w:rsidR="00DC29CA" w:rsidRPr="003E5020" w:rsidRDefault="00DC29CA" w:rsidP="00F56643">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Неадекват</w:t>
            </w:r>
            <w:r w:rsidR="001A080F" w:rsidRPr="003E5020">
              <w:rPr>
                <w:rFonts w:ascii="Times New Roman" w:hAnsi="Times New Roman" w:cs="Times New Roman"/>
                <w:lang w:val="sr-Cyrl-RS"/>
              </w:rPr>
              <w:t>н</w:t>
            </w:r>
            <w:r w:rsidRPr="003E5020">
              <w:rPr>
                <w:rFonts w:ascii="Times New Roman" w:hAnsi="Times New Roman" w:cs="Times New Roman"/>
                <w:lang w:val="sr-Cyrl-RS"/>
              </w:rPr>
              <w:t xml:space="preserve">а примена </w:t>
            </w:r>
            <w:r w:rsidR="001A080F" w:rsidRPr="003E5020">
              <w:rPr>
                <w:rFonts w:ascii="Times New Roman" w:hAnsi="Times New Roman" w:cs="Times New Roman"/>
                <w:lang w:val="sr-Cyrl-RS"/>
              </w:rPr>
              <w:t>п</w:t>
            </w:r>
            <w:r w:rsidRPr="003E5020">
              <w:rPr>
                <w:rFonts w:ascii="Times New Roman" w:hAnsi="Times New Roman" w:cs="Times New Roman"/>
                <w:lang w:val="sr-Cyrl-RS"/>
              </w:rPr>
              <w:t xml:space="preserve">равилника о оценивању рада судијских помоћника. </w:t>
            </w:r>
          </w:p>
        </w:tc>
        <w:tc>
          <w:tcPr>
            <w:tcW w:w="5670" w:type="dxa"/>
          </w:tcPr>
          <w:p w14:paraId="056BC7E4" w14:textId="54480B7A" w:rsidR="00DF15D6" w:rsidRPr="003E5020" w:rsidRDefault="00DF15D6" w:rsidP="00143190">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Смањено интересовање за овај вид професионалног усмерења од стране свршених студената права (посебно оних са одликама и високим просеком на студијама)</w:t>
            </w:r>
            <w:r w:rsidR="00B40618" w:rsidRPr="003E5020">
              <w:rPr>
                <w:rFonts w:ascii="Times New Roman" w:hAnsi="Times New Roman" w:cs="Times New Roman"/>
                <w:lang w:val="sr-Cyrl-RS"/>
              </w:rPr>
              <w:t>.</w:t>
            </w:r>
            <w:r w:rsidRPr="003E5020">
              <w:rPr>
                <w:rFonts w:ascii="Times New Roman" w:hAnsi="Times New Roman" w:cs="Times New Roman"/>
                <w:lang w:val="sr-Cyrl-RS"/>
              </w:rPr>
              <w:t xml:space="preserve"> </w:t>
            </w:r>
          </w:p>
          <w:p w14:paraId="12E0281C" w14:textId="2D93515E" w:rsidR="00DF15D6" w:rsidRPr="003E5020" w:rsidRDefault="00DF15D6" w:rsidP="00143190">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Настављен и извесно значајно повећан одлив стручног кадра.</w:t>
            </w:r>
          </w:p>
          <w:p w14:paraId="3C6F6914" w14:textId="26E16AC6" w:rsidR="00DF15D6" w:rsidRPr="003E5020" w:rsidRDefault="001446EC" w:rsidP="00723A94">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Н</w:t>
            </w:r>
            <w:r w:rsidR="00DF15D6" w:rsidRPr="003E5020">
              <w:rPr>
                <w:rFonts w:ascii="Times New Roman" w:hAnsi="Times New Roman" w:cs="Times New Roman"/>
                <w:lang w:val="sr-Cyrl-RS"/>
              </w:rPr>
              <w:t xml:space="preserve">енадокнадив губитак како садашњег, тако и будућег кадра </w:t>
            </w:r>
            <w:r w:rsidR="00B326D0" w:rsidRPr="003E5020">
              <w:rPr>
                <w:rFonts w:ascii="Times New Roman" w:hAnsi="Times New Roman" w:cs="Times New Roman"/>
                <w:lang w:val="sr-Cyrl-RS"/>
              </w:rPr>
              <w:t xml:space="preserve">оставља последице на свеукупнан рад судова. </w:t>
            </w:r>
          </w:p>
        </w:tc>
      </w:tr>
      <w:tr w:rsidR="003E5020" w:rsidRPr="003E5020" w14:paraId="30DFF01D" w14:textId="77777777" w:rsidTr="00096F5E">
        <w:trPr>
          <w:jc w:val="center"/>
        </w:trPr>
        <w:tc>
          <w:tcPr>
            <w:tcW w:w="1170" w:type="dxa"/>
          </w:tcPr>
          <w:p w14:paraId="071D8AB3" w14:textId="41B25098"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135E9D6B" w14:textId="798331EC" w:rsidR="00DF15D6" w:rsidRPr="003E5020" w:rsidRDefault="00DF15D6" w:rsidP="004675D7">
            <w:pPr>
              <w:spacing w:after="120"/>
              <w:rPr>
                <w:rFonts w:ascii="Times New Roman" w:hAnsi="Times New Roman" w:cs="Times New Roman"/>
                <w:b/>
                <w:lang w:val="sr-Cyrl-RS"/>
              </w:rPr>
            </w:pPr>
            <w:r w:rsidRPr="003E5020">
              <w:rPr>
                <w:rFonts w:ascii="Times New Roman" w:hAnsi="Times New Roman" w:cs="Times New Roman"/>
                <w:b/>
                <w:lang w:val="sr-Cyrl-RS"/>
              </w:rPr>
              <w:t xml:space="preserve">Недостатак капацитета у јавним тужилаштвима </w:t>
            </w:r>
          </w:p>
        </w:tc>
        <w:tc>
          <w:tcPr>
            <w:tcW w:w="4500" w:type="dxa"/>
          </w:tcPr>
          <w:p w14:paraId="6358959B" w14:textId="53A43148" w:rsidR="00B83520" w:rsidRPr="003E5020" w:rsidRDefault="00B83520"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У </w:t>
            </w:r>
            <w:r w:rsidRPr="003E5020">
              <w:rPr>
                <w:rFonts w:ascii="Times New Roman" w:hAnsi="Times New Roman" w:cs="Times New Roman"/>
                <w:lang w:val="sr-Latn-RS"/>
              </w:rPr>
              <w:t xml:space="preserve">2020. </w:t>
            </w:r>
            <w:r w:rsidRPr="003E5020">
              <w:rPr>
                <w:rFonts w:ascii="Times New Roman" w:hAnsi="Times New Roman" w:cs="Times New Roman"/>
                <w:lang w:val="sr-Cyrl-RS"/>
              </w:rPr>
              <w:t>години, у јавним туж</w:t>
            </w:r>
            <w:r w:rsidR="001D72C8" w:rsidRPr="003E5020">
              <w:rPr>
                <w:rFonts w:ascii="Times New Roman" w:hAnsi="Times New Roman" w:cs="Times New Roman"/>
                <w:lang w:val="sr-Cyrl-RS"/>
              </w:rPr>
              <w:t>и</w:t>
            </w:r>
            <w:r w:rsidRPr="003E5020">
              <w:rPr>
                <w:rFonts w:ascii="Times New Roman" w:hAnsi="Times New Roman" w:cs="Times New Roman"/>
                <w:lang w:val="sr-Cyrl-RS"/>
              </w:rPr>
              <w:t>лаштвима у Републици Србији</w:t>
            </w:r>
            <w:r w:rsidRPr="003E5020">
              <w:rPr>
                <w:rFonts w:ascii="Times New Roman" w:hAnsi="Times New Roman" w:cs="Times New Roman"/>
                <w:lang w:val="sr-Latn-RS"/>
              </w:rPr>
              <w:t>,</w:t>
            </w:r>
            <w:r w:rsidRPr="003E5020">
              <w:rPr>
                <w:rFonts w:ascii="Times New Roman" w:hAnsi="Times New Roman" w:cs="Times New Roman"/>
                <w:lang w:val="sr-Cyrl-RS"/>
              </w:rPr>
              <w:t xml:space="preserve"> од укупног броја од 805 места заменика јавних тужалаца, попуњен</w:t>
            </w:r>
            <w:r w:rsidR="009B7C66" w:rsidRPr="003E5020">
              <w:rPr>
                <w:rFonts w:ascii="Times New Roman" w:hAnsi="Times New Roman" w:cs="Times New Roman"/>
                <w:lang w:val="sr-Latn-RS"/>
              </w:rPr>
              <w:t>a</w:t>
            </w:r>
            <w:r w:rsidRPr="003E5020">
              <w:rPr>
                <w:rFonts w:ascii="Times New Roman" w:hAnsi="Times New Roman" w:cs="Times New Roman"/>
                <w:lang w:val="sr-Cyrl-RS"/>
              </w:rPr>
              <w:t xml:space="preserve"> </w:t>
            </w:r>
            <w:r w:rsidR="009B7C66" w:rsidRPr="003E5020">
              <w:rPr>
                <w:rFonts w:ascii="Times New Roman" w:hAnsi="Times New Roman" w:cs="Times New Roman"/>
                <w:lang w:val="sr-Cyrl-RS"/>
              </w:rPr>
              <w:t>су</w:t>
            </w:r>
            <w:r w:rsidRPr="003E5020">
              <w:rPr>
                <w:rFonts w:ascii="Times New Roman" w:hAnsi="Times New Roman" w:cs="Times New Roman"/>
                <w:lang w:val="sr-Cyrl-RS"/>
              </w:rPr>
              <w:t xml:space="preserve"> 7</w:t>
            </w:r>
            <w:r w:rsidR="00382102" w:rsidRPr="003E5020">
              <w:rPr>
                <w:rFonts w:ascii="Times New Roman" w:hAnsi="Times New Roman" w:cs="Times New Roman"/>
                <w:lang w:val="sr-Cyrl-RS"/>
              </w:rPr>
              <w:t>23</w:t>
            </w:r>
            <w:r w:rsidRPr="003E5020">
              <w:rPr>
                <w:rFonts w:ascii="Times New Roman" w:hAnsi="Times New Roman" w:cs="Times New Roman"/>
                <w:lang w:val="sr-Cyrl-RS"/>
              </w:rPr>
              <w:t xml:space="preserve">, односно укупно </w:t>
            </w:r>
            <w:r w:rsidR="00382102" w:rsidRPr="003E5020">
              <w:rPr>
                <w:rFonts w:ascii="Times New Roman" w:hAnsi="Times New Roman" w:cs="Times New Roman"/>
                <w:lang w:val="sr-Cyrl-RS"/>
              </w:rPr>
              <w:t>82</w:t>
            </w:r>
            <w:r w:rsidRPr="003E5020">
              <w:rPr>
                <w:rFonts w:ascii="Times New Roman" w:hAnsi="Times New Roman" w:cs="Times New Roman"/>
                <w:lang w:val="sr-Cyrl-RS"/>
              </w:rPr>
              <w:t xml:space="preserve"> </w:t>
            </w:r>
            <w:r w:rsidR="009B7C66" w:rsidRPr="003E5020">
              <w:rPr>
                <w:rFonts w:ascii="Times New Roman" w:hAnsi="Times New Roman" w:cs="Times New Roman"/>
                <w:lang w:val="sr-Cyrl-RS"/>
              </w:rPr>
              <w:t xml:space="preserve"> места су </w:t>
            </w:r>
            <w:r w:rsidRPr="003E5020">
              <w:rPr>
                <w:rFonts w:ascii="Times New Roman" w:hAnsi="Times New Roman" w:cs="Times New Roman"/>
                <w:lang w:val="sr-Cyrl-RS"/>
              </w:rPr>
              <w:t>упражњен</w:t>
            </w:r>
            <w:r w:rsidR="009B7C66" w:rsidRPr="003E5020">
              <w:rPr>
                <w:rFonts w:ascii="Times New Roman" w:hAnsi="Times New Roman" w:cs="Times New Roman"/>
                <w:lang w:val="sr-Cyrl-RS"/>
              </w:rPr>
              <w:t>а</w:t>
            </w:r>
            <w:r w:rsidRPr="003E5020">
              <w:rPr>
                <w:rFonts w:ascii="Times New Roman" w:hAnsi="Times New Roman" w:cs="Times New Roman"/>
                <w:lang w:val="sr-Cyrl-RS"/>
              </w:rPr>
              <w:t>.</w:t>
            </w:r>
          </w:p>
          <w:p w14:paraId="391F35A7" w14:textId="33DE2A02"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У већини јавних тужилаштава  (при чему је ситуација по том питању најтежа у основним) евидентна је непопуњеност места на позицијама заменика јавног тужиоца у односу на постојећу систематизацију</w:t>
            </w:r>
            <w:r w:rsidR="00976DA3" w:rsidRPr="003E5020">
              <w:rPr>
                <w:rFonts w:ascii="Times New Roman" w:hAnsi="Times New Roman" w:cs="Times New Roman"/>
                <w:lang w:val="sr-Cyrl-RS"/>
              </w:rPr>
              <w:t>;</w:t>
            </w:r>
            <w:r w:rsidRPr="003E5020">
              <w:rPr>
                <w:rFonts w:ascii="Times New Roman" w:hAnsi="Times New Roman" w:cs="Times New Roman"/>
                <w:lang w:val="sr-Cyrl-RS"/>
              </w:rPr>
              <w:t xml:space="preserve"> без улажења у дубљу анализу да ли је потребно постојећу систематизацију проширити додатним бројем места на овој јавнотужилачкој функцији, сама чињеница да ни већ систематизована места годинама уназад нису попуњена</w:t>
            </w:r>
            <w:r w:rsidR="004D61AF" w:rsidRPr="003E5020">
              <w:rPr>
                <w:rFonts w:ascii="Times New Roman" w:hAnsi="Times New Roman" w:cs="Times New Roman"/>
                <w:lang w:val="sr-Cyrl-RS"/>
              </w:rPr>
              <w:t>.</w:t>
            </w:r>
            <w:r w:rsidRPr="003E5020">
              <w:rPr>
                <w:rFonts w:ascii="Times New Roman" w:hAnsi="Times New Roman" w:cs="Times New Roman"/>
                <w:lang w:val="sr-Cyrl-RS"/>
              </w:rPr>
              <w:t xml:space="preserve"> </w:t>
            </w:r>
          </w:p>
          <w:p w14:paraId="7D5A1883" w14:textId="6CFE4E7D"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Постојање велике неуједначености у расподели предмета који један заменик јавног тужиоца обрађује, а у оквиру истих врста тужилаштава; ово директно утиче како на сам учинак појединих заменика јавног тужиоца, тако и на каснију оцену радног учинка која се мери у односу на број решених предмета.</w:t>
            </w:r>
          </w:p>
          <w:p w14:paraId="046B596C" w14:textId="0C2F61EC"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Процена је да се ефикасност јавних тужилаштва и надокнада постојећег заостатка у решавању предмета тешко може поправити без додатног броја тужилачких помоћника, имајући у виду и даље велики број старих предмета, нагомиланих претежно увођењем тзв. „тужилачке истраге</w:t>
            </w:r>
            <w:r w:rsidR="00701BFF">
              <w:rPr>
                <w:rFonts w:ascii="Times New Roman" w:hAnsi="Times New Roman" w:cs="Times New Roman"/>
                <w:lang w:val="sr-Cyrl-RS"/>
              </w:rPr>
              <w:t>ˮ</w:t>
            </w:r>
            <w:r w:rsidRPr="003E5020">
              <w:rPr>
                <w:rFonts w:ascii="Times New Roman" w:hAnsi="Times New Roman" w:cs="Times New Roman"/>
                <w:lang w:val="sr-Cyrl-RS"/>
              </w:rPr>
              <w:t xml:space="preserve"> 2013. године. </w:t>
            </w:r>
          </w:p>
          <w:p w14:paraId="25523337" w14:textId="38A247B0"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Наведена промена и повећан број предмета у раду </w:t>
            </w:r>
            <w:r w:rsidR="00B215BC" w:rsidRPr="003E5020">
              <w:rPr>
                <w:rFonts w:ascii="Times New Roman" w:hAnsi="Times New Roman" w:cs="Times New Roman"/>
                <w:lang w:val="sr-Cyrl-RS"/>
              </w:rPr>
              <w:t xml:space="preserve">су узроковали </w:t>
            </w:r>
            <w:r w:rsidRPr="003E5020">
              <w:rPr>
                <w:rFonts w:ascii="Times New Roman" w:hAnsi="Times New Roman" w:cs="Times New Roman"/>
                <w:lang w:val="sr-Cyrl-RS"/>
              </w:rPr>
              <w:t>и континуиран недостатак осталог особља, најпре записничара, као и других административних позиција које су на директан начин укључене у рад са предметима.</w:t>
            </w:r>
          </w:p>
          <w:p w14:paraId="5D839A8C" w14:textId="77777777"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Тренутно не постоји одговарајућа медотологија којом би се мериле реалне потребе за бројем и структуром стручног кадра у јавним тужилаштвима; самим тим Државно веће тужилаца не може на реалан начин да сагледа стварне потребе за људским ресурсима.</w:t>
            </w:r>
          </w:p>
          <w:p w14:paraId="6CB5A1D1" w14:textId="77777777" w:rsidR="00DF15D6" w:rsidRPr="003E5020" w:rsidRDefault="00DF15D6"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Садашњи поступак оцене радног учинка је неадектаван, јер се базира на односу стопе додељених и решених предмета од стране конкретног носиоца јавнотужилачке функције, без узимања у обзир других елемената за оцену; наведени начин оцењивања не узима у обзир реално стање односно стопу ефикасности и квалитета рада носилаца јавнотужилачке функције и у основи је неправедан према оним носиоцима јавнотужилачке функције који због неравномерне расподеле предмета, па тиме и драстично већег броја предмета у раду, немају велику стопу решених предмета, иако бројчано гледано, имају већи број решених предмета од својих колега.</w:t>
            </w:r>
          </w:p>
          <w:p w14:paraId="2FC9C1AD" w14:textId="0F0DB129" w:rsidR="00DA7D5F" w:rsidRPr="003E5020" w:rsidRDefault="00DA7D5F" w:rsidP="004675D7">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Постојећи приступ не истиче у довољној мери повезаност између квалитетне и континуиране обуке тужилаца и заменика тужилаца и успешности у брзом и квалитетном решавању предмета.</w:t>
            </w:r>
          </w:p>
        </w:tc>
        <w:tc>
          <w:tcPr>
            <w:tcW w:w="5670" w:type="dxa"/>
          </w:tcPr>
          <w:p w14:paraId="31FF5162" w14:textId="44A4F351" w:rsidR="00DF15D6" w:rsidRPr="003E5020" w:rsidRDefault="002B1C59" w:rsidP="003237E7">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Преоптерећеност јавних туж</w:t>
            </w:r>
            <w:r w:rsidR="0012599E" w:rsidRPr="003E5020">
              <w:rPr>
                <w:rFonts w:ascii="Times New Roman" w:hAnsi="Times New Roman" w:cs="Times New Roman"/>
                <w:lang w:val="sr-Cyrl-RS"/>
              </w:rPr>
              <w:t xml:space="preserve">илаштава у којима нису попуњена </w:t>
            </w:r>
            <w:r w:rsidR="00382102" w:rsidRPr="003E5020">
              <w:rPr>
                <w:rFonts w:ascii="Times New Roman" w:hAnsi="Times New Roman" w:cs="Times New Roman"/>
                <w:lang w:val="sr-Cyrl-RS"/>
              </w:rPr>
              <w:t xml:space="preserve">места заменика јавних тужилаца </w:t>
            </w:r>
            <w:r w:rsidR="0012599E" w:rsidRPr="003E5020">
              <w:rPr>
                <w:rFonts w:ascii="Times New Roman" w:hAnsi="Times New Roman" w:cs="Times New Roman"/>
                <w:lang w:val="sr-Cyrl-RS"/>
              </w:rPr>
              <w:t xml:space="preserve">и </w:t>
            </w:r>
            <w:r w:rsidR="00F9053E" w:rsidRPr="003E5020">
              <w:rPr>
                <w:rFonts w:ascii="Times New Roman" w:hAnsi="Times New Roman" w:cs="Times New Roman"/>
                <w:lang w:val="sr-Cyrl-RS"/>
              </w:rPr>
              <w:t xml:space="preserve">систематизована </w:t>
            </w:r>
            <w:r w:rsidR="0012599E" w:rsidRPr="003E5020">
              <w:rPr>
                <w:rFonts w:ascii="Times New Roman" w:hAnsi="Times New Roman" w:cs="Times New Roman"/>
                <w:lang w:val="sr-Cyrl-RS"/>
              </w:rPr>
              <w:t>радна места</w:t>
            </w:r>
            <w:r w:rsidRPr="003E5020">
              <w:rPr>
                <w:rFonts w:ascii="Times New Roman" w:hAnsi="Times New Roman" w:cs="Times New Roman"/>
                <w:lang w:val="sr-Cyrl-RS"/>
              </w:rPr>
              <w:t>, посебно оних која имају велики прилив предмета.</w:t>
            </w:r>
            <w:r w:rsidR="00DF15D6" w:rsidRPr="003E5020">
              <w:rPr>
                <w:rFonts w:ascii="Times New Roman" w:hAnsi="Times New Roman" w:cs="Times New Roman"/>
                <w:lang w:val="sr-Cyrl-RS"/>
              </w:rPr>
              <w:t xml:space="preserve"> </w:t>
            </w:r>
          </w:p>
          <w:p w14:paraId="293C8650" w14:textId="77777777" w:rsidR="009F26B8" w:rsidRPr="003E5020" w:rsidRDefault="00DF15D6" w:rsidP="009F26B8">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Смањено интересовање за овај вид професионалног усмерења од стране свршених студената права (посебно оних са одликама и високим просеком на студијама)</w:t>
            </w:r>
            <w:r w:rsidR="009F26B8" w:rsidRPr="003E5020">
              <w:rPr>
                <w:rFonts w:ascii="Times New Roman" w:hAnsi="Times New Roman" w:cs="Times New Roman"/>
                <w:lang w:val="sr-Cyrl-RS"/>
              </w:rPr>
              <w:t>.</w:t>
            </w:r>
          </w:p>
          <w:p w14:paraId="6A17DF57" w14:textId="7DE486E0" w:rsidR="00DF15D6" w:rsidRPr="003E5020" w:rsidRDefault="002B1C59" w:rsidP="009F26B8">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Отежано диференцирање на основу вредновања рада</w:t>
            </w:r>
            <w:r w:rsidR="005E1FF9" w:rsidRPr="003E5020">
              <w:rPr>
                <w:rFonts w:ascii="Times New Roman" w:hAnsi="Times New Roman" w:cs="Times New Roman"/>
                <w:lang w:val="sr-Cyrl-RS"/>
              </w:rPr>
              <w:t xml:space="preserve"> заменика јавних тужалаца</w:t>
            </w:r>
            <w:r w:rsidR="00DF15D6" w:rsidRPr="003E5020">
              <w:rPr>
                <w:rFonts w:ascii="Times New Roman" w:hAnsi="Times New Roman" w:cs="Times New Roman"/>
                <w:lang w:val="sr-Cyrl-RS"/>
              </w:rPr>
              <w:t>.</w:t>
            </w:r>
          </w:p>
        </w:tc>
      </w:tr>
      <w:tr w:rsidR="003E5020" w:rsidRPr="003E5020" w14:paraId="448D181F" w14:textId="77777777" w:rsidTr="00096F5E">
        <w:trPr>
          <w:jc w:val="center"/>
        </w:trPr>
        <w:tc>
          <w:tcPr>
            <w:tcW w:w="1170" w:type="dxa"/>
          </w:tcPr>
          <w:p w14:paraId="70397E99" w14:textId="4C03A5DE"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4DFFD37D" w14:textId="2D8C7C3F" w:rsidR="00DF15D6" w:rsidRPr="003E5020" w:rsidRDefault="00DF15D6" w:rsidP="004C29F9">
            <w:pPr>
              <w:spacing w:after="120"/>
              <w:rPr>
                <w:rFonts w:ascii="Times New Roman" w:hAnsi="Times New Roman" w:cs="Times New Roman"/>
                <w:b/>
                <w:lang w:val="sr-Cyrl-RS"/>
              </w:rPr>
            </w:pPr>
            <w:r w:rsidRPr="003E5020">
              <w:rPr>
                <w:rFonts w:ascii="Times New Roman" w:hAnsi="Times New Roman" w:cs="Times New Roman"/>
                <w:b/>
                <w:lang w:val="sr-Cyrl-RS"/>
              </w:rPr>
              <w:t xml:space="preserve">Неадекватан </w:t>
            </w:r>
            <w:r w:rsidR="00DA7D5F" w:rsidRPr="003E5020">
              <w:rPr>
                <w:rFonts w:ascii="Times New Roman" w:hAnsi="Times New Roman" w:cs="Times New Roman"/>
                <w:b/>
                <w:lang w:val="sr-Cyrl-RS"/>
              </w:rPr>
              <w:t xml:space="preserve">статус и </w:t>
            </w:r>
            <w:r w:rsidRPr="003E5020">
              <w:rPr>
                <w:rFonts w:ascii="Times New Roman" w:hAnsi="Times New Roman" w:cs="Times New Roman"/>
                <w:b/>
                <w:lang w:val="sr-Cyrl-RS"/>
              </w:rPr>
              <w:t xml:space="preserve">положај тужилачких помоћника </w:t>
            </w:r>
          </w:p>
          <w:p w14:paraId="68BAB6A1" w14:textId="77777777" w:rsidR="00DF15D6" w:rsidRPr="003E5020" w:rsidRDefault="00DF15D6" w:rsidP="004C29F9">
            <w:pPr>
              <w:spacing w:after="120"/>
              <w:rPr>
                <w:rFonts w:ascii="Times New Roman" w:hAnsi="Times New Roman" w:cs="Times New Roman"/>
                <w:b/>
                <w:lang w:val="sr-Cyrl-RS"/>
              </w:rPr>
            </w:pPr>
          </w:p>
        </w:tc>
        <w:tc>
          <w:tcPr>
            <w:tcW w:w="4500" w:type="dxa"/>
          </w:tcPr>
          <w:p w14:paraId="32C428CC" w14:textId="4E2D0D43" w:rsidR="008B4128" w:rsidRPr="003E5020" w:rsidRDefault="008B4128" w:rsidP="004809D6">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Неадекватан </w:t>
            </w:r>
            <w:r w:rsidR="00877C52" w:rsidRPr="003E5020">
              <w:rPr>
                <w:rFonts w:ascii="Times New Roman" w:hAnsi="Times New Roman" w:cs="Times New Roman"/>
                <w:lang w:val="sr-Cyrl-RS"/>
              </w:rPr>
              <w:t>правни</w:t>
            </w:r>
            <w:r w:rsidRPr="003E5020">
              <w:rPr>
                <w:rFonts w:ascii="Times New Roman" w:hAnsi="Times New Roman" w:cs="Times New Roman"/>
                <w:lang w:val="sr-Cyrl-RS"/>
              </w:rPr>
              <w:t xml:space="preserve"> оквир за статус и положај </w:t>
            </w:r>
            <w:r w:rsidR="00877C52" w:rsidRPr="003E5020">
              <w:rPr>
                <w:rFonts w:ascii="Times New Roman" w:hAnsi="Times New Roman" w:cs="Times New Roman"/>
                <w:lang w:val="sr-Cyrl-RS"/>
              </w:rPr>
              <w:t>тужилачких</w:t>
            </w:r>
            <w:r w:rsidRPr="003E5020">
              <w:rPr>
                <w:rFonts w:ascii="Times New Roman" w:hAnsi="Times New Roman" w:cs="Times New Roman"/>
                <w:lang w:val="sr-Cyrl-RS"/>
              </w:rPr>
              <w:t xml:space="preserve"> помоћника, односно њихово правно изједначавање у звањима са државним службеницима у државној управи, упркос томе што они не обављају послове државне управе, већ специфичне стручне послове у вези са решавањем </w:t>
            </w:r>
            <w:r w:rsidR="00F907CA" w:rsidRPr="003E5020">
              <w:rPr>
                <w:rFonts w:ascii="Times New Roman" w:hAnsi="Times New Roman" w:cs="Times New Roman"/>
                <w:lang w:val="sr-Cyrl-RS"/>
              </w:rPr>
              <w:t>тужилачких</w:t>
            </w:r>
            <w:r w:rsidRPr="003E5020">
              <w:rPr>
                <w:rFonts w:ascii="Times New Roman" w:hAnsi="Times New Roman" w:cs="Times New Roman"/>
                <w:lang w:val="sr-Cyrl-RS"/>
              </w:rPr>
              <w:t xml:space="preserve"> предмета.</w:t>
            </w:r>
          </w:p>
          <w:p w14:paraId="5DFD32DA" w14:textId="7469A621" w:rsidR="00DF15D6" w:rsidRPr="003E5020" w:rsidRDefault="00DF15D6" w:rsidP="008B4128">
            <w:pPr>
              <w:numPr>
                <w:ilvl w:val="0"/>
                <w:numId w:val="33"/>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Број постојећих тужилачких помоћника углавном не </w:t>
            </w:r>
            <w:r w:rsidR="00856170" w:rsidRPr="003E5020">
              <w:rPr>
                <w:rFonts w:ascii="Times New Roman" w:hAnsi="Times New Roman" w:cs="Times New Roman"/>
                <w:lang w:val="sr-Cyrl-RS"/>
              </w:rPr>
              <w:t xml:space="preserve">одговара </w:t>
            </w:r>
            <w:r w:rsidRPr="003E5020">
              <w:rPr>
                <w:rFonts w:ascii="Times New Roman" w:hAnsi="Times New Roman" w:cs="Times New Roman"/>
                <w:lang w:val="sr-Cyrl-RS"/>
              </w:rPr>
              <w:t>потребн</w:t>
            </w:r>
            <w:r w:rsidR="00856170" w:rsidRPr="003E5020">
              <w:rPr>
                <w:rFonts w:ascii="Times New Roman" w:hAnsi="Times New Roman" w:cs="Times New Roman"/>
                <w:lang w:val="sr-Cyrl-RS"/>
              </w:rPr>
              <w:t>о</w:t>
            </w:r>
            <w:r w:rsidRPr="003E5020">
              <w:rPr>
                <w:rFonts w:ascii="Times New Roman" w:hAnsi="Times New Roman" w:cs="Times New Roman"/>
                <w:lang w:val="sr-Cyrl-RS"/>
              </w:rPr>
              <w:t xml:space="preserve">м </w:t>
            </w:r>
            <w:r w:rsidR="00856170" w:rsidRPr="003E5020">
              <w:rPr>
                <w:rFonts w:ascii="Times New Roman" w:hAnsi="Times New Roman" w:cs="Times New Roman"/>
                <w:lang w:val="sr-Cyrl-RS"/>
              </w:rPr>
              <w:t>броју</w:t>
            </w:r>
            <w:r w:rsidRPr="003E5020">
              <w:rPr>
                <w:rFonts w:ascii="Times New Roman" w:hAnsi="Times New Roman" w:cs="Times New Roman"/>
                <w:lang w:val="sr-Cyrl-RS"/>
              </w:rPr>
              <w:t>, односно односом између броја тужилачких помоћника и тужилаца, уз потребу да се приликом редефинисања ових критеријума узму у обзир потребе различитих врста тужилаштава.</w:t>
            </w:r>
          </w:p>
        </w:tc>
        <w:tc>
          <w:tcPr>
            <w:tcW w:w="5670" w:type="dxa"/>
          </w:tcPr>
          <w:p w14:paraId="554A3FD6" w14:textId="5B43C911" w:rsidR="00DF15D6" w:rsidRPr="003E5020" w:rsidRDefault="00DF15D6" w:rsidP="004C29F9">
            <w:pPr>
              <w:pStyle w:val="ListParagraph"/>
              <w:numPr>
                <w:ilvl w:val="0"/>
                <w:numId w:val="38"/>
              </w:numPr>
              <w:spacing w:after="120"/>
              <w:rPr>
                <w:rFonts w:ascii="Times New Roman" w:hAnsi="Times New Roman" w:cs="Times New Roman"/>
                <w:lang w:val="sr-Cyrl-RS"/>
              </w:rPr>
            </w:pPr>
            <w:r w:rsidRPr="003E5020">
              <w:rPr>
                <w:rFonts w:ascii="Times New Roman" w:hAnsi="Times New Roman" w:cs="Times New Roman"/>
                <w:lang w:val="sr-Cyrl-RS"/>
              </w:rPr>
              <w:t>Смањено интересовање за овај вид професионалног усмерења од стране свршених студената права (посебно оних са одликама и високим просеком на студијама)</w:t>
            </w:r>
            <w:r w:rsidR="002D3872" w:rsidRPr="003E5020">
              <w:rPr>
                <w:rFonts w:ascii="Times New Roman" w:hAnsi="Times New Roman" w:cs="Times New Roman"/>
                <w:lang w:val="sr-Cyrl-RS"/>
              </w:rPr>
              <w:t>.</w:t>
            </w:r>
            <w:r w:rsidRPr="003E5020">
              <w:rPr>
                <w:rFonts w:ascii="Times New Roman" w:hAnsi="Times New Roman" w:cs="Times New Roman"/>
                <w:lang w:val="sr-Cyrl-RS"/>
              </w:rPr>
              <w:t xml:space="preserve"> </w:t>
            </w:r>
          </w:p>
          <w:p w14:paraId="1C7FD75A" w14:textId="141741FE" w:rsidR="00DF15D6" w:rsidRPr="003E5020" w:rsidRDefault="00DF15D6" w:rsidP="004C29F9">
            <w:pPr>
              <w:pStyle w:val="ListParagraph"/>
              <w:numPr>
                <w:ilvl w:val="0"/>
                <w:numId w:val="38"/>
              </w:numPr>
              <w:spacing w:after="120"/>
              <w:rPr>
                <w:rFonts w:ascii="Times New Roman" w:hAnsi="Times New Roman" w:cs="Times New Roman"/>
                <w:lang w:val="sr-Cyrl-RS"/>
              </w:rPr>
            </w:pPr>
            <w:r w:rsidRPr="003E5020">
              <w:rPr>
                <w:rFonts w:ascii="Times New Roman" w:hAnsi="Times New Roman" w:cs="Times New Roman"/>
                <w:lang w:val="sr-Cyrl-RS"/>
              </w:rPr>
              <w:t>Настављен и извесно значајно повећан одлив стручног кадра</w:t>
            </w:r>
            <w:r w:rsidR="00B40618" w:rsidRPr="003E5020">
              <w:rPr>
                <w:rFonts w:ascii="Times New Roman" w:hAnsi="Times New Roman" w:cs="Times New Roman"/>
                <w:lang w:val="sr-Cyrl-RS"/>
              </w:rPr>
              <w:t>.</w:t>
            </w:r>
            <w:r w:rsidRPr="003E5020">
              <w:rPr>
                <w:rFonts w:ascii="Times New Roman" w:hAnsi="Times New Roman" w:cs="Times New Roman"/>
                <w:lang w:val="sr-Cyrl-RS"/>
              </w:rPr>
              <w:t xml:space="preserve"> </w:t>
            </w:r>
          </w:p>
          <w:p w14:paraId="5594B268" w14:textId="5698B350" w:rsidR="00774657" w:rsidRPr="003E5020" w:rsidRDefault="00774657" w:rsidP="00774657">
            <w:pPr>
              <w:numPr>
                <w:ilvl w:val="0"/>
                <w:numId w:val="38"/>
              </w:numPr>
              <w:spacing w:after="120"/>
              <w:contextualSpacing/>
              <w:rPr>
                <w:rFonts w:ascii="Times New Roman" w:hAnsi="Times New Roman" w:cs="Times New Roman"/>
                <w:lang w:val="sr-Cyrl-RS"/>
              </w:rPr>
            </w:pPr>
            <w:r w:rsidRPr="003E5020">
              <w:rPr>
                <w:rFonts w:ascii="Times New Roman" w:hAnsi="Times New Roman" w:cs="Times New Roman"/>
                <w:lang w:val="sr-Cyrl-RS"/>
              </w:rPr>
              <w:t>Ненадокнадив губитак како садашњег, тако и будућег кадра оставља последице на свеукупнан рад јавних тужилаштава.</w:t>
            </w:r>
          </w:p>
        </w:tc>
      </w:tr>
      <w:tr w:rsidR="003E5020" w:rsidRPr="003E5020" w14:paraId="40A87E4C" w14:textId="77777777" w:rsidTr="00096F5E">
        <w:trPr>
          <w:jc w:val="center"/>
        </w:trPr>
        <w:tc>
          <w:tcPr>
            <w:tcW w:w="1170" w:type="dxa"/>
          </w:tcPr>
          <w:p w14:paraId="5357F6E1" w14:textId="45BC0BD8"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70A6F379" w14:textId="3B23EED6" w:rsidR="00DF15D6" w:rsidRPr="003E5020" w:rsidRDefault="008B4128" w:rsidP="004D0771">
            <w:pPr>
              <w:spacing w:after="120"/>
              <w:rPr>
                <w:rFonts w:ascii="Times New Roman" w:hAnsi="Times New Roman" w:cs="Times New Roman"/>
                <w:b/>
                <w:highlight w:val="yellow"/>
                <w:lang w:val="sr-Cyrl-RS"/>
              </w:rPr>
            </w:pPr>
            <w:r w:rsidRPr="003E5020">
              <w:rPr>
                <w:rFonts w:ascii="Times New Roman" w:hAnsi="Times New Roman" w:cs="Times New Roman"/>
                <w:b/>
                <w:lang w:val="sr-Cyrl-RS"/>
              </w:rPr>
              <w:t xml:space="preserve">Значајан </w:t>
            </w:r>
            <w:r w:rsidR="00DF15D6" w:rsidRPr="003E5020">
              <w:rPr>
                <w:rFonts w:ascii="Times New Roman" w:hAnsi="Times New Roman" w:cs="Times New Roman"/>
                <w:b/>
                <w:lang w:val="sr-Cyrl-RS"/>
              </w:rPr>
              <w:t>недостатак људских ресурса у Административној канцеларији Високог савета судства</w:t>
            </w:r>
          </w:p>
        </w:tc>
        <w:tc>
          <w:tcPr>
            <w:tcW w:w="4500" w:type="dxa"/>
          </w:tcPr>
          <w:p w14:paraId="4FD74BB6" w14:textId="5C814234" w:rsidR="00DF15D6" w:rsidRPr="003E5020" w:rsidRDefault="00DF15D6" w:rsidP="00143190">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У 2020. години, овај орган функционише са свега 60% капацитета, односно попуњених радних места која су предвиђена постојећом систематизацијом радних места</w:t>
            </w:r>
          </w:p>
          <w:p w14:paraId="11806E8B" w14:textId="2C53CD89" w:rsidR="00DF15D6" w:rsidRPr="003E5020" w:rsidRDefault="00DF15D6" w:rsidP="00143190">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Осим високог </w:t>
            </w:r>
            <w:r w:rsidR="00930CB4" w:rsidRPr="003E5020">
              <w:rPr>
                <w:rFonts w:ascii="Times New Roman" w:hAnsi="Times New Roman" w:cs="Times New Roman"/>
                <w:lang w:val="sr-Cyrl-RS"/>
              </w:rPr>
              <w:t xml:space="preserve">процента </w:t>
            </w:r>
            <w:r w:rsidR="00F851B5" w:rsidRPr="003E5020">
              <w:rPr>
                <w:rFonts w:ascii="Times New Roman" w:hAnsi="Times New Roman" w:cs="Times New Roman"/>
                <w:lang w:val="sr-Cyrl-RS"/>
              </w:rPr>
              <w:t xml:space="preserve"> </w:t>
            </w:r>
            <w:r w:rsidR="008B4128" w:rsidRPr="003E5020">
              <w:rPr>
                <w:rFonts w:ascii="Times New Roman" w:hAnsi="Times New Roman" w:cs="Times New Roman"/>
                <w:lang w:val="sr-Cyrl-RS"/>
              </w:rPr>
              <w:t xml:space="preserve">непопуњености </w:t>
            </w:r>
            <w:r w:rsidR="00856170" w:rsidRPr="003E5020">
              <w:rPr>
                <w:rFonts w:ascii="Times New Roman" w:hAnsi="Times New Roman" w:cs="Times New Roman"/>
                <w:lang w:val="sr-Cyrl-RS"/>
              </w:rPr>
              <w:t>укупних људских ресурса</w:t>
            </w:r>
            <w:r w:rsidR="00037DBC" w:rsidRPr="003E5020">
              <w:rPr>
                <w:rFonts w:ascii="Times New Roman" w:hAnsi="Times New Roman" w:cs="Times New Roman"/>
                <w:lang w:val="sr-Cyrl-RS"/>
              </w:rPr>
              <w:t>, односно</w:t>
            </w:r>
            <w:r w:rsidR="00856170" w:rsidRPr="003E5020">
              <w:rPr>
                <w:rFonts w:ascii="Times New Roman" w:hAnsi="Times New Roman" w:cs="Times New Roman"/>
                <w:lang w:val="sr-Cyrl-RS"/>
              </w:rPr>
              <w:t xml:space="preserve"> </w:t>
            </w:r>
            <w:r w:rsidR="00930CB4" w:rsidRPr="003E5020">
              <w:rPr>
                <w:rFonts w:ascii="Times New Roman" w:hAnsi="Times New Roman" w:cs="Times New Roman"/>
                <w:lang w:val="sr-Cyrl-RS"/>
              </w:rPr>
              <w:t xml:space="preserve">систематизованих радних места </w:t>
            </w:r>
            <w:r w:rsidRPr="003E5020">
              <w:rPr>
                <w:rFonts w:ascii="Times New Roman" w:hAnsi="Times New Roman" w:cs="Times New Roman"/>
                <w:lang w:val="sr-Cyrl-RS"/>
              </w:rPr>
              <w:t xml:space="preserve">(40%) , посебан проблем је што у оквиру недостајућих ресурса већину (чак </w:t>
            </w:r>
            <w:r w:rsidRPr="003E5020">
              <w:rPr>
                <w:rFonts w:ascii="Times New Roman" w:hAnsi="Times New Roman" w:cs="Times New Roman"/>
                <w:lang w:val="sr-Latn-RS"/>
              </w:rPr>
              <w:t>4/5</w:t>
            </w:r>
            <w:r w:rsidRPr="003E5020">
              <w:rPr>
                <w:rFonts w:ascii="Times New Roman" w:hAnsi="Times New Roman" w:cs="Times New Roman"/>
                <w:lang w:val="sr-Cyrl-RS"/>
              </w:rPr>
              <w:t>)</w:t>
            </w:r>
            <w:r w:rsidRPr="003E5020">
              <w:rPr>
                <w:rFonts w:ascii="Times New Roman" w:hAnsi="Times New Roman" w:cs="Times New Roman"/>
                <w:lang w:val="sr-Latn-RS"/>
              </w:rPr>
              <w:t xml:space="preserve"> </w:t>
            </w:r>
            <w:r w:rsidRPr="003E5020">
              <w:rPr>
                <w:rFonts w:ascii="Times New Roman" w:hAnsi="Times New Roman" w:cs="Times New Roman"/>
                <w:lang w:val="sr-Cyrl-RS"/>
              </w:rPr>
              <w:t>чине управо радна места опредељена за стручне послове, што доводи у ризик извршавање уставних и законских функција Високог савета судства.</w:t>
            </w:r>
          </w:p>
          <w:p w14:paraId="63354923" w14:textId="77777777" w:rsidR="009B7C66" w:rsidRPr="003E5020" w:rsidRDefault="009B7C66" w:rsidP="009B7C66">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Неадекватни просторно-технички услови за рад</w:t>
            </w:r>
            <w:r w:rsidRPr="003E5020">
              <w:rPr>
                <w:rFonts w:ascii="Times New Roman" w:hAnsi="Times New Roman" w:cs="Times New Roman"/>
                <w:lang w:val="sr-Latn-RS"/>
              </w:rPr>
              <w:t>.</w:t>
            </w:r>
          </w:p>
          <w:p w14:paraId="14BB057F" w14:textId="77777777" w:rsidR="00DF15D6" w:rsidRPr="003E5020" w:rsidRDefault="00DF15D6" w:rsidP="00143190">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Постојећи систем и садржај обуке запослених у Административној канцеларији нису засновани на анализи потреба за обукама и не узимају довољно у обзир опис послова и потребне компетенције.</w:t>
            </w:r>
          </w:p>
          <w:p w14:paraId="65CEA88F" w14:textId="5BB0F8D8" w:rsidR="00E01DC9" w:rsidRPr="003E5020" w:rsidRDefault="00DF15D6" w:rsidP="009B7C66">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Високи савет судства, због дугогодишњег и значајног мањка капацитета, отежано и успорено обавља своје Уставом и законом задате надлежности, као и обавезе из преговарачког Поглавља 23.</w:t>
            </w:r>
          </w:p>
        </w:tc>
        <w:tc>
          <w:tcPr>
            <w:tcW w:w="5670" w:type="dxa"/>
          </w:tcPr>
          <w:p w14:paraId="0D582AAB" w14:textId="4715829B" w:rsidR="008E125F" w:rsidRPr="003E5020" w:rsidRDefault="00DF15D6" w:rsidP="008E125F">
            <w:pPr>
              <w:numPr>
                <w:ilvl w:val="0"/>
                <w:numId w:val="41"/>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Дуготрајно нерешавање овог проблема за последицу може да има незаинтересованост како постојећег </w:t>
            </w:r>
            <w:r w:rsidR="008E125F" w:rsidRPr="003E5020">
              <w:rPr>
                <w:rFonts w:ascii="Times New Roman" w:hAnsi="Times New Roman" w:cs="Times New Roman"/>
                <w:lang w:val="sr-Cyrl-RS"/>
              </w:rPr>
              <w:t xml:space="preserve">тако и </w:t>
            </w:r>
            <w:r w:rsidR="00C54101" w:rsidRPr="003E5020">
              <w:rPr>
                <w:rFonts w:ascii="Times New Roman" w:hAnsi="Times New Roman" w:cs="Times New Roman"/>
                <w:lang w:val="sr-Cyrl-RS"/>
              </w:rPr>
              <w:t>будућег с</w:t>
            </w:r>
            <w:r w:rsidRPr="003E5020">
              <w:rPr>
                <w:rFonts w:ascii="Times New Roman" w:hAnsi="Times New Roman" w:cs="Times New Roman"/>
                <w:lang w:val="sr-Cyrl-RS"/>
              </w:rPr>
              <w:t>тручног кадра</w:t>
            </w:r>
            <w:r w:rsidR="008E125F" w:rsidRPr="003E5020">
              <w:rPr>
                <w:rFonts w:ascii="Times New Roman" w:hAnsi="Times New Roman" w:cs="Times New Roman"/>
                <w:lang w:val="sr-Cyrl-RS"/>
              </w:rPr>
              <w:t xml:space="preserve"> да на одговарајући начин и ефикасно </w:t>
            </w:r>
            <w:r w:rsidR="008752C9" w:rsidRPr="003E5020">
              <w:rPr>
                <w:rFonts w:ascii="Times New Roman" w:hAnsi="Times New Roman" w:cs="Times New Roman"/>
                <w:lang w:val="sr-Cyrl-RS"/>
              </w:rPr>
              <w:t xml:space="preserve">обавља </w:t>
            </w:r>
            <w:r w:rsidR="008E125F" w:rsidRPr="003E5020">
              <w:rPr>
                <w:rFonts w:ascii="Times New Roman" w:hAnsi="Times New Roman" w:cs="Times New Roman"/>
                <w:lang w:val="sr-Cyrl-RS"/>
              </w:rPr>
              <w:t xml:space="preserve">своје радне задатке. </w:t>
            </w:r>
            <w:r w:rsidRPr="003E5020">
              <w:rPr>
                <w:rFonts w:ascii="Times New Roman" w:hAnsi="Times New Roman" w:cs="Times New Roman"/>
                <w:lang w:val="sr-Cyrl-RS"/>
              </w:rPr>
              <w:t xml:space="preserve"> </w:t>
            </w:r>
          </w:p>
          <w:p w14:paraId="698C265C" w14:textId="325ABADE" w:rsidR="00DF15D6" w:rsidRPr="003E5020" w:rsidRDefault="00DF15D6" w:rsidP="00512850">
            <w:pPr>
              <w:spacing w:after="120"/>
              <w:ind w:left="360"/>
              <w:contextualSpacing/>
              <w:rPr>
                <w:rFonts w:ascii="Times New Roman" w:hAnsi="Times New Roman" w:cs="Times New Roman"/>
                <w:lang w:val="sr-Cyrl-RS"/>
              </w:rPr>
            </w:pPr>
          </w:p>
        </w:tc>
      </w:tr>
      <w:tr w:rsidR="003E5020" w:rsidRPr="003E5020" w14:paraId="61050F42" w14:textId="77777777" w:rsidTr="00096F5E">
        <w:trPr>
          <w:jc w:val="center"/>
        </w:trPr>
        <w:tc>
          <w:tcPr>
            <w:tcW w:w="1170" w:type="dxa"/>
          </w:tcPr>
          <w:p w14:paraId="1D6A2D68" w14:textId="59E5E96F"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r w:rsidRPr="003E5020">
              <w:rPr>
                <w:rFonts w:ascii="Times New Roman" w:hAnsi="Times New Roman" w:cs="Times New Roman"/>
                <w:b/>
                <w:lang w:val="sr-Cyrl-RS"/>
              </w:rPr>
              <w:t xml:space="preserve"> </w:t>
            </w:r>
          </w:p>
        </w:tc>
        <w:tc>
          <w:tcPr>
            <w:tcW w:w="3330" w:type="dxa"/>
          </w:tcPr>
          <w:p w14:paraId="0D5CB717" w14:textId="54AA1F2C" w:rsidR="00DF15D6" w:rsidRPr="003E5020" w:rsidRDefault="00DF15D6" w:rsidP="00FC095A">
            <w:pPr>
              <w:spacing w:after="120"/>
              <w:rPr>
                <w:rFonts w:ascii="Times New Roman" w:hAnsi="Times New Roman" w:cs="Times New Roman"/>
                <w:b/>
                <w:lang w:val="sr-Cyrl-RS"/>
              </w:rPr>
            </w:pPr>
            <w:r w:rsidRPr="003E5020">
              <w:rPr>
                <w:rFonts w:ascii="Times New Roman" w:hAnsi="Times New Roman" w:cs="Times New Roman"/>
                <w:b/>
                <w:lang w:val="sr-Cyrl-RS"/>
              </w:rPr>
              <w:t>Недостатак капацитета Државног већа тужилаца</w:t>
            </w:r>
          </w:p>
        </w:tc>
        <w:tc>
          <w:tcPr>
            <w:tcW w:w="4500" w:type="dxa"/>
          </w:tcPr>
          <w:p w14:paraId="1D7ACB91" w14:textId="77777777" w:rsidR="00DF15D6" w:rsidRPr="003E5020" w:rsidRDefault="00DF15D6" w:rsidP="00FC095A">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У 2021. години, овај орган функционише са свега 55% капацитета, односно попуњених радних места која су предвиђена постојећом систематизацијом.</w:t>
            </w:r>
          </w:p>
          <w:p w14:paraId="0DD1F4DA" w14:textId="1781451D" w:rsidR="008752C9" w:rsidRPr="003E5020" w:rsidRDefault="00DF15D6" w:rsidP="008752C9">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Поред проблема непопуњених радних места, Државно веће тужилаца у 2021. години у радном односу има 63 % (12) државних службеника и чак 37</w:t>
            </w:r>
            <w:r w:rsidRPr="003E5020">
              <w:rPr>
                <w:rFonts w:ascii="Times New Roman" w:hAnsi="Times New Roman" w:cs="Times New Roman"/>
                <w:lang w:val="sr-Latn-RS"/>
              </w:rPr>
              <w:t xml:space="preserve">% </w:t>
            </w:r>
            <w:r w:rsidRPr="003E5020">
              <w:rPr>
                <w:rFonts w:ascii="Times New Roman" w:hAnsi="Times New Roman" w:cs="Times New Roman"/>
                <w:lang w:val="sr-Cyrl-RS"/>
              </w:rPr>
              <w:t>(7) намештеника па је пожељно предузети конкретне кораке у смислу смањења броја намештеника, односно повећања броја државних службеника.</w:t>
            </w:r>
          </w:p>
          <w:p w14:paraId="5795474B" w14:textId="77777777" w:rsidR="00DF15D6" w:rsidRPr="003E5020" w:rsidRDefault="00DF15D6" w:rsidP="00FC095A">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Додатно, постоји проблем незаинтересованости потенцијалних кандидата за рад и овом органу претежно због лошег материјалног положаја запослених, што креира и додатан проблем одласка већ постојећег кадра.</w:t>
            </w:r>
          </w:p>
          <w:p w14:paraId="14DCE636" w14:textId="77777777" w:rsidR="00DF15D6" w:rsidRPr="003E5020" w:rsidRDefault="00DF15D6" w:rsidP="00FC095A">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Питање обука и стручног усавршавања, као кључног елемента за унапређење рада Државног већа тужилаца, је уређено на начин који недовољно узима у обзир специфичности овог органа, док код запослених, управо због континуираног недостатка кадра и обављања додатног посла, може да се створи демотивисаност за похађање обука.</w:t>
            </w:r>
          </w:p>
          <w:p w14:paraId="29901405" w14:textId="71DBF5DC" w:rsidR="00DF15D6" w:rsidRPr="003E5020" w:rsidRDefault="00DF15D6" w:rsidP="00FC095A">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Последице се манифестују у чињеници да Државно веће тужилаца, због континуираног и значајног мањка капацитета, отежано обавља своје Уставом дате надлежности и обавезе.</w:t>
            </w:r>
          </w:p>
          <w:p w14:paraId="1E73F1A2" w14:textId="5C49ABB8" w:rsidR="00F666C9" w:rsidRPr="003E5020" w:rsidRDefault="008752C9" w:rsidP="00FC095A">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Неадекватни просторно-технички</w:t>
            </w:r>
            <w:r w:rsidR="00F666C9" w:rsidRPr="003E5020">
              <w:rPr>
                <w:rFonts w:ascii="Times New Roman" w:hAnsi="Times New Roman" w:cs="Times New Roman"/>
                <w:lang w:val="sr-Cyrl-RS"/>
              </w:rPr>
              <w:t xml:space="preserve"> услови за рад</w:t>
            </w:r>
            <w:r w:rsidRPr="003E5020">
              <w:rPr>
                <w:rFonts w:ascii="Times New Roman" w:hAnsi="Times New Roman" w:cs="Times New Roman"/>
                <w:lang w:val="sr-Cyrl-RS"/>
              </w:rPr>
              <w:t>.</w:t>
            </w:r>
          </w:p>
          <w:p w14:paraId="38E8ABB2" w14:textId="76B969D1" w:rsidR="00D22E7B" w:rsidRPr="003E5020" w:rsidRDefault="00D22E7B" w:rsidP="00F666C9">
            <w:pPr>
              <w:spacing w:after="120"/>
              <w:ind w:left="360"/>
              <w:contextualSpacing/>
              <w:rPr>
                <w:rFonts w:ascii="Times New Roman" w:hAnsi="Times New Roman" w:cs="Times New Roman"/>
                <w:lang w:val="sr-Cyrl-RS"/>
              </w:rPr>
            </w:pPr>
          </w:p>
        </w:tc>
        <w:tc>
          <w:tcPr>
            <w:tcW w:w="5670" w:type="dxa"/>
          </w:tcPr>
          <w:p w14:paraId="510FAA4C" w14:textId="24517F68" w:rsidR="00DF15D6" w:rsidRPr="003E5020" w:rsidRDefault="002D414F" w:rsidP="000814DC">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Велика отежаност у раду Државног већа тужилаца да обавља своје Уставом утврђене надлежности.</w:t>
            </w:r>
          </w:p>
        </w:tc>
      </w:tr>
      <w:tr w:rsidR="003E5020" w:rsidRPr="003E5020" w14:paraId="3C390289" w14:textId="77777777" w:rsidTr="00096F5E">
        <w:trPr>
          <w:jc w:val="center"/>
        </w:trPr>
        <w:tc>
          <w:tcPr>
            <w:tcW w:w="1170" w:type="dxa"/>
          </w:tcPr>
          <w:p w14:paraId="1B021283" w14:textId="66A68B2B" w:rsidR="00DF15D6" w:rsidRPr="003E5020" w:rsidRDefault="00DF15D6" w:rsidP="008609AC">
            <w:pPr>
              <w:numPr>
                <w:ilvl w:val="0"/>
                <w:numId w:val="29"/>
              </w:numPr>
              <w:spacing w:after="120"/>
              <w:ind w:left="720"/>
              <w:contextualSpacing/>
              <w:jc w:val="center"/>
              <w:rPr>
                <w:rFonts w:ascii="Times New Roman" w:hAnsi="Times New Roman" w:cs="Times New Roman"/>
                <w:b/>
                <w:lang w:val="sr-Cyrl-RS"/>
              </w:rPr>
            </w:pPr>
          </w:p>
        </w:tc>
        <w:tc>
          <w:tcPr>
            <w:tcW w:w="3330" w:type="dxa"/>
          </w:tcPr>
          <w:p w14:paraId="398CEA75" w14:textId="5944589C" w:rsidR="00DF15D6" w:rsidRPr="003E5020" w:rsidRDefault="00DF15D6" w:rsidP="0044490B">
            <w:pPr>
              <w:spacing w:after="120"/>
              <w:rPr>
                <w:rFonts w:ascii="Times New Roman" w:hAnsi="Times New Roman" w:cs="Times New Roman"/>
                <w:b/>
                <w:lang w:val="sr-Cyrl-RS"/>
              </w:rPr>
            </w:pPr>
            <w:r w:rsidRPr="003E5020">
              <w:rPr>
                <w:rFonts w:ascii="Times New Roman" w:hAnsi="Times New Roman" w:cs="Times New Roman"/>
                <w:b/>
                <w:lang w:val="sr-Cyrl-RS"/>
              </w:rPr>
              <w:t>Неодговарајући инфраструктурни</w:t>
            </w:r>
            <w:r w:rsidR="00DE7FC8" w:rsidRPr="003E5020">
              <w:rPr>
                <w:rFonts w:ascii="Times New Roman" w:hAnsi="Times New Roman" w:cs="Times New Roman"/>
                <w:b/>
                <w:lang w:val="sr-Cyrl-RS"/>
              </w:rPr>
              <w:t xml:space="preserve"> и ИКТ</w:t>
            </w:r>
            <w:r w:rsidRPr="003E5020">
              <w:rPr>
                <w:rFonts w:ascii="Times New Roman" w:hAnsi="Times New Roman" w:cs="Times New Roman"/>
                <w:b/>
                <w:lang w:val="sr-Cyrl-RS"/>
              </w:rPr>
              <w:t xml:space="preserve"> капацитети за </w:t>
            </w:r>
            <w:r w:rsidR="0044490B" w:rsidRPr="003E5020">
              <w:rPr>
                <w:rFonts w:ascii="Times New Roman" w:hAnsi="Times New Roman" w:cs="Times New Roman"/>
                <w:b/>
                <w:lang w:val="sr-Cyrl-RS"/>
              </w:rPr>
              <w:t>рад судова и јавних тужилаштава</w:t>
            </w:r>
          </w:p>
        </w:tc>
        <w:tc>
          <w:tcPr>
            <w:tcW w:w="4500" w:type="dxa"/>
          </w:tcPr>
          <w:p w14:paraId="7AFA126E" w14:textId="77777777" w:rsidR="00D90271" w:rsidRPr="003E5020" w:rsidRDefault="00D90271" w:rsidP="00E80E0B">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Проблем у вези са одговарајућим условима за рад постоје и даље</w:t>
            </w:r>
          </w:p>
          <w:p w14:paraId="7B9A575F" w14:textId="2E084685" w:rsidR="00DF15D6" w:rsidRPr="003E5020" w:rsidRDefault="00D90271" w:rsidP="00E80E0B">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 У неким судовима и тужилаштвима и даље постоји проблем у вези са одговарајућим условима за рад</w:t>
            </w:r>
            <w:r w:rsidR="00DF15D6" w:rsidRPr="003E5020">
              <w:rPr>
                <w:rFonts w:ascii="Times New Roman" w:hAnsi="Times New Roman" w:cs="Times New Roman"/>
                <w:lang w:val="sr-Cyrl-RS"/>
              </w:rPr>
              <w:t xml:space="preserve">, почевши од </w:t>
            </w:r>
            <w:r w:rsidR="00182DEF" w:rsidRPr="003E5020">
              <w:rPr>
                <w:rFonts w:ascii="Times New Roman" w:hAnsi="Times New Roman" w:cs="Times New Roman"/>
                <w:lang w:val="sr-Cyrl-RS"/>
              </w:rPr>
              <w:t>службених просторија</w:t>
            </w:r>
            <w:r w:rsidR="00DF15D6" w:rsidRPr="003E5020">
              <w:rPr>
                <w:rFonts w:ascii="Times New Roman" w:hAnsi="Times New Roman" w:cs="Times New Roman"/>
                <w:lang w:val="sr-Cyrl-RS"/>
              </w:rPr>
              <w:t>/канцеларија у којима бораве и раде, преко одговарајућих модерних ИКТ система (иако је приметан напредак у последње време у погледу улагања), нерешених имовинско-правних односа, итд, што све скупа негативно утиче на учинак запослених који раде у тако неадекватним условима, а последично и на свеукупан квалитет услуга које правосуђе пружа својим грађанима.</w:t>
            </w:r>
          </w:p>
          <w:p w14:paraId="429D1D9A" w14:textId="48CA5AD3" w:rsidR="00D5680D" w:rsidRPr="003E5020" w:rsidRDefault="00D5680D" w:rsidP="00E91AFA">
            <w:pPr>
              <w:spacing w:after="120"/>
              <w:ind w:left="360"/>
              <w:contextualSpacing/>
              <w:rPr>
                <w:rFonts w:ascii="Times New Roman" w:hAnsi="Times New Roman" w:cs="Times New Roman"/>
                <w:lang w:val="sr-Cyrl-RS"/>
              </w:rPr>
            </w:pPr>
          </w:p>
        </w:tc>
        <w:tc>
          <w:tcPr>
            <w:tcW w:w="5670" w:type="dxa"/>
          </w:tcPr>
          <w:p w14:paraId="20857DD4" w14:textId="4338B5A9" w:rsidR="00DF15D6" w:rsidRPr="003E5020" w:rsidRDefault="0042192B" w:rsidP="00701DAF">
            <w:pPr>
              <w:numPr>
                <w:ilvl w:val="0"/>
                <w:numId w:val="39"/>
              </w:numPr>
              <w:spacing w:after="120"/>
              <w:contextualSpacing/>
              <w:rPr>
                <w:rFonts w:ascii="Times New Roman" w:hAnsi="Times New Roman" w:cs="Times New Roman"/>
                <w:lang w:val="sr-Cyrl-RS"/>
              </w:rPr>
            </w:pPr>
            <w:r w:rsidRPr="003E5020">
              <w:rPr>
                <w:rFonts w:ascii="Times New Roman" w:hAnsi="Times New Roman" w:cs="Times New Roman"/>
                <w:lang w:val="sr-Cyrl-RS"/>
              </w:rPr>
              <w:t xml:space="preserve">Недекватни услови за рад утичу на </w:t>
            </w:r>
            <w:r w:rsidR="00701DAF" w:rsidRPr="003E5020">
              <w:rPr>
                <w:rFonts w:ascii="Times New Roman" w:hAnsi="Times New Roman" w:cs="Times New Roman"/>
                <w:lang w:val="sr-Cyrl-RS"/>
              </w:rPr>
              <w:t>укупни</w:t>
            </w:r>
            <w:r w:rsidR="00C82330" w:rsidRPr="003E5020">
              <w:rPr>
                <w:rFonts w:ascii="Times New Roman" w:hAnsi="Times New Roman" w:cs="Times New Roman"/>
                <w:lang w:val="sr-Cyrl-RS"/>
              </w:rPr>
              <w:t xml:space="preserve"> </w:t>
            </w:r>
            <w:r w:rsidRPr="003E5020">
              <w:rPr>
                <w:rFonts w:ascii="Times New Roman" w:hAnsi="Times New Roman" w:cs="Times New Roman"/>
                <w:lang w:val="sr-Cyrl-RS"/>
              </w:rPr>
              <w:t xml:space="preserve">квалитет </w:t>
            </w:r>
            <w:r w:rsidR="00C82330" w:rsidRPr="003E5020">
              <w:rPr>
                <w:rFonts w:ascii="Times New Roman" w:hAnsi="Times New Roman" w:cs="Times New Roman"/>
                <w:lang w:val="sr-Cyrl-RS"/>
              </w:rPr>
              <w:t xml:space="preserve">рада </w:t>
            </w:r>
            <w:r w:rsidRPr="003E5020">
              <w:rPr>
                <w:rFonts w:ascii="Times New Roman" w:hAnsi="Times New Roman" w:cs="Times New Roman"/>
                <w:lang w:val="sr-Cyrl-RS"/>
              </w:rPr>
              <w:t>и имају утицај</w:t>
            </w:r>
            <w:r w:rsidR="004F74F0" w:rsidRPr="003E5020">
              <w:rPr>
                <w:rFonts w:ascii="Times New Roman" w:hAnsi="Times New Roman" w:cs="Times New Roman"/>
                <w:lang w:val="sr-Cyrl-RS"/>
              </w:rPr>
              <w:t xml:space="preserve"> на одлив кадрова из правосуђа,</w:t>
            </w:r>
            <w:r w:rsidRPr="003E5020">
              <w:rPr>
                <w:rFonts w:ascii="Times New Roman" w:hAnsi="Times New Roman" w:cs="Times New Roman"/>
                <w:lang w:val="sr-Cyrl-RS"/>
              </w:rPr>
              <w:t xml:space="preserve"> незаинтересованост кандидата за рад и развој каријере у оквиру правосудног система</w:t>
            </w:r>
            <w:r w:rsidR="00C756E4" w:rsidRPr="003E5020">
              <w:rPr>
                <w:rFonts w:ascii="Times New Roman" w:hAnsi="Times New Roman" w:cs="Times New Roman"/>
                <w:lang w:val="sr-Cyrl-RS"/>
              </w:rPr>
              <w:t>.</w:t>
            </w:r>
          </w:p>
        </w:tc>
      </w:tr>
    </w:tbl>
    <w:p w14:paraId="482F66C4" w14:textId="77777777" w:rsidR="00E80E0B" w:rsidRPr="003E5020" w:rsidRDefault="00E80E0B" w:rsidP="00AB3577">
      <w:pPr>
        <w:pStyle w:val="ListParagraph"/>
        <w:ind w:left="1571"/>
        <w:jc w:val="both"/>
        <w:rPr>
          <w:rFonts w:ascii="Times New Roman" w:hAnsi="Times New Roman" w:cs="Times New Roman"/>
          <w:sz w:val="24"/>
          <w:szCs w:val="24"/>
          <w:lang w:val="sr-Cyrl-RS"/>
        </w:rPr>
        <w:sectPr w:rsidR="00E80E0B" w:rsidRPr="003E5020" w:rsidSect="00143190">
          <w:pgSz w:w="16840" w:h="11907" w:orient="landscape" w:code="9"/>
          <w:pgMar w:top="1134" w:right="1134" w:bottom="1134" w:left="1134" w:header="720" w:footer="720" w:gutter="0"/>
          <w:cols w:space="720"/>
          <w:docGrid w:linePitch="360"/>
        </w:sectPr>
      </w:pPr>
    </w:p>
    <w:p w14:paraId="771AA769" w14:textId="77777777" w:rsidR="009B7C66" w:rsidRPr="003E5020" w:rsidRDefault="009B7C66" w:rsidP="00AB3577">
      <w:pPr>
        <w:ind w:left="851"/>
        <w:jc w:val="both"/>
        <w:rPr>
          <w:rFonts w:ascii="Times New Roman" w:hAnsi="Times New Roman" w:cs="Times New Roman"/>
          <w:sz w:val="24"/>
          <w:szCs w:val="24"/>
          <w:lang w:val="sr-Cyrl-RS"/>
        </w:rPr>
      </w:pPr>
    </w:p>
    <w:p w14:paraId="5A90DC99" w14:textId="77777777" w:rsidR="009B7C66" w:rsidRPr="003E5020" w:rsidRDefault="009B7C66" w:rsidP="00AB3577">
      <w:pPr>
        <w:ind w:left="851"/>
        <w:jc w:val="both"/>
        <w:rPr>
          <w:rFonts w:ascii="Times New Roman" w:hAnsi="Times New Roman" w:cs="Times New Roman"/>
          <w:sz w:val="24"/>
          <w:szCs w:val="24"/>
          <w:lang w:val="sr-Cyrl-RS"/>
        </w:rPr>
      </w:pPr>
    </w:p>
    <w:p w14:paraId="56EB066B" w14:textId="0B624274"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системски карактер и тежину горе описаних проблема, као и готово извесне последице у случају </w:t>
      </w:r>
      <w:r w:rsidRPr="003E5020">
        <w:rPr>
          <w:rFonts w:ascii="Times New Roman" w:hAnsi="Times New Roman" w:cs="Times New Roman"/>
          <w:i/>
          <w:sz w:val="24"/>
          <w:szCs w:val="24"/>
          <w:lang w:val="sr-Cyrl-RS"/>
        </w:rPr>
        <w:t>status quo</w:t>
      </w:r>
      <w:r w:rsidRPr="003E5020">
        <w:rPr>
          <w:rFonts w:ascii="Times New Roman" w:hAnsi="Times New Roman" w:cs="Times New Roman"/>
          <w:sz w:val="24"/>
          <w:szCs w:val="24"/>
          <w:lang w:val="sr-Cyrl-RS"/>
        </w:rPr>
        <w:t>, апсолутно је неопходно и једино могуће наведене проблеме решавати предузимањем широког спектра међусобно повезаних мера и активности у дужем временском периоду, који, ни у ком случају, не може бити краћи од пет (5) календарских година. Стога је потребно утврдити целовит стратешки правац деловања у области људских ресурса у правосуђу, који ће у свему бити комплементаран стратешком правцу који је зацртан Стратегиј</w:t>
      </w:r>
      <w:r w:rsidR="00BA0276" w:rsidRPr="003E5020">
        <w:rPr>
          <w:rFonts w:ascii="Times New Roman" w:hAnsi="Times New Roman" w:cs="Times New Roman"/>
          <w:sz w:val="24"/>
          <w:szCs w:val="24"/>
          <w:lang w:val="sr-Cyrl-RS"/>
        </w:rPr>
        <w:t>ом</w:t>
      </w:r>
      <w:r w:rsidRPr="003E5020">
        <w:rPr>
          <w:rFonts w:ascii="Times New Roman" w:hAnsi="Times New Roman" w:cs="Times New Roman"/>
          <w:sz w:val="24"/>
          <w:szCs w:val="24"/>
          <w:lang w:val="sr-Cyrl-RS"/>
        </w:rPr>
        <w:t xml:space="preserve"> развоја правосуђа за период 20</w:t>
      </w:r>
      <w:r w:rsidR="00BA027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BA027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као „кровним</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стратешким документом. </w:t>
      </w:r>
    </w:p>
    <w:p w14:paraId="11621941" w14:textId="77777777" w:rsidR="00AB3577" w:rsidRPr="003E5020" w:rsidRDefault="00AB3577" w:rsidP="00AB3577">
      <w:pPr>
        <w:ind w:left="851"/>
        <w:jc w:val="both"/>
        <w:rPr>
          <w:rFonts w:ascii="Times New Roman" w:hAnsi="Times New Roman" w:cs="Times New Roman"/>
          <w:sz w:val="24"/>
          <w:szCs w:val="24"/>
          <w:lang w:val="sr-Cyrl-RS"/>
        </w:rPr>
      </w:pPr>
    </w:p>
    <w:p w14:paraId="7B6F990B" w14:textId="5676471F"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Петогодишњи временски период за спровођење Стратегије је одређен на основу сагледавања сваке од мера и активности које су неопходне и, као такве, предвиђене за остварење посебних циљева Стратегије</w:t>
      </w:r>
      <w:r w:rsidRPr="003E5020">
        <w:rPr>
          <w:rStyle w:val="FootnoteReference"/>
          <w:rFonts w:ascii="Times New Roman" w:hAnsi="Times New Roman" w:cs="Times New Roman"/>
          <w:sz w:val="24"/>
          <w:szCs w:val="24"/>
          <w:lang w:val="sr-Cyrl-RS"/>
        </w:rPr>
        <w:footnoteReference w:id="3"/>
      </w:r>
      <w:r w:rsidRPr="003E5020">
        <w:rPr>
          <w:rFonts w:ascii="Times New Roman" w:hAnsi="Times New Roman" w:cs="Times New Roman"/>
          <w:sz w:val="24"/>
          <w:szCs w:val="24"/>
          <w:lang w:val="sr-Cyrl-RS"/>
        </w:rPr>
        <w:t xml:space="preserve"> што, између осталог, укључује и спровођење различитих врста анализа чији ће резултати за последицу имати одговарајућу промену постојећег правног оквира, укључујући и очекиване уставне промене у сектору правосуђа, </w:t>
      </w:r>
      <w:r w:rsidR="00394755" w:rsidRPr="003E5020">
        <w:rPr>
          <w:rFonts w:ascii="Times New Roman" w:hAnsi="Times New Roman" w:cs="Times New Roman"/>
          <w:sz w:val="24"/>
          <w:szCs w:val="24"/>
          <w:lang w:val="sr-Cyrl-RS"/>
        </w:rPr>
        <w:t xml:space="preserve">као и </w:t>
      </w:r>
      <w:r w:rsidRPr="003E5020">
        <w:rPr>
          <w:rFonts w:ascii="Times New Roman" w:hAnsi="Times New Roman" w:cs="Times New Roman"/>
          <w:sz w:val="24"/>
          <w:szCs w:val="24"/>
          <w:lang w:val="sr-Cyrl-RS"/>
        </w:rPr>
        <w:t>пратеће промене закона и подзаконских аката.</w:t>
      </w:r>
    </w:p>
    <w:p w14:paraId="034F3150" w14:textId="77777777" w:rsidR="00AB3577" w:rsidRPr="003E5020" w:rsidRDefault="00AB3577" w:rsidP="00AB3577">
      <w:pPr>
        <w:ind w:left="851"/>
        <w:jc w:val="both"/>
        <w:rPr>
          <w:rFonts w:ascii="Times New Roman" w:hAnsi="Times New Roman" w:cs="Times New Roman"/>
          <w:sz w:val="24"/>
          <w:szCs w:val="24"/>
          <w:lang w:val="sr-Cyrl-RS"/>
        </w:rPr>
      </w:pPr>
    </w:p>
    <w:p w14:paraId="10237659" w14:textId="2540CFE0"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да је у питању стратешки документ који се заснива на Стратегиј</w:t>
      </w:r>
      <w:r w:rsidR="00BA0276"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развоја правосуђа 20</w:t>
      </w:r>
      <w:r w:rsidR="00BA027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BA027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 и допуњује га у делу који се тиче „људског фактора</w:t>
      </w:r>
      <w:r w:rsidR="00701BFF">
        <w:rPr>
          <w:rFonts w:ascii="Times New Roman" w:hAnsi="Times New Roman" w:cs="Times New Roman"/>
          <w:sz w:val="24"/>
          <w:szCs w:val="24"/>
          <w:lang w:val="sr-Cyrl-RS"/>
        </w:rPr>
        <w:t>ˮ</w:t>
      </w:r>
      <w:r w:rsidRPr="003E5020">
        <w:rPr>
          <w:rStyle w:val="FootnoteReference"/>
          <w:rFonts w:ascii="Times New Roman" w:hAnsi="Times New Roman" w:cs="Times New Roman"/>
          <w:sz w:val="24"/>
          <w:szCs w:val="24"/>
          <w:lang w:val="sr-Cyrl-RS"/>
        </w:rPr>
        <w:footnoteReference w:id="4"/>
      </w:r>
      <w:r w:rsidRPr="003E5020">
        <w:rPr>
          <w:rFonts w:ascii="Times New Roman" w:hAnsi="Times New Roman" w:cs="Times New Roman"/>
          <w:sz w:val="24"/>
          <w:szCs w:val="24"/>
          <w:lang w:val="sr-Cyrl-RS"/>
        </w:rPr>
        <w:t>, период важења Стратегије се углавном подудара са периодом Стратегије развоја правосуђа 20</w:t>
      </w:r>
      <w:r w:rsidR="00BA027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BA027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w:t>
      </w:r>
    </w:p>
    <w:p w14:paraId="3B7FF539" w14:textId="77777777" w:rsidR="00AB3577" w:rsidRPr="003E5020" w:rsidRDefault="00AB3577" w:rsidP="00AB3577">
      <w:pPr>
        <w:ind w:left="851"/>
        <w:jc w:val="both"/>
        <w:rPr>
          <w:rFonts w:ascii="Times New Roman" w:hAnsi="Times New Roman" w:cs="Times New Roman"/>
          <w:sz w:val="24"/>
          <w:szCs w:val="24"/>
          <w:lang w:val="sr-Cyrl-RS"/>
        </w:rPr>
      </w:pPr>
    </w:p>
    <w:p w14:paraId="36EF61BA" w14:textId="495233DA"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Усвајање Стратегије је, такође, предвиђено Акционим планом за </w:t>
      </w:r>
      <w:r w:rsidR="00CD3F51" w:rsidRPr="003E5020">
        <w:rPr>
          <w:rFonts w:ascii="Times New Roman" w:hAnsi="Times New Roman" w:cs="Times New Roman"/>
          <w:sz w:val="24"/>
          <w:szCs w:val="24"/>
          <w:lang w:val="sr-Cyrl-RS"/>
        </w:rPr>
        <w:t>П</w:t>
      </w:r>
      <w:r w:rsidRPr="003E5020">
        <w:rPr>
          <w:rFonts w:ascii="Times New Roman" w:hAnsi="Times New Roman" w:cs="Times New Roman"/>
          <w:sz w:val="24"/>
          <w:szCs w:val="24"/>
          <w:lang w:val="sr-Cyrl-RS"/>
        </w:rPr>
        <w:t xml:space="preserve">оглавље 23, који, у тачки 1.3.4.2 </w:t>
      </w:r>
      <w:r w:rsidR="004071E1" w:rsidRPr="003E5020">
        <w:rPr>
          <w:rFonts w:ascii="Times New Roman" w:hAnsi="Times New Roman" w:cs="Times New Roman"/>
          <w:sz w:val="24"/>
          <w:szCs w:val="24"/>
          <w:lang w:val="sr-Cyrl-RS"/>
        </w:rPr>
        <w:t xml:space="preserve">и 1.3.4.3. </w:t>
      </w:r>
      <w:r w:rsidRPr="003E5020">
        <w:rPr>
          <w:rFonts w:ascii="Times New Roman" w:hAnsi="Times New Roman" w:cs="Times New Roman"/>
          <w:sz w:val="24"/>
          <w:szCs w:val="24"/>
          <w:lang w:val="sr-Cyrl-RS"/>
        </w:rPr>
        <w:t xml:space="preserve">предвиђа </w:t>
      </w:r>
      <w:r w:rsidR="003362C2" w:rsidRPr="003E5020">
        <w:rPr>
          <w:rFonts w:ascii="Times New Roman" w:hAnsi="Times New Roman" w:cs="Times New Roman"/>
          <w:sz w:val="24"/>
          <w:szCs w:val="24"/>
          <w:lang w:val="sr-Cyrl-RS"/>
        </w:rPr>
        <w:t>финализацију</w:t>
      </w:r>
      <w:r w:rsidR="004071E1" w:rsidRPr="003E5020">
        <w:rPr>
          <w:rFonts w:ascii="Times New Roman" w:hAnsi="Times New Roman" w:cs="Times New Roman"/>
          <w:sz w:val="24"/>
          <w:szCs w:val="24"/>
          <w:lang w:val="sr-Cyrl-RS"/>
        </w:rPr>
        <w:t xml:space="preserve"> и увајање </w:t>
      </w:r>
      <w:r w:rsidRPr="003E5020">
        <w:rPr>
          <w:rFonts w:ascii="Times New Roman" w:hAnsi="Times New Roman" w:cs="Times New Roman"/>
          <w:sz w:val="24"/>
          <w:szCs w:val="24"/>
          <w:lang w:val="sr-Cyrl-RS"/>
        </w:rPr>
        <w:t xml:space="preserve">средњорочне стратегије људских ресурса за правосуђе која ће, између осталог, обухватити следећа питања: број и структуру носилаца правосудних функција; статус, број и структуру судијских сарадника и јавнотужилачких помоћника; управљање, број и професионалну структуру административног особља у правосуђу. </w:t>
      </w:r>
    </w:p>
    <w:p w14:paraId="1884E421" w14:textId="77777777" w:rsidR="00AB3577" w:rsidRPr="003E5020" w:rsidRDefault="00AB3577" w:rsidP="00AB3577">
      <w:pPr>
        <w:ind w:left="851"/>
        <w:jc w:val="both"/>
        <w:rPr>
          <w:rFonts w:ascii="Times New Roman" w:hAnsi="Times New Roman" w:cs="Times New Roman"/>
          <w:sz w:val="24"/>
          <w:szCs w:val="24"/>
          <w:lang w:val="sr-Cyrl-RS"/>
        </w:rPr>
      </w:pPr>
    </w:p>
    <w:p w14:paraId="3D308B5F" w14:textId="355FF13F"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јасну надлежност у предметној области, иницијативу за израду и </w:t>
      </w:r>
      <w:r w:rsidR="0008558B" w:rsidRPr="003E5020">
        <w:rPr>
          <w:rFonts w:ascii="Times New Roman" w:hAnsi="Times New Roman" w:cs="Times New Roman"/>
          <w:sz w:val="24"/>
          <w:szCs w:val="24"/>
          <w:lang w:val="sr-Cyrl-RS"/>
        </w:rPr>
        <w:t xml:space="preserve">усвајање </w:t>
      </w:r>
      <w:r w:rsidRPr="003E5020">
        <w:rPr>
          <w:rFonts w:ascii="Times New Roman" w:hAnsi="Times New Roman" w:cs="Times New Roman"/>
          <w:sz w:val="24"/>
          <w:szCs w:val="24"/>
          <w:lang w:val="sr-Cyrl-RS"/>
        </w:rPr>
        <w:t>Стратегије је преузело Министарство правде</w:t>
      </w:r>
      <w:r w:rsidR="009F37FD" w:rsidRPr="003E5020">
        <w:rPr>
          <w:rFonts w:ascii="Times New Roman" w:hAnsi="Times New Roman" w:cs="Times New Roman"/>
          <w:sz w:val="24"/>
          <w:szCs w:val="24"/>
          <w:lang w:val="sr-Cyrl-RS"/>
        </w:rPr>
        <w:t xml:space="preserve"> Републике Србије</w:t>
      </w:r>
      <w:r w:rsidRPr="003E5020">
        <w:rPr>
          <w:rFonts w:ascii="Times New Roman" w:hAnsi="Times New Roman" w:cs="Times New Roman"/>
          <w:sz w:val="24"/>
          <w:szCs w:val="24"/>
          <w:lang w:val="sr-Cyrl-RS"/>
        </w:rPr>
        <w:t xml:space="preserve">. </w:t>
      </w:r>
    </w:p>
    <w:p w14:paraId="0A5F9CFF" w14:textId="77777777" w:rsidR="00AB3577" w:rsidRPr="003E5020" w:rsidRDefault="00AB3577" w:rsidP="00AB3577">
      <w:pPr>
        <w:ind w:left="851"/>
        <w:jc w:val="both"/>
        <w:rPr>
          <w:rFonts w:ascii="Times New Roman" w:hAnsi="Times New Roman" w:cs="Times New Roman"/>
          <w:sz w:val="24"/>
          <w:szCs w:val="24"/>
          <w:lang w:val="sr-Cyrl-RS"/>
        </w:rPr>
      </w:pPr>
    </w:p>
    <w:p w14:paraId="1116A22E" w14:textId="63B84D22" w:rsidR="00AB3577" w:rsidRPr="003E5020" w:rsidRDefault="00AB3577" w:rsidP="00AB357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Решењем Министарства правде</w:t>
      </w:r>
      <w:r w:rsidR="009F37FD" w:rsidRPr="003E5020">
        <w:rPr>
          <w:rFonts w:ascii="Times New Roman" w:hAnsi="Times New Roman" w:cs="Times New Roman"/>
          <w:sz w:val="24"/>
          <w:szCs w:val="24"/>
          <w:lang w:val="sr-Cyrl-RS"/>
        </w:rPr>
        <w:t xml:space="preserve"> Републике Србије</w:t>
      </w:r>
      <w:r w:rsidRPr="003E5020">
        <w:rPr>
          <w:rFonts w:ascii="Times New Roman" w:hAnsi="Times New Roman" w:cs="Times New Roman"/>
          <w:sz w:val="24"/>
          <w:szCs w:val="24"/>
          <w:lang w:val="sr-Cyrl-RS"/>
        </w:rPr>
        <w:t>, број: 119-00058/2019-06, од 29. маја 2019. године, које је донето на основу овлашћења министра правде из члана 23 став 2 Закона о државној управи и Уредбе о начелима за унутрашње уређење и систематизацију радних места у министарствима, посебним организацијама и службама Владе, основана је Pадна група за израду средњорочне Стратегије људских ресурса за правосуђе, састављена од представника Министарства правде</w:t>
      </w:r>
      <w:r w:rsidR="009F37FD" w:rsidRPr="003E5020">
        <w:rPr>
          <w:rFonts w:ascii="Times New Roman" w:hAnsi="Times New Roman" w:cs="Times New Roman"/>
          <w:sz w:val="24"/>
          <w:szCs w:val="24"/>
          <w:lang w:val="sr-Cyrl-RS"/>
        </w:rPr>
        <w:t xml:space="preserve"> Републике Србије</w:t>
      </w:r>
      <w:r w:rsidRPr="003E5020">
        <w:rPr>
          <w:rFonts w:ascii="Times New Roman" w:hAnsi="Times New Roman" w:cs="Times New Roman"/>
          <w:sz w:val="24"/>
          <w:szCs w:val="24"/>
          <w:lang w:val="sr-Cyrl-RS"/>
        </w:rPr>
        <w:t>, Правосудне академије, Високог савета судства, Државног већа тужиоца, Вишег суда у Београду, Вишег јавног тужилаштва у Београду и Прекршајног суда у Београду (у даљем тексту: „</w:t>
      </w:r>
      <w:r w:rsidRPr="003E5020">
        <w:rPr>
          <w:rFonts w:ascii="Times New Roman" w:hAnsi="Times New Roman" w:cs="Times New Roman"/>
          <w:b/>
          <w:sz w:val="24"/>
          <w:szCs w:val="24"/>
          <w:lang w:val="sr-Cyrl-RS"/>
        </w:rPr>
        <w:t>Радна група</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w:t>
      </w:r>
      <w:r w:rsidR="007E5C6E" w:rsidRPr="003E5020">
        <w:rPr>
          <w:rStyle w:val="FootnoteReference"/>
          <w:rFonts w:ascii="Times New Roman" w:hAnsi="Times New Roman" w:cs="Times New Roman"/>
          <w:sz w:val="24"/>
          <w:szCs w:val="24"/>
          <w:lang w:val="sr-Cyrl-RS"/>
        </w:rPr>
        <w:footnoteReference w:id="5"/>
      </w:r>
      <w:r w:rsidRPr="003E5020">
        <w:rPr>
          <w:rFonts w:ascii="Times New Roman" w:hAnsi="Times New Roman" w:cs="Times New Roman"/>
          <w:sz w:val="24"/>
          <w:szCs w:val="24"/>
          <w:lang w:val="sr-Cyrl-RS"/>
        </w:rPr>
        <w:t>. Радна група, у процесу израде Стратегије, разматра прикупљене анализе, предлоге и сугестије домаћих и иностраних актера.</w:t>
      </w:r>
    </w:p>
    <w:p w14:paraId="2C587363" w14:textId="465ABC1A" w:rsidR="00AB3577" w:rsidRPr="003E5020" w:rsidRDefault="00AB3577" w:rsidP="00AB3577">
      <w:pPr>
        <w:jc w:val="both"/>
        <w:rPr>
          <w:rFonts w:ascii="Times New Roman" w:hAnsi="Times New Roman" w:cs="Times New Roman"/>
          <w:sz w:val="24"/>
          <w:szCs w:val="24"/>
          <w:lang w:val="sr-Cyrl-RS"/>
        </w:rPr>
      </w:pPr>
    </w:p>
    <w:p w14:paraId="4087C0EB" w14:textId="69398AAB" w:rsidR="00955F36" w:rsidRPr="003E5020" w:rsidRDefault="00B67C4F">
      <w:pPr>
        <w:pStyle w:val="Heading2"/>
        <w:numPr>
          <w:ilvl w:val="1"/>
          <w:numId w:val="1"/>
        </w:numPr>
        <w:spacing w:before="0"/>
        <w:ind w:hanging="792"/>
        <w:jc w:val="both"/>
        <w:rPr>
          <w:rFonts w:ascii="Times New Roman" w:hAnsi="Times New Roman" w:cs="Times New Roman"/>
          <w:color w:val="auto"/>
          <w:sz w:val="24"/>
          <w:szCs w:val="24"/>
          <w:lang w:val="sr-Cyrl-RS"/>
        </w:rPr>
      </w:pPr>
      <w:bookmarkStart w:id="5" w:name="_Toc84778618"/>
      <w:r w:rsidRPr="003E5020">
        <w:rPr>
          <w:rFonts w:ascii="Times New Roman" w:hAnsi="Times New Roman" w:cs="Times New Roman"/>
          <w:color w:val="auto"/>
          <w:sz w:val="24"/>
          <w:szCs w:val="24"/>
          <w:lang w:val="sr-Cyrl-RS"/>
        </w:rPr>
        <w:t>И</w:t>
      </w:r>
      <w:r w:rsidR="00B77656" w:rsidRPr="003E5020">
        <w:rPr>
          <w:rFonts w:ascii="Times New Roman" w:hAnsi="Times New Roman" w:cs="Times New Roman"/>
          <w:color w:val="auto"/>
          <w:sz w:val="24"/>
          <w:szCs w:val="24"/>
          <w:lang w:val="sr-Cyrl-RS"/>
        </w:rPr>
        <w:t xml:space="preserve">нституције </w:t>
      </w:r>
      <w:r w:rsidRPr="003E5020">
        <w:rPr>
          <w:rFonts w:ascii="Times New Roman" w:hAnsi="Times New Roman" w:cs="Times New Roman"/>
          <w:color w:val="auto"/>
          <w:sz w:val="24"/>
          <w:szCs w:val="24"/>
          <w:lang w:val="sr-Cyrl-RS"/>
        </w:rPr>
        <w:t xml:space="preserve">укључене </w:t>
      </w:r>
      <w:r w:rsidR="00B77656" w:rsidRPr="003E5020">
        <w:rPr>
          <w:rFonts w:ascii="Times New Roman" w:hAnsi="Times New Roman" w:cs="Times New Roman"/>
          <w:color w:val="auto"/>
          <w:sz w:val="24"/>
          <w:szCs w:val="24"/>
          <w:lang w:val="sr-Cyrl-RS"/>
        </w:rPr>
        <w:t xml:space="preserve">у </w:t>
      </w:r>
      <w:r w:rsidR="0008558B" w:rsidRPr="003E5020">
        <w:rPr>
          <w:rFonts w:ascii="Times New Roman" w:hAnsi="Times New Roman" w:cs="Times New Roman"/>
          <w:color w:val="auto"/>
          <w:sz w:val="24"/>
          <w:szCs w:val="24"/>
          <w:lang w:val="sr-Cyrl-RS"/>
        </w:rPr>
        <w:t xml:space="preserve">израду </w:t>
      </w:r>
      <w:r w:rsidR="00B77656" w:rsidRPr="003E5020">
        <w:rPr>
          <w:rFonts w:ascii="Times New Roman" w:hAnsi="Times New Roman" w:cs="Times New Roman"/>
          <w:color w:val="auto"/>
          <w:sz w:val="24"/>
          <w:szCs w:val="24"/>
          <w:lang w:val="sr-Cyrl-RS"/>
        </w:rPr>
        <w:t>Стратегије</w:t>
      </w:r>
      <w:bookmarkEnd w:id="5"/>
    </w:p>
    <w:p w14:paraId="3300D508" w14:textId="77777777" w:rsidR="00955F36" w:rsidRPr="003E5020" w:rsidRDefault="00955F36">
      <w:pPr>
        <w:jc w:val="both"/>
        <w:rPr>
          <w:rFonts w:ascii="Times New Roman" w:hAnsi="Times New Roman" w:cs="Times New Roman"/>
          <w:sz w:val="24"/>
          <w:szCs w:val="24"/>
          <w:lang w:val="sr-Cyrl-RS"/>
        </w:rPr>
      </w:pPr>
    </w:p>
    <w:p w14:paraId="41F96FB2" w14:textId="4699D04D" w:rsidR="00C61C2B" w:rsidRPr="003E5020" w:rsidRDefault="00CC402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Институције Републике Србије које су биле укључене у израду </w:t>
      </w:r>
      <w:r w:rsidR="0008558B" w:rsidRPr="003E5020">
        <w:rPr>
          <w:rFonts w:ascii="Times New Roman" w:hAnsi="Times New Roman" w:cs="Times New Roman"/>
          <w:sz w:val="24"/>
          <w:szCs w:val="24"/>
          <w:lang w:val="sr-Cyrl-RS"/>
        </w:rPr>
        <w:t xml:space="preserve">Стратегије </w:t>
      </w:r>
      <w:r w:rsidRPr="003E5020">
        <w:rPr>
          <w:rFonts w:ascii="Times New Roman" w:hAnsi="Times New Roman" w:cs="Times New Roman"/>
          <w:sz w:val="24"/>
          <w:szCs w:val="24"/>
          <w:lang w:val="sr-Cyrl-RS"/>
        </w:rPr>
        <w:t>су, како следи:</w:t>
      </w:r>
    </w:p>
    <w:p w14:paraId="193EC6B3" w14:textId="77777777" w:rsidR="00CC4022" w:rsidRPr="003E5020" w:rsidRDefault="00CC4022">
      <w:pPr>
        <w:jc w:val="both"/>
        <w:rPr>
          <w:rFonts w:ascii="Times New Roman" w:hAnsi="Times New Roman" w:cs="Times New Roman"/>
          <w:sz w:val="24"/>
          <w:szCs w:val="24"/>
          <w:lang w:val="sr-Cyrl-RS"/>
        </w:rPr>
      </w:pPr>
    </w:p>
    <w:p w14:paraId="18597C00" w14:textId="6A7CE3AF" w:rsidR="00CC4022" w:rsidRPr="003E5020" w:rsidRDefault="00CC4022">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правде</w:t>
      </w:r>
      <w:r w:rsidR="00E91AFA" w:rsidRPr="003E5020">
        <w:rPr>
          <w:rFonts w:ascii="Times New Roman" w:hAnsi="Times New Roman" w:cs="Times New Roman"/>
          <w:sz w:val="24"/>
          <w:szCs w:val="24"/>
          <w:lang w:val="sr-Cyrl-RS"/>
        </w:rPr>
        <w:t xml:space="preserve"> Републике Србије </w:t>
      </w:r>
      <w:r w:rsidR="009F37FD" w:rsidRPr="003E5020">
        <w:rPr>
          <w:rFonts w:ascii="Times New Roman" w:hAnsi="Times New Roman" w:cs="Times New Roman"/>
          <w:sz w:val="24"/>
          <w:szCs w:val="24"/>
          <w:lang w:val="sr-Cyrl-RS"/>
        </w:rPr>
        <w:t>(у даљем тексту: „</w:t>
      </w:r>
      <w:r w:rsidR="009F37FD" w:rsidRPr="003E5020">
        <w:rPr>
          <w:rFonts w:ascii="Times New Roman" w:hAnsi="Times New Roman" w:cs="Times New Roman"/>
          <w:b/>
          <w:bCs/>
          <w:sz w:val="24"/>
          <w:szCs w:val="24"/>
          <w:lang w:val="sr-Cyrl-RS"/>
        </w:rPr>
        <w:t>Министарство правде</w:t>
      </w:r>
      <w:r w:rsidR="00701BFF">
        <w:rPr>
          <w:rFonts w:ascii="Times New Roman" w:hAnsi="Times New Roman" w:cs="Times New Roman"/>
          <w:sz w:val="24"/>
          <w:szCs w:val="24"/>
          <w:lang w:val="sr-Cyrl-RS"/>
        </w:rPr>
        <w:t>ˮ</w:t>
      </w:r>
      <w:r w:rsidR="009F37FD"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w:t>
      </w:r>
    </w:p>
    <w:p w14:paraId="46D2B4A4" w14:textId="77777777" w:rsidR="00411E27" w:rsidRPr="003E5020" w:rsidRDefault="00411E27">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Високи савет судства,</w:t>
      </w:r>
    </w:p>
    <w:p w14:paraId="192F6D01" w14:textId="77777777" w:rsidR="005165D2" w:rsidRPr="003E5020" w:rsidRDefault="005165D2">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Државно веће тужилаца,</w:t>
      </w:r>
    </w:p>
    <w:p w14:paraId="4B388C8B" w14:textId="05071CF5" w:rsidR="00AD146A" w:rsidRPr="003E5020" w:rsidRDefault="00AD146A">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Врховни касациони суд,</w:t>
      </w:r>
    </w:p>
    <w:p w14:paraId="578F168F" w14:textId="77777777" w:rsidR="00411E27" w:rsidRPr="003E5020" w:rsidRDefault="00411E27">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Републичко јавно тужилаштво, </w:t>
      </w:r>
    </w:p>
    <w:p w14:paraId="525BAF13" w14:textId="225338FE" w:rsidR="00CC4022" w:rsidRPr="003E5020" w:rsidRDefault="00CC4022">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Правосудна академија</w:t>
      </w:r>
      <w:r w:rsidR="000061FD" w:rsidRPr="003E5020">
        <w:rPr>
          <w:rFonts w:ascii="Times New Roman" w:hAnsi="Times New Roman" w:cs="Times New Roman"/>
          <w:sz w:val="24"/>
          <w:szCs w:val="24"/>
          <w:lang w:val="sr-Cyrl-RS"/>
        </w:rPr>
        <w:t>.</w:t>
      </w:r>
    </w:p>
    <w:p w14:paraId="3949791E" w14:textId="77777777" w:rsidR="00CC4022" w:rsidRPr="003E5020" w:rsidRDefault="00CC4022">
      <w:pPr>
        <w:jc w:val="both"/>
        <w:rPr>
          <w:rFonts w:ascii="Times New Roman" w:hAnsi="Times New Roman" w:cs="Times New Roman"/>
          <w:sz w:val="24"/>
          <w:szCs w:val="24"/>
          <w:lang w:val="sr-Cyrl-RS"/>
        </w:rPr>
      </w:pPr>
    </w:p>
    <w:p w14:paraId="3F03F33A" w14:textId="4DE50912" w:rsidR="00E906FE" w:rsidRPr="003E5020" w:rsidRDefault="007C5CE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Организационо-технички послови око израде Стратегије су поверени Радној групи за израду Стратегије, како је наведено у тачки </w:t>
      </w:r>
      <w:hyperlink w:anchor="_Правни_основ_за" w:history="1">
        <w:r w:rsidRPr="003E5020">
          <w:rPr>
            <w:rStyle w:val="Hyperlink"/>
            <w:rFonts w:ascii="Times New Roman" w:hAnsi="Times New Roman" w:cs="Times New Roman"/>
            <w:color w:val="auto"/>
            <w:sz w:val="24"/>
            <w:szCs w:val="24"/>
            <w:lang w:val="sr-Cyrl-RS"/>
          </w:rPr>
          <w:t>1.1</w:t>
        </w:r>
      </w:hyperlink>
      <w:r w:rsidR="0096477B" w:rsidRPr="003E5020">
        <w:rPr>
          <w:rFonts w:ascii="Times New Roman" w:hAnsi="Times New Roman" w:cs="Times New Roman"/>
          <w:sz w:val="24"/>
          <w:szCs w:val="24"/>
          <w:lang w:val="sr-Cyrl-RS"/>
        </w:rPr>
        <w:t xml:space="preserve"> -</w:t>
      </w:r>
      <w:r w:rsidR="0080067B" w:rsidRPr="003E5020">
        <w:rPr>
          <w:rFonts w:ascii="Times New Roman" w:hAnsi="Times New Roman" w:cs="Times New Roman"/>
          <w:sz w:val="24"/>
          <w:szCs w:val="24"/>
          <w:lang w:val="sr-Cyrl-RS"/>
        </w:rPr>
        <w:t xml:space="preserve"> </w:t>
      </w:r>
      <w:r w:rsidR="0096477B" w:rsidRPr="003E5020">
        <w:rPr>
          <w:rFonts w:ascii="Times New Roman" w:hAnsi="Times New Roman" w:cs="Times New Roman"/>
          <w:i/>
          <w:sz w:val="24"/>
          <w:szCs w:val="24"/>
          <w:lang w:val="sr-Cyrl-RS"/>
        </w:rPr>
        <w:t>П</w:t>
      </w:r>
      <w:r w:rsidRPr="003E5020">
        <w:rPr>
          <w:rFonts w:ascii="Times New Roman" w:hAnsi="Times New Roman" w:cs="Times New Roman"/>
          <w:i/>
          <w:sz w:val="24"/>
          <w:szCs w:val="24"/>
          <w:lang w:val="sr-Cyrl-RS"/>
        </w:rPr>
        <w:t>равни основ за Стратегију</w:t>
      </w:r>
      <w:r w:rsidR="0096477B" w:rsidRPr="003E5020">
        <w:rPr>
          <w:rFonts w:ascii="Times New Roman" w:hAnsi="Times New Roman" w:cs="Times New Roman"/>
          <w:sz w:val="24"/>
          <w:szCs w:val="24"/>
          <w:lang w:val="sr-Cyrl-RS"/>
        </w:rPr>
        <w:t xml:space="preserve"> документа.</w:t>
      </w:r>
    </w:p>
    <w:p w14:paraId="6699D98B" w14:textId="0933409A" w:rsidR="00875B2B" w:rsidRPr="003E5020" w:rsidRDefault="00875B2B">
      <w:pPr>
        <w:ind w:left="851"/>
        <w:jc w:val="both"/>
        <w:rPr>
          <w:rFonts w:ascii="Times New Roman" w:hAnsi="Times New Roman" w:cs="Times New Roman"/>
          <w:sz w:val="24"/>
          <w:szCs w:val="24"/>
          <w:lang w:val="sr-Cyrl-RS"/>
        </w:rPr>
      </w:pPr>
    </w:p>
    <w:p w14:paraId="0E41F91D" w14:textId="77777777" w:rsidR="00875B2B" w:rsidRPr="003E5020" w:rsidRDefault="00875B2B">
      <w:pPr>
        <w:ind w:left="851"/>
        <w:jc w:val="both"/>
        <w:rPr>
          <w:rFonts w:ascii="Times New Roman" w:hAnsi="Times New Roman" w:cs="Times New Roman"/>
          <w:sz w:val="24"/>
          <w:szCs w:val="24"/>
          <w:lang w:val="sr-Cyrl-RS"/>
        </w:rPr>
      </w:pPr>
    </w:p>
    <w:p w14:paraId="7207FB11" w14:textId="4533ED29" w:rsidR="00B84B0B" w:rsidRPr="003E5020" w:rsidRDefault="00082255">
      <w:pPr>
        <w:pStyle w:val="Heading2"/>
        <w:numPr>
          <w:ilvl w:val="1"/>
          <w:numId w:val="1"/>
        </w:numPr>
        <w:spacing w:before="0"/>
        <w:ind w:hanging="792"/>
        <w:jc w:val="both"/>
        <w:rPr>
          <w:rFonts w:ascii="Times New Roman" w:hAnsi="Times New Roman" w:cs="Times New Roman"/>
          <w:color w:val="auto"/>
          <w:sz w:val="24"/>
          <w:szCs w:val="24"/>
          <w:lang w:val="sr-Cyrl-RS"/>
        </w:rPr>
      </w:pPr>
      <w:bookmarkStart w:id="6" w:name="_Toc84778619"/>
      <w:r w:rsidRPr="003E5020">
        <w:rPr>
          <w:rFonts w:ascii="Times New Roman" w:hAnsi="Times New Roman" w:cs="Times New Roman"/>
          <w:color w:val="auto"/>
          <w:sz w:val="24"/>
          <w:szCs w:val="24"/>
          <w:lang w:val="sr-Cyrl-RS"/>
        </w:rPr>
        <w:t>Циљна група Стратегије</w:t>
      </w:r>
      <w:bookmarkEnd w:id="6"/>
    </w:p>
    <w:p w14:paraId="741E21B2" w14:textId="35A57D0D" w:rsidR="00082255" w:rsidRPr="003E5020" w:rsidRDefault="00082255">
      <w:pPr>
        <w:jc w:val="both"/>
        <w:rPr>
          <w:rFonts w:ascii="Times New Roman" w:hAnsi="Times New Roman" w:cs="Times New Roman"/>
          <w:sz w:val="24"/>
          <w:szCs w:val="24"/>
          <w:lang w:val="sr-Cyrl-RS"/>
        </w:rPr>
      </w:pPr>
    </w:p>
    <w:p w14:paraId="28BB1C50" w14:textId="72872ACA" w:rsidR="00082255" w:rsidRPr="003E5020" w:rsidRDefault="005E280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Категорије људских ресурса које су обухваћене Стратегијом су:</w:t>
      </w:r>
    </w:p>
    <w:p w14:paraId="4681699D" w14:textId="739BEC57" w:rsidR="005E2802" w:rsidRPr="003E5020" w:rsidRDefault="005E2802">
      <w:pPr>
        <w:jc w:val="both"/>
        <w:rPr>
          <w:rFonts w:ascii="Times New Roman" w:hAnsi="Times New Roman" w:cs="Times New Roman"/>
          <w:sz w:val="24"/>
          <w:szCs w:val="24"/>
          <w:lang w:val="sr-Cyrl-RS"/>
        </w:rPr>
      </w:pPr>
    </w:p>
    <w:p w14:paraId="3FC6AB6F" w14:textId="060CDB6D" w:rsidR="005E2802" w:rsidRPr="003E5020" w:rsidRDefault="0020562D">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w:t>
      </w:r>
      <w:r w:rsidR="005E2802" w:rsidRPr="003E5020">
        <w:rPr>
          <w:rFonts w:ascii="Times New Roman" w:hAnsi="Times New Roman" w:cs="Times New Roman"/>
          <w:sz w:val="24"/>
          <w:szCs w:val="24"/>
          <w:lang w:val="sr-Cyrl-RS"/>
        </w:rPr>
        <w:t>осиоци правосудних функција у Републици Србији – судије и тужиоци,</w:t>
      </w:r>
    </w:p>
    <w:p w14:paraId="2926991D" w14:textId="50A07934" w:rsidR="005E2802" w:rsidRPr="003E5020" w:rsidRDefault="0020562D">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w:t>
      </w:r>
      <w:r w:rsidR="005E2802" w:rsidRPr="003E5020">
        <w:rPr>
          <w:rFonts w:ascii="Times New Roman" w:hAnsi="Times New Roman" w:cs="Times New Roman"/>
          <w:sz w:val="24"/>
          <w:szCs w:val="24"/>
          <w:lang w:val="sr-Cyrl-RS"/>
        </w:rPr>
        <w:t>апослени у судовима и тужилаштвима,</w:t>
      </w:r>
    </w:p>
    <w:p w14:paraId="581E4084" w14:textId="16FBBF7A" w:rsidR="005E2802" w:rsidRPr="003E5020" w:rsidRDefault="0020562D">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w:t>
      </w:r>
      <w:r w:rsidR="005E2802" w:rsidRPr="003E5020">
        <w:rPr>
          <w:rFonts w:ascii="Times New Roman" w:hAnsi="Times New Roman" w:cs="Times New Roman"/>
          <w:sz w:val="24"/>
          <w:szCs w:val="24"/>
          <w:lang w:val="sr-Cyrl-RS"/>
        </w:rPr>
        <w:t>апослени у Високом савету судства</w:t>
      </w:r>
      <w:r w:rsidR="00FB4DA8" w:rsidRPr="003E5020">
        <w:rPr>
          <w:rFonts w:ascii="Times New Roman" w:hAnsi="Times New Roman" w:cs="Times New Roman"/>
          <w:sz w:val="24"/>
          <w:szCs w:val="24"/>
          <w:lang w:val="sr-Cyrl-RS"/>
        </w:rPr>
        <w:t xml:space="preserve"> и</w:t>
      </w:r>
    </w:p>
    <w:p w14:paraId="1097AE05" w14:textId="240A51BF" w:rsidR="005E2802" w:rsidRPr="003E5020" w:rsidRDefault="0020562D">
      <w:pPr>
        <w:pStyle w:val="ListParagraph"/>
        <w:numPr>
          <w:ilvl w:val="0"/>
          <w:numId w:val="5"/>
        </w:numPr>
        <w:ind w:left="141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w:t>
      </w:r>
      <w:r w:rsidR="00247FB0" w:rsidRPr="003E5020">
        <w:rPr>
          <w:rFonts w:ascii="Times New Roman" w:hAnsi="Times New Roman" w:cs="Times New Roman"/>
          <w:sz w:val="24"/>
          <w:szCs w:val="24"/>
          <w:lang w:val="sr-Cyrl-RS"/>
        </w:rPr>
        <w:t>апослени у Д</w:t>
      </w:r>
      <w:r w:rsidR="005E2802" w:rsidRPr="003E5020">
        <w:rPr>
          <w:rFonts w:ascii="Times New Roman" w:hAnsi="Times New Roman" w:cs="Times New Roman"/>
          <w:sz w:val="24"/>
          <w:szCs w:val="24"/>
          <w:lang w:val="sr-Cyrl-RS"/>
        </w:rPr>
        <w:t>ржавном већу тужилаца</w:t>
      </w:r>
      <w:r w:rsidR="002049C1" w:rsidRPr="003E5020">
        <w:rPr>
          <w:rFonts w:ascii="Times New Roman" w:hAnsi="Times New Roman" w:cs="Times New Roman"/>
          <w:sz w:val="24"/>
          <w:szCs w:val="24"/>
          <w:lang w:val="sr-Cyrl-RS"/>
        </w:rPr>
        <w:t>.</w:t>
      </w:r>
    </w:p>
    <w:p w14:paraId="7C9C9974" w14:textId="45B31BB6" w:rsidR="00B84B0B" w:rsidRPr="003E5020" w:rsidRDefault="00B84B0B">
      <w:pPr>
        <w:jc w:val="both"/>
        <w:rPr>
          <w:rFonts w:ascii="Times New Roman" w:hAnsi="Times New Roman" w:cs="Times New Roman"/>
          <w:sz w:val="24"/>
          <w:szCs w:val="24"/>
          <w:lang w:val="sr-Cyrl-RS"/>
        </w:rPr>
      </w:pPr>
    </w:p>
    <w:p w14:paraId="2F578FEB" w14:textId="77777777" w:rsidR="00B84B0B" w:rsidRPr="003E5020" w:rsidRDefault="00B84B0B">
      <w:pPr>
        <w:jc w:val="both"/>
        <w:rPr>
          <w:rFonts w:ascii="Times New Roman" w:hAnsi="Times New Roman" w:cs="Times New Roman"/>
          <w:sz w:val="24"/>
          <w:szCs w:val="24"/>
          <w:lang w:val="sr-Cyrl-RS"/>
        </w:rPr>
      </w:pPr>
    </w:p>
    <w:p w14:paraId="4FD17689" w14:textId="76E0F1A0" w:rsidR="00955F36" w:rsidRPr="003E5020" w:rsidRDefault="00473937">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7" w:name="_ВЕЗА_СА_ПЛАНСКИМ"/>
      <w:bookmarkStart w:id="8" w:name="_Toc84778620"/>
      <w:bookmarkEnd w:id="7"/>
      <w:r w:rsidRPr="003E5020">
        <w:rPr>
          <w:rFonts w:ascii="Times New Roman" w:hAnsi="Times New Roman" w:cs="Times New Roman"/>
          <w:color w:val="auto"/>
          <w:sz w:val="24"/>
          <w:szCs w:val="24"/>
          <w:lang w:val="sr-Cyrl-RS"/>
        </w:rPr>
        <w:t xml:space="preserve">ВЕЗА СА </w:t>
      </w:r>
      <w:r w:rsidR="00DB11A6" w:rsidRPr="003E5020">
        <w:rPr>
          <w:rFonts w:ascii="Times New Roman" w:hAnsi="Times New Roman" w:cs="Times New Roman"/>
          <w:color w:val="auto"/>
          <w:sz w:val="24"/>
          <w:szCs w:val="24"/>
          <w:lang w:val="sr-Cyrl-RS"/>
        </w:rPr>
        <w:t>ПЛАНСКИМ ДОКУМЕНТИМА</w:t>
      </w:r>
      <w:r w:rsidRPr="003E5020">
        <w:rPr>
          <w:rFonts w:ascii="Times New Roman" w:hAnsi="Times New Roman" w:cs="Times New Roman"/>
          <w:color w:val="auto"/>
          <w:sz w:val="24"/>
          <w:szCs w:val="24"/>
          <w:lang w:val="sr-Cyrl-RS"/>
        </w:rPr>
        <w:t xml:space="preserve"> И</w:t>
      </w:r>
      <w:r w:rsidR="00955F36" w:rsidRPr="003E5020">
        <w:rPr>
          <w:rFonts w:ascii="Times New Roman" w:hAnsi="Times New Roman" w:cs="Times New Roman"/>
          <w:color w:val="auto"/>
          <w:sz w:val="24"/>
          <w:szCs w:val="24"/>
          <w:lang w:val="sr-Cyrl-RS"/>
        </w:rPr>
        <w:t xml:space="preserve"> ПРАВНИ</w:t>
      </w:r>
      <w:r w:rsidRPr="003E5020">
        <w:rPr>
          <w:rFonts w:ascii="Times New Roman" w:hAnsi="Times New Roman" w:cs="Times New Roman"/>
          <w:color w:val="auto"/>
          <w:sz w:val="24"/>
          <w:szCs w:val="24"/>
          <w:lang w:val="sr-Cyrl-RS"/>
        </w:rPr>
        <w:t>М</w:t>
      </w:r>
      <w:r w:rsidR="00955F36" w:rsidRPr="003E5020">
        <w:rPr>
          <w:rFonts w:ascii="Times New Roman" w:hAnsi="Times New Roman" w:cs="Times New Roman"/>
          <w:color w:val="auto"/>
          <w:sz w:val="24"/>
          <w:szCs w:val="24"/>
          <w:lang w:val="sr-Cyrl-RS"/>
        </w:rPr>
        <w:t xml:space="preserve"> ОКВИР</w:t>
      </w:r>
      <w:r w:rsidRPr="003E5020">
        <w:rPr>
          <w:rFonts w:ascii="Times New Roman" w:hAnsi="Times New Roman" w:cs="Times New Roman"/>
          <w:color w:val="auto"/>
          <w:sz w:val="24"/>
          <w:szCs w:val="24"/>
          <w:lang w:val="sr-Cyrl-RS"/>
        </w:rPr>
        <w:t>ОМ</w:t>
      </w:r>
      <w:bookmarkEnd w:id="8"/>
      <w:r w:rsidR="00955F36" w:rsidRPr="003E5020">
        <w:rPr>
          <w:rFonts w:ascii="Times New Roman" w:hAnsi="Times New Roman" w:cs="Times New Roman"/>
          <w:color w:val="auto"/>
          <w:sz w:val="24"/>
          <w:szCs w:val="24"/>
          <w:lang w:val="sr-Cyrl-RS"/>
        </w:rPr>
        <w:t xml:space="preserve"> </w:t>
      </w:r>
    </w:p>
    <w:p w14:paraId="31BD3D5D" w14:textId="77777777" w:rsidR="00955F36" w:rsidRPr="003E5020" w:rsidRDefault="00955F36">
      <w:pPr>
        <w:jc w:val="both"/>
        <w:rPr>
          <w:rFonts w:ascii="Times New Roman" w:hAnsi="Times New Roman" w:cs="Times New Roman"/>
          <w:sz w:val="24"/>
          <w:szCs w:val="24"/>
          <w:lang w:val="sr-Cyrl-RS"/>
        </w:rPr>
      </w:pPr>
    </w:p>
    <w:p w14:paraId="4F3259C4" w14:textId="7AC18298" w:rsidR="002B195A" w:rsidRPr="003E5020" w:rsidRDefault="00AD445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складу са чланом 12 Закона о планском систему</w:t>
      </w:r>
      <w:r w:rsidR="008E5B6E"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ова Стратегија је квалификована као секторска и национална стратегија, те је стога њена израда вршена у складу са чланом 23</w:t>
      </w:r>
      <w:r w:rsidR="007911BE" w:rsidRPr="003E5020">
        <w:rPr>
          <w:rStyle w:val="FootnoteReference"/>
          <w:rFonts w:ascii="Times New Roman" w:hAnsi="Times New Roman" w:cs="Times New Roman"/>
          <w:sz w:val="24"/>
          <w:szCs w:val="24"/>
          <w:lang w:val="sr-Cyrl-RS"/>
        </w:rPr>
        <w:footnoteReference w:id="6"/>
      </w:r>
      <w:r w:rsidRPr="003E5020">
        <w:rPr>
          <w:rFonts w:ascii="Times New Roman" w:hAnsi="Times New Roman" w:cs="Times New Roman"/>
          <w:sz w:val="24"/>
          <w:szCs w:val="24"/>
          <w:lang w:val="sr-Cyrl-RS"/>
        </w:rPr>
        <w:t xml:space="preserve"> наведеног закона и </w:t>
      </w:r>
      <w:r w:rsidR="005871CE" w:rsidRPr="003E5020">
        <w:rPr>
          <w:rFonts w:ascii="Times New Roman" w:hAnsi="Times New Roman" w:cs="Times New Roman"/>
          <w:sz w:val="24"/>
          <w:szCs w:val="24"/>
          <w:lang w:val="sr-Cyrl-RS"/>
        </w:rPr>
        <w:t xml:space="preserve">она је </w:t>
      </w:r>
      <w:r w:rsidRPr="003E5020">
        <w:rPr>
          <w:rFonts w:ascii="Times New Roman" w:hAnsi="Times New Roman" w:cs="Times New Roman"/>
          <w:sz w:val="24"/>
          <w:szCs w:val="24"/>
          <w:lang w:val="sr-Cyrl-RS"/>
        </w:rPr>
        <w:t>усклађ</w:t>
      </w:r>
      <w:r w:rsidR="008E5B6E" w:rsidRPr="003E5020">
        <w:rPr>
          <w:rFonts w:ascii="Times New Roman" w:hAnsi="Times New Roman" w:cs="Times New Roman"/>
          <w:sz w:val="24"/>
          <w:szCs w:val="24"/>
          <w:lang w:val="sr-Cyrl-RS"/>
        </w:rPr>
        <w:t>ена</w:t>
      </w:r>
      <w:r w:rsidRPr="003E5020">
        <w:rPr>
          <w:rFonts w:ascii="Times New Roman" w:hAnsi="Times New Roman" w:cs="Times New Roman"/>
          <w:sz w:val="24"/>
          <w:szCs w:val="24"/>
          <w:lang w:val="sr-Cyrl-RS"/>
        </w:rPr>
        <w:t xml:space="preserve"> са другим стратегијама, као и са законодавним оквиром Републике Србије.</w:t>
      </w:r>
    </w:p>
    <w:p w14:paraId="32329B56" w14:textId="6E5A8564" w:rsidR="002B195A" w:rsidRPr="003E5020" w:rsidRDefault="002B195A">
      <w:pPr>
        <w:ind w:left="851"/>
        <w:jc w:val="both"/>
        <w:rPr>
          <w:rFonts w:ascii="Times New Roman" w:hAnsi="Times New Roman" w:cs="Times New Roman"/>
          <w:sz w:val="24"/>
          <w:szCs w:val="24"/>
          <w:lang w:val="sr-Cyrl-RS"/>
        </w:rPr>
      </w:pPr>
    </w:p>
    <w:p w14:paraId="0CEB2859" w14:textId="6F53EE46" w:rsidR="00D241EF" w:rsidRPr="003E5020" w:rsidRDefault="002B195A">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9" w:name="_Веза_са_другим"/>
      <w:bookmarkStart w:id="10" w:name="_Веза_са_документима"/>
      <w:bookmarkStart w:id="11" w:name="_Toc84778621"/>
      <w:bookmarkEnd w:id="9"/>
      <w:bookmarkEnd w:id="10"/>
      <w:r w:rsidRPr="003E5020">
        <w:rPr>
          <w:rFonts w:ascii="Times New Roman" w:hAnsi="Times New Roman" w:cs="Times New Roman"/>
          <w:color w:val="auto"/>
          <w:sz w:val="24"/>
          <w:szCs w:val="24"/>
          <w:lang w:val="sr-Cyrl-RS"/>
        </w:rPr>
        <w:t xml:space="preserve">Веза са </w:t>
      </w:r>
      <w:r w:rsidR="00080375" w:rsidRPr="003E5020">
        <w:rPr>
          <w:rFonts w:ascii="Times New Roman" w:hAnsi="Times New Roman" w:cs="Times New Roman"/>
          <w:color w:val="auto"/>
          <w:sz w:val="24"/>
          <w:szCs w:val="24"/>
          <w:lang w:val="sr-Cyrl-RS"/>
        </w:rPr>
        <w:t>документима јавне политике у сектору правосуђа</w:t>
      </w:r>
      <w:bookmarkEnd w:id="11"/>
    </w:p>
    <w:p w14:paraId="6FDC4151" w14:textId="77777777" w:rsidR="00D241EF" w:rsidRPr="003E5020" w:rsidRDefault="00D241EF">
      <w:pPr>
        <w:ind w:left="851"/>
        <w:jc w:val="both"/>
        <w:rPr>
          <w:rFonts w:ascii="Times New Roman" w:hAnsi="Times New Roman" w:cs="Times New Roman"/>
          <w:sz w:val="24"/>
          <w:szCs w:val="24"/>
          <w:lang w:val="sr-Cyrl-RS"/>
        </w:rPr>
      </w:pPr>
    </w:p>
    <w:p w14:paraId="389D577C" w14:textId="605B5469" w:rsidR="002B195A" w:rsidRPr="003E5020" w:rsidRDefault="00314B22">
      <w:pPr>
        <w:pStyle w:val="ListParagraph"/>
        <w:numPr>
          <w:ilvl w:val="2"/>
          <w:numId w:val="2"/>
        </w:numPr>
        <w:ind w:left="851" w:hanging="851"/>
        <w:rPr>
          <w:rFonts w:ascii="Times New Roman" w:eastAsiaTheme="majorEastAsia" w:hAnsi="Times New Roman" w:cs="Times New Roman"/>
          <w:i/>
          <w:sz w:val="24"/>
          <w:szCs w:val="24"/>
          <w:lang w:val="sr-Cyrl-RS"/>
        </w:rPr>
      </w:pPr>
      <w:r w:rsidRPr="003E5020">
        <w:rPr>
          <w:rFonts w:ascii="Times New Roman" w:eastAsiaTheme="majorEastAsia" w:hAnsi="Times New Roman" w:cs="Times New Roman"/>
          <w:i/>
          <w:sz w:val="24"/>
          <w:szCs w:val="24"/>
          <w:lang w:val="sr-Cyrl-RS"/>
        </w:rPr>
        <w:t>Стратегиј</w:t>
      </w:r>
      <w:r w:rsidR="00847735" w:rsidRPr="003E5020">
        <w:rPr>
          <w:rFonts w:ascii="Times New Roman" w:eastAsiaTheme="majorEastAsia" w:hAnsi="Times New Roman" w:cs="Times New Roman"/>
          <w:i/>
          <w:sz w:val="24"/>
          <w:szCs w:val="24"/>
          <w:lang w:val="sr-Cyrl-RS"/>
        </w:rPr>
        <w:t>а</w:t>
      </w:r>
      <w:r w:rsidRPr="003E5020">
        <w:rPr>
          <w:rFonts w:ascii="Times New Roman" w:eastAsiaTheme="majorEastAsia" w:hAnsi="Times New Roman" w:cs="Times New Roman"/>
          <w:i/>
          <w:sz w:val="24"/>
          <w:szCs w:val="24"/>
          <w:lang w:val="sr-Cyrl-RS"/>
        </w:rPr>
        <w:t xml:space="preserve"> развоја правосуђа за период 2020-2025. године</w:t>
      </w:r>
    </w:p>
    <w:p w14:paraId="661BFE42" w14:textId="05D2F954" w:rsidR="00466ED9" w:rsidRPr="003E5020" w:rsidRDefault="00466ED9">
      <w:pPr>
        <w:ind w:left="851"/>
        <w:jc w:val="both"/>
        <w:rPr>
          <w:rFonts w:ascii="Times New Roman" w:hAnsi="Times New Roman" w:cs="Times New Roman"/>
          <w:b/>
          <w:sz w:val="24"/>
          <w:szCs w:val="24"/>
          <w:lang w:val="sr-Cyrl-RS"/>
        </w:rPr>
      </w:pPr>
    </w:p>
    <w:p w14:paraId="3AB9D087" w14:textId="7799B30E" w:rsidR="00AB7CB9" w:rsidRPr="003E5020" w:rsidRDefault="00466ED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питању је секторска стратегија која представља један од основа за доношење Стратегије. Предметна стратегија представља „кровни</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плански документ за целокупну област правосуђа у Републици Србији</w:t>
      </w:r>
      <w:r w:rsidR="005871CE"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и из њеног </w:t>
      </w:r>
      <w:r w:rsidR="005871CE" w:rsidRPr="003E5020">
        <w:rPr>
          <w:rFonts w:ascii="Times New Roman" w:hAnsi="Times New Roman" w:cs="Times New Roman"/>
          <w:sz w:val="24"/>
          <w:szCs w:val="24"/>
          <w:lang w:val="sr-Cyrl-RS"/>
        </w:rPr>
        <w:t xml:space="preserve">домена </w:t>
      </w:r>
      <w:r w:rsidRPr="003E5020">
        <w:rPr>
          <w:rFonts w:ascii="Times New Roman" w:hAnsi="Times New Roman" w:cs="Times New Roman"/>
          <w:sz w:val="24"/>
          <w:szCs w:val="24"/>
          <w:lang w:val="sr-Cyrl-RS"/>
        </w:rPr>
        <w:t>произлазе и основни постулати и циљеви Стратегије.</w:t>
      </w:r>
      <w:r w:rsidR="00AB7CB9" w:rsidRPr="003E5020">
        <w:rPr>
          <w:rFonts w:ascii="Times New Roman" w:hAnsi="Times New Roman" w:cs="Times New Roman"/>
          <w:sz w:val="24"/>
          <w:szCs w:val="24"/>
          <w:lang w:val="sr-Cyrl-RS"/>
        </w:rPr>
        <w:t xml:space="preserve"> Без свеобухватног развоја правосуђа, као целине, чему у највећој мери треба да допринесе реализација Стратегије развоја правосуђа за период 20</w:t>
      </w:r>
      <w:r w:rsidR="00847735" w:rsidRPr="003E5020">
        <w:rPr>
          <w:rFonts w:ascii="Times New Roman" w:hAnsi="Times New Roman" w:cs="Times New Roman"/>
          <w:sz w:val="24"/>
          <w:szCs w:val="24"/>
          <w:lang w:val="sr-Cyrl-RS"/>
        </w:rPr>
        <w:t>20</w:t>
      </w:r>
      <w:r w:rsidR="00AB7CB9" w:rsidRPr="003E5020">
        <w:rPr>
          <w:rFonts w:ascii="Times New Roman" w:hAnsi="Times New Roman" w:cs="Times New Roman"/>
          <w:sz w:val="24"/>
          <w:szCs w:val="24"/>
          <w:lang w:val="sr-Cyrl-RS"/>
        </w:rPr>
        <w:t>–202</w:t>
      </w:r>
      <w:r w:rsidR="00847735" w:rsidRPr="003E5020">
        <w:rPr>
          <w:rFonts w:ascii="Times New Roman" w:hAnsi="Times New Roman" w:cs="Times New Roman"/>
          <w:sz w:val="24"/>
          <w:szCs w:val="24"/>
          <w:lang w:val="sr-Cyrl-RS"/>
        </w:rPr>
        <w:t>5</w:t>
      </w:r>
      <w:r w:rsidR="00E33F56" w:rsidRPr="003E5020">
        <w:rPr>
          <w:rFonts w:ascii="Times New Roman" w:hAnsi="Times New Roman" w:cs="Times New Roman"/>
          <w:sz w:val="24"/>
          <w:szCs w:val="24"/>
          <w:lang w:val="sr-Cyrl-RS"/>
        </w:rPr>
        <w:t>. године</w:t>
      </w:r>
      <w:r w:rsidR="00AB7CB9" w:rsidRPr="003E5020">
        <w:rPr>
          <w:rFonts w:ascii="Times New Roman" w:hAnsi="Times New Roman" w:cs="Times New Roman"/>
          <w:sz w:val="24"/>
          <w:szCs w:val="24"/>
          <w:lang w:val="sr-Cyrl-RS"/>
        </w:rPr>
        <w:t xml:space="preserve">, развој и унапређење људских ресурса у самом правосуђу </w:t>
      </w:r>
      <w:r w:rsidR="005871CE" w:rsidRPr="003E5020">
        <w:rPr>
          <w:rFonts w:ascii="Times New Roman" w:hAnsi="Times New Roman" w:cs="Times New Roman"/>
          <w:sz w:val="24"/>
          <w:szCs w:val="24"/>
          <w:lang w:val="sr-Cyrl-RS"/>
        </w:rPr>
        <w:t xml:space="preserve">не могу </w:t>
      </w:r>
      <w:r w:rsidR="00DA4C2F" w:rsidRPr="003E5020">
        <w:rPr>
          <w:rFonts w:ascii="Times New Roman" w:hAnsi="Times New Roman" w:cs="Times New Roman"/>
          <w:sz w:val="24"/>
          <w:szCs w:val="24"/>
          <w:lang w:val="sr-Cyrl-RS"/>
        </w:rPr>
        <w:t>дати</w:t>
      </w:r>
      <w:r w:rsidR="005871CE" w:rsidRPr="003E5020">
        <w:rPr>
          <w:rFonts w:ascii="Times New Roman" w:hAnsi="Times New Roman" w:cs="Times New Roman"/>
          <w:sz w:val="24"/>
          <w:szCs w:val="24"/>
          <w:lang w:val="sr-Cyrl-RS"/>
        </w:rPr>
        <w:t xml:space="preserve"> значајн</w:t>
      </w:r>
      <w:r w:rsidR="00DA4C2F" w:rsidRPr="003E5020">
        <w:rPr>
          <w:rFonts w:ascii="Times New Roman" w:hAnsi="Times New Roman" w:cs="Times New Roman"/>
          <w:sz w:val="24"/>
          <w:szCs w:val="24"/>
          <w:lang w:val="sr-Cyrl-RS"/>
        </w:rPr>
        <w:t>иј</w:t>
      </w:r>
      <w:r w:rsidR="005871CE" w:rsidRPr="003E5020">
        <w:rPr>
          <w:rFonts w:ascii="Times New Roman" w:hAnsi="Times New Roman" w:cs="Times New Roman"/>
          <w:sz w:val="24"/>
          <w:szCs w:val="24"/>
          <w:lang w:val="sr-Cyrl-RS"/>
        </w:rPr>
        <w:t>е резултате</w:t>
      </w:r>
      <w:r w:rsidR="00AB7CB9" w:rsidRPr="003E5020">
        <w:rPr>
          <w:rFonts w:ascii="Times New Roman" w:hAnsi="Times New Roman" w:cs="Times New Roman"/>
          <w:sz w:val="24"/>
          <w:szCs w:val="24"/>
          <w:lang w:val="sr-Cyrl-RS"/>
        </w:rPr>
        <w:t>. С друге стране, свеобухват</w:t>
      </w:r>
      <w:r w:rsidR="00A4559D" w:rsidRPr="003E5020">
        <w:rPr>
          <w:rFonts w:ascii="Times New Roman" w:hAnsi="Times New Roman" w:cs="Times New Roman"/>
          <w:sz w:val="24"/>
          <w:szCs w:val="24"/>
          <w:lang w:val="sr-Cyrl-RS"/>
        </w:rPr>
        <w:t>а</w:t>
      </w:r>
      <w:r w:rsidR="00AB7CB9" w:rsidRPr="003E5020">
        <w:rPr>
          <w:rFonts w:ascii="Times New Roman" w:hAnsi="Times New Roman" w:cs="Times New Roman"/>
          <w:sz w:val="24"/>
          <w:szCs w:val="24"/>
          <w:lang w:val="sr-Cyrl-RS"/>
        </w:rPr>
        <w:t>н развој правосуђа би у великој мери био спутан уколико се, управо кроз посебан стратешки документ, не би паралелно водило рачуна о основи сваког правосудног система – људима који у њему раде</w:t>
      </w:r>
      <w:r w:rsidR="00E065D5" w:rsidRPr="003E5020">
        <w:rPr>
          <w:rFonts w:ascii="Times New Roman" w:hAnsi="Times New Roman" w:cs="Times New Roman"/>
          <w:sz w:val="24"/>
          <w:szCs w:val="24"/>
          <w:lang w:val="sr-Cyrl-RS"/>
        </w:rPr>
        <w:t xml:space="preserve"> и чине његово функционисање могућим.</w:t>
      </w:r>
    </w:p>
    <w:p w14:paraId="004D38C6" w14:textId="77777777" w:rsidR="00AB7CB9" w:rsidRPr="003E5020" w:rsidRDefault="00AB7CB9">
      <w:pPr>
        <w:ind w:left="851"/>
        <w:jc w:val="both"/>
        <w:rPr>
          <w:rFonts w:ascii="Times New Roman" w:hAnsi="Times New Roman" w:cs="Times New Roman"/>
          <w:sz w:val="24"/>
          <w:szCs w:val="24"/>
          <w:lang w:val="sr-Cyrl-RS"/>
        </w:rPr>
      </w:pPr>
    </w:p>
    <w:p w14:paraId="18CB19FA" w14:textId="1C7A58E9"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да људски ресурси и њихово </w:t>
      </w:r>
      <w:r w:rsidR="00E43863" w:rsidRPr="003E5020">
        <w:rPr>
          <w:rFonts w:ascii="Times New Roman" w:hAnsi="Times New Roman" w:cs="Times New Roman"/>
          <w:sz w:val="24"/>
          <w:szCs w:val="24"/>
          <w:lang w:val="sr-Cyrl-RS"/>
        </w:rPr>
        <w:t xml:space="preserve">константно </w:t>
      </w:r>
      <w:r w:rsidRPr="003E5020">
        <w:rPr>
          <w:rFonts w:ascii="Times New Roman" w:hAnsi="Times New Roman" w:cs="Times New Roman"/>
          <w:sz w:val="24"/>
          <w:szCs w:val="24"/>
          <w:lang w:val="sr-Cyrl-RS"/>
        </w:rPr>
        <w:t>унапређење чине срж сваког система, реализацијом мера Стратегије би требало да се, на посредан начин, додатно потпомогне остварење циљева „кровног</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документа јавне политике у сектору правосуђа –Стратегије развоја правосуђа за период </w:t>
      </w:r>
      <w:r w:rsidR="00F04A9C" w:rsidRPr="003E5020">
        <w:rPr>
          <w:rFonts w:ascii="Times New Roman" w:hAnsi="Times New Roman" w:cs="Times New Roman"/>
          <w:sz w:val="24"/>
          <w:szCs w:val="24"/>
          <w:lang w:val="sr-Cyrl-RS"/>
        </w:rPr>
        <w:t>2020-2025.</w:t>
      </w:r>
      <w:r w:rsidRPr="003E5020">
        <w:rPr>
          <w:rFonts w:ascii="Times New Roman" w:hAnsi="Times New Roman" w:cs="Times New Roman"/>
          <w:sz w:val="24"/>
          <w:szCs w:val="24"/>
          <w:lang w:val="sr-Cyrl-RS"/>
        </w:rPr>
        <w:t xml:space="preserve"> године, који се односе на: независност и самосталност правосуђа, непристрасност и одговорност правосуђа, његову стручност и ефикасност, </w:t>
      </w:r>
      <w:r w:rsidR="00F67AB5" w:rsidRPr="003E5020">
        <w:rPr>
          <w:rFonts w:ascii="Times New Roman" w:hAnsi="Times New Roman" w:cs="Times New Roman"/>
          <w:sz w:val="24"/>
          <w:szCs w:val="24"/>
          <w:lang w:val="sr-Cyrl-RS"/>
        </w:rPr>
        <w:t xml:space="preserve">успостављање е-правосуђа, </w:t>
      </w:r>
      <w:r w:rsidRPr="003E5020">
        <w:rPr>
          <w:rFonts w:ascii="Times New Roman" w:hAnsi="Times New Roman" w:cs="Times New Roman"/>
          <w:sz w:val="24"/>
          <w:szCs w:val="24"/>
          <w:lang w:val="sr-Cyrl-RS"/>
        </w:rPr>
        <w:t>као и остваривањ</w:t>
      </w:r>
      <w:r w:rsidR="00133D62"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транспарентности у његовом раду. Управо из тог разлога, Стратегиј</w:t>
      </w:r>
      <w:r w:rsidR="00BA0276"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се ослања на претходно наведени стратешки документ, на начин да су сви циљеви и мере које воде ка њиховом остваривању, у директној вези са циљевима који су постављени у Стратегиј</w:t>
      </w:r>
      <w:r w:rsidR="00F04A9C"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развоја правосуђа за период </w:t>
      </w:r>
      <w:r w:rsidR="00F04A9C" w:rsidRPr="003E5020">
        <w:rPr>
          <w:rFonts w:ascii="Times New Roman" w:hAnsi="Times New Roman" w:cs="Times New Roman"/>
          <w:sz w:val="24"/>
          <w:szCs w:val="24"/>
          <w:lang w:val="sr-Cyrl-RS"/>
        </w:rPr>
        <w:t>2020-2025.</w:t>
      </w:r>
      <w:r w:rsidRPr="003E5020">
        <w:rPr>
          <w:rFonts w:ascii="Times New Roman" w:hAnsi="Times New Roman" w:cs="Times New Roman"/>
          <w:sz w:val="24"/>
          <w:szCs w:val="24"/>
          <w:lang w:val="sr-Cyrl-RS"/>
        </w:rPr>
        <w:t xml:space="preserve"> године. </w:t>
      </w:r>
    </w:p>
    <w:p w14:paraId="42B0522E" w14:textId="77777777" w:rsidR="006A6BE9" w:rsidRPr="003E5020" w:rsidRDefault="006A6BE9">
      <w:pPr>
        <w:ind w:left="851"/>
        <w:jc w:val="both"/>
        <w:rPr>
          <w:rFonts w:ascii="Times New Roman" w:hAnsi="Times New Roman" w:cs="Times New Roman"/>
          <w:sz w:val="24"/>
          <w:szCs w:val="24"/>
          <w:lang w:val="sr-Cyrl-RS"/>
        </w:rPr>
      </w:pPr>
    </w:p>
    <w:p w14:paraId="014D77B2" w14:textId="5C8050B4"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 који начин управљање људским ресурсима у правосуђу доприноси остварењу циљева Стратегије развоја правосуђа за период </w:t>
      </w:r>
      <w:r w:rsidR="008A75EA" w:rsidRPr="003E5020">
        <w:rPr>
          <w:rFonts w:ascii="Times New Roman" w:hAnsi="Times New Roman" w:cs="Times New Roman"/>
          <w:sz w:val="24"/>
          <w:szCs w:val="24"/>
          <w:lang w:val="sr-Cyrl-RS"/>
        </w:rPr>
        <w:t>2020</w:t>
      </w:r>
      <w:r w:rsidRPr="003E5020">
        <w:rPr>
          <w:rFonts w:ascii="Times New Roman" w:hAnsi="Times New Roman" w:cs="Times New Roman"/>
          <w:sz w:val="24"/>
          <w:szCs w:val="24"/>
          <w:lang w:val="sr-Cyrl-RS"/>
        </w:rPr>
        <w:t>-202</w:t>
      </w:r>
      <w:r w:rsidR="008A75EA"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xml:space="preserve">. године, може се видети управо анализом њених циљева. </w:t>
      </w:r>
    </w:p>
    <w:p w14:paraId="13F597FF" w14:textId="77777777" w:rsidR="006A6BE9" w:rsidRPr="003E5020" w:rsidRDefault="006A6BE9">
      <w:pPr>
        <w:ind w:left="851"/>
        <w:jc w:val="both"/>
        <w:rPr>
          <w:rFonts w:ascii="Times New Roman" w:hAnsi="Times New Roman" w:cs="Times New Roman"/>
          <w:sz w:val="24"/>
          <w:szCs w:val="24"/>
          <w:lang w:val="sr-Cyrl-RS"/>
        </w:rPr>
      </w:pPr>
    </w:p>
    <w:p w14:paraId="4FD4CB2F" w14:textId="04A73196"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Наиме, један од основних циљева Стратегије развоја правосуђа за период 20</w:t>
      </w:r>
      <w:r w:rsidR="005D6DCA"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5D6DCA"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xml:space="preserve">. године је </w:t>
      </w:r>
      <w:r w:rsidRPr="003E5020">
        <w:rPr>
          <w:rFonts w:ascii="Times New Roman" w:hAnsi="Times New Roman" w:cs="Times New Roman"/>
          <w:i/>
          <w:sz w:val="24"/>
          <w:szCs w:val="24"/>
          <w:lang w:val="sr-Cyrl-RS"/>
        </w:rPr>
        <w:t>јачање независности и самосталности правосуђа</w:t>
      </w:r>
      <w:r w:rsidRPr="003E5020">
        <w:rPr>
          <w:rFonts w:ascii="Times New Roman" w:hAnsi="Times New Roman" w:cs="Times New Roman"/>
          <w:sz w:val="24"/>
          <w:szCs w:val="24"/>
          <w:lang w:val="sr-Cyrl-RS"/>
        </w:rPr>
        <w:t xml:space="preserve"> што ће се, између осталог, постићи, јасним, непристрасним и унапред одређеним критеријумима за процедуру </w:t>
      </w:r>
      <w:r w:rsidR="00DA6F9C" w:rsidRPr="003E5020">
        <w:rPr>
          <w:rFonts w:ascii="Times New Roman" w:hAnsi="Times New Roman" w:cs="Times New Roman"/>
          <w:sz w:val="24"/>
          <w:szCs w:val="24"/>
          <w:lang w:val="sr-Cyrl-RS"/>
        </w:rPr>
        <w:t>предлагања</w:t>
      </w:r>
      <w:r w:rsidRPr="003E5020">
        <w:rPr>
          <w:rFonts w:ascii="Times New Roman" w:hAnsi="Times New Roman" w:cs="Times New Roman"/>
          <w:sz w:val="24"/>
          <w:szCs w:val="24"/>
          <w:lang w:val="sr-Cyrl-RS"/>
        </w:rPr>
        <w:t xml:space="preserve">, избора, </w:t>
      </w:r>
      <w:r w:rsidR="00DA6F9C" w:rsidRPr="003E5020">
        <w:rPr>
          <w:rFonts w:ascii="Times New Roman" w:hAnsi="Times New Roman" w:cs="Times New Roman"/>
          <w:sz w:val="24"/>
          <w:szCs w:val="24"/>
          <w:lang w:val="sr-Cyrl-RS"/>
        </w:rPr>
        <w:t>напредовања</w:t>
      </w:r>
      <w:r w:rsidRPr="003E5020">
        <w:rPr>
          <w:rFonts w:ascii="Times New Roman" w:hAnsi="Times New Roman" w:cs="Times New Roman"/>
          <w:sz w:val="24"/>
          <w:szCs w:val="24"/>
          <w:lang w:val="sr-Cyrl-RS"/>
        </w:rPr>
        <w:t xml:space="preserve">, премештаја и престанка функције носилаца правосудних функција. Да би се то постигло, неопходно је успоставити јединствени систем управљања људским ресурсима, који ће обезбедити јасне описе послова у правосуђу и спроводити непристрасан и транспарентан процес </w:t>
      </w:r>
      <w:r w:rsidR="00344D3F" w:rsidRPr="003E5020">
        <w:rPr>
          <w:rFonts w:ascii="Times New Roman" w:hAnsi="Times New Roman" w:cs="Times New Roman"/>
          <w:sz w:val="24"/>
          <w:szCs w:val="24"/>
          <w:lang w:val="sr-Cyrl-RS"/>
        </w:rPr>
        <w:t>ангажовања</w:t>
      </w:r>
      <w:r w:rsidRPr="003E5020">
        <w:rPr>
          <w:rFonts w:ascii="Times New Roman" w:hAnsi="Times New Roman" w:cs="Times New Roman"/>
          <w:sz w:val="24"/>
          <w:szCs w:val="24"/>
          <w:lang w:val="sr-Cyrl-RS"/>
        </w:rPr>
        <w:t xml:space="preserve">, </w:t>
      </w:r>
      <w:r w:rsidR="00DA6F9C" w:rsidRPr="003E5020">
        <w:rPr>
          <w:rFonts w:ascii="Times New Roman" w:hAnsi="Times New Roman" w:cs="Times New Roman"/>
          <w:sz w:val="24"/>
          <w:szCs w:val="24"/>
          <w:lang w:val="sr-Cyrl-RS"/>
        </w:rPr>
        <w:t xml:space="preserve">вредновања </w:t>
      </w:r>
      <w:r w:rsidRPr="003E5020">
        <w:rPr>
          <w:rFonts w:ascii="Times New Roman" w:hAnsi="Times New Roman" w:cs="Times New Roman"/>
          <w:sz w:val="24"/>
          <w:szCs w:val="24"/>
          <w:lang w:val="sr-Cyrl-RS"/>
        </w:rPr>
        <w:t xml:space="preserve">(оцене учинка), </w:t>
      </w:r>
      <w:r w:rsidR="00DA6F9C" w:rsidRPr="003E5020">
        <w:rPr>
          <w:rFonts w:ascii="Times New Roman" w:hAnsi="Times New Roman" w:cs="Times New Roman"/>
          <w:sz w:val="24"/>
          <w:szCs w:val="24"/>
          <w:lang w:val="sr-Cyrl-RS"/>
        </w:rPr>
        <w:t>одабира</w:t>
      </w:r>
      <w:r w:rsidRPr="003E5020">
        <w:rPr>
          <w:rFonts w:ascii="Times New Roman" w:hAnsi="Times New Roman" w:cs="Times New Roman"/>
          <w:sz w:val="24"/>
          <w:szCs w:val="24"/>
          <w:lang w:val="sr-Cyrl-RS"/>
        </w:rPr>
        <w:t xml:space="preserve">, </w:t>
      </w:r>
      <w:r w:rsidR="00DA6F9C" w:rsidRPr="003E5020">
        <w:rPr>
          <w:rFonts w:ascii="Times New Roman" w:hAnsi="Times New Roman" w:cs="Times New Roman"/>
          <w:sz w:val="24"/>
          <w:szCs w:val="24"/>
          <w:lang w:val="sr-Cyrl-RS"/>
        </w:rPr>
        <w:t xml:space="preserve">напредовања </w:t>
      </w:r>
      <w:r w:rsidRPr="003E5020">
        <w:rPr>
          <w:rFonts w:ascii="Times New Roman" w:hAnsi="Times New Roman" w:cs="Times New Roman"/>
          <w:sz w:val="24"/>
          <w:szCs w:val="24"/>
          <w:lang w:val="sr-Cyrl-RS"/>
        </w:rPr>
        <w:t xml:space="preserve">и престанка радног ангажмана у правосуђу. </w:t>
      </w:r>
    </w:p>
    <w:p w14:paraId="31839C3C" w14:textId="77777777" w:rsidR="006A6BE9" w:rsidRPr="003E5020" w:rsidRDefault="006A6BE9">
      <w:pPr>
        <w:ind w:left="851"/>
        <w:jc w:val="both"/>
        <w:rPr>
          <w:rFonts w:ascii="Times New Roman" w:hAnsi="Times New Roman" w:cs="Times New Roman"/>
          <w:sz w:val="24"/>
          <w:szCs w:val="24"/>
          <w:lang w:val="sr-Cyrl-RS"/>
        </w:rPr>
      </w:pPr>
    </w:p>
    <w:p w14:paraId="210D76FA" w14:textId="18BD48AE" w:rsidR="006A6BE9" w:rsidRDefault="00314B2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w:t>
      </w:r>
      <w:r w:rsidR="005D6DCA"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развоја правосуђа за период 2020-2025. године</w:t>
      </w:r>
      <w:r w:rsidR="006A6BE9" w:rsidRPr="003E5020">
        <w:rPr>
          <w:rFonts w:ascii="Times New Roman" w:hAnsi="Times New Roman" w:cs="Times New Roman"/>
          <w:sz w:val="24"/>
          <w:szCs w:val="24"/>
          <w:lang w:val="sr-Cyrl-RS"/>
        </w:rPr>
        <w:t xml:space="preserve"> даље предвиђа као један од кључних циљева </w:t>
      </w:r>
      <w:r w:rsidR="006A6BE9" w:rsidRPr="003E5020">
        <w:rPr>
          <w:rFonts w:ascii="Times New Roman" w:hAnsi="Times New Roman" w:cs="Times New Roman"/>
          <w:i/>
          <w:sz w:val="24"/>
          <w:szCs w:val="24"/>
          <w:lang w:val="sr-Cyrl-RS"/>
        </w:rPr>
        <w:t>унапређење непристрасности и одговорности правосуђа</w:t>
      </w:r>
      <w:r w:rsidR="006A6BE9" w:rsidRPr="003E5020">
        <w:rPr>
          <w:rFonts w:ascii="Times New Roman" w:hAnsi="Times New Roman" w:cs="Times New Roman"/>
          <w:sz w:val="24"/>
          <w:szCs w:val="24"/>
          <w:lang w:val="sr-Cyrl-RS"/>
        </w:rPr>
        <w:t xml:space="preserve"> што</w:t>
      </w:r>
      <w:r w:rsidR="00F412EB" w:rsidRPr="003E5020">
        <w:rPr>
          <w:rFonts w:ascii="Times New Roman" w:hAnsi="Times New Roman" w:cs="Times New Roman"/>
          <w:sz w:val="24"/>
          <w:szCs w:val="24"/>
          <w:lang w:val="sr-Cyrl-RS"/>
        </w:rPr>
        <w:t>,</w:t>
      </w:r>
      <w:r w:rsidR="006A6BE9" w:rsidRPr="003E5020">
        <w:rPr>
          <w:rFonts w:ascii="Times New Roman" w:hAnsi="Times New Roman" w:cs="Times New Roman"/>
          <w:sz w:val="24"/>
          <w:szCs w:val="24"/>
          <w:lang w:val="sr-Cyrl-RS"/>
        </w:rPr>
        <w:t xml:space="preserve"> између осталог</w:t>
      </w:r>
      <w:r w:rsidR="00F412EB" w:rsidRPr="003E5020">
        <w:rPr>
          <w:rFonts w:ascii="Times New Roman" w:hAnsi="Times New Roman" w:cs="Times New Roman"/>
          <w:sz w:val="24"/>
          <w:szCs w:val="24"/>
          <w:lang w:val="sr-Cyrl-RS"/>
        </w:rPr>
        <w:t>,</w:t>
      </w:r>
      <w:r w:rsidR="006A6BE9" w:rsidRPr="003E5020">
        <w:rPr>
          <w:rFonts w:ascii="Times New Roman" w:hAnsi="Times New Roman" w:cs="Times New Roman"/>
          <w:sz w:val="24"/>
          <w:szCs w:val="24"/>
          <w:lang w:val="sr-Cyrl-RS"/>
        </w:rPr>
        <w:t xml:space="preserve"> значи и да</w:t>
      </w:r>
      <w:r w:rsidR="00DA6F9C" w:rsidRPr="003E5020">
        <w:rPr>
          <w:rFonts w:ascii="Times New Roman" w:hAnsi="Times New Roman" w:cs="Times New Roman"/>
          <w:sz w:val="24"/>
          <w:szCs w:val="24"/>
          <w:lang w:val="sr-Cyrl-RS"/>
        </w:rPr>
        <w:t xml:space="preserve"> се</w:t>
      </w:r>
      <w:r w:rsidR="006A6BE9" w:rsidRPr="003E5020">
        <w:rPr>
          <w:rFonts w:ascii="Times New Roman" w:hAnsi="Times New Roman" w:cs="Times New Roman"/>
          <w:sz w:val="24"/>
          <w:szCs w:val="24"/>
          <w:lang w:val="sr-Cyrl-RS"/>
        </w:rPr>
        <w:t xml:space="preserve"> сваком појединцу обезбеди приступ правди под једнаким условима, без дискриминације по било ком основу</w:t>
      </w:r>
      <w:r w:rsidR="00B9265C" w:rsidRPr="003E5020">
        <w:rPr>
          <w:rFonts w:ascii="Times New Roman" w:hAnsi="Times New Roman" w:cs="Times New Roman"/>
          <w:sz w:val="24"/>
          <w:szCs w:val="24"/>
          <w:lang w:val="sr-Cyrl-RS"/>
        </w:rPr>
        <w:t>,</w:t>
      </w:r>
      <w:r w:rsidR="006A6BE9" w:rsidRPr="003E5020">
        <w:rPr>
          <w:rFonts w:ascii="Times New Roman" w:hAnsi="Times New Roman" w:cs="Times New Roman"/>
          <w:sz w:val="24"/>
          <w:szCs w:val="24"/>
          <w:lang w:val="sr-Cyrl-RS"/>
        </w:rPr>
        <w:t xml:space="preserve"> са једнаким могућностима да заштити и оствари своја права и интересе. </w:t>
      </w:r>
      <w:r w:rsidR="00133D62" w:rsidRPr="003E5020">
        <w:rPr>
          <w:rFonts w:ascii="Times New Roman" w:hAnsi="Times New Roman" w:cs="Times New Roman"/>
          <w:sz w:val="24"/>
          <w:szCs w:val="24"/>
          <w:lang w:val="sr-Cyrl-RS"/>
        </w:rPr>
        <w:t xml:space="preserve">С тим у вези, </w:t>
      </w:r>
      <w:r w:rsidR="00065E77" w:rsidRPr="003E5020">
        <w:rPr>
          <w:rFonts w:ascii="Times New Roman" w:hAnsi="Times New Roman" w:cs="Times New Roman"/>
          <w:sz w:val="24"/>
          <w:szCs w:val="24"/>
          <w:lang w:val="sr-Cyrl-RS"/>
        </w:rPr>
        <w:t xml:space="preserve">да би </w:t>
      </w:r>
      <w:r w:rsidR="006A6BE9" w:rsidRPr="003E5020">
        <w:rPr>
          <w:rFonts w:ascii="Times New Roman" w:hAnsi="Times New Roman" w:cs="Times New Roman"/>
          <w:sz w:val="24"/>
          <w:szCs w:val="24"/>
          <w:lang w:val="sr-Cyrl-RS"/>
        </w:rPr>
        <w:t>правосуђе, односно носиоци правосудних функција и запослени у правосуђу, обезбед</w:t>
      </w:r>
      <w:r w:rsidR="00065E77" w:rsidRPr="003E5020">
        <w:rPr>
          <w:rFonts w:ascii="Times New Roman" w:hAnsi="Times New Roman" w:cs="Times New Roman"/>
          <w:sz w:val="24"/>
          <w:szCs w:val="24"/>
          <w:lang w:val="sr-Cyrl-RS"/>
        </w:rPr>
        <w:t>или</w:t>
      </w:r>
      <w:r w:rsidR="006A6BE9" w:rsidRPr="003E5020">
        <w:rPr>
          <w:rFonts w:ascii="Times New Roman" w:hAnsi="Times New Roman" w:cs="Times New Roman"/>
          <w:sz w:val="24"/>
          <w:szCs w:val="24"/>
          <w:lang w:val="sr-Cyrl-RS"/>
        </w:rPr>
        <w:t xml:space="preserve"> поштовање права грађана, принцип</w:t>
      </w:r>
      <w:r w:rsidR="00760E5D" w:rsidRPr="003E5020">
        <w:rPr>
          <w:rFonts w:ascii="Times New Roman" w:hAnsi="Times New Roman" w:cs="Times New Roman"/>
          <w:sz w:val="24"/>
          <w:szCs w:val="24"/>
          <w:lang w:val="sr-Cyrl-RS"/>
        </w:rPr>
        <w:t>и</w:t>
      </w:r>
      <w:r w:rsidR="006A6BE9" w:rsidRPr="003E5020">
        <w:rPr>
          <w:rFonts w:ascii="Times New Roman" w:hAnsi="Times New Roman" w:cs="Times New Roman"/>
          <w:sz w:val="24"/>
          <w:szCs w:val="24"/>
          <w:lang w:val="sr-Cyrl-RS"/>
        </w:rPr>
        <w:t xml:space="preserve"> једнаких шанси </w:t>
      </w:r>
      <w:r w:rsidR="00760E5D" w:rsidRPr="003E5020">
        <w:rPr>
          <w:rFonts w:ascii="Times New Roman" w:hAnsi="Times New Roman" w:cs="Times New Roman"/>
          <w:sz w:val="24"/>
          <w:szCs w:val="24"/>
          <w:lang w:val="sr-Cyrl-RS"/>
        </w:rPr>
        <w:t xml:space="preserve">треба </w:t>
      </w:r>
      <w:r w:rsidR="00B46B4F" w:rsidRPr="003E5020">
        <w:rPr>
          <w:rFonts w:ascii="Times New Roman" w:hAnsi="Times New Roman" w:cs="Times New Roman"/>
          <w:sz w:val="24"/>
          <w:szCs w:val="24"/>
          <w:lang w:val="sr-Cyrl-RS"/>
        </w:rPr>
        <w:t xml:space="preserve">најпре </w:t>
      </w:r>
      <w:r w:rsidR="00760E5D" w:rsidRPr="003E5020">
        <w:rPr>
          <w:rFonts w:ascii="Times New Roman" w:hAnsi="Times New Roman" w:cs="Times New Roman"/>
          <w:sz w:val="24"/>
          <w:szCs w:val="24"/>
          <w:lang w:val="sr-Cyrl-RS"/>
        </w:rPr>
        <w:t xml:space="preserve">да буду </w:t>
      </w:r>
      <w:r w:rsidR="006A6BE9" w:rsidRPr="003E5020">
        <w:rPr>
          <w:rFonts w:ascii="Times New Roman" w:hAnsi="Times New Roman" w:cs="Times New Roman"/>
          <w:sz w:val="24"/>
          <w:szCs w:val="24"/>
          <w:lang w:val="sr-Cyrl-RS"/>
        </w:rPr>
        <w:t>приме</w:t>
      </w:r>
      <w:r w:rsidR="00760E5D" w:rsidRPr="003E5020">
        <w:rPr>
          <w:rFonts w:ascii="Times New Roman" w:hAnsi="Times New Roman" w:cs="Times New Roman"/>
          <w:sz w:val="24"/>
          <w:szCs w:val="24"/>
          <w:lang w:val="sr-Cyrl-RS"/>
        </w:rPr>
        <w:t>њени</w:t>
      </w:r>
      <w:r w:rsidR="006A6BE9" w:rsidRPr="003E5020">
        <w:rPr>
          <w:rFonts w:ascii="Times New Roman" w:hAnsi="Times New Roman" w:cs="Times New Roman"/>
          <w:sz w:val="24"/>
          <w:szCs w:val="24"/>
          <w:lang w:val="sr-Cyrl-RS"/>
        </w:rPr>
        <w:t xml:space="preserve"> на </w:t>
      </w:r>
      <w:r w:rsidR="00760E5D" w:rsidRPr="003E5020">
        <w:rPr>
          <w:rFonts w:ascii="Times New Roman" w:hAnsi="Times New Roman" w:cs="Times New Roman"/>
          <w:sz w:val="24"/>
          <w:szCs w:val="24"/>
          <w:lang w:val="sr-Cyrl-RS"/>
        </w:rPr>
        <w:t>њих</w:t>
      </w:r>
      <w:r w:rsidR="006A6BE9" w:rsidRPr="003E5020">
        <w:rPr>
          <w:rFonts w:ascii="Times New Roman" w:hAnsi="Times New Roman" w:cs="Times New Roman"/>
          <w:sz w:val="24"/>
          <w:szCs w:val="24"/>
          <w:lang w:val="sr-Cyrl-RS"/>
        </w:rPr>
        <w:t>. Управљање људским ресурсима, на начин како је предвиђено Стратегијом, под</w:t>
      </w:r>
      <w:r w:rsidR="006A5843" w:rsidRPr="003E5020">
        <w:rPr>
          <w:rFonts w:ascii="Times New Roman" w:hAnsi="Times New Roman" w:cs="Times New Roman"/>
          <w:sz w:val="24"/>
          <w:szCs w:val="24"/>
          <w:lang w:val="sr-Cyrl-RS"/>
        </w:rPr>
        <w:t xml:space="preserve">ржава </w:t>
      </w:r>
      <w:r w:rsidR="006A6BE9" w:rsidRPr="003E5020">
        <w:rPr>
          <w:rFonts w:ascii="Times New Roman" w:hAnsi="Times New Roman" w:cs="Times New Roman"/>
          <w:sz w:val="24"/>
          <w:szCs w:val="24"/>
          <w:lang w:val="sr-Cyrl-RS"/>
        </w:rPr>
        <w:t xml:space="preserve">остварење наведеног циља управо </w:t>
      </w:r>
      <w:r w:rsidR="00B46B4F" w:rsidRPr="003E5020">
        <w:rPr>
          <w:rFonts w:ascii="Times New Roman" w:hAnsi="Times New Roman" w:cs="Times New Roman"/>
          <w:sz w:val="24"/>
          <w:szCs w:val="24"/>
          <w:lang w:val="sr-Cyrl-RS"/>
        </w:rPr>
        <w:t xml:space="preserve">омогућавањем </w:t>
      </w:r>
      <w:r w:rsidR="006A6BE9" w:rsidRPr="003E5020">
        <w:rPr>
          <w:rFonts w:ascii="Times New Roman" w:hAnsi="Times New Roman" w:cs="Times New Roman"/>
          <w:sz w:val="24"/>
          <w:szCs w:val="24"/>
          <w:lang w:val="sr-Cyrl-RS"/>
        </w:rPr>
        <w:t xml:space="preserve">да се принцип једнаких шанси успостави и </w:t>
      </w:r>
      <w:r w:rsidR="00DA6F9C" w:rsidRPr="003E5020">
        <w:rPr>
          <w:rFonts w:ascii="Times New Roman" w:hAnsi="Times New Roman" w:cs="Times New Roman"/>
          <w:sz w:val="24"/>
          <w:szCs w:val="24"/>
          <w:lang w:val="sr-Cyrl-RS"/>
        </w:rPr>
        <w:t xml:space="preserve">примени </w:t>
      </w:r>
      <w:r w:rsidR="006A6BE9" w:rsidRPr="003E5020">
        <w:rPr>
          <w:rFonts w:ascii="Times New Roman" w:hAnsi="Times New Roman" w:cs="Times New Roman"/>
          <w:sz w:val="24"/>
          <w:szCs w:val="24"/>
          <w:lang w:val="sr-Cyrl-RS"/>
        </w:rPr>
        <w:t xml:space="preserve">унутар самог правосуђа. </w:t>
      </w:r>
    </w:p>
    <w:p w14:paraId="3099E83E" w14:textId="77777777" w:rsidR="00B4043D" w:rsidRPr="003E5020" w:rsidRDefault="00B4043D">
      <w:pPr>
        <w:ind w:left="851"/>
        <w:jc w:val="both"/>
        <w:rPr>
          <w:rFonts w:ascii="Times New Roman" w:hAnsi="Times New Roman" w:cs="Times New Roman"/>
          <w:sz w:val="24"/>
          <w:szCs w:val="24"/>
          <w:lang w:val="sr-Cyrl-RS"/>
        </w:rPr>
      </w:pPr>
    </w:p>
    <w:p w14:paraId="1C9A0BBF" w14:textId="77777777" w:rsidR="006A6BE9" w:rsidRPr="003E5020" w:rsidRDefault="006A6BE9">
      <w:pPr>
        <w:pStyle w:val="Default"/>
        <w:jc w:val="both"/>
        <w:rPr>
          <w:rFonts w:ascii="Times New Roman" w:hAnsi="Times New Roman" w:cs="Times New Roman"/>
          <w:color w:val="auto"/>
          <w:lang w:val="sr-Cyrl-RS"/>
        </w:rPr>
      </w:pPr>
    </w:p>
    <w:p w14:paraId="5CC15755" w14:textId="577B3259"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Надаље, Стратегиј</w:t>
      </w:r>
      <w:r w:rsidR="005D6DCA" w:rsidRPr="003E5020">
        <w:rPr>
          <w:rFonts w:ascii="Times New Roman" w:hAnsi="Times New Roman" w:cs="Times New Roman"/>
          <w:sz w:val="24"/>
          <w:szCs w:val="24"/>
          <w:lang w:val="sr-Cyrl-RS"/>
        </w:rPr>
        <w:t>ом</w:t>
      </w:r>
      <w:r w:rsidRPr="003E5020">
        <w:rPr>
          <w:rFonts w:ascii="Times New Roman" w:hAnsi="Times New Roman" w:cs="Times New Roman"/>
          <w:sz w:val="24"/>
          <w:szCs w:val="24"/>
          <w:lang w:val="sr-Cyrl-RS"/>
        </w:rPr>
        <w:t xml:space="preserve"> развоја правосуђа за период 20</w:t>
      </w:r>
      <w:r w:rsidR="005D6DCA"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5D6DCA"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xml:space="preserve">. године је, као један од циљева, предвиђено </w:t>
      </w:r>
      <w:r w:rsidRPr="003E5020">
        <w:rPr>
          <w:rFonts w:ascii="Times New Roman" w:hAnsi="Times New Roman" w:cs="Times New Roman"/>
          <w:i/>
          <w:sz w:val="24"/>
          <w:szCs w:val="24"/>
          <w:lang w:val="sr-Cyrl-RS"/>
        </w:rPr>
        <w:t>унапређење стручности правосуђа</w:t>
      </w:r>
      <w:r w:rsidRPr="003E5020">
        <w:rPr>
          <w:rFonts w:ascii="Times New Roman" w:hAnsi="Times New Roman" w:cs="Times New Roman"/>
          <w:sz w:val="24"/>
          <w:szCs w:val="24"/>
          <w:lang w:val="sr-Cyrl-RS"/>
        </w:rPr>
        <w:t xml:space="preserve">, тако да се на свеобухватан и организован начин спроводи стручно усавршавање носилаца правосудних функција, обука судијских и тужилачких помоћника и приправника, запослених у правосуђу као и представника </w:t>
      </w:r>
      <w:r w:rsidR="00DA6F9C" w:rsidRPr="003E5020">
        <w:rPr>
          <w:rFonts w:ascii="Times New Roman" w:hAnsi="Times New Roman" w:cs="Times New Roman"/>
          <w:sz w:val="24"/>
          <w:szCs w:val="24"/>
          <w:lang w:val="sr-Cyrl-RS"/>
        </w:rPr>
        <w:t xml:space="preserve">других </w:t>
      </w:r>
      <w:r w:rsidRPr="003E5020">
        <w:rPr>
          <w:rFonts w:ascii="Times New Roman" w:hAnsi="Times New Roman" w:cs="Times New Roman"/>
          <w:sz w:val="24"/>
          <w:szCs w:val="24"/>
          <w:lang w:val="sr-Cyrl-RS"/>
        </w:rPr>
        <w:t>правосудних професија (јавни бележници, јавни извршитељи и медијатори). Управо у овом домену, ефикасно управљање људским ресурсима треба да обезбеди системску повезаност између</w:t>
      </w:r>
      <w:r w:rsidR="003702AD" w:rsidRPr="003E5020">
        <w:rPr>
          <w:rFonts w:ascii="Times New Roman" w:hAnsi="Times New Roman" w:cs="Times New Roman"/>
          <w:sz w:val="24"/>
          <w:szCs w:val="24"/>
          <w:lang w:val="sr-Cyrl-RS"/>
        </w:rPr>
        <w:t xml:space="preserve">: свеобухватне темељне анализе потреба за обукама, </w:t>
      </w:r>
      <w:r w:rsidR="00B52786" w:rsidRPr="003E5020">
        <w:rPr>
          <w:rFonts w:ascii="Times New Roman" w:hAnsi="Times New Roman" w:cs="Times New Roman"/>
          <w:sz w:val="24"/>
          <w:szCs w:val="24"/>
          <w:lang w:val="sr-Cyrl-RS"/>
        </w:rPr>
        <w:t>која има</w:t>
      </w:r>
      <w:r w:rsidR="009C142A" w:rsidRPr="003E5020">
        <w:rPr>
          <w:rFonts w:ascii="Times New Roman" w:hAnsi="Times New Roman" w:cs="Times New Roman"/>
          <w:sz w:val="24"/>
          <w:szCs w:val="24"/>
          <w:lang w:val="sr-Cyrl-RS"/>
        </w:rPr>
        <w:t xml:space="preserve"> у виду компетенције и оп</w:t>
      </w:r>
      <w:r w:rsidR="00B52786" w:rsidRPr="003E5020">
        <w:rPr>
          <w:rFonts w:ascii="Times New Roman" w:hAnsi="Times New Roman" w:cs="Times New Roman"/>
          <w:sz w:val="24"/>
          <w:szCs w:val="24"/>
          <w:lang w:val="sr-Cyrl-RS"/>
        </w:rPr>
        <w:t>и</w:t>
      </w:r>
      <w:r w:rsidR="009C142A" w:rsidRPr="003E5020">
        <w:rPr>
          <w:rFonts w:ascii="Times New Roman" w:hAnsi="Times New Roman" w:cs="Times New Roman"/>
          <w:sz w:val="24"/>
          <w:szCs w:val="24"/>
          <w:lang w:val="sr-Cyrl-RS"/>
        </w:rPr>
        <w:t xml:space="preserve">с послова сваког радног места, </w:t>
      </w:r>
      <w:r w:rsidRPr="003E5020">
        <w:rPr>
          <w:rFonts w:ascii="Times New Roman" w:hAnsi="Times New Roman" w:cs="Times New Roman"/>
          <w:sz w:val="24"/>
          <w:szCs w:val="24"/>
          <w:lang w:val="sr-Cyrl-RS"/>
        </w:rPr>
        <w:t>организовани</w:t>
      </w:r>
      <w:r w:rsidR="003702AD" w:rsidRPr="003E5020">
        <w:rPr>
          <w:rFonts w:ascii="Times New Roman" w:hAnsi="Times New Roman" w:cs="Times New Roman"/>
          <w:sz w:val="24"/>
          <w:szCs w:val="24"/>
          <w:lang w:val="sr-Cyrl-RS"/>
        </w:rPr>
        <w:t>х</w:t>
      </w:r>
      <w:r w:rsidRPr="003E5020">
        <w:rPr>
          <w:rFonts w:ascii="Times New Roman" w:hAnsi="Times New Roman" w:cs="Times New Roman"/>
          <w:sz w:val="24"/>
          <w:szCs w:val="24"/>
          <w:lang w:val="sr-Cyrl-RS"/>
        </w:rPr>
        <w:t xml:space="preserve"> обука </w:t>
      </w:r>
      <w:r w:rsidR="008E1ED4" w:rsidRPr="003E5020">
        <w:rPr>
          <w:rFonts w:ascii="Times New Roman" w:hAnsi="Times New Roman" w:cs="Times New Roman"/>
          <w:sz w:val="24"/>
          <w:szCs w:val="24"/>
          <w:lang w:val="sr-Cyrl-RS"/>
        </w:rPr>
        <w:t>односно</w:t>
      </w:r>
      <w:r w:rsidRPr="003E5020">
        <w:rPr>
          <w:rFonts w:ascii="Times New Roman" w:hAnsi="Times New Roman" w:cs="Times New Roman"/>
          <w:sz w:val="24"/>
          <w:szCs w:val="24"/>
          <w:lang w:val="sr-Cyrl-RS"/>
        </w:rPr>
        <w:t xml:space="preserve"> стручно</w:t>
      </w:r>
      <w:r w:rsidR="008E1ED4" w:rsidRPr="003E5020">
        <w:rPr>
          <w:rFonts w:ascii="Times New Roman" w:hAnsi="Times New Roman" w:cs="Times New Roman"/>
          <w:sz w:val="24"/>
          <w:szCs w:val="24"/>
          <w:lang w:val="sr-Cyrl-RS"/>
        </w:rPr>
        <w:t>г</w:t>
      </w:r>
      <w:r w:rsidRPr="003E5020">
        <w:rPr>
          <w:rFonts w:ascii="Times New Roman" w:hAnsi="Times New Roman" w:cs="Times New Roman"/>
          <w:sz w:val="24"/>
          <w:szCs w:val="24"/>
          <w:lang w:val="sr-Cyrl-RS"/>
        </w:rPr>
        <w:t xml:space="preserve"> усавршавањ</w:t>
      </w:r>
      <w:r w:rsidR="008E1ED4"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и </w:t>
      </w:r>
      <w:r w:rsidR="008E1ED4" w:rsidRPr="003E5020">
        <w:rPr>
          <w:rFonts w:ascii="Times New Roman" w:hAnsi="Times New Roman" w:cs="Times New Roman"/>
          <w:sz w:val="24"/>
          <w:szCs w:val="24"/>
          <w:lang w:val="sr-Cyrl-RS"/>
        </w:rPr>
        <w:t xml:space="preserve">свеукупног </w:t>
      </w:r>
      <w:r w:rsidRPr="003E5020">
        <w:rPr>
          <w:rFonts w:ascii="Times New Roman" w:hAnsi="Times New Roman" w:cs="Times New Roman"/>
          <w:sz w:val="24"/>
          <w:szCs w:val="24"/>
          <w:lang w:val="sr-Cyrl-RS"/>
        </w:rPr>
        <w:t>каријерног развоја</w:t>
      </w:r>
      <w:r w:rsidR="008E1ED4" w:rsidRPr="003E5020">
        <w:rPr>
          <w:rFonts w:ascii="Times New Roman" w:hAnsi="Times New Roman" w:cs="Times New Roman"/>
          <w:sz w:val="24"/>
          <w:szCs w:val="24"/>
          <w:lang w:val="sr-Cyrl-RS"/>
        </w:rPr>
        <w:t xml:space="preserve">, с једне, и процене </w:t>
      </w:r>
      <w:r w:rsidR="00C7056D" w:rsidRPr="003E5020">
        <w:rPr>
          <w:rFonts w:ascii="Times New Roman" w:hAnsi="Times New Roman" w:cs="Times New Roman"/>
          <w:sz w:val="24"/>
          <w:szCs w:val="24"/>
          <w:lang w:val="sr-Cyrl-RS"/>
        </w:rPr>
        <w:t xml:space="preserve">оствареног </w:t>
      </w:r>
      <w:r w:rsidR="0005071B" w:rsidRPr="003E5020">
        <w:rPr>
          <w:rFonts w:ascii="Times New Roman" w:hAnsi="Times New Roman" w:cs="Times New Roman"/>
          <w:sz w:val="24"/>
          <w:szCs w:val="24"/>
          <w:lang w:val="sr-Cyrl-RS"/>
        </w:rPr>
        <w:t>радног учинка</w:t>
      </w:r>
      <w:r w:rsidR="008E1ED4" w:rsidRPr="003E5020">
        <w:rPr>
          <w:rFonts w:ascii="Times New Roman" w:hAnsi="Times New Roman" w:cs="Times New Roman"/>
          <w:sz w:val="24"/>
          <w:szCs w:val="24"/>
          <w:lang w:val="sr-Cyrl-RS"/>
        </w:rPr>
        <w:t xml:space="preserve">, с друге стране. </w:t>
      </w:r>
    </w:p>
    <w:p w14:paraId="00403385" w14:textId="77777777" w:rsidR="006A6BE9" w:rsidRPr="003E5020" w:rsidRDefault="006A6BE9">
      <w:pPr>
        <w:ind w:left="851"/>
        <w:jc w:val="both"/>
        <w:rPr>
          <w:rFonts w:ascii="Times New Roman" w:hAnsi="Times New Roman" w:cs="Times New Roman"/>
          <w:sz w:val="24"/>
          <w:szCs w:val="24"/>
          <w:lang w:val="sr-Cyrl-RS"/>
        </w:rPr>
      </w:pPr>
    </w:p>
    <w:p w14:paraId="3A052E6A" w14:textId="1DC564BA"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i/>
          <w:sz w:val="24"/>
          <w:szCs w:val="24"/>
          <w:lang w:val="sr-Cyrl-RS"/>
        </w:rPr>
        <w:t>Унапређење ефикасности правосуђа</w:t>
      </w:r>
      <w:r w:rsidRPr="003E5020">
        <w:rPr>
          <w:rFonts w:ascii="Times New Roman" w:hAnsi="Times New Roman" w:cs="Times New Roman"/>
          <w:sz w:val="24"/>
          <w:szCs w:val="24"/>
          <w:lang w:val="sr-Cyrl-RS"/>
        </w:rPr>
        <w:t xml:space="preserve"> је следећи кључни циљ Стратегије развоја правосуђа за период </w:t>
      </w:r>
      <w:r w:rsidR="00923C8D" w:rsidRPr="003E5020">
        <w:rPr>
          <w:rFonts w:ascii="Times New Roman" w:hAnsi="Times New Roman" w:cs="Times New Roman"/>
          <w:sz w:val="24"/>
          <w:szCs w:val="24"/>
          <w:lang w:val="sr-Cyrl-RS"/>
        </w:rPr>
        <w:t>2020</w:t>
      </w:r>
      <w:r w:rsidRPr="003E5020">
        <w:rPr>
          <w:rFonts w:ascii="Times New Roman" w:hAnsi="Times New Roman" w:cs="Times New Roman"/>
          <w:sz w:val="24"/>
          <w:szCs w:val="24"/>
          <w:lang w:val="sr-Cyrl-RS"/>
        </w:rPr>
        <w:t>–202</w:t>
      </w:r>
      <w:r w:rsidR="00923C8D"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 и подразумева</w:t>
      </w:r>
      <w:r w:rsidR="00C7056D"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пре свега</w:t>
      </w:r>
      <w:r w:rsidR="00C7056D"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делотворно управљање правосудним системом и рационално коришћење ресурса. Стратегија ће потпомоћи реализацију наведеног циља тако што ће се успоставити стратешко планирање потреба за људским ресурсима у односу на процењени обима посла, што ће резулт</w:t>
      </w:r>
      <w:r w:rsidR="00C7056D" w:rsidRPr="003E5020">
        <w:rPr>
          <w:rFonts w:ascii="Times New Roman" w:hAnsi="Times New Roman" w:cs="Times New Roman"/>
          <w:sz w:val="24"/>
          <w:szCs w:val="24"/>
          <w:lang w:val="sr-Cyrl-RS"/>
        </w:rPr>
        <w:t>овати</w:t>
      </w:r>
      <w:r w:rsidRPr="003E5020">
        <w:rPr>
          <w:rFonts w:ascii="Times New Roman" w:hAnsi="Times New Roman" w:cs="Times New Roman"/>
          <w:sz w:val="24"/>
          <w:szCs w:val="24"/>
          <w:lang w:val="sr-Cyrl-RS"/>
        </w:rPr>
        <w:t xml:space="preserve"> израдом годишњег плана запошљавања, са процењеним буџетом неопходним за његову реализацију.   </w:t>
      </w:r>
    </w:p>
    <w:p w14:paraId="73D25BB8" w14:textId="77777777" w:rsidR="006A6BE9" w:rsidRPr="003E5020" w:rsidRDefault="006A6BE9">
      <w:pPr>
        <w:ind w:left="851"/>
        <w:jc w:val="both"/>
        <w:rPr>
          <w:rFonts w:ascii="Times New Roman" w:hAnsi="Times New Roman" w:cs="Times New Roman"/>
          <w:sz w:val="24"/>
          <w:szCs w:val="24"/>
          <w:lang w:val="sr-Cyrl-RS"/>
        </w:rPr>
      </w:pPr>
    </w:p>
    <w:p w14:paraId="68158772" w14:textId="23DAF818"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Стратегиј</w:t>
      </w:r>
      <w:r w:rsidR="00923C8D" w:rsidRPr="003E5020">
        <w:rPr>
          <w:rFonts w:ascii="Times New Roman" w:hAnsi="Times New Roman" w:cs="Times New Roman"/>
          <w:sz w:val="24"/>
          <w:szCs w:val="24"/>
          <w:lang w:val="sr-Cyrl-RS"/>
        </w:rPr>
        <w:t>ом</w:t>
      </w:r>
      <w:r w:rsidRPr="003E5020">
        <w:rPr>
          <w:rFonts w:ascii="Times New Roman" w:hAnsi="Times New Roman" w:cs="Times New Roman"/>
          <w:sz w:val="24"/>
          <w:szCs w:val="24"/>
          <w:lang w:val="sr-Cyrl-RS"/>
        </w:rPr>
        <w:t xml:space="preserve"> развоја правосуђа за период 20</w:t>
      </w:r>
      <w:r w:rsidR="00923C8D"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923C8D"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xml:space="preserve">. године је предвиђен и </w:t>
      </w:r>
      <w:r w:rsidRPr="003E5020">
        <w:rPr>
          <w:rFonts w:ascii="Times New Roman" w:hAnsi="Times New Roman" w:cs="Times New Roman"/>
          <w:i/>
          <w:sz w:val="24"/>
          <w:szCs w:val="24"/>
          <w:lang w:val="sr-Cyrl-RS"/>
        </w:rPr>
        <w:t>развој е-правосуђа</w:t>
      </w:r>
      <w:r w:rsidRPr="003E5020">
        <w:rPr>
          <w:rFonts w:ascii="Times New Roman" w:hAnsi="Times New Roman" w:cs="Times New Roman"/>
          <w:sz w:val="24"/>
          <w:szCs w:val="24"/>
          <w:lang w:val="sr-Cyrl-RS"/>
        </w:rPr>
        <w:t xml:space="preserve">, односно даље унапређење механизама који на ефикасни начин омогућавају да се делотворно управља правосудним системом и рационално користе ресурси. Без успешно организоване функције управљања људским ресурсима у правосуђу која би, између осталог, ускладила описе послова на начин да у себи обавезно укључе и одговарајућа ИТ знања (е-компетенције) и укључила стицање и даље усавршавање ИТ знања у курикулум будућих обука за носиоце правосудних функција и запослене у правосуђу, постизање зацртаног циља би било тешко остварљиво. </w:t>
      </w:r>
    </w:p>
    <w:p w14:paraId="1CFA05F2" w14:textId="77777777" w:rsidR="006A6BE9" w:rsidRPr="003E5020" w:rsidRDefault="006A6BE9">
      <w:pPr>
        <w:ind w:left="851"/>
        <w:jc w:val="both"/>
        <w:rPr>
          <w:rFonts w:ascii="Times New Roman" w:hAnsi="Times New Roman" w:cs="Times New Roman"/>
          <w:sz w:val="24"/>
          <w:szCs w:val="24"/>
          <w:lang w:val="sr-Cyrl-RS"/>
        </w:rPr>
      </w:pPr>
    </w:p>
    <w:p w14:paraId="3EC2CD1C" w14:textId="139BA7DA" w:rsidR="006A6BE9" w:rsidRPr="003E5020" w:rsidRDefault="006A6BE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 послетку, </w:t>
      </w:r>
      <w:r w:rsidRPr="003E5020">
        <w:rPr>
          <w:rFonts w:ascii="Times New Roman" w:hAnsi="Times New Roman" w:cs="Times New Roman"/>
          <w:i/>
          <w:sz w:val="24"/>
          <w:szCs w:val="24"/>
          <w:lang w:val="sr-Cyrl-RS"/>
        </w:rPr>
        <w:t>унапређење транспарентности и доступности правосуђа</w:t>
      </w:r>
      <w:r w:rsidRPr="003E5020">
        <w:rPr>
          <w:rFonts w:ascii="Times New Roman" w:hAnsi="Times New Roman" w:cs="Times New Roman"/>
          <w:sz w:val="24"/>
          <w:szCs w:val="24"/>
          <w:lang w:val="sr-Cyrl-RS"/>
        </w:rPr>
        <w:t>, као један од циљева Стратегије развоја правосуђа за период 20</w:t>
      </w:r>
      <w:r w:rsidR="00923C8D"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923C8D"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 јасно претпоставља даље унапређење доступности правосудних институција, квалитативних и квантитативних података о њиховом свакодневном раду, што подразумева и доступност информација о планирању и спровођењу реформе правосудног система. Стратегија има за задатак да наведени циљ потпомогне тако што ће се њеном реализацијом, између осталог, створити услови да сви описи послова (радних места) у правосудном систему рефлектују значај транспарентности, квалитета података кој</w:t>
      </w:r>
      <w:r w:rsidR="002D33F1"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запослени у свакодневном раду</w:t>
      </w:r>
      <w:r w:rsidR="002D33F1" w:rsidRPr="003E5020">
        <w:rPr>
          <w:rFonts w:ascii="Times New Roman" w:hAnsi="Times New Roman" w:cs="Times New Roman"/>
          <w:sz w:val="24"/>
          <w:szCs w:val="24"/>
          <w:lang w:val="sr-Cyrl-RS"/>
        </w:rPr>
        <w:t xml:space="preserve"> прикупљају, обрађују и размењују</w:t>
      </w:r>
      <w:r w:rsidRPr="003E5020">
        <w:rPr>
          <w:rFonts w:ascii="Times New Roman" w:hAnsi="Times New Roman" w:cs="Times New Roman"/>
          <w:sz w:val="24"/>
          <w:szCs w:val="24"/>
          <w:lang w:val="sr-Cyrl-RS"/>
        </w:rPr>
        <w:t xml:space="preserve">, </w:t>
      </w:r>
      <w:r w:rsidR="008A0CD2" w:rsidRPr="003E5020">
        <w:rPr>
          <w:rFonts w:ascii="Times New Roman" w:hAnsi="Times New Roman" w:cs="Times New Roman"/>
          <w:sz w:val="24"/>
          <w:szCs w:val="24"/>
          <w:lang w:val="sr-Cyrl-RS"/>
        </w:rPr>
        <w:t xml:space="preserve">као и </w:t>
      </w:r>
      <w:r w:rsidRPr="003E5020">
        <w:rPr>
          <w:rFonts w:ascii="Times New Roman" w:hAnsi="Times New Roman" w:cs="Times New Roman"/>
          <w:sz w:val="24"/>
          <w:szCs w:val="24"/>
          <w:lang w:val="sr-Cyrl-RS"/>
        </w:rPr>
        <w:t>спровођењу анализа и редовном извештавању, што ће све бити уоквирено кроз годишњи план обук</w:t>
      </w:r>
      <w:r w:rsidR="008A0CD2"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запослених у правосуђу.</w:t>
      </w:r>
    </w:p>
    <w:p w14:paraId="0B517CEF" w14:textId="77777777" w:rsidR="00E80E0B" w:rsidRPr="003E5020" w:rsidRDefault="00E80E0B">
      <w:pPr>
        <w:ind w:left="851"/>
        <w:jc w:val="both"/>
        <w:rPr>
          <w:rFonts w:ascii="Times New Roman" w:hAnsi="Times New Roman" w:cs="Times New Roman"/>
          <w:b/>
          <w:bCs/>
          <w:sz w:val="24"/>
          <w:szCs w:val="24"/>
          <w:lang w:val="sr-Cyrl-RS"/>
        </w:rPr>
      </w:pPr>
    </w:p>
    <w:p w14:paraId="70118593" w14:textId="22D6F1F7" w:rsidR="002C2980" w:rsidRPr="003E5020" w:rsidRDefault="002C2980">
      <w:pPr>
        <w:pStyle w:val="ListParagraph"/>
        <w:numPr>
          <w:ilvl w:val="2"/>
          <w:numId w:val="2"/>
        </w:numPr>
        <w:ind w:left="851" w:hanging="851"/>
        <w:rPr>
          <w:rFonts w:ascii="Times New Roman" w:eastAsiaTheme="majorEastAsia" w:hAnsi="Times New Roman" w:cs="Times New Roman"/>
          <w:i/>
          <w:sz w:val="24"/>
          <w:szCs w:val="24"/>
          <w:lang w:val="sr-Cyrl-RS"/>
        </w:rPr>
      </w:pPr>
      <w:r w:rsidRPr="003E5020">
        <w:rPr>
          <w:rFonts w:ascii="Times New Roman" w:eastAsiaTheme="majorEastAsia" w:hAnsi="Times New Roman" w:cs="Times New Roman"/>
          <w:i/>
          <w:sz w:val="24"/>
          <w:szCs w:val="24"/>
          <w:lang w:val="sr-Cyrl-RS"/>
        </w:rPr>
        <w:t>Акциони план за Поглавље 23 (Правосуђе)</w:t>
      </w:r>
      <w:r w:rsidR="004B61CD" w:rsidRPr="003E5020">
        <w:rPr>
          <w:rFonts w:ascii="Times New Roman" w:eastAsiaTheme="majorEastAsia" w:hAnsi="Times New Roman" w:cs="Times New Roman"/>
          <w:i/>
          <w:sz w:val="24"/>
          <w:szCs w:val="24"/>
          <w:lang w:val="sr-Cyrl-RS"/>
        </w:rPr>
        <w:t xml:space="preserve"> </w:t>
      </w:r>
    </w:p>
    <w:p w14:paraId="0991D2CC" w14:textId="07F2BD9D" w:rsidR="00B84B0B" w:rsidRPr="003E5020" w:rsidRDefault="00B84B0B">
      <w:pPr>
        <w:ind w:left="851"/>
        <w:jc w:val="both"/>
        <w:rPr>
          <w:rFonts w:ascii="Times New Roman" w:hAnsi="Times New Roman" w:cs="Times New Roman"/>
          <w:sz w:val="24"/>
          <w:szCs w:val="24"/>
          <w:lang w:val="sr-Cyrl-RS"/>
        </w:rPr>
      </w:pPr>
    </w:p>
    <w:p w14:paraId="0660EE4E" w14:textId="63CA9594" w:rsidR="00B84B0B" w:rsidRPr="003E5020" w:rsidRDefault="00E04F5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контексту процеса приступања Србије ЕУ, Акциони план за Поглавље 23</w:t>
      </w:r>
      <w:r w:rsidR="00C3039D" w:rsidRPr="003E5020">
        <w:rPr>
          <w:rFonts w:ascii="Times New Roman" w:hAnsi="Times New Roman" w:cs="Times New Roman"/>
          <w:sz w:val="24"/>
          <w:szCs w:val="24"/>
          <w:lang w:val="sr-Cyrl-RS"/>
        </w:rPr>
        <w:t xml:space="preserve"> из</w:t>
      </w:r>
      <w:r w:rsidR="000D7710" w:rsidRPr="003E5020">
        <w:rPr>
          <w:rFonts w:ascii="Times New Roman" w:hAnsi="Times New Roman" w:cs="Times New Roman"/>
          <w:sz w:val="24"/>
          <w:szCs w:val="24"/>
          <w:lang w:val="sr-Cyrl-RS"/>
        </w:rPr>
        <w:t xml:space="preserve"> јула 2020. године</w:t>
      </w:r>
      <w:r w:rsidRPr="003E5020">
        <w:rPr>
          <w:rFonts w:ascii="Times New Roman" w:hAnsi="Times New Roman" w:cs="Times New Roman"/>
          <w:sz w:val="24"/>
          <w:szCs w:val="24"/>
          <w:lang w:val="sr-Cyrl-RS"/>
        </w:rPr>
        <w:t xml:space="preserve"> </w:t>
      </w:r>
      <w:r w:rsidR="00CC5CFB" w:rsidRPr="003E5020">
        <w:rPr>
          <w:rFonts w:ascii="Times New Roman" w:hAnsi="Times New Roman" w:cs="Times New Roman"/>
          <w:sz w:val="24"/>
          <w:szCs w:val="24"/>
          <w:lang w:val="sr-Cyrl-RS"/>
        </w:rPr>
        <w:t>(у даљем тексту: „</w:t>
      </w:r>
      <w:r w:rsidR="00CC5CFB" w:rsidRPr="003E5020">
        <w:rPr>
          <w:rFonts w:ascii="Times New Roman" w:hAnsi="Times New Roman" w:cs="Times New Roman"/>
          <w:b/>
          <w:sz w:val="24"/>
          <w:szCs w:val="24"/>
          <w:lang w:val="sr-Cyrl-RS"/>
        </w:rPr>
        <w:t>АП 23</w:t>
      </w:r>
      <w:r w:rsidR="00701BFF">
        <w:rPr>
          <w:rFonts w:ascii="Times New Roman" w:hAnsi="Times New Roman" w:cs="Times New Roman"/>
          <w:sz w:val="24"/>
          <w:szCs w:val="24"/>
          <w:lang w:val="sr-Cyrl-RS"/>
        </w:rPr>
        <w:t>ˮ</w:t>
      </w:r>
      <w:r w:rsidR="00CC5CFB"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представља кровни стратешки документ Републике Србије за област правосуђа, са којим треба да буду усклађени сви остали</w:t>
      </w:r>
      <w:r w:rsidR="00996E68" w:rsidRPr="003E5020">
        <w:rPr>
          <w:rFonts w:ascii="Times New Roman" w:hAnsi="Times New Roman" w:cs="Times New Roman"/>
          <w:sz w:val="24"/>
          <w:szCs w:val="24"/>
          <w:lang w:val="sr-Cyrl-RS"/>
        </w:rPr>
        <w:t xml:space="preserve"> документи јавних политика</w:t>
      </w:r>
      <w:r w:rsidRPr="003E5020">
        <w:rPr>
          <w:rFonts w:ascii="Times New Roman" w:hAnsi="Times New Roman" w:cs="Times New Roman"/>
          <w:sz w:val="24"/>
          <w:szCs w:val="24"/>
          <w:lang w:val="sr-Cyrl-RS"/>
        </w:rPr>
        <w:t xml:space="preserve">, укључујући и Стратегију. </w:t>
      </w:r>
      <w:r w:rsidR="00CC5CFB" w:rsidRPr="003E5020">
        <w:rPr>
          <w:rFonts w:ascii="Times New Roman" w:hAnsi="Times New Roman" w:cs="Times New Roman"/>
          <w:sz w:val="24"/>
          <w:szCs w:val="24"/>
          <w:lang w:val="sr-Cyrl-RS"/>
        </w:rPr>
        <w:t>Како је и наведено у уводном делу АП</w:t>
      </w:r>
      <w:r w:rsidR="00C24F1F" w:rsidRPr="003E5020">
        <w:rPr>
          <w:rFonts w:ascii="Times New Roman" w:hAnsi="Times New Roman" w:cs="Times New Roman"/>
          <w:sz w:val="24"/>
          <w:szCs w:val="24"/>
          <w:lang w:val="sr-Cyrl-RS"/>
        </w:rPr>
        <w:t xml:space="preserve"> 23, на тај начин ће</w:t>
      </w:r>
      <w:r w:rsidR="00CC5CFB" w:rsidRPr="003E5020">
        <w:rPr>
          <w:rFonts w:ascii="Times New Roman" w:hAnsi="Times New Roman" w:cs="Times New Roman"/>
          <w:sz w:val="24"/>
          <w:szCs w:val="24"/>
          <w:lang w:val="sr-Cyrl-RS"/>
        </w:rPr>
        <w:t xml:space="preserve"> све</w:t>
      </w:r>
      <w:r w:rsidRPr="003E5020">
        <w:rPr>
          <w:rFonts w:ascii="Times New Roman" w:hAnsi="Times New Roman" w:cs="Times New Roman"/>
          <w:sz w:val="24"/>
          <w:szCs w:val="24"/>
          <w:lang w:val="sr-Cyrl-RS"/>
        </w:rPr>
        <w:t xml:space="preserve"> јавне политике у овој области </w:t>
      </w:r>
      <w:r w:rsidR="00C24F1F" w:rsidRPr="003E5020">
        <w:rPr>
          <w:rFonts w:ascii="Times New Roman" w:hAnsi="Times New Roman" w:cs="Times New Roman"/>
          <w:sz w:val="24"/>
          <w:szCs w:val="24"/>
          <w:lang w:val="sr-Cyrl-RS"/>
        </w:rPr>
        <w:t>бити</w:t>
      </w:r>
      <w:r w:rsidR="00CC5CFB"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прецизно дефинисане, а спровођење, координација, рокови и финансирање реформи значајно унапређени</w:t>
      </w:r>
      <w:r w:rsidR="00C24F1F" w:rsidRPr="003E5020">
        <w:rPr>
          <w:rFonts w:ascii="Times New Roman" w:hAnsi="Times New Roman" w:cs="Times New Roman"/>
          <w:sz w:val="24"/>
          <w:szCs w:val="24"/>
          <w:lang w:val="sr-Cyrl-RS"/>
        </w:rPr>
        <w:t>.</w:t>
      </w:r>
    </w:p>
    <w:p w14:paraId="3A6E126F" w14:textId="3F79DAC8" w:rsidR="00B84B0B" w:rsidRPr="003E5020" w:rsidRDefault="00B84B0B">
      <w:pPr>
        <w:ind w:left="851"/>
        <w:jc w:val="both"/>
        <w:rPr>
          <w:rFonts w:ascii="Times New Roman" w:hAnsi="Times New Roman" w:cs="Times New Roman"/>
          <w:sz w:val="24"/>
          <w:szCs w:val="24"/>
          <w:lang w:val="sr-Cyrl-RS"/>
        </w:rPr>
      </w:pPr>
    </w:p>
    <w:p w14:paraId="61E2118E" w14:textId="41FCD131" w:rsidR="00532E14" w:rsidRPr="003E5020" w:rsidRDefault="002A3F34" w:rsidP="00DD210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Као један од елемената будуће реформе правосуђа, </w:t>
      </w:r>
      <w:r w:rsidR="009F49DF" w:rsidRPr="003E5020">
        <w:rPr>
          <w:rFonts w:ascii="Times New Roman" w:hAnsi="Times New Roman" w:cs="Times New Roman"/>
          <w:sz w:val="24"/>
          <w:szCs w:val="24"/>
          <w:lang w:val="sr-Cyrl-RS"/>
        </w:rPr>
        <w:t>АП</w:t>
      </w:r>
      <w:r w:rsidRPr="003E5020">
        <w:rPr>
          <w:rFonts w:ascii="Times New Roman" w:hAnsi="Times New Roman" w:cs="Times New Roman"/>
          <w:sz w:val="24"/>
          <w:szCs w:val="24"/>
          <w:lang w:val="sr-Cyrl-RS"/>
        </w:rPr>
        <w:t xml:space="preserve"> 23 на директан начин предвиђа израду, усвајање и спровођење </w:t>
      </w:r>
      <w:r w:rsidR="003434E8" w:rsidRPr="003E5020">
        <w:rPr>
          <w:rFonts w:ascii="Times New Roman" w:hAnsi="Times New Roman" w:cs="Times New Roman"/>
          <w:sz w:val="24"/>
          <w:szCs w:val="24"/>
          <w:lang w:val="sr-Cyrl-RS"/>
        </w:rPr>
        <w:t>стратегије људских ресурса за правосуђе</w:t>
      </w:r>
      <w:r w:rsidRPr="003E5020">
        <w:rPr>
          <w:rFonts w:ascii="Times New Roman" w:hAnsi="Times New Roman" w:cs="Times New Roman"/>
          <w:sz w:val="24"/>
          <w:szCs w:val="24"/>
          <w:lang w:val="sr-Cyrl-RS"/>
        </w:rPr>
        <w:t xml:space="preserve">. Наиме, </w:t>
      </w:r>
      <w:r w:rsidR="004071E1" w:rsidRPr="003E5020">
        <w:rPr>
          <w:rFonts w:ascii="Times New Roman" w:hAnsi="Times New Roman" w:cs="Times New Roman"/>
          <w:sz w:val="24"/>
          <w:szCs w:val="24"/>
          <w:lang w:val="sr-Cyrl-RS"/>
        </w:rPr>
        <w:t xml:space="preserve">прелазним мерилом </w:t>
      </w:r>
      <w:r w:rsidR="009F49DF" w:rsidRPr="003E5020">
        <w:rPr>
          <w:rFonts w:ascii="Times New Roman" w:hAnsi="Times New Roman" w:cs="Times New Roman"/>
          <w:sz w:val="24"/>
          <w:szCs w:val="24"/>
          <w:lang w:val="sr-Cyrl-RS"/>
        </w:rPr>
        <w:t>1.3.4.</w:t>
      </w:r>
      <w:r w:rsidR="000F4825" w:rsidRPr="003E5020">
        <w:rPr>
          <w:rFonts w:ascii="Times New Roman" w:hAnsi="Times New Roman" w:cs="Times New Roman"/>
          <w:sz w:val="24"/>
          <w:szCs w:val="24"/>
          <w:lang w:val="sr-Cyrl-RS"/>
        </w:rPr>
        <w:t xml:space="preserve"> АП 23, предвиђено је „</w:t>
      </w:r>
      <w:r w:rsidR="000F4825" w:rsidRPr="003E5020">
        <w:rPr>
          <w:rFonts w:ascii="Times New Roman" w:hAnsi="Times New Roman" w:cs="Times New Roman"/>
          <w:i/>
          <w:sz w:val="24"/>
          <w:szCs w:val="24"/>
          <w:lang w:val="sr-Cyrl-RS"/>
        </w:rPr>
        <w:t>усвајање</w:t>
      </w:r>
      <w:r w:rsidR="009F49DF" w:rsidRPr="003E5020">
        <w:rPr>
          <w:rFonts w:ascii="Times New Roman" w:hAnsi="Times New Roman" w:cs="Times New Roman"/>
          <w:i/>
          <w:sz w:val="24"/>
          <w:szCs w:val="24"/>
          <w:lang w:val="sr-Cyrl-RS"/>
        </w:rPr>
        <w:t xml:space="preserve"> и </w:t>
      </w:r>
      <w:r w:rsidR="000F4825" w:rsidRPr="003E5020">
        <w:rPr>
          <w:rFonts w:ascii="Times New Roman" w:hAnsi="Times New Roman" w:cs="Times New Roman"/>
          <w:i/>
          <w:sz w:val="24"/>
          <w:szCs w:val="24"/>
          <w:lang w:val="sr-Cyrl-RS"/>
        </w:rPr>
        <w:t xml:space="preserve">спровођење </w:t>
      </w:r>
      <w:r w:rsidR="009F49DF" w:rsidRPr="003E5020">
        <w:rPr>
          <w:rFonts w:ascii="Times New Roman" w:hAnsi="Times New Roman" w:cs="Times New Roman"/>
          <w:i/>
          <w:sz w:val="24"/>
          <w:szCs w:val="24"/>
          <w:lang w:val="sr-Cyrl-RS"/>
        </w:rPr>
        <w:t>стратегиј</w:t>
      </w:r>
      <w:r w:rsidR="000F4825" w:rsidRPr="003E5020">
        <w:rPr>
          <w:rFonts w:ascii="Times New Roman" w:hAnsi="Times New Roman" w:cs="Times New Roman"/>
          <w:i/>
          <w:sz w:val="24"/>
          <w:szCs w:val="24"/>
          <w:lang w:val="sr-Cyrl-RS"/>
        </w:rPr>
        <w:t>е</w:t>
      </w:r>
      <w:r w:rsidR="009F49DF" w:rsidRPr="003E5020">
        <w:rPr>
          <w:rFonts w:ascii="Times New Roman" w:hAnsi="Times New Roman" w:cs="Times New Roman"/>
          <w:i/>
          <w:sz w:val="24"/>
          <w:szCs w:val="24"/>
          <w:lang w:val="sr-Cyrl-RS"/>
        </w:rPr>
        <w:t xml:space="preserve"> људских ресурса за правосуђе</w:t>
      </w:r>
      <w:r w:rsidR="00475260" w:rsidRPr="003E5020">
        <w:rPr>
          <w:rFonts w:ascii="Times New Roman" w:hAnsi="Times New Roman" w:cs="Times New Roman"/>
          <w:i/>
          <w:sz w:val="24"/>
          <w:szCs w:val="24"/>
          <w:lang w:val="sr-Cyrl-RS"/>
        </w:rPr>
        <w:t>,</w:t>
      </w:r>
      <w:r w:rsidR="009F49DF" w:rsidRPr="003E5020">
        <w:rPr>
          <w:rFonts w:ascii="Times New Roman" w:hAnsi="Times New Roman" w:cs="Times New Roman"/>
          <w:i/>
          <w:sz w:val="24"/>
          <w:szCs w:val="24"/>
          <w:lang w:val="sr-Cyrl-RS"/>
        </w:rPr>
        <w:t xml:space="preserve"> </w:t>
      </w:r>
      <w:r w:rsidR="00532E14" w:rsidRPr="003E5020">
        <w:rPr>
          <w:rFonts w:ascii="Times New Roman" w:hAnsi="Times New Roman" w:cs="Times New Roman"/>
          <w:i/>
          <w:sz w:val="24"/>
          <w:szCs w:val="24"/>
          <w:lang w:val="sr-Cyrl-RS"/>
        </w:rPr>
        <w:t xml:space="preserve">која ће </w:t>
      </w:r>
      <w:r w:rsidR="00DD210C" w:rsidRPr="003E5020">
        <w:rPr>
          <w:rFonts w:ascii="Times New Roman" w:hAnsi="Times New Roman" w:cs="Times New Roman"/>
          <w:i/>
          <w:sz w:val="24"/>
          <w:szCs w:val="24"/>
          <w:lang w:val="sr-Cyrl-RS"/>
        </w:rPr>
        <w:t>резултовати у мерљивом напретку у расподели обима посла,</w:t>
      </w:r>
      <w:r w:rsidR="00475260" w:rsidRPr="003E5020">
        <w:rPr>
          <w:rFonts w:ascii="Times New Roman" w:hAnsi="Times New Roman" w:cs="Times New Roman"/>
          <w:i/>
          <w:sz w:val="24"/>
          <w:szCs w:val="24"/>
          <w:lang w:val="sr-Cyrl-RS"/>
        </w:rPr>
        <w:t xml:space="preserve"> као и</w:t>
      </w:r>
      <w:r w:rsidR="00DD210C" w:rsidRPr="003E5020">
        <w:rPr>
          <w:rFonts w:ascii="Times New Roman" w:hAnsi="Times New Roman" w:cs="Times New Roman"/>
          <w:i/>
          <w:sz w:val="24"/>
          <w:szCs w:val="24"/>
          <w:lang w:val="sr-Cyrl-RS"/>
        </w:rPr>
        <w:t xml:space="preserve"> унапређењу ефикасности и учинковитости правосудног система.</w:t>
      </w:r>
      <w:r w:rsidR="00701BFF">
        <w:rPr>
          <w:rFonts w:ascii="Times New Roman" w:hAnsi="Times New Roman" w:cs="Times New Roman"/>
          <w:sz w:val="24"/>
          <w:szCs w:val="24"/>
          <w:lang w:val="sr-Cyrl-RS"/>
        </w:rPr>
        <w:t>ˮ</w:t>
      </w:r>
    </w:p>
    <w:p w14:paraId="754B00DA" w14:textId="77777777" w:rsidR="00370B98" w:rsidRPr="003E5020" w:rsidRDefault="00370B98">
      <w:pPr>
        <w:ind w:left="851"/>
        <w:jc w:val="both"/>
        <w:rPr>
          <w:rFonts w:ascii="Times New Roman" w:hAnsi="Times New Roman" w:cs="Times New Roman"/>
          <w:sz w:val="24"/>
          <w:szCs w:val="24"/>
          <w:lang w:val="sr-Cyrl-RS"/>
        </w:rPr>
      </w:pPr>
    </w:p>
    <w:p w14:paraId="3CC86298" w14:textId="15CA6B82" w:rsidR="007F0F49" w:rsidRPr="003E5020" w:rsidRDefault="00C62271" w:rsidP="00D4217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Садржински</w:t>
      </w:r>
      <w:r w:rsidR="0053326A" w:rsidRPr="003E5020">
        <w:rPr>
          <w:rFonts w:ascii="Times New Roman" w:hAnsi="Times New Roman" w:cs="Times New Roman"/>
          <w:sz w:val="24"/>
          <w:szCs w:val="24"/>
          <w:lang w:val="sr-Cyrl-RS"/>
        </w:rPr>
        <w:t xml:space="preserve"> посматрано</w:t>
      </w:r>
      <w:r w:rsidRPr="003E5020">
        <w:rPr>
          <w:rFonts w:ascii="Times New Roman" w:hAnsi="Times New Roman" w:cs="Times New Roman"/>
          <w:sz w:val="24"/>
          <w:szCs w:val="24"/>
          <w:lang w:val="sr-Cyrl-RS"/>
        </w:rPr>
        <w:t xml:space="preserve">, </w:t>
      </w:r>
      <w:r w:rsidR="0053326A" w:rsidRPr="003E5020">
        <w:rPr>
          <w:rFonts w:ascii="Times New Roman" w:hAnsi="Times New Roman" w:cs="Times New Roman"/>
          <w:sz w:val="24"/>
          <w:szCs w:val="24"/>
          <w:lang w:val="sr-Cyrl-RS"/>
        </w:rPr>
        <w:t xml:space="preserve">будућа стратегија </w:t>
      </w:r>
      <w:r w:rsidR="00AD0BD4" w:rsidRPr="003E5020">
        <w:rPr>
          <w:rFonts w:ascii="Times New Roman" w:hAnsi="Times New Roman" w:cs="Times New Roman"/>
          <w:sz w:val="24"/>
          <w:szCs w:val="24"/>
          <w:lang w:val="sr-Cyrl-RS"/>
        </w:rPr>
        <w:t>треба</w:t>
      </w:r>
      <w:r w:rsidR="0053326A" w:rsidRPr="003E5020">
        <w:rPr>
          <w:rFonts w:ascii="Times New Roman" w:hAnsi="Times New Roman" w:cs="Times New Roman"/>
          <w:sz w:val="24"/>
          <w:szCs w:val="24"/>
          <w:lang w:val="sr-Cyrl-RS"/>
        </w:rPr>
        <w:t xml:space="preserve"> да обухвати следећа питања: </w:t>
      </w:r>
      <w:r w:rsidR="0053326A" w:rsidRPr="003E5020">
        <w:rPr>
          <w:rFonts w:ascii="Times New Roman" w:hAnsi="Times New Roman" w:cs="Times New Roman"/>
          <w:i/>
          <w:sz w:val="24"/>
          <w:szCs w:val="24"/>
          <w:lang w:val="sr-Cyrl-RS"/>
        </w:rPr>
        <w:t>број и структуру носилаца правосудних функција</w:t>
      </w:r>
      <w:r w:rsidR="0053326A" w:rsidRPr="003E5020">
        <w:rPr>
          <w:rFonts w:ascii="Times New Roman" w:hAnsi="Times New Roman" w:cs="Times New Roman"/>
          <w:sz w:val="24"/>
          <w:szCs w:val="24"/>
          <w:lang w:val="sr-Cyrl-RS"/>
        </w:rPr>
        <w:t xml:space="preserve">, затим </w:t>
      </w:r>
      <w:r w:rsidR="0053326A" w:rsidRPr="003E5020">
        <w:rPr>
          <w:rFonts w:ascii="Times New Roman" w:hAnsi="Times New Roman" w:cs="Times New Roman"/>
          <w:i/>
          <w:sz w:val="24"/>
          <w:szCs w:val="24"/>
          <w:lang w:val="sr-Cyrl-RS"/>
        </w:rPr>
        <w:t>статус, број и структуру судијских сарадника и јавнотужилачких помоћника</w:t>
      </w:r>
      <w:r w:rsidR="0053326A" w:rsidRPr="003E5020">
        <w:rPr>
          <w:rFonts w:ascii="Times New Roman" w:hAnsi="Times New Roman" w:cs="Times New Roman"/>
          <w:sz w:val="24"/>
          <w:szCs w:val="24"/>
          <w:lang w:val="sr-Cyrl-RS"/>
        </w:rPr>
        <w:t xml:space="preserve">, као и </w:t>
      </w:r>
      <w:r w:rsidR="0053326A" w:rsidRPr="003E5020">
        <w:rPr>
          <w:rFonts w:ascii="Times New Roman" w:hAnsi="Times New Roman" w:cs="Times New Roman"/>
          <w:i/>
          <w:sz w:val="24"/>
          <w:szCs w:val="24"/>
          <w:lang w:val="sr-Cyrl-RS"/>
        </w:rPr>
        <w:t>управљање, број и професионалну структуру административног особља у правосуђу</w:t>
      </w:r>
      <w:r w:rsidR="0053326A" w:rsidRPr="003E5020">
        <w:rPr>
          <w:rFonts w:ascii="Times New Roman" w:hAnsi="Times New Roman" w:cs="Times New Roman"/>
          <w:sz w:val="24"/>
          <w:szCs w:val="24"/>
          <w:lang w:val="sr-Cyrl-RS"/>
        </w:rPr>
        <w:t>.</w:t>
      </w:r>
      <w:r w:rsidR="00EC1863" w:rsidRPr="003E5020">
        <w:rPr>
          <w:rFonts w:ascii="Times New Roman" w:hAnsi="Times New Roman" w:cs="Times New Roman"/>
          <w:sz w:val="24"/>
          <w:szCs w:val="24"/>
          <w:lang w:val="sr-Cyrl-RS"/>
        </w:rPr>
        <w:t xml:space="preserve"> Такође, наведеним документом се предвиђа и (</w:t>
      </w:r>
      <w:r w:rsidR="00EC1863" w:rsidRPr="003E5020">
        <w:rPr>
          <w:rFonts w:ascii="Times New Roman" w:hAnsi="Times New Roman" w:cs="Times New Roman"/>
          <w:b/>
          <w:bCs/>
          <w:sz w:val="24"/>
          <w:szCs w:val="24"/>
          <w:lang w:val="sr-Cyrl-RS"/>
        </w:rPr>
        <w:t>а</w:t>
      </w:r>
      <w:r w:rsidR="00EC1863" w:rsidRPr="003E5020">
        <w:rPr>
          <w:rFonts w:ascii="Times New Roman" w:hAnsi="Times New Roman" w:cs="Times New Roman"/>
          <w:sz w:val="24"/>
          <w:szCs w:val="24"/>
          <w:lang w:val="sr-Cyrl-RS"/>
        </w:rPr>
        <w:t>) усвајање правилника који ће да утврди критеријуме за утврђивање потребног броја носилаца правосудних функција, а узимајући у обзир услове рада, број предмета у раду, структуру и сложеност предмета, затим</w:t>
      </w:r>
      <w:r w:rsidR="00D4217F" w:rsidRPr="003E5020">
        <w:rPr>
          <w:rFonts w:ascii="Times New Roman" w:hAnsi="Times New Roman" w:cs="Times New Roman"/>
          <w:sz w:val="24"/>
          <w:szCs w:val="24"/>
          <w:lang w:val="sr-Cyrl-RS"/>
        </w:rPr>
        <w:t xml:space="preserve"> (</w:t>
      </w:r>
      <w:r w:rsidR="00D4217F" w:rsidRPr="003E5020">
        <w:rPr>
          <w:rFonts w:ascii="Times New Roman" w:hAnsi="Times New Roman" w:cs="Times New Roman"/>
          <w:b/>
          <w:bCs/>
          <w:sz w:val="24"/>
          <w:szCs w:val="24"/>
          <w:lang w:val="sr-Cyrl-RS"/>
        </w:rPr>
        <w:t>а</w:t>
      </w:r>
      <w:r w:rsidR="00D4217F" w:rsidRPr="003E5020">
        <w:rPr>
          <w:rFonts w:ascii="Times New Roman" w:hAnsi="Times New Roman" w:cs="Times New Roman"/>
          <w:sz w:val="24"/>
          <w:szCs w:val="24"/>
          <w:lang w:val="sr-Cyrl-RS"/>
        </w:rPr>
        <w:t xml:space="preserve">) </w:t>
      </w:r>
      <w:r w:rsidR="00EC1863" w:rsidRPr="003E5020">
        <w:rPr>
          <w:rFonts w:ascii="Times New Roman" w:hAnsi="Times New Roman" w:cs="Times New Roman"/>
          <w:sz w:val="24"/>
          <w:szCs w:val="24"/>
          <w:lang w:val="sr-Cyrl-RS"/>
        </w:rPr>
        <w:t xml:space="preserve">усвајање правилника који </w:t>
      </w:r>
      <w:r w:rsidR="00D4217F" w:rsidRPr="003E5020">
        <w:rPr>
          <w:rFonts w:ascii="Times New Roman" w:hAnsi="Times New Roman" w:cs="Times New Roman"/>
          <w:sz w:val="24"/>
          <w:szCs w:val="24"/>
          <w:lang w:val="sr-Cyrl-RS"/>
        </w:rPr>
        <w:t>ће</w:t>
      </w:r>
      <w:r w:rsidR="00EC1863" w:rsidRPr="003E5020">
        <w:rPr>
          <w:rFonts w:ascii="Times New Roman" w:hAnsi="Times New Roman" w:cs="Times New Roman"/>
          <w:sz w:val="24"/>
          <w:szCs w:val="24"/>
          <w:lang w:val="sr-Cyrl-RS"/>
        </w:rPr>
        <w:t xml:space="preserve"> да утврди критеријуме за утврђивање потребног броја </w:t>
      </w:r>
      <w:r w:rsidR="00D4217F" w:rsidRPr="003E5020">
        <w:rPr>
          <w:rFonts w:ascii="Times New Roman" w:hAnsi="Times New Roman" w:cs="Times New Roman"/>
          <w:sz w:val="24"/>
          <w:szCs w:val="24"/>
          <w:lang w:val="sr-Cyrl-RS"/>
        </w:rPr>
        <w:t>судијских и јавнотужилачких помоћника, као и (</w:t>
      </w:r>
      <w:r w:rsidR="00D4217F" w:rsidRPr="003E5020">
        <w:rPr>
          <w:rFonts w:ascii="Times New Roman" w:hAnsi="Times New Roman" w:cs="Times New Roman"/>
          <w:b/>
          <w:bCs/>
          <w:sz w:val="24"/>
          <w:szCs w:val="24"/>
          <w:lang w:val="sr-Cyrl-RS"/>
        </w:rPr>
        <w:t>в</w:t>
      </w:r>
      <w:r w:rsidR="00D4217F" w:rsidRPr="003E5020">
        <w:rPr>
          <w:rFonts w:ascii="Times New Roman" w:hAnsi="Times New Roman" w:cs="Times New Roman"/>
          <w:sz w:val="24"/>
          <w:szCs w:val="24"/>
          <w:lang w:val="sr-Cyrl-RS"/>
        </w:rPr>
        <w:t>) усвајање правилника који ће да утврди критеријуме за утврђивање потребног броја и професионалне структуре административног особља у правосуђу.</w:t>
      </w:r>
    </w:p>
    <w:p w14:paraId="69C4B3C5" w14:textId="77777777" w:rsidR="007F0F49" w:rsidRPr="003E5020" w:rsidRDefault="007F0F49">
      <w:pPr>
        <w:ind w:left="851"/>
        <w:jc w:val="both"/>
        <w:rPr>
          <w:rFonts w:ascii="Times New Roman" w:hAnsi="Times New Roman" w:cs="Times New Roman"/>
          <w:sz w:val="24"/>
          <w:szCs w:val="24"/>
          <w:lang w:val="sr-Cyrl-RS"/>
        </w:rPr>
      </w:pPr>
    </w:p>
    <w:p w14:paraId="5B1A3273" w14:textId="40748093" w:rsidR="00996E68" w:rsidRPr="003E5020" w:rsidRDefault="00182CF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Као носиоци активности</w:t>
      </w:r>
      <w:r w:rsidR="00AD0BD4" w:rsidRPr="003E5020">
        <w:rPr>
          <w:rFonts w:ascii="Times New Roman" w:hAnsi="Times New Roman" w:cs="Times New Roman"/>
          <w:sz w:val="24"/>
          <w:szCs w:val="24"/>
          <w:lang w:val="sr-Cyrl-RS"/>
        </w:rPr>
        <w:t xml:space="preserve"> на изради стратегије</w:t>
      </w:r>
      <w:r w:rsidRPr="003E5020">
        <w:rPr>
          <w:rFonts w:ascii="Times New Roman" w:hAnsi="Times New Roman" w:cs="Times New Roman"/>
          <w:sz w:val="24"/>
          <w:szCs w:val="24"/>
          <w:lang w:val="sr-Cyrl-RS"/>
        </w:rPr>
        <w:t xml:space="preserve">, предвиђене су три кључне институције, и то: Високи савет судства, Државно веће тужилаца и </w:t>
      </w:r>
      <w:r w:rsidR="00A674E7" w:rsidRPr="003E5020">
        <w:rPr>
          <w:rFonts w:ascii="Times New Roman" w:hAnsi="Times New Roman" w:cs="Times New Roman"/>
          <w:sz w:val="24"/>
          <w:szCs w:val="24"/>
          <w:lang w:val="sr-Cyrl-RS"/>
        </w:rPr>
        <w:t>Министарство правде</w:t>
      </w:r>
      <w:r w:rsidRPr="003E5020">
        <w:rPr>
          <w:rFonts w:ascii="Times New Roman" w:hAnsi="Times New Roman" w:cs="Times New Roman"/>
          <w:sz w:val="24"/>
          <w:szCs w:val="24"/>
          <w:lang w:val="sr-Cyrl-RS"/>
        </w:rPr>
        <w:t>.</w:t>
      </w:r>
      <w:r w:rsidR="00AD0BD4" w:rsidRPr="003E5020">
        <w:rPr>
          <w:rFonts w:ascii="Times New Roman" w:hAnsi="Times New Roman" w:cs="Times New Roman"/>
          <w:sz w:val="24"/>
          <w:szCs w:val="24"/>
          <w:lang w:val="sr-Cyrl-RS"/>
        </w:rPr>
        <w:t xml:space="preserve"> Наведене институције су уједно и институције којима је дата кључна улога, како у процесу израде </w:t>
      </w:r>
      <w:r w:rsidR="008922AC" w:rsidRPr="003E5020">
        <w:rPr>
          <w:rFonts w:ascii="Times New Roman" w:hAnsi="Times New Roman" w:cs="Times New Roman"/>
          <w:sz w:val="24"/>
          <w:szCs w:val="24"/>
          <w:lang w:val="sr-Cyrl-RS"/>
        </w:rPr>
        <w:t xml:space="preserve">саме </w:t>
      </w:r>
      <w:r w:rsidR="00AD0BD4" w:rsidRPr="003E5020">
        <w:rPr>
          <w:rFonts w:ascii="Times New Roman" w:hAnsi="Times New Roman" w:cs="Times New Roman"/>
          <w:sz w:val="24"/>
          <w:szCs w:val="24"/>
          <w:lang w:val="sr-Cyrl-RS"/>
        </w:rPr>
        <w:t xml:space="preserve">Стратегије, тако и у </w:t>
      </w:r>
      <w:r w:rsidR="008922AC" w:rsidRPr="003E5020">
        <w:rPr>
          <w:rFonts w:ascii="Times New Roman" w:hAnsi="Times New Roman" w:cs="Times New Roman"/>
          <w:sz w:val="24"/>
          <w:szCs w:val="24"/>
          <w:lang w:val="sr-Cyrl-RS"/>
        </w:rPr>
        <w:t xml:space="preserve">њеној </w:t>
      </w:r>
      <w:r w:rsidR="00AD0BD4" w:rsidRPr="003E5020">
        <w:rPr>
          <w:rFonts w:ascii="Times New Roman" w:hAnsi="Times New Roman" w:cs="Times New Roman"/>
          <w:sz w:val="24"/>
          <w:szCs w:val="24"/>
          <w:lang w:val="sr-Cyrl-RS"/>
        </w:rPr>
        <w:t>реализацији, односно праћењу реализације свих мера и активности које су предвиђене Стратегијом.</w:t>
      </w:r>
    </w:p>
    <w:p w14:paraId="5002A73E" w14:textId="77777777" w:rsidR="00AD0BD4" w:rsidRPr="003E5020" w:rsidRDefault="00AD0BD4">
      <w:pPr>
        <w:ind w:left="851"/>
        <w:jc w:val="both"/>
        <w:rPr>
          <w:rFonts w:ascii="Times New Roman" w:hAnsi="Times New Roman" w:cs="Times New Roman"/>
          <w:sz w:val="24"/>
          <w:szCs w:val="24"/>
          <w:lang w:val="sr-Cyrl-RS"/>
        </w:rPr>
      </w:pPr>
    </w:p>
    <w:p w14:paraId="284EBE5C" w14:textId="1C6BAE47" w:rsidR="0053326A" w:rsidRPr="003E5020" w:rsidRDefault="00593A7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Рок</w:t>
      </w:r>
      <w:r w:rsidR="00182CF8" w:rsidRPr="003E5020">
        <w:rPr>
          <w:rFonts w:ascii="Times New Roman" w:hAnsi="Times New Roman" w:cs="Times New Roman"/>
          <w:sz w:val="24"/>
          <w:szCs w:val="24"/>
          <w:lang w:val="sr-Cyrl-RS"/>
        </w:rPr>
        <w:t xml:space="preserve"> који је </w:t>
      </w:r>
      <w:r w:rsidR="008A0CD2" w:rsidRPr="003E5020">
        <w:rPr>
          <w:rFonts w:ascii="Times New Roman" w:hAnsi="Times New Roman" w:cs="Times New Roman"/>
          <w:sz w:val="24"/>
          <w:szCs w:val="24"/>
          <w:lang w:val="sr-Cyrl-RS"/>
        </w:rPr>
        <w:t xml:space="preserve">у </w:t>
      </w:r>
      <w:r w:rsidR="00E876B9" w:rsidRPr="003E5020">
        <w:rPr>
          <w:rFonts w:ascii="Times New Roman" w:hAnsi="Times New Roman" w:cs="Times New Roman"/>
          <w:sz w:val="24"/>
          <w:szCs w:val="24"/>
          <w:lang w:val="sr-Cyrl-RS"/>
        </w:rPr>
        <w:t xml:space="preserve">АП 23 </w:t>
      </w:r>
      <w:r w:rsidR="00182CF8" w:rsidRPr="003E5020">
        <w:rPr>
          <w:rFonts w:ascii="Times New Roman" w:hAnsi="Times New Roman" w:cs="Times New Roman"/>
          <w:sz w:val="24"/>
          <w:szCs w:val="24"/>
          <w:lang w:val="sr-Cyrl-RS"/>
        </w:rPr>
        <w:t xml:space="preserve">предвиђен за </w:t>
      </w:r>
      <w:r w:rsidRPr="003E5020">
        <w:rPr>
          <w:rFonts w:ascii="Times New Roman" w:hAnsi="Times New Roman" w:cs="Times New Roman"/>
          <w:sz w:val="24"/>
          <w:szCs w:val="24"/>
          <w:lang w:val="sr-Cyrl-RS"/>
        </w:rPr>
        <w:t>припрему и усвајање</w:t>
      </w:r>
      <w:r w:rsidR="00182CF8" w:rsidRPr="003E5020">
        <w:rPr>
          <w:rFonts w:ascii="Times New Roman" w:hAnsi="Times New Roman" w:cs="Times New Roman"/>
          <w:sz w:val="24"/>
          <w:szCs w:val="24"/>
          <w:lang w:val="sr-Cyrl-RS"/>
        </w:rPr>
        <w:t xml:space="preserve"> </w:t>
      </w:r>
      <w:r w:rsidR="00532437" w:rsidRPr="003E5020">
        <w:rPr>
          <w:rFonts w:ascii="Times New Roman" w:hAnsi="Times New Roman" w:cs="Times New Roman"/>
          <w:sz w:val="24"/>
          <w:szCs w:val="24"/>
          <w:lang w:val="sr-Cyrl-RS"/>
        </w:rPr>
        <w:t>средњорочне стратегије људских ресурса за правосуђе</w:t>
      </w:r>
      <w:r w:rsidR="00420446" w:rsidRPr="003E5020">
        <w:rPr>
          <w:rFonts w:ascii="Times New Roman" w:hAnsi="Times New Roman" w:cs="Times New Roman"/>
          <w:sz w:val="24"/>
          <w:szCs w:val="24"/>
          <w:lang w:val="sr-Cyrl-RS"/>
        </w:rPr>
        <w:t xml:space="preserve"> је 2. квартал 2022. године</w:t>
      </w:r>
      <w:r w:rsidR="00F337FE" w:rsidRPr="003E5020">
        <w:rPr>
          <w:rFonts w:ascii="Times New Roman" w:hAnsi="Times New Roman" w:cs="Times New Roman"/>
          <w:sz w:val="24"/>
          <w:szCs w:val="24"/>
          <w:lang w:val="sr-Cyrl-RS"/>
        </w:rPr>
        <w:t xml:space="preserve">. </w:t>
      </w:r>
    </w:p>
    <w:p w14:paraId="4D00780D" w14:textId="77777777" w:rsidR="009F49DF" w:rsidRPr="003E5020" w:rsidRDefault="009F49DF">
      <w:pPr>
        <w:ind w:left="851"/>
        <w:jc w:val="both"/>
        <w:rPr>
          <w:rFonts w:ascii="Times New Roman" w:hAnsi="Times New Roman" w:cs="Times New Roman"/>
          <w:sz w:val="24"/>
          <w:szCs w:val="24"/>
          <w:lang w:val="sr-Cyrl-RS"/>
        </w:rPr>
      </w:pPr>
    </w:p>
    <w:p w14:paraId="2072D38F" w14:textId="77777777" w:rsidR="00314237" w:rsidRPr="003E5020" w:rsidRDefault="00314237" w:rsidP="00314237">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2" w:name="_ОПИС_ПОСТОЈЕЋЕГ_СТАЊА"/>
      <w:bookmarkStart w:id="13" w:name="_Toc84778622"/>
      <w:bookmarkEnd w:id="12"/>
      <w:r w:rsidRPr="003E5020">
        <w:rPr>
          <w:rFonts w:ascii="Times New Roman" w:hAnsi="Times New Roman" w:cs="Times New Roman"/>
          <w:color w:val="auto"/>
          <w:sz w:val="24"/>
          <w:szCs w:val="24"/>
          <w:lang w:val="sr-Cyrl-RS"/>
        </w:rPr>
        <w:t>Веза за правним оквиром за рад правосуђа</w:t>
      </w:r>
      <w:bookmarkEnd w:id="13"/>
    </w:p>
    <w:p w14:paraId="702AD66F" w14:textId="77777777" w:rsidR="00314237" w:rsidRPr="003E5020" w:rsidRDefault="00314237" w:rsidP="00314237">
      <w:pPr>
        <w:ind w:left="851"/>
        <w:jc w:val="both"/>
        <w:rPr>
          <w:rFonts w:ascii="Times New Roman" w:hAnsi="Times New Roman" w:cs="Times New Roman"/>
          <w:iCs/>
          <w:sz w:val="24"/>
          <w:szCs w:val="24"/>
          <w:lang w:val="sr-Cyrl-RS"/>
        </w:rPr>
      </w:pPr>
    </w:p>
    <w:p w14:paraId="36715716"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Устав Републике Србије</w:t>
      </w:r>
    </w:p>
    <w:p w14:paraId="3526BD16"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p>
    <w:p w14:paraId="2A30C385"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Као највиши правни акт у земљи, од материје која је значајна за Стратегију, Устав регулише неколико кључних категорија. </w:t>
      </w:r>
    </w:p>
    <w:p w14:paraId="2BC98695"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p>
    <w:p w14:paraId="6D3CBD9F"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Најпре, Устав налаже да судска власт у Републици Србији припада судовима опште и посебне надлежности, при чему се оснивање, организација, надлежност, уређење и састав судова уређују законом. Не могу се оснивати привремени, преки или ванредни судови</w:t>
      </w:r>
      <w:r w:rsidRPr="003E5020">
        <w:rPr>
          <w:rStyle w:val="FootnoteReference"/>
          <w:rFonts w:ascii="Times New Roman" w:eastAsiaTheme="majorEastAsia" w:hAnsi="Times New Roman" w:cs="Times New Roman"/>
          <w:sz w:val="24"/>
          <w:szCs w:val="24"/>
          <w:lang w:val="sr-Cyrl-RS"/>
        </w:rPr>
        <w:footnoteReference w:id="7"/>
      </w:r>
      <w:r w:rsidRPr="003E5020">
        <w:rPr>
          <w:rFonts w:ascii="Times New Roman" w:eastAsiaTheme="majorEastAsia" w:hAnsi="Times New Roman" w:cs="Times New Roman"/>
          <w:sz w:val="24"/>
          <w:szCs w:val="24"/>
          <w:lang w:val="sr-Cyrl-RS"/>
        </w:rPr>
        <w:t>. Врховни касациони суд је највиши суд у Републици Србији са седиштем у Београду</w:t>
      </w:r>
      <w:bookmarkStart w:id="14" w:name="str_160"/>
      <w:bookmarkStart w:id="15" w:name="clan_144"/>
      <w:bookmarkEnd w:id="14"/>
      <w:bookmarkEnd w:id="15"/>
      <w:r w:rsidRPr="003E5020">
        <w:rPr>
          <w:rFonts w:ascii="Times New Roman" w:eastAsiaTheme="majorEastAsia" w:hAnsi="Times New Roman" w:cs="Times New Roman"/>
          <w:sz w:val="24"/>
          <w:szCs w:val="24"/>
          <w:lang w:val="sr-Cyrl-RS"/>
        </w:rPr>
        <w:t>. Председника Врховног касационог суда, на предлог Високог савета судства, по прибављеном мишљењу опште седнице Врховног касационог суда и надлежног одбора Народне скупштине, бира Народна скупштина на период од пет година и не може бити поново биран</w:t>
      </w:r>
      <w:r w:rsidRPr="003E5020">
        <w:rPr>
          <w:rStyle w:val="FootnoteReference"/>
          <w:rFonts w:ascii="Times New Roman" w:eastAsiaTheme="majorEastAsia" w:hAnsi="Times New Roman" w:cs="Times New Roman"/>
          <w:sz w:val="24"/>
          <w:szCs w:val="24"/>
          <w:lang w:val="sr-Cyrl-RS"/>
        </w:rPr>
        <w:footnoteReference w:id="8"/>
      </w:r>
      <w:r w:rsidRPr="003E5020">
        <w:rPr>
          <w:rFonts w:ascii="Times New Roman" w:eastAsiaTheme="majorEastAsia" w:hAnsi="Times New Roman" w:cs="Times New Roman"/>
          <w:sz w:val="24"/>
          <w:szCs w:val="24"/>
          <w:lang w:val="sr-Cyrl-RS"/>
        </w:rPr>
        <w:t>.</w:t>
      </w:r>
    </w:p>
    <w:p w14:paraId="4E435F24"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p>
    <w:p w14:paraId="09A5D4F4"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Уставом се утврђује </w:t>
      </w:r>
      <w:r w:rsidRPr="003E5020">
        <w:rPr>
          <w:rFonts w:ascii="Times New Roman" w:eastAsiaTheme="majorEastAsia" w:hAnsi="Times New Roman" w:cs="Times New Roman"/>
          <w:b/>
          <w:sz w:val="24"/>
          <w:szCs w:val="24"/>
          <w:lang w:val="sr-Cyrl-RS"/>
        </w:rPr>
        <w:t>сталност судијске функције</w:t>
      </w:r>
      <w:r w:rsidRPr="003E5020">
        <w:rPr>
          <w:rFonts w:ascii="Times New Roman" w:eastAsiaTheme="majorEastAsia" w:hAnsi="Times New Roman" w:cs="Times New Roman"/>
          <w:sz w:val="24"/>
          <w:szCs w:val="24"/>
          <w:lang w:val="sr-Cyrl-RS"/>
        </w:rPr>
        <w:t>, уз изузетак да се лице које се први пут бира за судију, бира на три (3) године</w:t>
      </w:r>
      <w:r w:rsidRPr="003E5020">
        <w:rPr>
          <w:rStyle w:val="FootnoteReference"/>
          <w:rFonts w:ascii="Times New Roman" w:eastAsiaTheme="majorEastAsia" w:hAnsi="Times New Roman" w:cs="Times New Roman"/>
          <w:sz w:val="24"/>
          <w:szCs w:val="24"/>
          <w:lang w:val="sr-Cyrl-RS"/>
        </w:rPr>
        <w:footnoteReference w:id="9"/>
      </w:r>
      <w:r w:rsidRPr="003E5020">
        <w:rPr>
          <w:rFonts w:ascii="Times New Roman" w:eastAsiaTheme="majorEastAsia" w:hAnsi="Times New Roman" w:cs="Times New Roman"/>
          <w:sz w:val="24"/>
          <w:szCs w:val="24"/>
          <w:lang w:val="sr-Cyrl-RS"/>
        </w:rPr>
        <w:t xml:space="preserve">. Када је о </w:t>
      </w:r>
      <w:r w:rsidRPr="003E5020">
        <w:rPr>
          <w:rFonts w:ascii="Times New Roman" w:eastAsiaTheme="majorEastAsia" w:hAnsi="Times New Roman" w:cs="Times New Roman"/>
          <w:b/>
          <w:sz w:val="24"/>
          <w:szCs w:val="24"/>
          <w:lang w:val="sr-Cyrl-RS"/>
        </w:rPr>
        <w:t>избору судија</w:t>
      </w:r>
      <w:r w:rsidRPr="003E5020">
        <w:rPr>
          <w:rFonts w:ascii="Times New Roman" w:eastAsiaTheme="majorEastAsia" w:hAnsi="Times New Roman" w:cs="Times New Roman"/>
          <w:sz w:val="24"/>
          <w:szCs w:val="24"/>
          <w:lang w:val="sr-Cyrl-RS"/>
        </w:rPr>
        <w:t xml:space="preserve"> реч, Устав регулише да </w:t>
      </w:r>
      <w:bookmarkStart w:id="16" w:name="clan_146"/>
      <w:bookmarkStart w:id="17" w:name="str_163"/>
      <w:bookmarkEnd w:id="16"/>
      <w:bookmarkEnd w:id="17"/>
      <w:r w:rsidRPr="003E5020">
        <w:rPr>
          <w:rFonts w:ascii="Times New Roman" w:eastAsiaTheme="majorEastAsia" w:hAnsi="Times New Roman" w:cs="Times New Roman"/>
          <w:sz w:val="24"/>
          <w:szCs w:val="24"/>
          <w:lang w:val="sr-Cyrl-RS"/>
        </w:rPr>
        <w:t>Народна скупштина, на предлог Високог савета судства, бира за судију лице које се први пут бира на судијску функцију. Мандат судији који је први пут изабран на судијску функцију траје три године. Високи савет судства, у складу са законом, бира судије за трајно обављање судијске функције, у истом или другом суду. Високи савет судства одлучује и о избору судија који су на сталној судијској функцији у други или виши суд</w:t>
      </w:r>
      <w:r w:rsidRPr="003E5020">
        <w:rPr>
          <w:rStyle w:val="FootnoteReference"/>
          <w:rFonts w:ascii="Times New Roman" w:eastAsiaTheme="majorEastAsia" w:hAnsi="Times New Roman" w:cs="Times New Roman"/>
          <w:sz w:val="24"/>
          <w:szCs w:val="24"/>
          <w:lang w:val="sr-Cyrl-RS"/>
        </w:rPr>
        <w:footnoteReference w:id="10"/>
      </w:r>
      <w:r w:rsidRPr="003E5020">
        <w:rPr>
          <w:rFonts w:ascii="Times New Roman" w:eastAsiaTheme="majorEastAsia" w:hAnsi="Times New Roman" w:cs="Times New Roman"/>
          <w:sz w:val="24"/>
          <w:szCs w:val="24"/>
          <w:lang w:val="sr-Cyrl-RS"/>
        </w:rPr>
        <w:t xml:space="preserve">. По питању </w:t>
      </w:r>
      <w:r w:rsidRPr="003E5020">
        <w:rPr>
          <w:rFonts w:ascii="Times New Roman" w:eastAsiaTheme="majorEastAsia" w:hAnsi="Times New Roman" w:cs="Times New Roman"/>
          <w:b/>
          <w:sz w:val="24"/>
          <w:szCs w:val="24"/>
          <w:lang w:val="sr-Cyrl-RS"/>
        </w:rPr>
        <w:t>престанка судијске функције</w:t>
      </w:r>
      <w:r w:rsidRPr="003E5020">
        <w:rPr>
          <w:rFonts w:ascii="Times New Roman" w:eastAsiaTheme="majorEastAsia" w:hAnsi="Times New Roman" w:cs="Times New Roman"/>
          <w:sz w:val="24"/>
          <w:szCs w:val="24"/>
          <w:lang w:val="sr-Cyrl-RS"/>
        </w:rPr>
        <w:t xml:space="preserve">, Устав прописује да </w:t>
      </w:r>
      <w:bookmarkStart w:id="18" w:name="clan_147"/>
      <w:bookmarkStart w:id="19" w:name="str_164"/>
      <w:bookmarkStart w:id="20" w:name="clan_148"/>
      <w:bookmarkEnd w:id="18"/>
      <w:bookmarkEnd w:id="19"/>
      <w:bookmarkEnd w:id="20"/>
      <w:r w:rsidRPr="003E5020">
        <w:rPr>
          <w:rFonts w:ascii="Times New Roman" w:eastAsiaTheme="majorEastAsia" w:hAnsi="Times New Roman" w:cs="Times New Roman"/>
          <w:sz w:val="24"/>
          <w:szCs w:val="24"/>
          <w:lang w:val="sr-Cyrl-RS"/>
        </w:rPr>
        <w:t>судији престаје судијска функција на његов захтев, наступањем законом прописаних услова или разрешењем из законом предвиђених разлога, као и ако не буде изабран на сталну функцију, при чему одлуку о престанку судијске функције доноси Високи савет судства</w:t>
      </w:r>
      <w:r w:rsidRPr="003E5020">
        <w:rPr>
          <w:rStyle w:val="FootnoteReference"/>
          <w:rFonts w:ascii="Times New Roman" w:eastAsiaTheme="majorEastAsia" w:hAnsi="Times New Roman" w:cs="Times New Roman"/>
          <w:sz w:val="24"/>
          <w:szCs w:val="24"/>
          <w:lang w:val="sr-Cyrl-RS"/>
        </w:rPr>
        <w:footnoteReference w:id="11"/>
      </w:r>
      <w:r w:rsidRPr="003E5020">
        <w:rPr>
          <w:rFonts w:ascii="Times New Roman" w:eastAsiaTheme="majorEastAsia" w:hAnsi="Times New Roman" w:cs="Times New Roman"/>
          <w:sz w:val="24"/>
          <w:szCs w:val="24"/>
          <w:lang w:val="sr-Cyrl-RS"/>
        </w:rPr>
        <w:t xml:space="preserve">. Уставом је успостављена и </w:t>
      </w:r>
      <w:r w:rsidRPr="003E5020">
        <w:rPr>
          <w:rFonts w:ascii="Times New Roman" w:eastAsiaTheme="majorEastAsia" w:hAnsi="Times New Roman" w:cs="Times New Roman"/>
          <w:b/>
          <w:sz w:val="24"/>
          <w:szCs w:val="24"/>
          <w:lang w:val="sr-Cyrl-RS"/>
        </w:rPr>
        <w:t>независност судије</w:t>
      </w:r>
      <w:r w:rsidRPr="003E5020">
        <w:rPr>
          <w:rFonts w:ascii="Times New Roman" w:eastAsiaTheme="majorEastAsia" w:hAnsi="Times New Roman" w:cs="Times New Roman"/>
          <w:sz w:val="24"/>
          <w:szCs w:val="24"/>
          <w:lang w:val="sr-Cyrl-RS"/>
        </w:rPr>
        <w:t>, на начин да је</w:t>
      </w:r>
      <w:bookmarkStart w:id="21" w:name="str_165"/>
      <w:bookmarkStart w:id="22" w:name="clan_149"/>
      <w:bookmarkEnd w:id="21"/>
      <w:bookmarkEnd w:id="22"/>
      <w:r w:rsidRPr="003E5020">
        <w:rPr>
          <w:rFonts w:ascii="Times New Roman" w:eastAsiaTheme="majorEastAsia" w:hAnsi="Times New Roman" w:cs="Times New Roman"/>
          <w:sz w:val="24"/>
          <w:szCs w:val="24"/>
          <w:lang w:val="sr-Cyrl-RS"/>
        </w:rPr>
        <w:t xml:space="preserve"> судија у вршењу судијске функције независан и потчињен само Уставу и закону</w:t>
      </w:r>
      <w:r w:rsidRPr="003E5020">
        <w:rPr>
          <w:rStyle w:val="FootnoteReference"/>
          <w:rFonts w:ascii="Times New Roman" w:eastAsiaTheme="majorEastAsia" w:hAnsi="Times New Roman" w:cs="Times New Roman"/>
          <w:sz w:val="24"/>
          <w:szCs w:val="24"/>
          <w:lang w:val="sr-Cyrl-RS"/>
        </w:rPr>
        <w:footnoteReference w:id="12"/>
      </w:r>
      <w:r w:rsidRPr="003E5020">
        <w:rPr>
          <w:rFonts w:ascii="Times New Roman" w:eastAsiaTheme="majorEastAsia" w:hAnsi="Times New Roman" w:cs="Times New Roman"/>
          <w:sz w:val="24"/>
          <w:szCs w:val="24"/>
          <w:lang w:val="sr-Cyrl-RS"/>
        </w:rPr>
        <w:t xml:space="preserve">. Сваки утицај на судију у вршењу судијске функције је забрањен. Устав прописује и </w:t>
      </w:r>
      <w:r w:rsidRPr="003E5020">
        <w:rPr>
          <w:rFonts w:ascii="Times New Roman" w:eastAsiaTheme="majorEastAsia" w:hAnsi="Times New Roman" w:cs="Times New Roman"/>
          <w:b/>
          <w:sz w:val="24"/>
          <w:szCs w:val="24"/>
          <w:lang w:val="sr-Cyrl-RS"/>
        </w:rPr>
        <w:t>непреместивост судије</w:t>
      </w:r>
      <w:r w:rsidRPr="003E5020">
        <w:rPr>
          <w:rFonts w:ascii="Times New Roman" w:eastAsiaTheme="majorEastAsia" w:hAnsi="Times New Roman" w:cs="Times New Roman"/>
          <w:sz w:val="24"/>
          <w:szCs w:val="24"/>
          <w:lang w:val="sr-Cyrl-RS"/>
        </w:rPr>
        <w:t xml:space="preserve"> као посебну категорију, прописујући да </w:t>
      </w:r>
      <w:bookmarkStart w:id="23" w:name="str_166"/>
      <w:bookmarkStart w:id="24" w:name="clan_150"/>
      <w:bookmarkEnd w:id="23"/>
      <w:bookmarkEnd w:id="24"/>
      <w:r w:rsidRPr="003E5020">
        <w:rPr>
          <w:rFonts w:ascii="Times New Roman" w:eastAsiaTheme="majorEastAsia" w:hAnsi="Times New Roman" w:cs="Times New Roman"/>
          <w:sz w:val="24"/>
          <w:szCs w:val="24"/>
          <w:lang w:val="sr-Cyrl-RS"/>
        </w:rPr>
        <w:t>судија има право да врши судијску функцију у суду за који је изабран и само уз своју сагласност може бити премештен или упућен у други суд. У случају укидања суда или претежног дела надлежности суда за који је изабран, судија изузетно може без своје сагласности бити трајно премештен или упућен у други суд, у складу са законом</w:t>
      </w:r>
      <w:r w:rsidRPr="003E5020">
        <w:rPr>
          <w:rStyle w:val="FootnoteReference"/>
          <w:rFonts w:ascii="Times New Roman" w:eastAsiaTheme="majorEastAsia" w:hAnsi="Times New Roman" w:cs="Times New Roman"/>
          <w:sz w:val="24"/>
          <w:szCs w:val="24"/>
          <w:lang w:val="sr-Cyrl-RS"/>
        </w:rPr>
        <w:footnoteReference w:id="13"/>
      </w:r>
      <w:r w:rsidRPr="003E5020">
        <w:rPr>
          <w:rFonts w:ascii="Times New Roman" w:eastAsiaTheme="majorEastAsia" w:hAnsi="Times New Roman" w:cs="Times New Roman"/>
          <w:sz w:val="24"/>
          <w:szCs w:val="24"/>
          <w:lang w:val="sr-Cyrl-RS"/>
        </w:rPr>
        <w:t xml:space="preserve">. </w:t>
      </w:r>
    </w:p>
    <w:p w14:paraId="39E74532"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p>
    <w:p w14:paraId="78565D9C"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Надаље, Устав успоставља </w:t>
      </w:r>
      <w:r w:rsidRPr="003E5020">
        <w:rPr>
          <w:rFonts w:ascii="Times New Roman" w:eastAsiaTheme="majorEastAsia" w:hAnsi="Times New Roman" w:cs="Times New Roman"/>
          <w:b/>
          <w:sz w:val="24"/>
          <w:szCs w:val="24"/>
          <w:lang w:val="sr-Cyrl-RS"/>
        </w:rPr>
        <w:t>Високи савет судства</w:t>
      </w:r>
      <w:r w:rsidRPr="003E5020">
        <w:rPr>
          <w:rFonts w:ascii="Times New Roman" w:eastAsiaTheme="majorEastAsia" w:hAnsi="Times New Roman" w:cs="Times New Roman"/>
          <w:sz w:val="24"/>
          <w:szCs w:val="24"/>
          <w:lang w:val="sr-Cyrl-RS"/>
        </w:rPr>
        <w:t xml:space="preserve"> као уставну категорију, прописујући његов положај, као независног и самосталног органа, затим састав и број чланова, као и надлежност да бира и разрешава судије, у складу са Уставом и законом, предлаже Народној скупштини избор судија приликом првог избора на судијску функцију, предлаже Народној скупштини избор председника Врховног касационог суда и председника судова, у складу са Уставом и законом, учествује у поступку за престанак функције председника Врховног касационог суда и председника судова, на начин предвиђен Уставом и законом, као и да врши и друге послове одређене законом</w:t>
      </w:r>
      <w:r w:rsidRPr="003E5020">
        <w:rPr>
          <w:rStyle w:val="FootnoteReference"/>
          <w:rFonts w:ascii="Times New Roman" w:eastAsiaTheme="majorEastAsia" w:hAnsi="Times New Roman" w:cs="Times New Roman"/>
          <w:sz w:val="24"/>
          <w:szCs w:val="24"/>
          <w:lang w:val="sr-Cyrl-RS"/>
        </w:rPr>
        <w:footnoteReference w:id="14"/>
      </w:r>
      <w:r w:rsidRPr="003E5020">
        <w:rPr>
          <w:rFonts w:ascii="Times New Roman" w:eastAsiaTheme="majorEastAsia" w:hAnsi="Times New Roman" w:cs="Times New Roman"/>
          <w:sz w:val="24"/>
          <w:szCs w:val="24"/>
          <w:lang w:val="sr-Cyrl-RS"/>
        </w:rPr>
        <w:t>.</w:t>
      </w:r>
    </w:p>
    <w:p w14:paraId="245230B2"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p>
    <w:p w14:paraId="546F318A" w14:textId="50792B35"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Устав је битан за Стратегију из разлога што уређује и </w:t>
      </w:r>
      <w:r w:rsidRPr="003E5020">
        <w:rPr>
          <w:rFonts w:ascii="Times New Roman" w:eastAsiaTheme="majorEastAsia" w:hAnsi="Times New Roman" w:cs="Times New Roman"/>
          <w:b/>
          <w:sz w:val="24"/>
          <w:szCs w:val="24"/>
          <w:lang w:val="sr-Cyrl-RS"/>
        </w:rPr>
        <w:t>јавно тужилаштво</w:t>
      </w:r>
      <w:r w:rsidR="00E04D32" w:rsidRPr="003E5020">
        <w:rPr>
          <w:rFonts w:ascii="Times New Roman" w:eastAsiaTheme="majorEastAsia" w:hAnsi="Times New Roman" w:cs="Times New Roman"/>
          <w:b/>
          <w:sz w:val="24"/>
          <w:szCs w:val="24"/>
          <w:lang w:val="sr-Cyrl-RS"/>
        </w:rPr>
        <w:t>,</w:t>
      </w:r>
      <w:r w:rsidRPr="003E5020">
        <w:rPr>
          <w:rFonts w:ascii="Times New Roman" w:eastAsiaTheme="majorEastAsia" w:hAnsi="Times New Roman" w:cs="Times New Roman"/>
          <w:sz w:val="24"/>
          <w:szCs w:val="24"/>
          <w:lang w:val="sr-Cyrl-RS"/>
        </w:rPr>
        <w:t xml:space="preserve"> </w:t>
      </w:r>
      <w:r w:rsidR="00E04D32" w:rsidRPr="003E5020">
        <w:rPr>
          <w:rFonts w:ascii="Times New Roman" w:eastAsiaTheme="majorEastAsia" w:hAnsi="Times New Roman" w:cs="Times New Roman"/>
          <w:sz w:val="24"/>
          <w:szCs w:val="24"/>
          <w:lang w:val="sr-Cyrl-RS"/>
        </w:rPr>
        <w:t>п</w:t>
      </w:r>
      <w:r w:rsidRPr="003E5020">
        <w:rPr>
          <w:rFonts w:ascii="Times New Roman" w:eastAsiaTheme="majorEastAsia" w:hAnsi="Times New Roman" w:cs="Times New Roman"/>
          <w:sz w:val="24"/>
          <w:szCs w:val="24"/>
          <w:lang w:val="sr-Cyrl-RS"/>
        </w:rPr>
        <w:t xml:space="preserve">а тако прописује да је </w:t>
      </w:r>
      <w:bookmarkStart w:id="25" w:name="clan_156"/>
      <w:bookmarkEnd w:id="25"/>
      <w:r w:rsidRPr="003E5020">
        <w:rPr>
          <w:rFonts w:ascii="Times New Roman" w:eastAsiaTheme="majorEastAsia" w:hAnsi="Times New Roman" w:cs="Times New Roman"/>
          <w:sz w:val="24"/>
          <w:szCs w:val="24"/>
          <w:lang w:val="sr-Cyrl-RS"/>
        </w:rPr>
        <w:t xml:space="preserve">јавно тужилаштво </w:t>
      </w:r>
      <w:r w:rsidRPr="003E5020">
        <w:rPr>
          <w:rFonts w:ascii="Times New Roman" w:eastAsiaTheme="majorEastAsia" w:hAnsi="Times New Roman" w:cs="Times New Roman"/>
          <w:b/>
          <w:sz w:val="24"/>
          <w:szCs w:val="24"/>
          <w:lang w:val="sr-Cyrl-RS"/>
        </w:rPr>
        <w:t>самосталан државни орган</w:t>
      </w:r>
      <w:r w:rsidRPr="003E5020">
        <w:rPr>
          <w:rFonts w:ascii="Times New Roman" w:eastAsiaTheme="majorEastAsia" w:hAnsi="Times New Roman" w:cs="Times New Roman"/>
          <w:sz w:val="24"/>
          <w:szCs w:val="24"/>
          <w:lang w:val="sr-Cyrl-RS"/>
        </w:rPr>
        <w:t xml:space="preserve"> који гони учиниоце кривичних и других кажњивих дела и предузима мере за заштиту уставности и законитости</w:t>
      </w:r>
      <w:r w:rsidRPr="003E5020">
        <w:rPr>
          <w:rStyle w:val="FootnoteReference"/>
          <w:rFonts w:ascii="Times New Roman" w:eastAsiaTheme="majorEastAsia" w:hAnsi="Times New Roman" w:cs="Times New Roman"/>
          <w:sz w:val="24"/>
          <w:szCs w:val="24"/>
          <w:lang w:val="sr-Cyrl-RS"/>
        </w:rPr>
        <w:footnoteReference w:id="15"/>
      </w:r>
      <w:r w:rsidRPr="003E5020">
        <w:rPr>
          <w:rFonts w:ascii="Times New Roman" w:eastAsiaTheme="majorEastAsia" w:hAnsi="Times New Roman" w:cs="Times New Roman"/>
          <w:sz w:val="24"/>
          <w:szCs w:val="24"/>
          <w:lang w:val="sr-Cyrl-RS"/>
        </w:rPr>
        <w:t xml:space="preserve">. Такође, регулише положај </w:t>
      </w:r>
      <w:r w:rsidRPr="003E5020">
        <w:rPr>
          <w:rFonts w:ascii="Times New Roman" w:eastAsiaTheme="majorEastAsia" w:hAnsi="Times New Roman" w:cs="Times New Roman"/>
          <w:b/>
          <w:sz w:val="24"/>
          <w:szCs w:val="24"/>
          <w:lang w:val="sr-Cyrl-RS"/>
        </w:rPr>
        <w:t>Републичког јавног тужиоца</w:t>
      </w:r>
      <w:r w:rsidRPr="003E5020">
        <w:rPr>
          <w:rStyle w:val="FootnoteReference"/>
          <w:rFonts w:ascii="Times New Roman" w:eastAsiaTheme="majorEastAsia" w:hAnsi="Times New Roman" w:cs="Times New Roman"/>
          <w:sz w:val="24"/>
          <w:szCs w:val="24"/>
          <w:lang w:val="sr-Cyrl-RS"/>
        </w:rPr>
        <w:footnoteReference w:id="16"/>
      </w:r>
      <w:r w:rsidRPr="003E5020">
        <w:rPr>
          <w:rFonts w:ascii="Times New Roman" w:eastAsiaTheme="majorEastAsia" w:hAnsi="Times New Roman" w:cs="Times New Roman"/>
          <w:sz w:val="24"/>
          <w:szCs w:val="24"/>
          <w:lang w:val="sr-Cyrl-RS"/>
        </w:rPr>
        <w:t>, као и јавних тужилаца и заменика јавних тужилаца, њихов избор и мандат</w:t>
      </w:r>
      <w:r w:rsidRPr="003E5020">
        <w:rPr>
          <w:rStyle w:val="FootnoteReference"/>
          <w:rFonts w:ascii="Times New Roman" w:eastAsiaTheme="majorEastAsia" w:hAnsi="Times New Roman" w:cs="Times New Roman"/>
          <w:sz w:val="24"/>
          <w:szCs w:val="24"/>
          <w:lang w:val="sr-Cyrl-RS"/>
        </w:rPr>
        <w:footnoteReference w:id="17"/>
      </w:r>
      <w:r w:rsidRPr="003E5020">
        <w:rPr>
          <w:rFonts w:ascii="Times New Roman" w:eastAsiaTheme="majorEastAsia" w:hAnsi="Times New Roman" w:cs="Times New Roman"/>
          <w:sz w:val="24"/>
          <w:szCs w:val="24"/>
          <w:lang w:val="sr-Cyrl-RS"/>
        </w:rPr>
        <w:t>, затим одговорност</w:t>
      </w:r>
      <w:r w:rsidRPr="003E5020">
        <w:rPr>
          <w:rStyle w:val="FootnoteReference"/>
          <w:rFonts w:ascii="Times New Roman" w:eastAsiaTheme="majorEastAsia" w:hAnsi="Times New Roman" w:cs="Times New Roman"/>
          <w:sz w:val="24"/>
          <w:szCs w:val="24"/>
          <w:lang w:val="sr-Cyrl-RS"/>
        </w:rPr>
        <w:footnoteReference w:id="18"/>
      </w:r>
      <w:r w:rsidRPr="003E5020">
        <w:rPr>
          <w:rFonts w:ascii="Times New Roman" w:eastAsiaTheme="majorEastAsia" w:hAnsi="Times New Roman" w:cs="Times New Roman"/>
          <w:sz w:val="24"/>
          <w:szCs w:val="24"/>
          <w:lang w:val="sr-Cyrl-RS"/>
        </w:rPr>
        <w:t>, као и услове за престанак функције</w:t>
      </w:r>
      <w:r w:rsidRPr="003E5020">
        <w:rPr>
          <w:rStyle w:val="FootnoteReference"/>
          <w:rFonts w:ascii="Times New Roman" w:eastAsiaTheme="majorEastAsia" w:hAnsi="Times New Roman" w:cs="Times New Roman"/>
          <w:sz w:val="24"/>
          <w:szCs w:val="24"/>
          <w:lang w:val="sr-Cyrl-RS"/>
        </w:rPr>
        <w:footnoteReference w:id="19"/>
      </w:r>
      <w:r w:rsidRPr="003E5020">
        <w:rPr>
          <w:rFonts w:ascii="Times New Roman" w:eastAsiaTheme="majorEastAsia" w:hAnsi="Times New Roman" w:cs="Times New Roman"/>
          <w:sz w:val="24"/>
          <w:szCs w:val="24"/>
          <w:lang w:val="sr-Cyrl-RS"/>
        </w:rPr>
        <w:t>.</w:t>
      </w:r>
    </w:p>
    <w:p w14:paraId="48CC6336" w14:textId="77777777" w:rsidR="00314237" w:rsidRPr="003E5020" w:rsidRDefault="00314237" w:rsidP="00314237">
      <w:pPr>
        <w:pStyle w:val="ListParagraph"/>
        <w:ind w:left="851"/>
        <w:jc w:val="both"/>
        <w:rPr>
          <w:rFonts w:ascii="Times New Roman" w:eastAsiaTheme="majorEastAsia" w:hAnsi="Times New Roman" w:cs="Times New Roman"/>
          <w:i/>
          <w:sz w:val="24"/>
          <w:szCs w:val="24"/>
          <w:lang w:val="sr-Cyrl-RS"/>
        </w:rPr>
      </w:pPr>
      <w:bookmarkStart w:id="26" w:name="str_175"/>
      <w:bookmarkStart w:id="27" w:name="clan_157"/>
      <w:bookmarkStart w:id="28" w:name="str_176"/>
      <w:bookmarkStart w:id="29" w:name="clan_158"/>
      <w:bookmarkStart w:id="30" w:name="str_177"/>
      <w:bookmarkStart w:id="31" w:name="clan_159"/>
      <w:bookmarkStart w:id="32" w:name="str_178"/>
      <w:bookmarkStart w:id="33" w:name="clan_160"/>
      <w:bookmarkStart w:id="34" w:name="str_179"/>
      <w:bookmarkStart w:id="35" w:name="clan_161"/>
      <w:bookmarkEnd w:id="26"/>
      <w:bookmarkEnd w:id="27"/>
      <w:bookmarkEnd w:id="28"/>
      <w:bookmarkEnd w:id="29"/>
      <w:bookmarkEnd w:id="30"/>
      <w:bookmarkEnd w:id="31"/>
      <w:bookmarkEnd w:id="32"/>
      <w:bookmarkEnd w:id="33"/>
      <w:bookmarkEnd w:id="34"/>
      <w:bookmarkEnd w:id="35"/>
    </w:p>
    <w:p w14:paraId="6406DBF1" w14:textId="77777777" w:rsidR="00314237" w:rsidRPr="003E5020" w:rsidRDefault="00314237" w:rsidP="00314237">
      <w:pPr>
        <w:pStyle w:val="ListParagraph"/>
        <w:ind w:left="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Слично као и код Високог савета судства, Устав уређује и положај </w:t>
      </w:r>
      <w:r w:rsidRPr="003E5020">
        <w:rPr>
          <w:rFonts w:ascii="Times New Roman" w:eastAsiaTheme="majorEastAsia" w:hAnsi="Times New Roman" w:cs="Times New Roman"/>
          <w:b/>
          <w:sz w:val="24"/>
          <w:szCs w:val="24"/>
          <w:lang w:val="sr-Cyrl-RS"/>
        </w:rPr>
        <w:t>Државног већа тужилаца</w:t>
      </w:r>
      <w:r w:rsidRPr="003E5020">
        <w:rPr>
          <w:rFonts w:ascii="Times New Roman" w:eastAsiaTheme="majorEastAsia" w:hAnsi="Times New Roman" w:cs="Times New Roman"/>
          <w:sz w:val="24"/>
          <w:szCs w:val="24"/>
          <w:lang w:val="sr-Cyrl-RS"/>
        </w:rPr>
        <w:t>, прописујући његов положај, као самосталног органа који обезбеђује и гарантује самосталност јавних тужилаца и заменика јавних тужилаца у складу са Уставом, затим састав и број чланова, као и надлежност да предлаже Народној скупштини кандидате за први избор за заменика јавног тужиоца, бира заменике јавних тужилаца за трајно обављање функције заменика јавног тужиоца, бира заменике јавних тужилаца који су на сталној функцији за заменике јавног тужиоца у другом јавном тужилаштву, одлучује у поступку за престанак функције заменика јавних тужилаца, на начин предвиђен Уставом и законом, врши и друге послове одређене законом</w:t>
      </w:r>
      <w:r w:rsidRPr="003E5020">
        <w:rPr>
          <w:rStyle w:val="FootnoteReference"/>
          <w:rFonts w:ascii="Times New Roman" w:eastAsiaTheme="majorEastAsia" w:hAnsi="Times New Roman" w:cs="Times New Roman"/>
          <w:sz w:val="24"/>
          <w:szCs w:val="24"/>
          <w:lang w:val="sr-Cyrl-RS"/>
        </w:rPr>
        <w:footnoteReference w:id="20"/>
      </w:r>
      <w:r w:rsidRPr="003E5020">
        <w:rPr>
          <w:rFonts w:ascii="Times New Roman" w:eastAsiaTheme="majorEastAsia" w:hAnsi="Times New Roman" w:cs="Times New Roman"/>
          <w:sz w:val="24"/>
          <w:szCs w:val="24"/>
          <w:lang w:val="sr-Cyrl-RS"/>
        </w:rPr>
        <w:t>.</w:t>
      </w:r>
    </w:p>
    <w:p w14:paraId="763097C5" w14:textId="77777777" w:rsidR="00314237" w:rsidRPr="003E5020" w:rsidRDefault="00314237" w:rsidP="00314237">
      <w:pPr>
        <w:jc w:val="both"/>
        <w:rPr>
          <w:rFonts w:ascii="Times New Roman" w:eastAsiaTheme="majorEastAsia" w:hAnsi="Times New Roman" w:cs="Times New Roman"/>
          <w:sz w:val="24"/>
          <w:szCs w:val="24"/>
          <w:lang w:val="sr-Cyrl-RS"/>
        </w:rPr>
      </w:pPr>
    </w:p>
    <w:p w14:paraId="413B5DFF"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sz w:val="24"/>
          <w:szCs w:val="24"/>
          <w:lang w:val="sr-Cyrl-RS"/>
        </w:rPr>
      </w:pPr>
      <w:r w:rsidRPr="003E5020">
        <w:rPr>
          <w:rFonts w:ascii="Times New Roman" w:eastAsiaTheme="majorEastAsia" w:hAnsi="Times New Roman" w:cs="Times New Roman"/>
          <w:sz w:val="24"/>
          <w:szCs w:val="24"/>
          <w:lang w:val="sr-Cyrl-RS"/>
        </w:rPr>
        <w:t>Закон о уређењу судова</w:t>
      </w:r>
    </w:p>
    <w:p w14:paraId="1D91DC2D" w14:textId="77777777" w:rsidR="00314237" w:rsidRPr="003E5020" w:rsidRDefault="00314237" w:rsidP="00314237">
      <w:pPr>
        <w:ind w:left="851"/>
        <w:jc w:val="both"/>
        <w:rPr>
          <w:rFonts w:ascii="Times New Roman" w:hAnsi="Times New Roman" w:cs="Times New Roman"/>
          <w:sz w:val="24"/>
          <w:szCs w:val="24"/>
          <w:lang w:val="sr-Cyrl-RS"/>
        </w:rPr>
      </w:pPr>
    </w:p>
    <w:p w14:paraId="7FB86A55"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Закон потврђује уставна начела самосталности и независности у раду судова, дефинишући судове као самосталне и независне државне органе који штите слободе и права грађана, законом утврђена права и интересе правних субјеката и обезбеђују уставност и законитост. Такође, поред утврђивања надлежности свих врста судова, закон се, између осталог, регулише и унутрашње уређење судова, годишњи распоред послова, судску управу, судско особље, као и правосудну управу, што су све области које се сматрају значајним са аспекта Стратегије и њених циљева. </w:t>
      </w:r>
    </w:p>
    <w:p w14:paraId="60D443BA" w14:textId="77777777" w:rsidR="00314237" w:rsidRPr="003E5020" w:rsidRDefault="00314237" w:rsidP="00314237">
      <w:pPr>
        <w:ind w:left="851"/>
        <w:jc w:val="both"/>
        <w:rPr>
          <w:rFonts w:ascii="Times New Roman" w:hAnsi="Times New Roman" w:cs="Times New Roman"/>
          <w:sz w:val="24"/>
          <w:szCs w:val="24"/>
          <w:lang w:val="sr-Cyrl-RS"/>
        </w:rPr>
      </w:pPr>
    </w:p>
    <w:p w14:paraId="4A37125B"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складу са чланом 51 закона, </w:t>
      </w:r>
      <w:r w:rsidRPr="003E5020">
        <w:rPr>
          <w:rFonts w:ascii="Times New Roman" w:hAnsi="Times New Roman" w:cs="Times New Roman"/>
          <w:b/>
          <w:i/>
          <w:sz w:val="24"/>
          <w:szCs w:val="24"/>
          <w:lang w:val="sr-Cyrl-RS"/>
        </w:rPr>
        <w:t>судску управу</w:t>
      </w:r>
      <w:r w:rsidRPr="003E5020">
        <w:rPr>
          <w:rFonts w:ascii="Times New Roman" w:hAnsi="Times New Roman" w:cs="Times New Roman"/>
          <w:sz w:val="24"/>
          <w:szCs w:val="24"/>
          <w:lang w:val="sr-Cyrl-RS"/>
        </w:rPr>
        <w:t xml:space="preserve"> чине послови који служе вршењу судске власти, пре свега: уређивање унутрашњег пословања у суду; позивање и распоређивање судија поротника; послови везани за сталне судске вештаке и тумаче; разматрање притужби и представки; вођење статистика и израда извештаја; извршење кривичних и прекршајних санкција; финансијско и материјално пословање суда и овера исправа намењених употреби у иностранству. </w:t>
      </w:r>
    </w:p>
    <w:p w14:paraId="3DC81A74" w14:textId="77777777" w:rsidR="00314237" w:rsidRPr="003E5020" w:rsidRDefault="00314237" w:rsidP="00314237">
      <w:pPr>
        <w:ind w:left="851"/>
        <w:jc w:val="both"/>
        <w:rPr>
          <w:rFonts w:ascii="Times New Roman" w:hAnsi="Times New Roman" w:cs="Times New Roman"/>
          <w:sz w:val="24"/>
          <w:szCs w:val="24"/>
          <w:lang w:val="sr-Cyrl-RS"/>
        </w:rPr>
      </w:pPr>
    </w:p>
    <w:p w14:paraId="40ABB579"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Што се тиче </w:t>
      </w:r>
      <w:r w:rsidRPr="003E5020">
        <w:rPr>
          <w:rFonts w:ascii="Times New Roman" w:hAnsi="Times New Roman" w:cs="Times New Roman"/>
          <w:b/>
          <w:i/>
          <w:sz w:val="24"/>
          <w:szCs w:val="24"/>
          <w:lang w:val="sr-Cyrl-RS"/>
        </w:rPr>
        <w:t>судског особља</w:t>
      </w:r>
      <w:r w:rsidRPr="003E5020">
        <w:rPr>
          <w:rFonts w:ascii="Times New Roman" w:hAnsi="Times New Roman" w:cs="Times New Roman"/>
          <w:sz w:val="24"/>
          <w:szCs w:val="24"/>
          <w:lang w:val="sr-Cyrl-RS"/>
        </w:rPr>
        <w:t xml:space="preserve">, оно је регулисано члановима 57-69 закона, и чине га </w:t>
      </w:r>
      <w:r w:rsidRPr="003E5020">
        <w:rPr>
          <w:rFonts w:ascii="Times New Roman" w:hAnsi="Times New Roman" w:cs="Times New Roman"/>
          <w:i/>
          <w:sz w:val="24"/>
          <w:szCs w:val="24"/>
          <w:lang w:val="sr-Cyrl-RS"/>
        </w:rPr>
        <w:t>судијски помоћници</w:t>
      </w:r>
      <w:r w:rsidRPr="003E5020">
        <w:rPr>
          <w:rFonts w:ascii="Times New Roman" w:hAnsi="Times New Roman" w:cs="Times New Roman"/>
          <w:sz w:val="24"/>
          <w:szCs w:val="24"/>
          <w:lang w:val="sr-Cyrl-RS"/>
        </w:rPr>
        <w:t xml:space="preserve">, </w:t>
      </w:r>
      <w:r w:rsidRPr="003E5020">
        <w:rPr>
          <w:rFonts w:ascii="Times New Roman" w:hAnsi="Times New Roman" w:cs="Times New Roman"/>
          <w:i/>
          <w:sz w:val="24"/>
          <w:szCs w:val="24"/>
          <w:lang w:val="sr-Cyrl-RS"/>
        </w:rPr>
        <w:t>судијски приправници</w:t>
      </w:r>
      <w:r w:rsidRPr="003E5020">
        <w:rPr>
          <w:rFonts w:ascii="Times New Roman" w:hAnsi="Times New Roman" w:cs="Times New Roman"/>
          <w:sz w:val="24"/>
          <w:szCs w:val="24"/>
          <w:lang w:val="sr-Cyrl-RS"/>
        </w:rPr>
        <w:t xml:space="preserve"> и </w:t>
      </w:r>
      <w:r w:rsidRPr="003E5020">
        <w:rPr>
          <w:rFonts w:ascii="Times New Roman" w:hAnsi="Times New Roman" w:cs="Times New Roman"/>
          <w:i/>
          <w:sz w:val="24"/>
          <w:szCs w:val="24"/>
          <w:lang w:val="sr-Cyrl-RS"/>
        </w:rPr>
        <w:t>државни службеници и намештеници запослени</w:t>
      </w:r>
      <w:r w:rsidRPr="003E5020">
        <w:rPr>
          <w:rFonts w:ascii="Times New Roman" w:hAnsi="Times New Roman" w:cs="Times New Roman"/>
          <w:sz w:val="24"/>
          <w:szCs w:val="24"/>
          <w:lang w:val="sr-Cyrl-RS"/>
        </w:rPr>
        <w:t xml:space="preserve"> на административним, техничким, рачуноводственим, информационим и осталим пратећим пословима значајним са судску власт. Број судског особља одређује председник суда, актом о унутрашњем уређењу и систематизацији радних места у суду, у складу са кадровским планом. Са аспекта Стратегије и њене везе са предметним законом важно је и законско правило да мерила за одређивање броја судског особља утврђује министар надлежан за послове правосуђа (члан 57 став 3 закона).</w:t>
      </w:r>
    </w:p>
    <w:p w14:paraId="165DBAED" w14:textId="77777777" w:rsidR="00314237" w:rsidRPr="003E5020" w:rsidRDefault="00314237" w:rsidP="00314237">
      <w:pPr>
        <w:ind w:left="851"/>
        <w:jc w:val="both"/>
        <w:rPr>
          <w:rFonts w:ascii="Times New Roman" w:hAnsi="Times New Roman" w:cs="Times New Roman"/>
          <w:sz w:val="24"/>
          <w:szCs w:val="24"/>
          <w:lang w:val="sr-Cyrl-RS"/>
        </w:rPr>
      </w:pPr>
    </w:p>
    <w:p w14:paraId="24D8D304" w14:textId="16AF4990"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Закон се бави и питањима </w:t>
      </w:r>
      <w:r w:rsidRPr="003E5020">
        <w:rPr>
          <w:rFonts w:ascii="Times New Roman" w:hAnsi="Times New Roman" w:cs="Times New Roman"/>
          <w:b/>
          <w:bCs/>
          <w:i/>
          <w:iCs/>
          <w:sz w:val="24"/>
          <w:szCs w:val="24"/>
          <w:lang w:val="sr-Cyrl-RS"/>
        </w:rPr>
        <w:t>правосудне управе</w:t>
      </w:r>
      <w:r w:rsidRPr="003E5020">
        <w:rPr>
          <w:rFonts w:ascii="Times New Roman" w:hAnsi="Times New Roman" w:cs="Times New Roman"/>
          <w:sz w:val="24"/>
          <w:szCs w:val="24"/>
          <w:lang w:val="sr-Cyrl-RS"/>
        </w:rPr>
        <w:t>, коју врши</w:t>
      </w:r>
      <w:r w:rsidR="00E04D32"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Високи савет судства и Министарство правде. Јасно се прописује и забрана утицаја правосудне управе на судије и то путем ништавости сваког појединачног акта којим се дира у самосталност и независност суда и судија.</w:t>
      </w:r>
    </w:p>
    <w:p w14:paraId="2D240DC8" w14:textId="66798C28" w:rsidR="00314237" w:rsidRDefault="00314237" w:rsidP="00314237">
      <w:pPr>
        <w:ind w:left="851"/>
        <w:jc w:val="both"/>
        <w:rPr>
          <w:rFonts w:ascii="Times New Roman" w:hAnsi="Times New Roman" w:cs="Times New Roman"/>
          <w:sz w:val="24"/>
          <w:szCs w:val="24"/>
          <w:lang w:val="sr-Cyrl-RS"/>
        </w:rPr>
      </w:pPr>
    </w:p>
    <w:p w14:paraId="6002D2A4" w14:textId="77777777" w:rsidR="00B4043D" w:rsidRPr="003E5020" w:rsidRDefault="00B4043D" w:rsidP="00314237">
      <w:pPr>
        <w:ind w:left="851"/>
        <w:jc w:val="both"/>
        <w:rPr>
          <w:rFonts w:ascii="Times New Roman" w:hAnsi="Times New Roman" w:cs="Times New Roman"/>
          <w:sz w:val="24"/>
          <w:szCs w:val="24"/>
          <w:lang w:val="sr-Cyrl-RS"/>
        </w:rPr>
      </w:pPr>
    </w:p>
    <w:p w14:paraId="5B317684"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Закон уређује и питање финансирања рада судова, те прописује да се средства за рад судова обезбеђују у буџету Републике Србије, те да треба да обимом и приливом одржавају независност судске власти и омогућавају уредан рад судова</w:t>
      </w:r>
      <w:r w:rsidRPr="003E5020">
        <w:rPr>
          <w:rStyle w:val="FootnoteReference"/>
          <w:rFonts w:ascii="Times New Roman" w:hAnsi="Times New Roman" w:cs="Times New Roman"/>
          <w:sz w:val="24"/>
          <w:szCs w:val="24"/>
          <w:lang w:val="sr-Cyrl-RS"/>
        </w:rPr>
        <w:footnoteReference w:id="21"/>
      </w:r>
      <w:r w:rsidRPr="003E5020">
        <w:rPr>
          <w:rFonts w:ascii="Times New Roman" w:hAnsi="Times New Roman" w:cs="Times New Roman"/>
          <w:sz w:val="24"/>
          <w:szCs w:val="24"/>
          <w:lang w:val="sr-Cyrl-RS"/>
        </w:rPr>
        <w:t xml:space="preserve">. </w:t>
      </w:r>
      <w:bookmarkStart w:id="36" w:name="str_77"/>
      <w:bookmarkStart w:id="37" w:name="clan_83"/>
      <w:bookmarkEnd w:id="36"/>
      <w:bookmarkEnd w:id="37"/>
      <w:r w:rsidRPr="003E5020">
        <w:rPr>
          <w:rFonts w:ascii="Times New Roman" w:hAnsi="Times New Roman" w:cs="Times New Roman"/>
          <w:sz w:val="24"/>
          <w:szCs w:val="24"/>
          <w:lang w:val="sr-Cyrl-RS"/>
        </w:rPr>
        <w:t>Високи савет судства предлаже обим и структуру буџетских средстава неопходних за текуће расходе, осим расхода за судско особље, уз претходно прибављено мишљење министарства надлежног за правосуђе и врши расподелу ових средстава на судове</w:t>
      </w:r>
      <w:r w:rsidRPr="003E5020">
        <w:rPr>
          <w:rStyle w:val="FootnoteReference"/>
          <w:rFonts w:ascii="Times New Roman" w:hAnsi="Times New Roman" w:cs="Times New Roman"/>
          <w:sz w:val="24"/>
          <w:szCs w:val="24"/>
          <w:lang w:val="sr-Cyrl-RS"/>
        </w:rPr>
        <w:footnoteReference w:id="22"/>
      </w:r>
      <w:r w:rsidRPr="003E5020">
        <w:rPr>
          <w:rFonts w:ascii="Times New Roman" w:hAnsi="Times New Roman" w:cs="Times New Roman"/>
          <w:sz w:val="24"/>
          <w:szCs w:val="24"/>
          <w:lang w:val="sr-Cyrl-RS"/>
        </w:rPr>
        <w:t>.</w:t>
      </w:r>
      <w:bookmarkStart w:id="38" w:name="str_78"/>
      <w:bookmarkStart w:id="39" w:name="clan_84"/>
      <w:bookmarkEnd w:id="38"/>
      <w:bookmarkEnd w:id="39"/>
      <w:r w:rsidRPr="003E5020">
        <w:rPr>
          <w:rFonts w:ascii="Times New Roman" w:hAnsi="Times New Roman" w:cs="Times New Roman"/>
          <w:sz w:val="24"/>
          <w:szCs w:val="24"/>
          <w:lang w:val="sr-Cyrl-RS"/>
        </w:rPr>
        <w:t xml:space="preserve"> Надзор над трошењем буџетских средстава опредељених за рад судова спроводе Високи савет судства, министарство надлежно за правосуђе и министарство надлежно за финансије</w:t>
      </w:r>
      <w:r w:rsidRPr="003E5020">
        <w:rPr>
          <w:rStyle w:val="FootnoteReference"/>
          <w:rFonts w:ascii="Times New Roman" w:hAnsi="Times New Roman" w:cs="Times New Roman"/>
          <w:sz w:val="24"/>
          <w:szCs w:val="24"/>
          <w:lang w:val="sr-Cyrl-RS"/>
        </w:rPr>
        <w:footnoteReference w:id="23"/>
      </w:r>
      <w:r w:rsidRPr="003E5020">
        <w:rPr>
          <w:rFonts w:ascii="Times New Roman" w:hAnsi="Times New Roman" w:cs="Times New Roman"/>
          <w:sz w:val="24"/>
          <w:szCs w:val="24"/>
          <w:lang w:val="sr-Cyrl-RS"/>
        </w:rPr>
        <w:t>.</w:t>
      </w:r>
    </w:p>
    <w:p w14:paraId="139C7D06" w14:textId="503298B1" w:rsidR="00314237" w:rsidRPr="003E5020" w:rsidRDefault="00314237" w:rsidP="00314237">
      <w:pPr>
        <w:jc w:val="both"/>
        <w:rPr>
          <w:rFonts w:ascii="Times New Roman" w:eastAsiaTheme="majorEastAsia" w:hAnsi="Times New Roman" w:cs="Times New Roman"/>
          <w:sz w:val="24"/>
          <w:szCs w:val="24"/>
          <w:lang w:val="sr-Cyrl-RS"/>
        </w:rPr>
      </w:pPr>
    </w:p>
    <w:p w14:paraId="75750533"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Високом савету судства</w:t>
      </w:r>
    </w:p>
    <w:p w14:paraId="2555744F" w14:textId="77777777" w:rsidR="00314237" w:rsidRPr="003E5020" w:rsidRDefault="00314237" w:rsidP="00314237">
      <w:pPr>
        <w:ind w:left="851"/>
        <w:jc w:val="both"/>
        <w:rPr>
          <w:rFonts w:ascii="Times New Roman" w:eastAsiaTheme="majorEastAsia" w:hAnsi="Times New Roman" w:cs="Times New Roman"/>
          <w:sz w:val="24"/>
          <w:szCs w:val="24"/>
          <w:lang w:val="sr-Cyrl-RS"/>
        </w:rPr>
      </w:pPr>
    </w:p>
    <w:p w14:paraId="5A5BBB10"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Овим законом се уређују положај, надлежност, организација и начин рада Високог савета судства, услови и поступак за избор изборних чланова предметног органа, трајање мандата и престанак њихове функције и обезбеђење услова и средстава за рад савета. Веза са Стратегијом је посредна и огледа се пре свега у чињеници да је овај орган, имајући у виду наведене надлежности, био директно укључен, како у сам процес израде Стратегије, тако и у касније праћење њене реализације и оцене резултата.</w:t>
      </w:r>
    </w:p>
    <w:p w14:paraId="0C242FC7" w14:textId="77777777" w:rsidR="00314237" w:rsidRPr="003E5020" w:rsidRDefault="00314237" w:rsidP="00314237">
      <w:pPr>
        <w:ind w:left="851"/>
        <w:jc w:val="both"/>
        <w:rPr>
          <w:rFonts w:ascii="Times New Roman" w:hAnsi="Times New Roman" w:cs="Times New Roman"/>
          <w:sz w:val="24"/>
          <w:szCs w:val="24"/>
          <w:lang w:val="sr-Cyrl-RS"/>
        </w:rPr>
      </w:pPr>
    </w:p>
    <w:p w14:paraId="6349AC66"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Важност предметног закона у односу на питања која су регулисана овом Стратегијом најпре произлази из чињенице да закон даје широке надлежности Високом савету судства, који између осталог: бира судије за трајно обављање судијске функције; одлучује о престанку судијске функције; предлаже Народној скупштини кандидате за избор судија приликом првог избора на судијску функцију; предлаже Народној скупштини избор и разрешење председника Врховног касационог суда и председника суда; одлучује о премештају, упућивању и приговору о удаљењу судија; одлучује о неспојивости вршења других служби и послова са судијском функцијом; одлучује у поступку вредновања рада судија и председника суда; одређује састав, трајање и престанак мандата чланова дисциплинских органа, именује чланове дисциплинских органа и уређује начин рада и одлучивања у дисциплинским органима; одлучује о правним лековима у дисциплинском поступку; даје сагласност на програм сталне обуке за судије и запослене у судовима и врши надзор над његовим спровођењем; утврђује програм почетне обуке за судије; доноси Етички кодекс; одређује број судија и судија поротника за сваки суд; обавља послове правосудне управе из своје надлежности; одлучује о питањима имунитета судија и чланова Савета; предлаже обим и структуру буџетских средстава неопходних за рад судова за текуће расходе и врши надзор над њиховим трошењем, у складу са законом; одлучује о приговорима у поступку избора за чланове Савета из реда судија; образује своја радна тела и сталне и повремене комисије и врши избор њихових чланова; даје мишљење о изменама постојећих или доношењу нових закона који уређују положај судија, организацију и поступање судова, као и других системских закона које судови примењују или су од значаја за обављање судијске функције; одлучује о постојању услова за накнаду штете због незаконитог и неправилног рада судије; обавља послова у вези са спровођењем Националне стратегије реформе правосуђа из своје надлежности.</w:t>
      </w:r>
    </w:p>
    <w:p w14:paraId="1C67AD5B"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50724FE7"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Државном већу тужилаца</w:t>
      </w:r>
    </w:p>
    <w:p w14:paraId="4C703492"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079DB536"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Овим законом се уређују положај, надлежност, организација и начин рада Државног већа тужилаца, услови и поступак за избор изборних чланова наведеног органа, трајање мандата и престанак њихове функције и обезбеђење услова и средстава за рад Државног већа тужилаца. Веза са Стратегијом је посредна и огледа се пре свега у чињеници да је овај државни орган, имајући у виду доле наведене надлежности, био директно укључен, како у сам процес израде Стратегије, тако и у касније праћење њене реализације и оцене резултата.</w:t>
      </w:r>
    </w:p>
    <w:p w14:paraId="483D88DF" w14:textId="77777777" w:rsidR="00314237" w:rsidRPr="003E5020" w:rsidRDefault="00314237" w:rsidP="00314237">
      <w:pPr>
        <w:ind w:left="851"/>
        <w:jc w:val="both"/>
        <w:rPr>
          <w:rFonts w:ascii="Times New Roman" w:hAnsi="Times New Roman" w:cs="Times New Roman"/>
          <w:sz w:val="24"/>
          <w:szCs w:val="24"/>
          <w:lang w:val="sr-Cyrl-RS"/>
        </w:rPr>
      </w:pPr>
    </w:p>
    <w:p w14:paraId="7BB8ABF3"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Важност овог закона у односу на питања која су регулисана Стратегијом најпре произлази из чињенице да закон даје широке надлежности Државном већу тужилаца, који у складу са законом: утврђује листу кандидата за избор Републичког јавног тужиоца и јавних тужилаца коју доставља Влади; предлаже Народној скупштини кандидате за први избор за заменика јавног тужиоца; бира заменике јавних тужилаца за трајно обављање функције заменика јавног тужиоца; бира заменике јавних тужилаца који су на сталној функцији за заменике јавног тужиоца у вишем јавном тужилаштву; одлучује о престанку функције заменика јавних тужилаца; утврђује разлоге за разрешење јавног тужиоца и заменика јавног тужиоца; одређује јавно тужилаштво у којем ће јавни тужилац и заменици јавног тужиоца наставити да врше функцију заменика јавног тужиоца у случају укидања јавног тужилаштва; одлучује о удаљењу Републичког јавног тужиоца; одлучује по приговору на одлуку о удаљењу јавног тужиоца и заменика јавног тужиоца; предлаже обим и структуру буџетских средстава неопходних за рад јавних тужилаштава за текуће расходе и врши надзор над њиховим трошењем, у складу са законом; утврђује које су друге функције, послови или приватни интереси у супротности са достојанством и самосталношћу јавног тужилаштва; поставља вршиоца дужности Републичког јавног тужиоца; одлучује по приговору на одлуку Републичког јавног тужиоца о томе када се сматра да није било избора јавног тужиоца и заменика јавног тужиоца; даје мишљење о изменама постојећих или доношењу нових закона који уређују положај и поступање јавних тужилаца и заменика јавних тужилаца, организацију јавног тужилаштва, као и других закона које јавна тужилаштва примењују; доноси Етички кодекс; води лични лист за сваког јавног тужиоца, заменика јавног тужиоца и запосленог у јавном тужилаштву; именује и разрешава Дисциплинског тужиоца и његове заменике и чланове Дисциплинске комисије и њихове заменике; доноси одлуке о правним лековима у дисциплинском поступку; доноси Правилник о мерилима за вредновање рада јавних тужилаца и заменика јавних тужилаца; доноси одлуку о правном леку против одлуке о вредновању рада јавног тужиоца и заменика јавног тужиоца; одлучује о приговорима у поступку избора за чланове Државног већа из реда јавних тужилаца и заменика јавних тужилаца; обавља послове у вези са спровођењем Националне стратегије реформе правосуђа; утврђује садржину програма обуке за заменике јавних тужилаца који се први пут бирају на функцију и тужилачке помоћнике у складу са законом; предлаже програм обуке за јавне тужиоце и заменике јавних тужилаца који трајно обављају функцију.</w:t>
      </w:r>
    </w:p>
    <w:p w14:paraId="76A97A6B" w14:textId="13DF108A" w:rsidR="00314237" w:rsidRDefault="00314237" w:rsidP="00314237">
      <w:pPr>
        <w:ind w:left="851"/>
        <w:jc w:val="both"/>
        <w:rPr>
          <w:rFonts w:ascii="Times New Roman" w:eastAsiaTheme="majorEastAsia" w:hAnsi="Times New Roman" w:cs="Times New Roman"/>
          <w:iCs/>
          <w:sz w:val="24"/>
          <w:szCs w:val="24"/>
          <w:lang w:val="sr-Cyrl-RS"/>
        </w:rPr>
      </w:pPr>
    </w:p>
    <w:p w14:paraId="6F8A429D" w14:textId="651C4AB7" w:rsidR="00B4043D" w:rsidRDefault="00B4043D" w:rsidP="00314237">
      <w:pPr>
        <w:ind w:left="851"/>
        <w:jc w:val="both"/>
        <w:rPr>
          <w:rFonts w:ascii="Times New Roman" w:eastAsiaTheme="majorEastAsia" w:hAnsi="Times New Roman" w:cs="Times New Roman"/>
          <w:iCs/>
          <w:sz w:val="24"/>
          <w:szCs w:val="24"/>
          <w:lang w:val="sr-Cyrl-RS"/>
        </w:rPr>
      </w:pPr>
    </w:p>
    <w:p w14:paraId="096B3A02" w14:textId="77777777" w:rsidR="00B4043D" w:rsidRPr="003E5020" w:rsidRDefault="00B4043D" w:rsidP="00314237">
      <w:pPr>
        <w:ind w:left="851"/>
        <w:jc w:val="both"/>
        <w:rPr>
          <w:rFonts w:ascii="Times New Roman" w:eastAsiaTheme="majorEastAsia" w:hAnsi="Times New Roman" w:cs="Times New Roman"/>
          <w:iCs/>
          <w:sz w:val="24"/>
          <w:szCs w:val="24"/>
          <w:lang w:val="sr-Cyrl-RS"/>
        </w:rPr>
      </w:pPr>
    </w:p>
    <w:p w14:paraId="44B95095" w14:textId="77777777" w:rsidR="00982765" w:rsidRPr="003E5020" w:rsidRDefault="00982765" w:rsidP="00314237">
      <w:pPr>
        <w:ind w:left="851"/>
        <w:jc w:val="both"/>
        <w:rPr>
          <w:rFonts w:ascii="Times New Roman" w:eastAsiaTheme="majorEastAsia" w:hAnsi="Times New Roman" w:cs="Times New Roman"/>
          <w:iCs/>
          <w:sz w:val="24"/>
          <w:szCs w:val="24"/>
          <w:lang w:val="sr-Cyrl-RS"/>
        </w:rPr>
      </w:pPr>
    </w:p>
    <w:p w14:paraId="5ECA3F80" w14:textId="4EFB3ABE"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Закон о </w:t>
      </w:r>
      <w:r w:rsidR="008852F3" w:rsidRPr="003E5020">
        <w:rPr>
          <w:rFonts w:ascii="Times New Roman" w:eastAsiaTheme="majorEastAsia" w:hAnsi="Times New Roman" w:cs="Times New Roman"/>
          <w:iCs/>
          <w:sz w:val="24"/>
          <w:szCs w:val="24"/>
          <w:lang w:val="sr-Cyrl-RS"/>
        </w:rPr>
        <w:t>јавном</w:t>
      </w:r>
      <w:r w:rsidRPr="003E5020">
        <w:rPr>
          <w:rFonts w:ascii="Times New Roman" w:eastAsiaTheme="majorEastAsia" w:hAnsi="Times New Roman" w:cs="Times New Roman"/>
          <w:iCs/>
          <w:sz w:val="24"/>
          <w:szCs w:val="24"/>
          <w:lang w:val="sr-Cyrl-RS"/>
        </w:rPr>
        <w:t xml:space="preserve"> тужилаштву</w:t>
      </w:r>
    </w:p>
    <w:p w14:paraId="0FF2E93F"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05F8872D" w14:textId="77777777" w:rsidR="00072E68"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Овим законом се уређују организација и надлежност јавних тужилаштава, услови и поступак за избор и престанак функције јавног тужиоца и заменика јавног тужиоца, права и дужности јавног тужиоца и заменика јавног тужиоца, вредновање рада јавног тужиоца и заменика јавног тужиоца, напредовање и дисциплинска одговорност јавног тужиоца и заменика јавног тужиоца, обављање послова правосудне управе и тужилачке управе у јавним тужилаштвима, обезбеђивање средстава за рад јавних тужилаштава и друга питања од значаја за рад јавних тужилаштава. </w:t>
      </w:r>
    </w:p>
    <w:p w14:paraId="36EC920D" w14:textId="77777777" w:rsidR="00072E68" w:rsidRPr="003E5020" w:rsidRDefault="00072E68" w:rsidP="00314237">
      <w:pPr>
        <w:ind w:left="851"/>
        <w:jc w:val="both"/>
        <w:rPr>
          <w:rFonts w:ascii="Times New Roman" w:hAnsi="Times New Roman" w:cs="Times New Roman"/>
          <w:sz w:val="24"/>
          <w:szCs w:val="24"/>
          <w:lang w:val="sr-Cyrl-RS"/>
        </w:rPr>
      </w:pPr>
    </w:p>
    <w:p w14:paraId="58A18AE7" w14:textId="77777777" w:rsidR="00C14410" w:rsidRPr="003E5020" w:rsidRDefault="00AC5EDC" w:rsidP="00C1441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Када је реч о </w:t>
      </w:r>
      <w:r w:rsidRPr="003E5020">
        <w:rPr>
          <w:rFonts w:ascii="Times New Roman" w:hAnsi="Times New Roman" w:cs="Times New Roman"/>
          <w:b/>
          <w:bCs/>
          <w:i/>
          <w:iCs/>
          <w:sz w:val="24"/>
          <w:szCs w:val="24"/>
          <w:lang w:val="sr-Cyrl-RS"/>
        </w:rPr>
        <w:t>управи у јавном тужилаштву</w:t>
      </w:r>
      <w:r w:rsidRPr="003E5020">
        <w:rPr>
          <w:rFonts w:ascii="Times New Roman" w:hAnsi="Times New Roman" w:cs="Times New Roman"/>
          <w:sz w:val="24"/>
          <w:szCs w:val="24"/>
          <w:lang w:val="sr-Cyrl-RS"/>
        </w:rPr>
        <w:t>, закон успоставља ј</w:t>
      </w:r>
      <w:r w:rsidR="009D56B5" w:rsidRPr="003E5020">
        <w:rPr>
          <w:rFonts w:ascii="Times New Roman" w:hAnsi="Times New Roman" w:cs="Times New Roman"/>
          <w:sz w:val="24"/>
          <w:szCs w:val="24"/>
          <w:lang w:val="sr-Cyrl-RS"/>
        </w:rPr>
        <w:t>а</w:t>
      </w:r>
      <w:r w:rsidR="001877D3" w:rsidRPr="003E5020">
        <w:rPr>
          <w:rFonts w:ascii="Times New Roman" w:hAnsi="Times New Roman" w:cs="Times New Roman"/>
          <w:sz w:val="24"/>
          <w:szCs w:val="24"/>
          <w:lang w:val="sr-Cyrl-RS"/>
        </w:rPr>
        <w:t>вн</w:t>
      </w:r>
      <w:r w:rsidRPr="003E5020">
        <w:rPr>
          <w:rFonts w:ascii="Times New Roman" w:hAnsi="Times New Roman" w:cs="Times New Roman"/>
          <w:sz w:val="24"/>
          <w:szCs w:val="24"/>
          <w:lang w:val="sr-Cyrl-RS"/>
        </w:rPr>
        <w:t>ог</w:t>
      </w:r>
      <w:r w:rsidR="001877D3"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тужиоца</w:t>
      </w:r>
      <w:r w:rsidR="009D56B5" w:rsidRPr="003E5020">
        <w:rPr>
          <w:rFonts w:ascii="Times New Roman" w:hAnsi="Times New Roman" w:cs="Times New Roman"/>
          <w:sz w:val="24"/>
          <w:szCs w:val="24"/>
          <w:lang w:val="sr-Cyrl-RS"/>
        </w:rPr>
        <w:t xml:space="preserve"> као</w:t>
      </w:r>
      <w:r w:rsidR="001877D3"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њеног ноциоца, који је</w:t>
      </w:r>
      <w:r w:rsidR="001877D3" w:rsidRPr="003E5020">
        <w:rPr>
          <w:rFonts w:ascii="Times New Roman" w:hAnsi="Times New Roman" w:cs="Times New Roman"/>
          <w:sz w:val="24"/>
          <w:szCs w:val="24"/>
          <w:lang w:val="sr-Cyrl-RS"/>
        </w:rPr>
        <w:t xml:space="preserve"> одговоран за правилан и благовремен рад јавног тужилаштва</w:t>
      </w:r>
      <w:r w:rsidR="009D56B5" w:rsidRPr="003E5020">
        <w:rPr>
          <w:rFonts w:ascii="Times New Roman" w:hAnsi="Times New Roman" w:cs="Times New Roman"/>
          <w:sz w:val="24"/>
          <w:szCs w:val="24"/>
          <w:lang w:val="sr-Cyrl-RS"/>
        </w:rPr>
        <w:t xml:space="preserve">. </w:t>
      </w:r>
      <w:r w:rsidR="001877D3" w:rsidRPr="003E5020">
        <w:rPr>
          <w:rFonts w:ascii="Times New Roman" w:hAnsi="Times New Roman" w:cs="Times New Roman"/>
          <w:sz w:val="24"/>
          <w:szCs w:val="24"/>
          <w:lang w:val="sr-Cyrl-RS"/>
        </w:rPr>
        <w:t xml:space="preserve">Јавни тужилац </w:t>
      </w:r>
      <w:r w:rsidR="009D56B5" w:rsidRPr="003E5020">
        <w:rPr>
          <w:rFonts w:ascii="Times New Roman" w:hAnsi="Times New Roman" w:cs="Times New Roman"/>
          <w:sz w:val="24"/>
          <w:szCs w:val="24"/>
          <w:lang w:val="sr-Cyrl-RS"/>
        </w:rPr>
        <w:t xml:space="preserve">тако </w:t>
      </w:r>
      <w:r w:rsidR="001877D3" w:rsidRPr="003E5020">
        <w:rPr>
          <w:rFonts w:ascii="Times New Roman" w:hAnsi="Times New Roman" w:cs="Times New Roman"/>
          <w:sz w:val="24"/>
          <w:szCs w:val="24"/>
          <w:lang w:val="sr-Cyrl-RS"/>
        </w:rPr>
        <w:t>одређује организацију и рад јавног тужилаштва, одлучује о правима по основу рада заменика јавног тужиоца и о радним односима особља у јавном тужилаштву, отклања неправилност и одуговлачење у раду, стара се о одржавању самосталности у раду и угледу јавног тужилаштва и врши друге послове на које је овлашћен законом или другим прописом.</w:t>
      </w:r>
    </w:p>
    <w:p w14:paraId="5B2D6695" w14:textId="77777777" w:rsidR="00C14410" w:rsidRPr="003E5020" w:rsidRDefault="00C14410" w:rsidP="00C14410">
      <w:pPr>
        <w:ind w:left="851"/>
        <w:jc w:val="both"/>
        <w:rPr>
          <w:rFonts w:ascii="Times New Roman" w:hAnsi="Times New Roman" w:cs="Times New Roman"/>
          <w:sz w:val="24"/>
          <w:szCs w:val="24"/>
          <w:lang w:val="sr-Cyrl-RS"/>
        </w:rPr>
      </w:pPr>
    </w:p>
    <w:p w14:paraId="6B3DF32A" w14:textId="08ACE720" w:rsidR="00C14410" w:rsidRPr="003E5020" w:rsidRDefault="006336C4" w:rsidP="00C1441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Закон такође регулише </w:t>
      </w:r>
      <w:r w:rsidR="00C14410" w:rsidRPr="003E5020">
        <w:rPr>
          <w:rFonts w:ascii="Times New Roman" w:hAnsi="Times New Roman" w:cs="Times New Roman"/>
          <w:b/>
          <w:bCs/>
          <w:i/>
          <w:iCs/>
          <w:sz w:val="24"/>
          <w:szCs w:val="24"/>
          <w:lang w:val="sr-Cyrl-RS"/>
        </w:rPr>
        <w:t>лични лист</w:t>
      </w:r>
      <w:r w:rsidR="00C14410" w:rsidRPr="003E5020">
        <w:rPr>
          <w:rFonts w:ascii="Times New Roman" w:hAnsi="Times New Roman" w:cs="Times New Roman"/>
          <w:sz w:val="24"/>
          <w:szCs w:val="24"/>
          <w:lang w:val="sr-Cyrl-RS"/>
        </w:rPr>
        <w:t xml:space="preserve"> који је обавезан за сваког јавног тужиоца, заменика јавног тужиоца и запосленог у јавном тужилаштву, а који између осталог садржи и податке који се односе на изречене дисциплинске мере, престанак функције, објављеним стручним или научним радовима, вредновању рада, учешћу у програмима стручног усавршавања, знању страних језика и другим посебним знањима.</w:t>
      </w:r>
    </w:p>
    <w:p w14:paraId="6C2B6920" w14:textId="586CDACC" w:rsidR="00672AD1" w:rsidRPr="003E5020" w:rsidRDefault="00672AD1" w:rsidP="00C14410">
      <w:pPr>
        <w:ind w:left="851"/>
        <w:jc w:val="both"/>
        <w:rPr>
          <w:rFonts w:ascii="Times New Roman" w:hAnsi="Times New Roman" w:cs="Times New Roman"/>
          <w:sz w:val="24"/>
          <w:szCs w:val="24"/>
          <w:lang w:val="sr-Cyrl-RS"/>
        </w:rPr>
      </w:pPr>
    </w:p>
    <w:p w14:paraId="6A8040B1" w14:textId="36299692" w:rsidR="00C130F1" w:rsidRPr="003E5020" w:rsidRDefault="00FD1712" w:rsidP="000E6736">
      <w:pPr>
        <w:ind w:left="851"/>
        <w:jc w:val="both"/>
        <w:rPr>
          <w:rFonts w:ascii="Times New Roman" w:eastAsia="Times New Roman" w:hAnsi="Times New Roman" w:cs="Times New Roman"/>
          <w:b/>
          <w:bCs/>
          <w:sz w:val="24"/>
          <w:szCs w:val="24"/>
          <w:lang w:val="sr-Cyrl-RS"/>
        </w:rPr>
      </w:pPr>
      <w:r w:rsidRPr="003E5020">
        <w:rPr>
          <w:rFonts w:ascii="Times New Roman" w:hAnsi="Times New Roman" w:cs="Times New Roman"/>
          <w:sz w:val="24"/>
          <w:szCs w:val="24"/>
          <w:lang w:val="sr-Cyrl-RS"/>
        </w:rPr>
        <w:t xml:space="preserve">Закон детаљно третира положај </w:t>
      </w:r>
      <w:r w:rsidRPr="003E5020">
        <w:rPr>
          <w:rFonts w:ascii="Times New Roman" w:hAnsi="Times New Roman" w:cs="Times New Roman"/>
          <w:b/>
          <w:bCs/>
          <w:i/>
          <w:iCs/>
          <w:sz w:val="24"/>
          <w:szCs w:val="24"/>
          <w:lang w:val="sr-Cyrl-RS"/>
        </w:rPr>
        <w:t>особља у јавном тужилаштву</w:t>
      </w:r>
      <w:r w:rsidRPr="003E5020">
        <w:rPr>
          <w:rFonts w:ascii="Times New Roman" w:hAnsi="Times New Roman" w:cs="Times New Roman"/>
          <w:sz w:val="24"/>
          <w:szCs w:val="24"/>
          <w:lang w:val="sr-Cyrl-RS"/>
        </w:rPr>
        <w:t xml:space="preserve">. </w:t>
      </w:r>
      <w:bookmarkStart w:id="40" w:name="str_41"/>
      <w:bookmarkStart w:id="41" w:name="clan_35"/>
      <w:bookmarkStart w:id="42" w:name="str_42"/>
      <w:bookmarkStart w:id="43" w:name="clan_36"/>
      <w:bookmarkStart w:id="44" w:name="str_43"/>
      <w:bookmarkStart w:id="45" w:name="clan_37"/>
      <w:bookmarkStart w:id="46" w:name="str_44"/>
      <w:bookmarkStart w:id="47" w:name="clan_38"/>
      <w:bookmarkStart w:id="48" w:name="str_45"/>
      <w:bookmarkStart w:id="49" w:name="clan_39"/>
      <w:bookmarkStart w:id="50" w:name="str_46"/>
      <w:bookmarkStart w:id="51" w:name="clan_40"/>
      <w:bookmarkStart w:id="52" w:name="str_47"/>
      <w:bookmarkStart w:id="53" w:name="clan_41"/>
      <w:bookmarkStart w:id="54" w:name="clan_11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00C130F1" w:rsidRPr="003E5020">
        <w:rPr>
          <w:rFonts w:ascii="Times New Roman" w:hAnsi="Times New Roman" w:cs="Times New Roman"/>
          <w:sz w:val="24"/>
          <w:szCs w:val="24"/>
          <w:lang w:val="sr-Cyrl-RS"/>
        </w:rPr>
        <w:t>Особље у јавном тужилаштву чине тужилачки помоћници, тужилачки приправници и државни службеници и намештеници запослени на административним, техничким, рачуноводственим, информационим и другим пратећим пословима значајним за јавно тужилаштво.</w:t>
      </w:r>
      <w:r w:rsidRPr="003E5020">
        <w:rPr>
          <w:rFonts w:ascii="Times New Roman" w:hAnsi="Times New Roman" w:cs="Times New Roman"/>
          <w:sz w:val="24"/>
          <w:szCs w:val="24"/>
          <w:lang w:val="sr-Cyrl-RS"/>
        </w:rPr>
        <w:t xml:space="preserve"> </w:t>
      </w:r>
      <w:r w:rsidR="00C130F1" w:rsidRPr="003E5020">
        <w:rPr>
          <w:rFonts w:ascii="Times New Roman" w:hAnsi="Times New Roman" w:cs="Times New Roman"/>
          <w:sz w:val="24"/>
          <w:szCs w:val="24"/>
          <w:lang w:val="sr-Cyrl-RS"/>
        </w:rPr>
        <w:t>Број особља у јавном тужилаштву одређује јавни тужилац актом о унутрашњем уређењу и систематизацији радних места, уз сагласност министра надлежног за правосуђе.</w:t>
      </w:r>
      <w:r w:rsidRPr="003E5020">
        <w:rPr>
          <w:rFonts w:ascii="Times New Roman" w:hAnsi="Times New Roman" w:cs="Times New Roman"/>
          <w:sz w:val="24"/>
          <w:szCs w:val="24"/>
          <w:lang w:val="sr-Cyrl-RS"/>
        </w:rPr>
        <w:t xml:space="preserve"> </w:t>
      </w:r>
      <w:r w:rsidR="00C130F1" w:rsidRPr="003E5020">
        <w:rPr>
          <w:rFonts w:ascii="Times New Roman" w:hAnsi="Times New Roman" w:cs="Times New Roman"/>
          <w:sz w:val="24"/>
          <w:szCs w:val="24"/>
          <w:lang w:val="sr-Cyrl-RS"/>
        </w:rPr>
        <w:t>Мерила за одређивање броја особља у јавном тужилаштву утврђује министар надлежан за послове правосуђа.</w:t>
      </w:r>
      <w:r w:rsidR="00FA4F12" w:rsidRPr="003E5020">
        <w:rPr>
          <w:rFonts w:ascii="Times New Roman" w:hAnsi="Times New Roman" w:cs="Times New Roman"/>
          <w:sz w:val="24"/>
          <w:szCs w:val="24"/>
          <w:lang w:val="sr-Cyrl-RS"/>
        </w:rPr>
        <w:t xml:space="preserve">  Закон одређује зва</w:t>
      </w:r>
      <w:r w:rsidR="00EC7AF9" w:rsidRPr="003E5020">
        <w:rPr>
          <w:rFonts w:ascii="Times New Roman" w:hAnsi="Times New Roman" w:cs="Times New Roman"/>
          <w:sz w:val="24"/>
          <w:szCs w:val="24"/>
          <w:lang w:val="sr-Cyrl-RS"/>
        </w:rPr>
        <w:t>њ</w:t>
      </w:r>
      <w:r w:rsidR="00FA4F12" w:rsidRPr="003E5020">
        <w:rPr>
          <w:rFonts w:ascii="Times New Roman" w:hAnsi="Times New Roman" w:cs="Times New Roman"/>
          <w:sz w:val="24"/>
          <w:szCs w:val="24"/>
          <w:lang w:val="sr-Cyrl-RS"/>
        </w:rPr>
        <w:t>а тужилачких помоћника</w:t>
      </w:r>
      <w:r w:rsidR="00EC7AF9" w:rsidRPr="003E5020">
        <w:rPr>
          <w:rFonts w:ascii="Times New Roman" w:hAnsi="Times New Roman" w:cs="Times New Roman"/>
          <w:sz w:val="24"/>
          <w:szCs w:val="24"/>
          <w:lang w:val="sr-Cyrl-RS"/>
        </w:rPr>
        <w:t>, како следи</w:t>
      </w:r>
      <w:r w:rsidR="00FA4F12" w:rsidRPr="003E5020">
        <w:rPr>
          <w:rFonts w:ascii="Times New Roman" w:hAnsi="Times New Roman" w:cs="Times New Roman"/>
          <w:sz w:val="24"/>
          <w:szCs w:val="24"/>
          <w:lang w:val="sr-Cyrl-RS"/>
        </w:rPr>
        <w:t>: тужилачки сарадник, виши тужилачки сарадник, саветник и виши саветник, као и услове за стицање наведених звања</w:t>
      </w:r>
      <w:r w:rsidR="00EC7AF9" w:rsidRPr="003E5020">
        <w:rPr>
          <w:rFonts w:ascii="Times New Roman" w:hAnsi="Times New Roman" w:cs="Times New Roman"/>
          <w:sz w:val="24"/>
          <w:szCs w:val="24"/>
          <w:lang w:val="sr-Cyrl-RS"/>
        </w:rPr>
        <w:t xml:space="preserve"> и вредновање њиховог рада.</w:t>
      </w:r>
      <w:r w:rsidR="000E6736" w:rsidRPr="003E5020">
        <w:rPr>
          <w:rFonts w:ascii="Times New Roman" w:hAnsi="Times New Roman" w:cs="Times New Roman"/>
          <w:sz w:val="24"/>
          <w:szCs w:val="24"/>
          <w:lang w:val="sr-Cyrl-RS"/>
        </w:rPr>
        <w:t xml:space="preserve"> Закон се даље бави и тужилачким приправницима, јасно одређујући услове за њихов пријем у радни однос, али и о обавези тужилаштва да, приликом њиховог пријема, води рачуна </w:t>
      </w:r>
      <w:bookmarkStart w:id="55" w:name="str_145"/>
      <w:bookmarkStart w:id="56" w:name="clan_118"/>
      <w:bookmarkStart w:id="57" w:name="str_146"/>
      <w:bookmarkStart w:id="58" w:name="clan_119"/>
      <w:bookmarkStart w:id="59" w:name="str_147"/>
      <w:bookmarkStart w:id="60" w:name="clan_120"/>
      <w:bookmarkStart w:id="61" w:name="str_148"/>
      <w:bookmarkStart w:id="62" w:name="clan_121"/>
      <w:bookmarkStart w:id="63" w:name="str_149"/>
      <w:bookmarkEnd w:id="55"/>
      <w:bookmarkEnd w:id="56"/>
      <w:bookmarkEnd w:id="57"/>
      <w:bookmarkEnd w:id="58"/>
      <w:bookmarkEnd w:id="59"/>
      <w:bookmarkEnd w:id="60"/>
      <w:bookmarkEnd w:id="61"/>
      <w:bookmarkEnd w:id="62"/>
      <w:bookmarkEnd w:id="63"/>
      <w:r w:rsidR="000E6736" w:rsidRPr="003E5020">
        <w:rPr>
          <w:rFonts w:ascii="Times New Roman" w:hAnsi="Times New Roman" w:cs="Times New Roman"/>
          <w:sz w:val="24"/>
          <w:szCs w:val="24"/>
          <w:lang w:val="sr-Cyrl-RS"/>
        </w:rPr>
        <w:t>о националном саставу становништва, одговарајућој заступљености припадника националних мањина и познавању стручне правне терминологије на језику националне мањине, који је у службеној употреби у суд</w:t>
      </w:r>
      <w:bookmarkStart w:id="64" w:name="clan_122"/>
      <w:bookmarkEnd w:id="64"/>
      <w:r w:rsidR="00254741" w:rsidRPr="003E5020">
        <w:rPr>
          <w:rFonts w:ascii="Times New Roman" w:hAnsi="Times New Roman" w:cs="Times New Roman"/>
          <w:sz w:val="24"/>
          <w:szCs w:val="24"/>
          <w:lang w:val="sr-Cyrl-RS"/>
        </w:rPr>
        <w:t>у.</w:t>
      </w:r>
    </w:p>
    <w:p w14:paraId="49369010" w14:textId="77777777" w:rsidR="00072E68" w:rsidRPr="003E5020" w:rsidRDefault="00072E68" w:rsidP="00314237">
      <w:pPr>
        <w:ind w:left="851"/>
        <w:jc w:val="both"/>
        <w:rPr>
          <w:rFonts w:ascii="Times New Roman" w:hAnsi="Times New Roman" w:cs="Times New Roman"/>
          <w:sz w:val="24"/>
          <w:szCs w:val="24"/>
          <w:lang w:val="sr-Cyrl-RS"/>
        </w:rPr>
      </w:pPr>
      <w:bookmarkStart w:id="65" w:name="str_150"/>
      <w:bookmarkStart w:id="66" w:name="clan_123"/>
      <w:bookmarkStart w:id="67" w:name="str_151"/>
      <w:bookmarkStart w:id="68" w:name="clan_124"/>
      <w:bookmarkStart w:id="69" w:name="str_152"/>
      <w:bookmarkStart w:id="70" w:name="clan_125"/>
      <w:bookmarkStart w:id="71" w:name="str_153"/>
      <w:bookmarkStart w:id="72" w:name="clan_126"/>
      <w:bookmarkEnd w:id="65"/>
      <w:bookmarkEnd w:id="66"/>
      <w:bookmarkEnd w:id="67"/>
      <w:bookmarkEnd w:id="68"/>
      <w:bookmarkEnd w:id="69"/>
      <w:bookmarkEnd w:id="70"/>
      <w:bookmarkEnd w:id="71"/>
      <w:bookmarkEnd w:id="72"/>
    </w:p>
    <w:p w14:paraId="74EABDE5" w14:textId="7DD1A4A3" w:rsidR="00314237"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да је у питању државни орган који представља битан део правосудног система, као и саму материју коју закон регулише - вредновање рада, напредовање и дисциплинска одговорност јавних тужилаца и заменика јавних тужилаца, послови правосудне управе и тужилачке управе - веза са Стратегијом и њеним </w:t>
      </w:r>
      <w:hyperlink w:anchor="_ПОСЕБНИ_ЦИЉЕВИ" w:history="1">
        <w:r w:rsidRPr="003E5020">
          <w:rPr>
            <w:rStyle w:val="Hyperlink"/>
            <w:rFonts w:ascii="Times New Roman" w:hAnsi="Times New Roman" w:cs="Times New Roman"/>
            <w:color w:val="auto"/>
            <w:sz w:val="24"/>
            <w:szCs w:val="24"/>
            <w:lang w:val="sr-Cyrl-RS"/>
          </w:rPr>
          <w:t>циљевима</w:t>
        </w:r>
      </w:hyperlink>
      <w:r w:rsidRPr="003E5020">
        <w:rPr>
          <w:rFonts w:ascii="Times New Roman" w:hAnsi="Times New Roman" w:cs="Times New Roman"/>
          <w:sz w:val="24"/>
          <w:szCs w:val="24"/>
          <w:lang w:val="sr-Cyrl-RS"/>
        </w:rPr>
        <w:t xml:space="preserve"> је јасна.</w:t>
      </w:r>
    </w:p>
    <w:p w14:paraId="6EA603BD" w14:textId="2BC7E368" w:rsidR="00B4043D" w:rsidRDefault="00B4043D" w:rsidP="00314237">
      <w:pPr>
        <w:ind w:left="851"/>
        <w:jc w:val="both"/>
        <w:rPr>
          <w:rFonts w:ascii="Times New Roman" w:hAnsi="Times New Roman" w:cs="Times New Roman"/>
          <w:sz w:val="24"/>
          <w:szCs w:val="24"/>
          <w:lang w:val="sr-Cyrl-RS"/>
        </w:rPr>
      </w:pPr>
    </w:p>
    <w:p w14:paraId="2E6BC547" w14:textId="2F9E6B93" w:rsidR="00B4043D" w:rsidRDefault="00B4043D" w:rsidP="00314237">
      <w:pPr>
        <w:ind w:left="851"/>
        <w:jc w:val="both"/>
        <w:rPr>
          <w:rFonts w:ascii="Times New Roman" w:hAnsi="Times New Roman" w:cs="Times New Roman"/>
          <w:sz w:val="24"/>
          <w:szCs w:val="24"/>
          <w:lang w:val="sr-Cyrl-RS"/>
        </w:rPr>
      </w:pPr>
    </w:p>
    <w:p w14:paraId="6B91A4E4" w14:textId="77777777" w:rsidR="00B4043D" w:rsidRPr="003E5020" w:rsidRDefault="00B4043D" w:rsidP="00314237">
      <w:pPr>
        <w:ind w:left="851"/>
        <w:jc w:val="both"/>
        <w:rPr>
          <w:rFonts w:ascii="Times New Roman" w:hAnsi="Times New Roman" w:cs="Times New Roman"/>
          <w:sz w:val="24"/>
          <w:szCs w:val="24"/>
          <w:lang w:val="sr-Cyrl-RS"/>
        </w:rPr>
      </w:pPr>
    </w:p>
    <w:p w14:paraId="6C83FA3E" w14:textId="77777777" w:rsidR="00314237" w:rsidRPr="003E5020" w:rsidRDefault="00314237" w:rsidP="00314237">
      <w:pPr>
        <w:ind w:left="851"/>
        <w:jc w:val="both"/>
        <w:rPr>
          <w:rFonts w:ascii="Times New Roman" w:eastAsiaTheme="majorEastAsia" w:hAnsi="Times New Roman" w:cs="Times New Roman"/>
          <w:iCs/>
          <w:sz w:val="24"/>
          <w:szCs w:val="24"/>
          <w:lang w:val="sr-Cyrl-RS"/>
        </w:rPr>
      </w:pPr>
    </w:p>
    <w:p w14:paraId="1E2406B3"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Закон о Правосудној академији </w:t>
      </w:r>
    </w:p>
    <w:p w14:paraId="6721C356"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154FB0EE"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Законом се оснива Правосудна академија и уређују њен статус, делатност, органи управљања и финансирање, као и почетна и стална обука судија, јавних тужилаца и заменика јавних тужилаца, обука судијских и тужилачких помоћника и приправника и обука судског и тужилачког особља. Циљ оснивања Правосудне академије јесте да допринесе професионалном, независном, непристрасном и ефикасном обављању судијске и тужилачке функције и стручном и ефикасном обављању послова судског и тужилачког особља. Претходно наводи на јасан закључак да је ова институција од изузетне важности за низ питања која Стратегија третира, а која се тичу превасходно обука и стручног и ефикасног обављања послова носилаца правосудних функција и других стручних лица запослених у правосуђу.</w:t>
      </w:r>
    </w:p>
    <w:p w14:paraId="2D436983" w14:textId="77777777" w:rsidR="00314237" w:rsidRPr="003E5020" w:rsidRDefault="00314237" w:rsidP="00314237">
      <w:pPr>
        <w:ind w:left="851"/>
        <w:jc w:val="both"/>
        <w:rPr>
          <w:rFonts w:ascii="Times New Roman" w:eastAsiaTheme="majorEastAsia" w:hAnsi="Times New Roman" w:cs="Times New Roman"/>
          <w:sz w:val="24"/>
          <w:szCs w:val="24"/>
          <w:lang w:val="sr-Cyrl-RS"/>
        </w:rPr>
      </w:pPr>
    </w:p>
    <w:p w14:paraId="0E339245"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Закон о судијама </w:t>
      </w:r>
    </w:p>
    <w:p w14:paraId="6B7F2613"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07E48BE9" w14:textId="79F091E5"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Овим законом се уређују положај судија, утврђују основна начела судијске функције као што су сталност и непреместивост, независност и непристрасност, вредновање рада судија, материјална независност, имунитет, одговорност за штету, право на стручно усавршавање и обуку, као и права из радног односа и дисциплинска одговорност судија. Имајући у виду саму материју коју закон регулише, веза са Стратегијом и њеним </w:t>
      </w:r>
      <w:hyperlink w:anchor="_ПОСЕБНИ_ЦИЉЕВИ" w:history="1">
        <w:r w:rsidRPr="003E5020">
          <w:rPr>
            <w:rStyle w:val="Hyperlink"/>
            <w:rFonts w:ascii="Times New Roman" w:hAnsi="Times New Roman" w:cs="Times New Roman"/>
            <w:color w:val="auto"/>
            <w:sz w:val="24"/>
            <w:szCs w:val="24"/>
            <w:lang w:val="sr-Cyrl-RS"/>
          </w:rPr>
          <w:t>циљевима</w:t>
        </w:r>
      </w:hyperlink>
      <w:r w:rsidRPr="003E5020">
        <w:rPr>
          <w:rFonts w:ascii="Times New Roman" w:hAnsi="Times New Roman" w:cs="Times New Roman"/>
          <w:sz w:val="24"/>
          <w:szCs w:val="24"/>
          <w:lang w:val="sr-Cyrl-RS"/>
        </w:rPr>
        <w:t xml:space="preserve"> је јасна.</w:t>
      </w:r>
    </w:p>
    <w:p w14:paraId="7DEE834E" w14:textId="77777777" w:rsidR="009762DF" w:rsidRPr="003E5020" w:rsidRDefault="009762DF" w:rsidP="00314237">
      <w:pPr>
        <w:ind w:left="851"/>
        <w:jc w:val="both"/>
        <w:rPr>
          <w:rFonts w:ascii="Times New Roman" w:eastAsiaTheme="majorEastAsia" w:hAnsi="Times New Roman" w:cs="Times New Roman"/>
          <w:iCs/>
          <w:sz w:val="24"/>
          <w:szCs w:val="24"/>
          <w:lang w:val="sr-Cyrl-RS"/>
        </w:rPr>
      </w:pPr>
    </w:p>
    <w:p w14:paraId="2E0789C4" w14:textId="35D3F15D"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Закон о </w:t>
      </w:r>
      <w:r w:rsidR="00277346" w:rsidRPr="003E5020">
        <w:rPr>
          <w:rFonts w:ascii="Times New Roman" w:eastAsiaTheme="majorEastAsia" w:hAnsi="Times New Roman" w:cs="Times New Roman"/>
          <w:iCs/>
          <w:sz w:val="24"/>
          <w:szCs w:val="24"/>
          <w:lang w:val="sr-Cyrl-RS"/>
        </w:rPr>
        <w:t>родној равноправности</w:t>
      </w:r>
      <w:r w:rsidRPr="003E5020">
        <w:rPr>
          <w:rFonts w:ascii="Times New Roman" w:eastAsiaTheme="majorEastAsia" w:hAnsi="Times New Roman" w:cs="Times New Roman"/>
          <w:iCs/>
          <w:sz w:val="24"/>
          <w:szCs w:val="24"/>
          <w:lang w:val="sr-Cyrl-RS"/>
        </w:rPr>
        <w:t xml:space="preserve"> </w:t>
      </w:r>
    </w:p>
    <w:p w14:paraId="723CDD85" w14:textId="77777777" w:rsidR="00314237" w:rsidRPr="003E5020" w:rsidRDefault="00314237" w:rsidP="00314237">
      <w:pPr>
        <w:ind w:left="851"/>
        <w:jc w:val="both"/>
        <w:rPr>
          <w:rFonts w:ascii="Times New Roman" w:hAnsi="Times New Roman" w:cs="Times New Roman"/>
          <w:sz w:val="24"/>
          <w:szCs w:val="24"/>
          <w:lang w:val="sr-Cyrl-RS"/>
        </w:rPr>
      </w:pPr>
    </w:p>
    <w:p w14:paraId="265F1B45" w14:textId="77777777" w:rsidR="00FB71B8" w:rsidRPr="003E5020" w:rsidRDefault="00277346" w:rsidP="00AC3C2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Овим законом се уређују појам, значење и мере политике за остваривање и унапређивање родне равноправности, врсте планских аката у области родне равноправности и начин извештавања о њиховој реализацији, институционални оквир за остваривање родне равноправности, надзор над применом закона и друга питања од значаја за остваривање и унапређивање родне равноправности. Законом се уређују обавезе органа јавне власти, послодаваца и других социјалних партнера да интегришу родну перспективу у области у којој делују.</w:t>
      </w:r>
    </w:p>
    <w:p w14:paraId="5ABFB95B" w14:textId="77777777" w:rsidR="00FB71B8" w:rsidRPr="003E5020" w:rsidRDefault="00FB71B8" w:rsidP="00AC3C27">
      <w:pPr>
        <w:ind w:left="851"/>
        <w:jc w:val="both"/>
        <w:rPr>
          <w:rFonts w:ascii="Times New Roman" w:hAnsi="Times New Roman" w:cs="Times New Roman"/>
          <w:sz w:val="24"/>
          <w:szCs w:val="24"/>
          <w:lang w:val="sr-Cyrl-RS"/>
        </w:rPr>
      </w:pPr>
    </w:p>
    <w:p w14:paraId="76EC87DF" w14:textId="2289771C" w:rsidR="00FB71B8" w:rsidRPr="003E5020" w:rsidRDefault="00AC3C27" w:rsidP="00FB71B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Забрањена је непосредна и посредна дискриминација на </w:t>
      </w:r>
      <w:r w:rsidR="00372591" w:rsidRPr="003E5020">
        <w:rPr>
          <w:rFonts w:ascii="Times New Roman" w:hAnsi="Times New Roman" w:cs="Times New Roman"/>
          <w:sz w:val="24"/>
          <w:szCs w:val="24"/>
          <w:lang w:val="sr-Cyrl-RS"/>
        </w:rPr>
        <w:t xml:space="preserve">основу пола, полних карактеристика, односно рода, </w:t>
      </w:r>
      <w:r w:rsidRPr="003E5020">
        <w:rPr>
          <w:rFonts w:ascii="Times New Roman" w:hAnsi="Times New Roman" w:cs="Times New Roman"/>
          <w:sz w:val="24"/>
          <w:szCs w:val="24"/>
          <w:lang w:val="sr-Cyrl-RS"/>
        </w:rPr>
        <w:t>као и</w:t>
      </w:r>
      <w:r w:rsidR="00372591" w:rsidRPr="003E5020">
        <w:rPr>
          <w:rFonts w:ascii="Times New Roman" w:hAnsi="Times New Roman" w:cs="Times New Roman"/>
          <w:sz w:val="24"/>
          <w:szCs w:val="24"/>
          <w:lang w:val="sr-Cyrl-RS"/>
        </w:rPr>
        <w:t xml:space="preserve"> свако неоправдано разликовање, неједнако поступање, односно пропуштање (искључивање, ограничавање или давање првенства), на отворен или прикривен начин, у односу на лица или групе лица, као и чланове њихових породица или њима блиска лица, засновано на полу, полним карактеристикама, односно роду у</w:t>
      </w:r>
      <w:r w:rsidRPr="003E5020">
        <w:rPr>
          <w:rFonts w:ascii="Times New Roman" w:hAnsi="Times New Roman" w:cs="Times New Roman"/>
          <w:sz w:val="24"/>
          <w:szCs w:val="24"/>
          <w:lang w:val="sr-Cyrl-RS"/>
        </w:rPr>
        <w:t>, између осталог,</w:t>
      </w:r>
      <w:r w:rsidR="00372591" w:rsidRPr="003E5020">
        <w:rPr>
          <w:rFonts w:ascii="Times New Roman" w:hAnsi="Times New Roman" w:cs="Times New Roman"/>
          <w:sz w:val="24"/>
          <w:szCs w:val="24"/>
          <w:lang w:val="sr-Cyrl-RS"/>
        </w:rPr>
        <w:t xml:space="preserve"> области запошљавања, занимања и рада</w:t>
      </w:r>
      <w:r w:rsidRPr="003E5020">
        <w:rPr>
          <w:rFonts w:ascii="Times New Roman" w:hAnsi="Times New Roman" w:cs="Times New Roman"/>
          <w:sz w:val="24"/>
          <w:szCs w:val="24"/>
          <w:lang w:val="sr-Cyrl-RS"/>
        </w:rPr>
        <w:t xml:space="preserve">, као </w:t>
      </w:r>
      <w:r w:rsidR="00372591" w:rsidRPr="003E5020">
        <w:rPr>
          <w:rFonts w:ascii="Times New Roman" w:hAnsi="Times New Roman" w:cs="Times New Roman"/>
          <w:sz w:val="24"/>
          <w:szCs w:val="24"/>
          <w:lang w:val="sr-Cyrl-RS"/>
        </w:rPr>
        <w:t>и другим областима друштвеног живота</w:t>
      </w:r>
      <w:r w:rsidR="00FB71B8" w:rsidRPr="003E5020">
        <w:rPr>
          <w:rStyle w:val="FootnoteReference"/>
          <w:rFonts w:ascii="Times New Roman" w:hAnsi="Times New Roman" w:cs="Times New Roman"/>
          <w:sz w:val="24"/>
          <w:szCs w:val="24"/>
          <w:lang w:val="sr-Cyrl-RS"/>
        </w:rPr>
        <w:footnoteReference w:id="24"/>
      </w:r>
      <w:r w:rsidR="00372591" w:rsidRPr="003E5020">
        <w:rPr>
          <w:rFonts w:ascii="Times New Roman" w:hAnsi="Times New Roman" w:cs="Times New Roman"/>
          <w:sz w:val="24"/>
          <w:szCs w:val="24"/>
          <w:lang w:val="sr-Cyrl-RS"/>
        </w:rPr>
        <w:t>.</w:t>
      </w:r>
    </w:p>
    <w:p w14:paraId="150746D2" w14:textId="77777777" w:rsidR="00FB71B8" w:rsidRPr="003E5020" w:rsidRDefault="00FB71B8" w:rsidP="00FB71B8">
      <w:pPr>
        <w:ind w:left="851"/>
        <w:jc w:val="both"/>
        <w:rPr>
          <w:rFonts w:ascii="Times New Roman" w:hAnsi="Times New Roman" w:cs="Times New Roman"/>
          <w:sz w:val="24"/>
          <w:szCs w:val="24"/>
          <w:lang w:val="sr-Cyrl-RS"/>
        </w:rPr>
      </w:pPr>
    </w:p>
    <w:p w14:paraId="50700E0A" w14:textId="77777777" w:rsidR="009A3AD5" w:rsidRPr="003E5020" w:rsidRDefault="00FB71B8" w:rsidP="009A3AD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Ради праћења и остваривања родне равноправности и извештавања о томе, органи јавне власти и послодавци</w:t>
      </w:r>
      <w:r w:rsidR="00E0598A" w:rsidRPr="003E5020">
        <w:rPr>
          <w:rFonts w:ascii="Times New Roman" w:hAnsi="Times New Roman" w:cs="Times New Roman"/>
          <w:sz w:val="24"/>
          <w:szCs w:val="24"/>
          <w:lang w:val="sr-Cyrl-RS"/>
        </w:rPr>
        <w:t xml:space="preserve"> (јавни и приватни)</w:t>
      </w:r>
      <w:r w:rsidRPr="003E5020">
        <w:rPr>
          <w:rFonts w:ascii="Times New Roman" w:hAnsi="Times New Roman" w:cs="Times New Roman"/>
          <w:sz w:val="24"/>
          <w:szCs w:val="24"/>
          <w:lang w:val="sr-Cyrl-RS"/>
        </w:rPr>
        <w:t>, дужни су да евидентирају податке разврстане по полу. Органи јавне власти и послодавци евидентирају податке о</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а</w:t>
      </w:r>
      <w:r w:rsidRPr="003E5020">
        <w:rPr>
          <w:rFonts w:ascii="Times New Roman" w:hAnsi="Times New Roman" w:cs="Times New Roman"/>
          <w:sz w:val="24"/>
          <w:szCs w:val="24"/>
          <w:lang w:val="sr-Cyrl-RS"/>
        </w:rPr>
        <w:t>) укупном броју запослених и радно ангажованих лица;</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б</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w:t>
      </w:r>
      <w:r w:rsidR="00E0598A" w:rsidRPr="003E5020">
        <w:rPr>
          <w:rFonts w:ascii="Times New Roman" w:hAnsi="Times New Roman" w:cs="Times New Roman"/>
          <w:sz w:val="24"/>
          <w:szCs w:val="24"/>
          <w:lang w:val="sr-Cyrl-RS"/>
        </w:rPr>
        <w:t>б</w:t>
      </w:r>
      <w:r w:rsidRPr="003E5020">
        <w:rPr>
          <w:rFonts w:ascii="Times New Roman" w:hAnsi="Times New Roman" w:cs="Times New Roman"/>
          <w:sz w:val="24"/>
          <w:szCs w:val="24"/>
          <w:lang w:val="sr-Cyrl-RS"/>
        </w:rPr>
        <w:t>роју и проценту запослених и радно ангажованих жена, броју и проценту запослених и радно ангажованих мушкараца у односу на укупан број и проценат запослених, разврстаних по полу и старосној доби запослених и радно ангажованих лица;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в</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квалификацијама које поседују запослена и радно ангажована лица, разврстана по полу;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г</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запослених и радно ангажованих лица на извршилачким радним местима и на положајима, разврстаних по полу;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д</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платама, и другим накнадама запослених и радно ангажованих лица, исказаних у просечном номиналном износу и разврстаних по полу у категоријама за извршилачка радна места и за положаје;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ђ</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запослених и радно ангажованих лица, разврстаних по полу и старосној доби, која су у претходне две године више запошљавана и броју и проценту запослених и радно ангажованих лица по полу и старосној доби која су добијала отказ, односно која су отпуштена, као и разлоге за то;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е</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разлозима због којих су на поједина радна места запошљавани, односно распоређивани у већем броју припадници одређеног пола;</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ж</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разлозима због којих су на поједине положаје постављани, односно именовани у већем броју припадници одређеног пола;</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з</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броју и проценту кандидата пријављених на конкурсе за попуњавање положаја или извршилачких радних места у органима јавне власти, односно за заснивање радног односа код послодавца или ради другог вида радног ангажовања, разврстаних по полу и по квалификацијама;</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и</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броју примљених пријава запослених и радно ангажованих лица, разврстаних по полу и старосној доби, о њиховој изложености узнемиравању, сексуалном узнемиравању или уцењивању или неком другом поступању које има за последицу дискриминацију на основу пола, односно рода;</w:t>
      </w:r>
      <w:r w:rsidR="00E0598A" w:rsidRPr="003E5020">
        <w:rPr>
          <w:rFonts w:ascii="Times New Roman" w:hAnsi="Times New Roman" w:cs="Times New Roman"/>
          <w:sz w:val="24"/>
          <w:szCs w:val="24"/>
          <w:lang w:val="sr-Cyrl-RS"/>
        </w:rPr>
        <w:t xml:space="preserve"> (</w:t>
      </w:r>
      <w:r w:rsidR="00E0598A" w:rsidRPr="003E5020">
        <w:rPr>
          <w:rFonts w:ascii="Times New Roman" w:hAnsi="Times New Roman" w:cs="Times New Roman"/>
          <w:b/>
          <w:bCs/>
          <w:sz w:val="24"/>
          <w:szCs w:val="24"/>
          <w:lang w:val="sr-Cyrl-RS"/>
        </w:rPr>
        <w:t>ј</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начину поступања послодавца или одговорног лица у органима јавне власти по поднетим пријавама;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к</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броју судских спорова који су вођени у вези са дискриминацијом на основу пола, односно рода, као и броју судских спорова који су окончани у корист запосленог и о начину поступања послодавца или одговорног лица у органима јавне власти по тим судским одлукама;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л</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запослених и радно ангажованих лица, разврстаних по полу, укључених у програме стручног усавршавања и додатног образовања, као и стручног оспособљавања приправника, на годишњем нивоу;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њ</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запослених лица у органима управљања и надзора, комисијама и другим телима код органа јавне власти и послодавца, разврстаних по полу, квалификацијама и старосној доби;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о</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тражилаца и корисника бесплатне правне помоћи разврстаних по полу;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п</w:t>
      </w:r>
      <w:r w:rsidR="00E0598A"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броју и проценту пријављених случајева насиља заснованог на полу, односно роду, разврстаних по облику насиља, полу жртве насиља и полу извршиоца насиља и међусобном односу жртве и извршиоца насиља; </w:t>
      </w:r>
      <w:r w:rsidR="00E0598A" w:rsidRPr="003E5020">
        <w:rPr>
          <w:rFonts w:ascii="Times New Roman" w:hAnsi="Times New Roman" w:cs="Times New Roman"/>
          <w:sz w:val="24"/>
          <w:szCs w:val="24"/>
          <w:lang w:val="sr-Cyrl-RS"/>
        </w:rPr>
        <w:t>(</w:t>
      </w:r>
      <w:r w:rsidR="00E0598A" w:rsidRPr="003E5020">
        <w:rPr>
          <w:rFonts w:ascii="Times New Roman" w:hAnsi="Times New Roman" w:cs="Times New Roman"/>
          <w:b/>
          <w:bCs/>
          <w:sz w:val="24"/>
          <w:szCs w:val="24"/>
          <w:lang w:val="sr-Cyrl-RS"/>
        </w:rPr>
        <w:t>р</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број и проценат лица која су извршила насиље у породици разврстаних према полу и међусобном односу извршиоца насиља и жртве насиља; </w:t>
      </w:r>
      <w:r w:rsidR="00E0598A" w:rsidRPr="003E5020">
        <w:rPr>
          <w:rFonts w:ascii="Times New Roman" w:hAnsi="Times New Roman" w:cs="Times New Roman"/>
          <w:sz w:val="24"/>
          <w:szCs w:val="24"/>
          <w:lang w:val="sr-Cyrl-RS"/>
        </w:rPr>
        <w:t>као и (</w:t>
      </w:r>
      <w:r w:rsidR="00E0598A" w:rsidRPr="003E5020">
        <w:rPr>
          <w:rFonts w:ascii="Times New Roman" w:hAnsi="Times New Roman" w:cs="Times New Roman"/>
          <w:b/>
          <w:bCs/>
          <w:sz w:val="24"/>
          <w:szCs w:val="24"/>
          <w:lang w:val="sr-Cyrl-RS"/>
        </w:rPr>
        <w:t>с</w:t>
      </w:r>
      <w:r w:rsidR="00E0598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броју и проценту пресуда за насиље према женама и насиље у породици, разврстаних по полу жртве насиља и по полу извршиоца насиља.</w:t>
      </w:r>
    </w:p>
    <w:p w14:paraId="644C8D18" w14:textId="77777777" w:rsidR="009A3AD5" w:rsidRPr="003E5020" w:rsidRDefault="009A3AD5" w:rsidP="009A3AD5">
      <w:pPr>
        <w:ind w:left="851"/>
        <w:jc w:val="both"/>
        <w:rPr>
          <w:rFonts w:ascii="Times New Roman" w:hAnsi="Times New Roman" w:cs="Times New Roman"/>
          <w:sz w:val="24"/>
          <w:szCs w:val="24"/>
          <w:lang w:val="sr-Cyrl-RS"/>
        </w:rPr>
      </w:pPr>
    </w:p>
    <w:p w14:paraId="240B35CC" w14:textId="2D86E18A" w:rsidR="00314237" w:rsidRPr="003E5020" w:rsidRDefault="009A3AD5"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Органи јавне власти и послодавци дужни су да сачињавају годишње извештаје о остваривању родне равноправности, који садрже оцену стања у погледу остварене родне равноправности у органу јавне власти, односно код послодавца, укључујући и разлоге због којих није остварена прописана равноправна заступљеност жена и мушкараца у саставу органа јавне власти, односно послодавца.</w:t>
      </w:r>
      <w:r w:rsidR="004809D6" w:rsidRPr="003E5020">
        <w:rPr>
          <w:rFonts w:ascii="Times New Roman" w:hAnsi="Times New Roman" w:cs="Times New Roman"/>
          <w:sz w:val="24"/>
          <w:szCs w:val="24"/>
          <w:lang w:val="sr-Cyrl-RS"/>
        </w:rPr>
        <w:t xml:space="preserve"> </w:t>
      </w:r>
      <w:r w:rsidR="00314237" w:rsidRPr="003E5020">
        <w:rPr>
          <w:rFonts w:ascii="Times New Roman" w:hAnsi="Times New Roman" w:cs="Times New Roman"/>
          <w:sz w:val="24"/>
          <w:szCs w:val="24"/>
          <w:lang w:val="sr-Cyrl-RS"/>
        </w:rPr>
        <w:t>Јасно је да је реч о питањима којима област управљања људским ресурсима мора да се бави, па су, следствено томе, то и једно од питања којима се бави ова Стратегија</w:t>
      </w:r>
      <w:r w:rsidR="00314237" w:rsidRPr="003E5020">
        <w:rPr>
          <w:rStyle w:val="FootnoteReference"/>
          <w:rFonts w:ascii="Times New Roman" w:hAnsi="Times New Roman" w:cs="Times New Roman"/>
          <w:sz w:val="24"/>
          <w:szCs w:val="24"/>
          <w:lang w:val="sr-Cyrl-RS"/>
        </w:rPr>
        <w:footnoteReference w:id="25"/>
      </w:r>
      <w:r w:rsidR="00314237" w:rsidRPr="003E5020">
        <w:rPr>
          <w:rFonts w:ascii="Times New Roman" w:hAnsi="Times New Roman" w:cs="Times New Roman"/>
          <w:sz w:val="24"/>
          <w:szCs w:val="24"/>
          <w:lang w:val="sr-Cyrl-RS"/>
        </w:rPr>
        <w:t xml:space="preserve">. </w:t>
      </w:r>
    </w:p>
    <w:p w14:paraId="5D1B9DF6" w14:textId="250D13E1" w:rsidR="00314237" w:rsidRPr="003E5020" w:rsidRDefault="00314237" w:rsidP="00314237">
      <w:pPr>
        <w:ind w:left="851"/>
        <w:jc w:val="both"/>
        <w:rPr>
          <w:rFonts w:ascii="Times New Roman" w:eastAsiaTheme="majorEastAsia" w:hAnsi="Times New Roman" w:cs="Times New Roman"/>
          <w:i/>
          <w:sz w:val="24"/>
          <w:szCs w:val="24"/>
          <w:lang w:val="sr-Cyrl-RS"/>
        </w:rPr>
      </w:pPr>
    </w:p>
    <w:p w14:paraId="0787D1D1"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државним службеницима</w:t>
      </w:r>
    </w:p>
    <w:p w14:paraId="0089048A"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237FCBCC" w14:textId="77777777" w:rsidR="00314237" w:rsidRPr="003E5020" w:rsidRDefault="00314237" w:rsidP="00314237">
      <w:pPr>
        <w:ind w:left="851"/>
        <w:jc w:val="both"/>
        <w:rPr>
          <w:rFonts w:ascii="Times New Roman" w:hAnsi="Times New Roman" w:cs="Times New Roman"/>
          <w:sz w:val="24"/>
          <w:szCs w:val="24"/>
          <w:lang w:val="sr-Cyrl-RS"/>
        </w:rPr>
      </w:pPr>
      <w:bookmarkStart w:id="73" w:name="str_3"/>
      <w:bookmarkStart w:id="74" w:name="clan_2"/>
      <w:bookmarkEnd w:id="73"/>
      <w:bookmarkEnd w:id="74"/>
      <w:r w:rsidRPr="003E5020">
        <w:rPr>
          <w:rFonts w:ascii="Times New Roman" w:hAnsi="Times New Roman" w:cs="Times New Roman"/>
          <w:sz w:val="24"/>
          <w:szCs w:val="24"/>
          <w:lang w:val="sr-Cyrl-RS"/>
        </w:rPr>
        <w:t xml:space="preserve">Закон дефинише појам </w:t>
      </w:r>
      <w:r w:rsidRPr="003E5020">
        <w:rPr>
          <w:rFonts w:ascii="Times New Roman" w:hAnsi="Times New Roman" w:cs="Times New Roman"/>
          <w:i/>
          <w:sz w:val="24"/>
          <w:szCs w:val="24"/>
          <w:lang w:val="sr-Cyrl-RS"/>
        </w:rPr>
        <w:t>државног службеника</w:t>
      </w:r>
      <w:r w:rsidRPr="003E5020">
        <w:rPr>
          <w:rFonts w:ascii="Times New Roman" w:hAnsi="Times New Roman" w:cs="Times New Roman"/>
          <w:sz w:val="24"/>
          <w:szCs w:val="24"/>
          <w:lang w:val="sr-Cyrl-RS"/>
        </w:rPr>
        <w:t xml:space="preserve"> као лице чије се радно место састоји од послова из делокруга, између осталог, и судова и јавних тужилаштава или с њима повезаних општих правних, информатичких, материјално-финансијских, рачуноводствених и административних послова. Државни службеници нису судије, јавни тужиоци, заменици јавних тужилаца и друга лица која на функцију бира Народна скупштина. </w:t>
      </w:r>
    </w:p>
    <w:p w14:paraId="78BA0449" w14:textId="77777777" w:rsidR="00314237" w:rsidRPr="003E5020" w:rsidRDefault="00314237" w:rsidP="00314237">
      <w:pPr>
        <w:ind w:left="851"/>
        <w:jc w:val="both"/>
        <w:rPr>
          <w:rFonts w:ascii="Times New Roman" w:hAnsi="Times New Roman" w:cs="Times New Roman"/>
          <w:sz w:val="24"/>
          <w:szCs w:val="24"/>
          <w:lang w:val="sr-Cyrl-RS"/>
        </w:rPr>
      </w:pPr>
    </w:p>
    <w:p w14:paraId="13434C30"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складу са законом, </w:t>
      </w:r>
      <w:r w:rsidRPr="003E5020">
        <w:rPr>
          <w:rFonts w:ascii="Times New Roman" w:hAnsi="Times New Roman" w:cs="Times New Roman"/>
          <w:i/>
          <w:sz w:val="24"/>
          <w:szCs w:val="24"/>
          <w:lang w:val="sr-Cyrl-RS"/>
        </w:rPr>
        <w:t>намештеник</w:t>
      </w:r>
      <w:r w:rsidRPr="003E5020">
        <w:rPr>
          <w:rFonts w:ascii="Times New Roman" w:hAnsi="Times New Roman" w:cs="Times New Roman"/>
          <w:sz w:val="24"/>
          <w:szCs w:val="24"/>
          <w:lang w:val="sr-Cyrl-RS"/>
        </w:rPr>
        <w:t xml:space="preserve"> је лице чије се радно место састоји од пратећих помоћно-техничких послова у суду, односно тужилаштву.</w:t>
      </w:r>
    </w:p>
    <w:p w14:paraId="17CE7946" w14:textId="77777777" w:rsidR="00314237" w:rsidRPr="003E5020" w:rsidRDefault="00314237" w:rsidP="00314237">
      <w:pPr>
        <w:ind w:left="851"/>
        <w:jc w:val="both"/>
        <w:rPr>
          <w:rFonts w:ascii="Times New Roman" w:hAnsi="Times New Roman" w:cs="Times New Roman"/>
          <w:sz w:val="24"/>
          <w:szCs w:val="24"/>
          <w:lang w:val="sr-Cyrl-RS"/>
        </w:rPr>
      </w:pPr>
    </w:p>
    <w:p w14:paraId="670F2FDE"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Закон је, дакле, значајан и у директној вези са питањима којима се Стратегија бави, јер регулише правни положај свих лица која раде, односно запослена су у правосуђу (судовима и тужилаштвима), а која немају статус носилаца правосудних функција (судија, тужилаца и њихових заменика) и за које је директно надлежна Влада посредством Министарства правде. За наведена лица, закон прописује, између осталог и обавезу поступања у складу са Уставом и законом, према правилима струке, непристрасно и политички неутрално. Такође, закон прописује да се процеси управљања кадровима у судовима и тужилаштвима заснивају на компетенцијама потребним за делотворно обављање послова у наведеним органима, те да компетенције, у смислу предметног закона, представљају скуп знања, вештина, особина, ставова и способности које државни службеник поседује, а који обликују његово понашање и воде постизању очекиване радне успешности на радном месту. Даље, законом је забрањено  повлашћивање или ускраћивање државног службеника у његовим правима или дужностима, посебно због расне, верске, полне, националне или политичке припадности или због неког другог личног својства. Информације о раду државних службеника доступне су јавности, према закону којим се уређује слободан приступ информацијама од јавног значаја. При запошљавању у суд или тужилаштво кандидатима су под једнаким условима доступна сва радна места, а избор кандидата се врши на основу провере компетенција. При запошљавању у суд или тужилаштво,  води се рачуна о томе да национални састав, заступљеност полова и број особа са инвалидитетом одслика у највећој могућој мери структуру становништва. Када је о каријерном напредовању реч, закон прописује да напредовање државног службеника зависи од радне успешности и потреба суда, односно тужилаштва у коме је запослен, те да државни службеник има право и дужност да се стручно усавршава према потребама државног органа. Сви државни службеници су једнаки кад се одлучује о напредовању и награђивању и остваривању њихове правне заштите.</w:t>
      </w:r>
    </w:p>
    <w:p w14:paraId="4CAC55C1"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0A629B7E"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платама у државним органима и јавним службама</w:t>
      </w:r>
    </w:p>
    <w:p w14:paraId="03F3E41A"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3E827D2E" w14:textId="77777777" w:rsidR="00314237" w:rsidRPr="003E5020" w:rsidRDefault="00314237" w:rsidP="00314237">
      <w:pPr>
        <w:ind w:left="851"/>
        <w:jc w:val="both"/>
        <w:rPr>
          <w:rFonts w:ascii="Times New Roman" w:hAnsi="Times New Roman" w:cs="Times New Roman"/>
          <w:sz w:val="24"/>
          <w:szCs w:val="24"/>
          <w:lang w:val="sr-Cyrl-RS"/>
        </w:rPr>
      </w:pPr>
      <w:bookmarkStart w:id="75" w:name="clan_5"/>
      <w:bookmarkStart w:id="76" w:name="str_8"/>
      <w:bookmarkStart w:id="77" w:name="clan_5a"/>
      <w:bookmarkStart w:id="78" w:name="str_9"/>
      <w:bookmarkStart w:id="79" w:name="clan_6"/>
      <w:bookmarkStart w:id="80" w:name="str_10"/>
      <w:bookmarkStart w:id="81" w:name="clan_7"/>
      <w:bookmarkStart w:id="82" w:name="str_11"/>
      <w:bookmarkStart w:id="83" w:name="clan_8"/>
      <w:bookmarkStart w:id="84" w:name="str_12"/>
      <w:bookmarkStart w:id="85" w:name="clan_9"/>
      <w:bookmarkStart w:id="86" w:name="str_13"/>
      <w:bookmarkStart w:id="87" w:name="clan_10"/>
      <w:bookmarkStart w:id="88" w:name="str_14"/>
      <w:bookmarkStart w:id="89" w:name="clan_1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3E5020">
        <w:rPr>
          <w:rFonts w:ascii="Times New Roman" w:hAnsi="Times New Roman" w:cs="Times New Roman"/>
          <w:sz w:val="24"/>
          <w:szCs w:val="24"/>
          <w:lang w:val="sr-Cyrl-RS"/>
        </w:rPr>
        <w:t>Предметни закон је у директној вези са Законом о државним службеницима, и уређује начин утврђивања плата, додатака, накнада и осталих примања лица која су запослена у судовима и јавним тужилаштвима, при чему основицу за обрачун и исплату плата утврђује Влада Републике Србије. Како запослени у судовима и тужилаштвима представљају значајан део укупних људских ресурса у правосуђу, веза са Стратегијом и њеним циљевима је више него очигледна.</w:t>
      </w:r>
    </w:p>
    <w:p w14:paraId="2F092F58" w14:textId="44B080A7" w:rsidR="00314237" w:rsidRDefault="00314237" w:rsidP="00314237">
      <w:pPr>
        <w:ind w:left="851"/>
        <w:jc w:val="both"/>
        <w:rPr>
          <w:rFonts w:ascii="Times New Roman" w:eastAsia="Times New Roman" w:hAnsi="Times New Roman" w:cs="Times New Roman"/>
          <w:sz w:val="24"/>
          <w:szCs w:val="24"/>
          <w:lang w:val="sr-Cyrl-RS"/>
        </w:rPr>
      </w:pPr>
    </w:p>
    <w:p w14:paraId="42445A70" w14:textId="77777777" w:rsidR="00B4043D" w:rsidRPr="003E5020" w:rsidRDefault="00B4043D" w:rsidP="00314237">
      <w:pPr>
        <w:ind w:left="851"/>
        <w:jc w:val="both"/>
        <w:rPr>
          <w:rFonts w:ascii="Times New Roman" w:eastAsia="Times New Roman" w:hAnsi="Times New Roman" w:cs="Times New Roman"/>
          <w:sz w:val="24"/>
          <w:szCs w:val="24"/>
          <w:lang w:val="sr-Cyrl-RS"/>
        </w:rPr>
      </w:pPr>
    </w:p>
    <w:p w14:paraId="0E6A1073"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Националној академији за јавну управу</w:t>
      </w:r>
    </w:p>
    <w:p w14:paraId="1605B836" w14:textId="77777777" w:rsidR="00314237" w:rsidRPr="003E5020" w:rsidRDefault="00314237" w:rsidP="00314237">
      <w:pPr>
        <w:ind w:left="851"/>
        <w:jc w:val="both"/>
        <w:rPr>
          <w:rFonts w:ascii="Times New Roman" w:eastAsiaTheme="majorEastAsia" w:hAnsi="Times New Roman" w:cs="Times New Roman"/>
          <w:i/>
          <w:sz w:val="24"/>
          <w:szCs w:val="24"/>
          <w:lang w:val="sr-Cyrl-RS"/>
        </w:rPr>
      </w:pPr>
    </w:p>
    <w:p w14:paraId="7478BE70"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Законом се оснива Национална академија за јавну управу и уређују њен статус, делатност, органи управљања и финансирање. Национална академија, између осталог, обавља стручне и с њима повезане извршне и друге послове државне управе који се односе на: системско прикупљање и обраду података у вези са унапређењем рада и стручних капацитета јавне управе и података који су од значаја за развој, припрему, спровођење, верификацију и вредновање програма стручног усавршавања и вођење одговарајуће документационо информационе базе; креирање и развој методологије и стандардних инструмената за припрему и спровођење програма стручног усавршавања;  акредитацију програма стручног усавршавања у јавној управи; акредитацију спроводилаца обука у јавној управи; припрему, спровођење и развој општих програма стручног усавршавања и програма обуке руководилаца; пружање стручне помоћи и координацију остваривања послова у вези са припремом и спровођењем посебних програма стручног усавршавања носиоцима обавезе припреме и спровођења тих програма; припрему и спровођење програма обуке предавача, ментора, коуча и других реализатора програма стручног усавршавања, као и на њихову селекцију и акредитацију; праћење ефеката спровођења програма стручног усавршавања и развоја;  сарадњу са службом, односно телом надлежним за послове управљања кадровима, односно стручно усавршавање запослених у аутономним покрајинама и јединицама локалне самоуправе; истраживачко аналитичке послове и сарадњу са научним организацијама; старање о чувању материјала припремљених у оквиру програма стручног усавршавања (депозит), организовање и чување библиотечко-информационе грађе и медијатеке, литературе, предавања, дидактичких материјала, презентација и других релевантних докумената који настану у току остваривања стручног усавршавања.</w:t>
      </w:r>
    </w:p>
    <w:p w14:paraId="572ED230" w14:textId="77777777" w:rsidR="00314237" w:rsidRPr="003E5020" w:rsidRDefault="00314237" w:rsidP="00314237">
      <w:pPr>
        <w:ind w:left="851"/>
        <w:jc w:val="both"/>
        <w:rPr>
          <w:rFonts w:ascii="Times New Roman" w:hAnsi="Times New Roman" w:cs="Times New Roman"/>
          <w:sz w:val="24"/>
          <w:szCs w:val="24"/>
          <w:lang w:val="sr-Cyrl-RS"/>
        </w:rPr>
      </w:pPr>
    </w:p>
    <w:p w14:paraId="3A424CE3"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сврху и делокруг рада Националне академије за јавну управу, предметна институција је од изузетне важности за низ питања која Стратегија третира, а која се тичу превасходно обука и стручног и ефикасног обављања послова запослених лица и намештеника у правосуђу.</w:t>
      </w:r>
    </w:p>
    <w:p w14:paraId="1C8C64F4" w14:textId="77777777" w:rsidR="00314237" w:rsidRPr="003E5020" w:rsidRDefault="00314237" w:rsidP="00314237">
      <w:pPr>
        <w:ind w:left="851"/>
        <w:jc w:val="both"/>
        <w:rPr>
          <w:rFonts w:ascii="Times New Roman" w:hAnsi="Times New Roman" w:cs="Times New Roman"/>
          <w:sz w:val="24"/>
          <w:szCs w:val="24"/>
          <w:lang w:val="sr-Cyrl-RS"/>
        </w:rPr>
      </w:pPr>
    </w:p>
    <w:p w14:paraId="510998DD"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Закон о раду</w:t>
      </w:r>
    </w:p>
    <w:p w14:paraId="783A4746" w14:textId="77777777" w:rsidR="00314237" w:rsidRPr="003E5020" w:rsidRDefault="00314237" w:rsidP="00314237">
      <w:pPr>
        <w:ind w:left="851"/>
        <w:jc w:val="both"/>
        <w:rPr>
          <w:rFonts w:ascii="Times New Roman" w:hAnsi="Times New Roman" w:cs="Times New Roman"/>
          <w:sz w:val="24"/>
          <w:szCs w:val="24"/>
          <w:lang w:val="sr-Cyrl-RS"/>
        </w:rPr>
      </w:pPr>
    </w:p>
    <w:p w14:paraId="6ECD4555"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питању је системски закон који се, између осталог, примењује и на запослене у </w:t>
      </w:r>
      <w:r w:rsidRPr="003E5020">
        <w:rPr>
          <w:rFonts w:ascii="Times New Roman" w:hAnsi="Times New Roman" w:cs="Times New Roman"/>
          <w:b/>
          <w:sz w:val="24"/>
          <w:szCs w:val="24"/>
          <w:lang w:val="sr-Cyrl-RS"/>
        </w:rPr>
        <w:t>државним органима</w:t>
      </w:r>
      <w:r w:rsidRPr="003E5020">
        <w:rPr>
          <w:rFonts w:ascii="Times New Roman" w:hAnsi="Times New Roman" w:cs="Times New Roman"/>
          <w:sz w:val="24"/>
          <w:szCs w:val="24"/>
          <w:lang w:val="sr-Cyrl-RS"/>
        </w:rPr>
        <w:t xml:space="preserve">, органима територијалне аутономије и локалне самоуправе и јавним службама, ако законом није друкчије одређено. </w:t>
      </w:r>
    </w:p>
    <w:p w14:paraId="53E9C64A" w14:textId="77777777" w:rsidR="00314237" w:rsidRPr="003E5020" w:rsidRDefault="00314237" w:rsidP="00314237">
      <w:pPr>
        <w:ind w:left="851"/>
        <w:jc w:val="both"/>
        <w:rPr>
          <w:rFonts w:ascii="Times New Roman" w:hAnsi="Times New Roman" w:cs="Times New Roman"/>
          <w:sz w:val="24"/>
          <w:szCs w:val="24"/>
          <w:lang w:val="sr-Cyrl-RS"/>
        </w:rPr>
      </w:pPr>
    </w:p>
    <w:p w14:paraId="4A68DAD3"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Етички кодекс</w:t>
      </w:r>
    </w:p>
    <w:p w14:paraId="339FB79B" w14:textId="77777777" w:rsidR="00314237" w:rsidRPr="003E5020" w:rsidRDefault="00314237" w:rsidP="00314237">
      <w:pPr>
        <w:ind w:left="851"/>
        <w:jc w:val="both"/>
        <w:rPr>
          <w:rFonts w:ascii="Times New Roman" w:eastAsiaTheme="majorEastAsia" w:hAnsi="Times New Roman" w:cs="Times New Roman"/>
          <w:sz w:val="24"/>
          <w:szCs w:val="24"/>
          <w:lang w:val="sr-Cyrl-RS"/>
        </w:rPr>
      </w:pPr>
    </w:p>
    <w:p w14:paraId="11537ED1"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Етичким кодексом се утврђују етички принципи и правила понашања судија којих се морају придржавати у циљу очувања и унапређења достојанства и угледа судије и судства. Њиме се утврђују и разрађују законом утврђени принципи, као што су независност, непристрасност, стручност и одговорност, достојанственост, посвећеност и слобода удруживања. Питање етичког кодекса, стандарда у правосуђу и дисциплине у правосуђу је дефинисано кроз посебан </w:t>
      </w:r>
      <w:hyperlink w:anchor="_Циљ_4._–" w:history="1">
        <w:r w:rsidRPr="003E5020">
          <w:rPr>
            <w:rStyle w:val="Hyperlink"/>
            <w:rFonts w:ascii="Times New Roman" w:hAnsi="Times New Roman" w:cs="Times New Roman"/>
            <w:color w:val="auto"/>
            <w:sz w:val="24"/>
            <w:szCs w:val="24"/>
            <w:lang w:val="sr-Cyrl-RS"/>
          </w:rPr>
          <w:t>циљ 4</w:t>
        </w:r>
      </w:hyperlink>
      <w:r w:rsidRPr="003E5020">
        <w:rPr>
          <w:rFonts w:ascii="Times New Roman" w:hAnsi="Times New Roman" w:cs="Times New Roman"/>
          <w:sz w:val="24"/>
          <w:szCs w:val="24"/>
          <w:lang w:val="sr-Cyrl-RS"/>
        </w:rPr>
        <w:t xml:space="preserve"> ове Стратегије.</w:t>
      </w:r>
      <w:r w:rsidRPr="003E5020">
        <w:rPr>
          <w:rFonts w:ascii="Times New Roman" w:eastAsiaTheme="majorEastAsia" w:hAnsi="Times New Roman" w:cs="Times New Roman"/>
          <w:sz w:val="24"/>
          <w:szCs w:val="24"/>
          <w:lang w:val="sr-Cyrl-RS"/>
        </w:rPr>
        <w:t xml:space="preserve"> </w:t>
      </w:r>
    </w:p>
    <w:p w14:paraId="4B34D2AB" w14:textId="6F6E8F98" w:rsidR="00314237" w:rsidRDefault="00314237" w:rsidP="00314237">
      <w:pPr>
        <w:ind w:left="851"/>
        <w:jc w:val="both"/>
        <w:rPr>
          <w:rFonts w:ascii="Times New Roman" w:eastAsiaTheme="majorEastAsia" w:hAnsi="Times New Roman" w:cs="Times New Roman"/>
          <w:sz w:val="24"/>
          <w:szCs w:val="24"/>
          <w:lang w:val="sr-Cyrl-RS"/>
        </w:rPr>
      </w:pPr>
    </w:p>
    <w:p w14:paraId="7F87AD4C" w14:textId="573F24D5" w:rsidR="00B4043D" w:rsidRDefault="00B4043D" w:rsidP="00314237">
      <w:pPr>
        <w:ind w:left="851"/>
        <w:jc w:val="both"/>
        <w:rPr>
          <w:rFonts w:ascii="Times New Roman" w:eastAsiaTheme="majorEastAsia" w:hAnsi="Times New Roman" w:cs="Times New Roman"/>
          <w:sz w:val="24"/>
          <w:szCs w:val="24"/>
          <w:lang w:val="sr-Cyrl-RS"/>
        </w:rPr>
      </w:pPr>
    </w:p>
    <w:p w14:paraId="2C74DF4A" w14:textId="13FF1805" w:rsidR="00B4043D" w:rsidRDefault="00B4043D" w:rsidP="00314237">
      <w:pPr>
        <w:ind w:left="851"/>
        <w:jc w:val="both"/>
        <w:rPr>
          <w:rFonts w:ascii="Times New Roman" w:eastAsiaTheme="majorEastAsia" w:hAnsi="Times New Roman" w:cs="Times New Roman"/>
          <w:sz w:val="24"/>
          <w:szCs w:val="24"/>
          <w:lang w:val="sr-Cyrl-RS"/>
        </w:rPr>
      </w:pPr>
    </w:p>
    <w:p w14:paraId="3C493F73" w14:textId="77777777" w:rsidR="00B4043D" w:rsidRPr="003E5020" w:rsidRDefault="00B4043D" w:rsidP="00314237">
      <w:pPr>
        <w:ind w:left="851"/>
        <w:jc w:val="both"/>
        <w:rPr>
          <w:rFonts w:ascii="Times New Roman" w:eastAsiaTheme="majorEastAsia" w:hAnsi="Times New Roman" w:cs="Times New Roman"/>
          <w:sz w:val="24"/>
          <w:szCs w:val="24"/>
          <w:lang w:val="sr-Cyrl-RS"/>
        </w:rPr>
      </w:pPr>
    </w:p>
    <w:p w14:paraId="4482D38C"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Етички кодекс јавних тужилаца и заменика јавних тужилаца Републике Србије </w:t>
      </w:r>
    </w:p>
    <w:p w14:paraId="69FA6B23" w14:textId="77777777" w:rsidR="00314237" w:rsidRPr="003E5020" w:rsidRDefault="00314237" w:rsidP="00314237">
      <w:pPr>
        <w:ind w:left="851"/>
        <w:jc w:val="both"/>
        <w:rPr>
          <w:rFonts w:ascii="Times New Roman" w:hAnsi="Times New Roman" w:cs="Times New Roman"/>
          <w:sz w:val="24"/>
          <w:szCs w:val="24"/>
          <w:lang w:val="sr-Cyrl-RS"/>
        </w:rPr>
      </w:pPr>
    </w:p>
    <w:p w14:paraId="46ED1048"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Етички кодекс успоставља стандарде професионалне етике носилаца јавнотужилачке функције и доприноси јачању владавине права и поверења јавности у вршење јавнотужилачке функције.  Кодексом се успостављају високи етички стандарди носилаца јавнотужилачке функције како у вршењу функције, тако и у приватном животу, као на пример: самосталност, непристрасност, поштовање права, одговорност и брига за професионалне дужности, професионалност и достојанство. Питање етичког кодекса, стандарда у правосуђу и дисциплине у правосуђу је дефинисано кроз посебан </w:t>
      </w:r>
      <w:hyperlink w:anchor="_Циљ_4._–" w:history="1">
        <w:r w:rsidRPr="003E5020">
          <w:rPr>
            <w:rStyle w:val="Hyperlink"/>
            <w:rFonts w:ascii="Times New Roman" w:hAnsi="Times New Roman" w:cs="Times New Roman"/>
            <w:color w:val="auto"/>
            <w:sz w:val="24"/>
            <w:szCs w:val="24"/>
            <w:lang w:val="sr-Cyrl-RS"/>
          </w:rPr>
          <w:t>циљ 4</w:t>
        </w:r>
      </w:hyperlink>
      <w:r w:rsidRPr="003E5020">
        <w:rPr>
          <w:rFonts w:ascii="Times New Roman" w:hAnsi="Times New Roman" w:cs="Times New Roman"/>
          <w:sz w:val="24"/>
          <w:szCs w:val="24"/>
          <w:lang w:val="sr-Cyrl-RS"/>
        </w:rPr>
        <w:t xml:space="preserve"> ове Стратегије.</w:t>
      </w:r>
    </w:p>
    <w:p w14:paraId="0F966995" w14:textId="08ACF4A0" w:rsidR="00314237" w:rsidRPr="003E5020" w:rsidRDefault="00314237" w:rsidP="00314237">
      <w:pPr>
        <w:ind w:left="851"/>
        <w:jc w:val="both"/>
        <w:rPr>
          <w:rFonts w:ascii="Times New Roman" w:hAnsi="Times New Roman" w:cs="Times New Roman"/>
          <w:sz w:val="24"/>
          <w:szCs w:val="24"/>
          <w:lang w:val="sr-Cyrl-RS"/>
        </w:rPr>
      </w:pPr>
    </w:p>
    <w:p w14:paraId="185D414A" w14:textId="33518E53"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Етички кодекс </w:t>
      </w:r>
      <w:r w:rsidR="00064636" w:rsidRPr="003E5020">
        <w:rPr>
          <w:rFonts w:ascii="Times New Roman" w:eastAsiaTheme="majorEastAsia" w:hAnsi="Times New Roman" w:cs="Times New Roman"/>
          <w:iCs/>
          <w:sz w:val="24"/>
          <w:szCs w:val="24"/>
          <w:lang w:val="sr-Cyrl-RS"/>
        </w:rPr>
        <w:t xml:space="preserve">чланова </w:t>
      </w:r>
      <w:r w:rsidRPr="003E5020">
        <w:rPr>
          <w:rFonts w:ascii="Times New Roman" w:eastAsiaTheme="majorEastAsia" w:hAnsi="Times New Roman" w:cs="Times New Roman"/>
          <w:iCs/>
          <w:sz w:val="24"/>
          <w:szCs w:val="24"/>
          <w:lang w:val="sr-Cyrl-RS"/>
        </w:rPr>
        <w:t xml:space="preserve">Високог савета судства </w:t>
      </w:r>
    </w:p>
    <w:p w14:paraId="4C9E6449" w14:textId="77777777" w:rsidR="00314237" w:rsidRPr="003E5020" w:rsidRDefault="00314237" w:rsidP="00314237">
      <w:pPr>
        <w:ind w:left="851"/>
        <w:jc w:val="both"/>
        <w:rPr>
          <w:rFonts w:ascii="Times New Roman" w:hAnsi="Times New Roman" w:cs="Times New Roman"/>
          <w:sz w:val="24"/>
          <w:szCs w:val="24"/>
          <w:lang w:val="sr-Cyrl-RS"/>
        </w:rPr>
      </w:pPr>
    </w:p>
    <w:p w14:paraId="737A2B65"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Етички кодекс утврђује етичке принципе и правила понашања којих су чланови Високог савета судства дужни да се придржавај, и то: независност, непристрасност, стручност и одговорност, достојанственост, посвећеност. Питање етичког кодекса, стандарда у правосуђу и дисциплине у правосуђу је дефинисано кроз посебан </w:t>
      </w:r>
      <w:hyperlink w:anchor="_Циљ_4._–" w:history="1">
        <w:r w:rsidRPr="003E5020">
          <w:rPr>
            <w:rStyle w:val="Hyperlink"/>
            <w:rFonts w:ascii="Times New Roman" w:hAnsi="Times New Roman" w:cs="Times New Roman"/>
            <w:color w:val="auto"/>
            <w:sz w:val="24"/>
            <w:szCs w:val="24"/>
            <w:lang w:val="sr-Cyrl-RS"/>
          </w:rPr>
          <w:t>циљ 4</w:t>
        </w:r>
      </w:hyperlink>
      <w:r w:rsidRPr="003E5020">
        <w:rPr>
          <w:rFonts w:ascii="Times New Roman" w:hAnsi="Times New Roman" w:cs="Times New Roman"/>
          <w:sz w:val="24"/>
          <w:szCs w:val="24"/>
          <w:lang w:val="sr-Cyrl-RS"/>
        </w:rPr>
        <w:t xml:space="preserve"> ове Стратегије.</w:t>
      </w:r>
    </w:p>
    <w:p w14:paraId="30DFAA98" w14:textId="77777777" w:rsidR="00314237" w:rsidRPr="003E5020" w:rsidRDefault="00314237" w:rsidP="00314237">
      <w:pPr>
        <w:ind w:left="851"/>
        <w:jc w:val="both"/>
        <w:rPr>
          <w:rFonts w:ascii="Times New Roman" w:eastAsiaTheme="majorEastAsia" w:hAnsi="Times New Roman" w:cs="Times New Roman"/>
          <w:sz w:val="24"/>
          <w:szCs w:val="24"/>
          <w:lang w:val="sr-Cyrl-RS"/>
        </w:rPr>
      </w:pPr>
    </w:p>
    <w:p w14:paraId="0FA04816"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Етички кодекс чланова Државног већа тужилаца </w:t>
      </w:r>
    </w:p>
    <w:p w14:paraId="12FA36AE" w14:textId="77777777" w:rsidR="00314237" w:rsidRPr="003E5020" w:rsidRDefault="00314237" w:rsidP="00314237">
      <w:pPr>
        <w:ind w:left="851"/>
        <w:jc w:val="both"/>
        <w:rPr>
          <w:rFonts w:ascii="Times New Roman" w:eastAsiaTheme="majorEastAsia" w:hAnsi="Times New Roman" w:cs="Times New Roman"/>
          <w:sz w:val="24"/>
          <w:szCs w:val="24"/>
          <w:lang w:val="sr-Cyrl-RS"/>
        </w:rPr>
      </w:pPr>
    </w:p>
    <w:p w14:paraId="24107E04"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Етички кодекс успостављања стандарде професионалне етике чланова Државног већа тужилаца, доприноси јачању владавине права и поверења јавности у вршење функција поверених Уставом, законом и подзаконским актима Државном већу тужилаца.  Њиме су успостављени високи етички стандарди како у вршењу функције тако и у приватном животу чланова Државног већа тужилаца. Кодексом се утврђују основне дужности у раду чланова Државног већа тужилаца, као и етички принципи (самосталност, непристрасност, поштовање права, одговорност и брига за професионалне дужности, професионалност и достојанство). Питање етичког кодекса, стандарда у правосуђу и дисциплине у правосуђу је дефинисано кроз посебан </w:t>
      </w:r>
      <w:hyperlink w:anchor="_Циљ_4._–" w:history="1">
        <w:r w:rsidRPr="003E5020">
          <w:rPr>
            <w:rStyle w:val="Hyperlink"/>
            <w:rFonts w:ascii="Times New Roman" w:hAnsi="Times New Roman" w:cs="Times New Roman"/>
            <w:color w:val="auto"/>
            <w:sz w:val="24"/>
            <w:szCs w:val="24"/>
            <w:lang w:val="sr-Cyrl-RS"/>
          </w:rPr>
          <w:t>циљ 4</w:t>
        </w:r>
      </w:hyperlink>
      <w:r w:rsidRPr="003E5020">
        <w:rPr>
          <w:rFonts w:ascii="Times New Roman" w:hAnsi="Times New Roman" w:cs="Times New Roman"/>
          <w:sz w:val="24"/>
          <w:szCs w:val="24"/>
          <w:lang w:val="sr-Cyrl-RS"/>
        </w:rPr>
        <w:t xml:space="preserve"> ове Стратегије.</w:t>
      </w:r>
    </w:p>
    <w:p w14:paraId="27BF19E6" w14:textId="77777777" w:rsidR="00314237" w:rsidRPr="003E5020" w:rsidRDefault="00314237" w:rsidP="00314237">
      <w:pPr>
        <w:jc w:val="both"/>
        <w:rPr>
          <w:rFonts w:ascii="Times New Roman" w:hAnsi="Times New Roman" w:cs="Times New Roman"/>
          <w:sz w:val="24"/>
          <w:szCs w:val="24"/>
          <w:lang w:val="sr-Cyrl-RS"/>
        </w:rPr>
      </w:pPr>
    </w:p>
    <w:p w14:paraId="69515A1A"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 xml:space="preserve">Кодекс понашања државних службеника </w:t>
      </w:r>
    </w:p>
    <w:p w14:paraId="70FA9792" w14:textId="77777777" w:rsidR="00314237" w:rsidRPr="003E5020" w:rsidRDefault="00314237" w:rsidP="00314237">
      <w:pPr>
        <w:jc w:val="both"/>
        <w:rPr>
          <w:rFonts w:ascii="Times New Roman" w:hAnsi="Times New Roman" w:cs="Times New Roman"/>
          <w:sz w:val="24"/>
          <w:szCs w:val="24"/>
          <w:lang w:val="sr-Cyrl-RS"/>
        </w:rPr>
      </w:pPr>
    </w:p>
    <w:p w14:paraId="5895AD1B"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Етички кодекс успостављања правила етичког понашања за сва лица запослена у државним органима Републике Србије, укључујући и судове и тужилаштва (видети тачку 2.2.8. горе). Кодекс, између осталог, уређује и питања која се тичу законитости и непристрасности у раду, политичке неутралности, рада у јавном интересу и спречавања сукоба интереса, поступања са информацијама и заштитом приватности, опхођења са странкама и другим службеницима, забране мобинга, итд. Питање етичког кодекса, стандарда у правосуђу и дисциплине у правосуђу је дефинисано кроз посебан </w:t>
      </w:r>
      <w:hyperlink w:anchor="_Циљ_4._–" w:history="1">
        <w:r w:rsidRPr="003E5020">
          <w:rPr>
            <w:rStyle w:val="Hyperlink"/>
            <w:rFonts w:ascii="Times New Roman" w:hAnsi="Times New Roman" w:cs="Times New Roman"/>
            <w:color w:val="auto"/>
            <w:sz w:val="24"/>
            <w:szCs w:val="24"/>
            <w:lang w:val="sr-Cyrl-RS"/>
          </w:rPr>
          <w:t>циљ 4</w:t>
        </w:r>
      </w:hyperlink>
      <w:r w:rsidRPr="003E5020">
        <w:rPr>
          <w:rFonts w:ascii="Times New Roman" w:hAnsi="Times New Roman" w:cs="Times New Roman"/>
          <w:sz w:val="24"/>
          <w:szCs w:val="24"/>
          <w:lang w:val="sr-Cyrl-RS"/>
        </w:rPr>
        <w:t xml:space="preserve"> ове Стратегије.</w:t>
      </w:r>
    </w:p>
    <w:p w14:paraId="011EC266" w14:textId="77777777" w:rsidR="00314237" w:rsidRPr="003E5020" w:rsidRDefault="00314237" w:rsidP="00314237">
      <w:pPr>
        <w:ind w:left="851"/>
        <w:jc w:val="both"/>
        <w:rPr>
          <w:rFonts w:ascii="Times New Roman" w:hAnsi="Times New Roman" w:cs="Times New Roman"/>
          <w:sz w:val="24"/>
          <w:szCs w:val="24"/>
          <w:lang w:val="sr-Cyrl-RS"/>
        </w:rPr>
      </w:pPr>
    </w:p>
    <w:p w14:paraId="14147183"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Уредба о одређивању компетенција за рад државних службеника</w:t>
      </w:r>
    </w:p>
    <w:p w14:paraId="6F5379BE" w14:textId="77777777" w:rsidR="00314237" w:rsidRPr="003E5020" w:rsidRDefault="00314237" w:rsidP="00314237">
      <w:pPr>
        <w:ind w:left="851"/>
        <w:jc w:val="both"/>
        <w:rPr>
          <w:rFonts w:ascii="Times New Roman" w:hAnsi="Times New Roman" w:cs="Times New Roman"/>
          <w:sz w:val="24"/>
          <w:szCs w:val="24"/>
          <w:lang w:val="sr-Cyrl-RS"/>
        </w:rPr>
      </w:pPr>
    </w:p>
    <w:p w14:paraId="70725A7B" w14:textId="77777777" w:rsidR="00314237" w:rsidRPr="003E5020" w:rsidRDefault="00314237"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правни статус судијског и тужилачког особља и чињеницу да се исти третирају као државни службеници, на њих се примењују и прописи који се односе на све државне службенике. Овом уредбом ближе се одређују понашајне компетенције (управљање информацијама, управљање задацима и остваривање резултата, оријентација ка учењу и променама, изградња и одржавање професионалних односа, савесност, посвећеност и интегритет, затим управљање људским ресурсима и стратешко управљање) и опште функционалне компетенције (организација и рад државних органа Републике Србије, дигитална писменост, пословна комуникација), као и показатељи њиховог испољавања, као и посебне функционалне компетенције у одређеној области рада, начин њиховог одређивања и области знања и вештина на које се односе.</w:t>
      </w:r>
    </w:p>
    <w:p w14:paraId="6E060ADB" w14:textId="2AD7B3EA" w:rsidR="00314237" w:rsidRPr="003E5020" w:rsidRDefault="00314237" w:rsidP="00314237">
      <w:pPr>
        <w:jc w:val="both"/>
        <w:rPr>
          <w:rFonts w:ascii="Times New Roman" w:hAnsi="Times New Roman" w:cs="Times New Roman"/>
          <w:sz w:val="24"/>
          <w:szCs w:val="24"/>
          <w:lang w:val="sr-Cyrl-RS"/>
        </w:rPr>
      </w:pPr>
    </w:p>
    <w:p w14:paraId="78DB5C3B" w14:textId="77777777" w:rsidR="00314237" w:rsidRPr="003E5020" w:rsidRDefault="00314237" w:rsidP="00314237">
      <w:pPr>
        <w:pStyle w:val="ListParagraph"/>
        <w:numPr>
          <w:ilvl w:val="2"/>
          <w:numId w:val="2"/>
        </w:numPr>
        <w:ind w:left="851" w:hanging="851"/>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Уредба о разврставању радних места намештеника</w:t>
      </w:r>
    </w:p>
    <w:p w14:paraId="126E3A33" w14:textId="77777777" w:rsidR="00314237" w:rsidRPr="003E5020" w:rsidRDefault="00314237" w:rsidP="00314237">
      <w:pPr>
        <w:pStyle w:val="ListParagraph"/>
        <w:ind w:left="851"/>
        <w:jc w:val="both"/>
        <w:rPr>
          <w:rFonts w:ascii="Times New Roman" w:eastAsiaTheme="majorEastAsia" w:hAnsi="Times New Roman" w:cs="Times New Roman"/>
          <w:i/>
          <w:sz w:val="24"/>
          <w:szCs w:val="24"/>
          <w:lang w:val="sr-Cyrl-RS"/>
        </w:rPr>
      </w:pPr>
    </w:p>
    <w:p w14:paraId="29BB6642" w14:textId="77777777" w:rsidR="00314237" w:rsidRPr="003E5020" w:rsidRDefault="00314237" w:rsidP="00314237">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Уредбом се разврставају радна места намештеника у министарствима, посебним организацијама, стручним службама управних округа, судовима, јавним тужилаштвима, Републичком јавном правобранилаштву, службама Народне скупштине, председника Републике, Владе, Уставног суда и службама органа чије чланове бира Народна скупштина, те је самим тим њен однос са Стратегијом очигледан.</w:t>
      </w:r>
    </w:p>
    <w:p w14:paraId="154EC081" w14:textId="77777777" w:rsidR="00314237" w:rsidRPr="003E5020" w:rsidRDefault="00314237" w:rsidP="00314237">
      <w:pPr>
        <w:jc w:val="both"/>
        <w:rPr>
          <w:rFonts w:ascii="Times New Roman" w:hAnsi="Times New Roman" w:cs="Times New Roman"/>
          <w:sz w:val="24"/>
          <w:szCs w:val="24"/>
          <w:lang w:val="sr-Cyrl-RS"/>
        </w:rPr>
      </w:pPr>
    </w:p>
    <w:p w14:paraId="690BF7D4" w14:textId="77777777" w:rsidR="00E80E0B" w:rsidRPr="003E5020" w:rsidRDefault="00E80E0B" w:rsidP="00314237">
      <w:pPr>
        <w:jc w:val="both"/>
        <w:rPr>
          <w:rFonts w:ascii="Times New Roman" w:hAnsi="Times New Roman" w:cs="Times New Roman"/>
          <w:sz w:val="24"/>
          <w:szCs w:val="24"/>
          <w:lang w:val="sr-Cyrl-RS"/>
        </w:rPr>
      </w:pPr>
    </w:p>
    <w:p w14:paraId="7B13C3FC" w14:textId="566427A6" w:rsidR="00955F36" w:rsidRPr="003E5020" w:rsidRDefault="00955F36" w:rsidP="00F72E87">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90" w:name="_Toc84778623"/>
      <w:r w:rsidRPr="003E5020">
        <w:rPr>
          <w:rFonts w:ascii="Times New Roman" w:hAnsi="Times New Roman" w:cs="Times New Roman"/>
          <w:color w:val="auto"/>
          <w:sz w:val="24"/>
          <w:szCs w:val="24"/>
          <w:lang w:val="sr-Cyrl-RS"/>
        </w:rPr>
        <w:t>ОПИС ПОСТОЈЕЋЕГ СТАЊА</w:t>
      </w:r>
      <w:bookmarkEnd w:id="90"/>
      <w:r w:rsidR="00D82CC3" w:rsidRPr="003E5020">
        <w:rPr>
          <w:rFonts w:ascii="Times New Roman" w:hAnsi="Times New Roman" w:cs="Times New Roman"/>
          <w:color w:val="auto"/>
          <w:sz w:val="24"/>
          <w:szCs w:val="24"/>
          <w:lang w:val="sr-Cyrl-RS"/>
        </w:rPr>
        <w:t xml:space="preserve"> </w:t>
      </w:r>
    </w:p>
    <w:p w14:paraId="4052913C" w14:textId="77777777" w:rsidR="00955F36" w:rsidRPr="003E5020" w:rsidRDefault="00955F36">
      <w:pPr>
        <w:jc w:val="both"/>
        <w:rPr>
          <w:rFonts w:ascii="Times New Roman" w:hAnsi="Times New Roman" w:cs="Times New Roman"/>
          <w:sz w:val="24"/>
          <w:szCs w:val="24"/>
          <w:lang w:val="sr-Cyrl-RS"/>
        </w:rPr>
      </w:pPr>
    </w:p>
    <w:p w14:paraId="01E78145" w14:textId="77777777" w:rsidR="00D82CC3" w:rsidRPr="003E5020" w:rsidRDefault="000E6D1D">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циљу што јаснијег утврђивања постојећег стања у области </w:t>
      </w:r>
      <w:r w:rsidR="00293B3C" w:rsidRPr="003E5020">
        <w:rPr>
          <w:rFonts w:ascii="Times New Roman" w:hAnsi="Times New Roman" w:cs="Times New Roman"/>
          <w:sz w:val="24"/>
          <w:szCs w:val="24"/>
          <w:lang w:val="sr-Cyrl-RS"/>
        </w:rPr>
        <w:t>људских ресурс</w:t>
      </w:r>
      <w:r w:rsidRPr="003E5020">
        <w:rPr>
          <w:rFonts w:ascii="Times New Roman" w:hAnsi="Times New Roman" w:cs="Times New Roman"/>
          <w:sz w:val="24"/>
          <w:szCs w:val="24"/>
          <w:lang w:val="sr-Cyrl-RS"/>
        </w:rPr>
        <w:t xml:space="preserve">а у правосуђу, потребно је сагледати актуелну ситуацију </w:t>
      </w:r>
      <w:r w:rsidRPr="003E5020">
        <w:rPr>
          <w:rFonts w:ascii="Times New Roman" w:hAnsi="Times New Roman" w:cs="Times New Roman"/>
          <w:b/>
          <w:sz w:val="24"/>
          <w:szCs w:val="24"/>
          <w:lang w:val="sr-Cyrl-RS"/>
        </w:rPr>
        <w:t xml:space="preserve">у свим категоријама људских ресурса </w:t>
      </w:r>
      <w:r w:rsidR="00801D82" w:rsidRPr="003E5020">
        <w:rPr>
          <w:rFonts w:ascii="Times New Roman" w:hAnsi="Times New Roman" w:cs="Times New Roman"/>
          <w:b/>
          <w:sz w:val="24"/>
          <w:szCs w:val="24"/>
          <w:lang w:val="sr-Cyrl-RS"/>
        </w:rPr>
        <w:t>којима се Стратегија бави</w:t>
      </w:r>
      <w:r w:rsidR="00801D82" w:rsidRPr="003E5020">
        <w:rPr>
          <w:rFonts w:ascii="Times New Roman" w:hAnsi="Times New Roman" w:cs="Times New Roman"/>
          <w:sz w:val="24"/>
          <w:szCs w:val="24"/>
          <w:lang w:val="sr-Cyrl-RS"/>
        </w:rPr>
        <w:t xml:space="preserve">. </w:t>
      </w:r>
    </w:p>
    <w:p w14:paraId="42FB634E" w14:textId="77777777" w:rsidR="0055119D" w:rsidRPr="003E5020" w:rsidRDefault="0055119D">
      <w:pPr>
        <w:ind w:left="851"/>
        <w:jc w:val="both"/>
        <w:rPr>
          <w:rFonts w:ascii="Times New Roman" w:hAnsi="Times New Roman" w:cs="Times New Roman"/>
          <w:sz w:val="24"/>
          <w:szCs w:val="24"/>
          <w:lang w:val="sr-Cyrl-RS"/>
        </w:rPr>
      </w:pPr>
    </w:p>
    <w:p w14:paraId="681E3A06" w14:textId="4AD268C2" w:rsidR="0055119D" w:rsidRPr="003E5020" w:rsidRDefault="00801D82" w:rsidP="00112A1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том контексту, идентификована је потреба за сагледавањем стања </w:t>
      </w:r>
      <w:r w:rsidR="00845199" w:rsidRPr="003E5020">
        <w:rPr>
          <w:rFonts w:ascii="Times New Roman" w:hAnsi="Times New Roman" w:cs="Times New Roman"/>
          <w:sz w:val="24"/>
          <w:szCs w:val="24"/>
          <w:lang w:val="sr-Cyrl-RS"/>
        </w:rPr>
        <w:t xml:space="preserve">по питању људских ресурса </w:t>
      </w:r>
      <w:r w:rsidRPr="003E5020">
        <w:rPr>
          <w:rFonts w:ascii="Times New Roman" w:hAnsi="Times New Roman" w:cs="Times New Roman"/>
          <w:sz w:val="24"/>
          <w:szCs w:val="24"/>
          <w:lang w:val="sr-Cyrl-RS"/>
        </w:rPr>
        <w:t>у категорији</w:t>
      </w:r>
      <w:r w:rsidR="005F74D2"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Pr="003E5020">
        <w:rPr>
          <w:rFonts w:ascii="Times New Roman" w:hAnsi="Times New Roman" w:cs="Times New Roman"/>
          <w:b/>
          <w:sz w:val="24"/>
          <w:szCs w:val="24"/>
          <w:lang w:val="sr-Cyrl-RS"/>
        </w:rPr>
        <w:t>а</w:t>
      </w:r>
      <w:r w:rsidRPr="003E5020">
        <w:rPr>
          <w:rFonts w:ascii="Times New Roman" w:hAnsi="Times New Roman" w:cs="Times New Roman"/>
          <w:sz w:val="24"/>
          <w:szCs w:val="24"/>
          <w:lang w:val="sr-Cyrl-RS"/>
        </w:rPr>
        <w:t xml:space="preserve">) </w:t>
      </w:r>
      <w:r w:rsidR="005F74D2" w:rsidRPr="003E5020">
        <w:rPr>
          <w:rFonts w:ascii="Times New Roman" w:hAnsi="Times New Roman" w:cs="Times New Roman"/>
          <w:b/>
          <w:sz w:val="24"/>
          <w:szCs w:val="24"/>
          <w:lang w:val="sr-Cyrl-RS"/>
        </w:rPr>
        <w:t xml:space="preserve">носилаца правосудних функција, односно </w:t>
      </w:r>
      <w:r w:rsidRPr="003E5020">
        <w:rPr>
          <w:rFonts w:ascii="Times New Roman" w:hAnsi="Times New Roman" w:cs="Times New Roman"/>
          <w:b/>
          <w:sz w:val="24"/>
          <w:szCs w:val="24"/>
          <w:lang w:val="sr-Cyrl-RS"/>
        </w:rPr>
        <w:t>судија</w:t>
      </w:r>
      <w:r w:rsidR="00537929"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BA5EED" w:rsidRPr="003E5020">
        <w:rPr>
          <w:rFonts w:ascii="Times New Roman" w:hAnsi="Times New Roman" w:cs="Times New Roman"/>
          <w:b/>
          <w:sz w:val="24"/>
          <w:szCs w:val="24"/>
          <w:lang w:val="sr-Cyrl-RS"/>
        </w:rPr>
        <w:t xml:space="preserve">јавних тужилаца </w:t>
      </w:r>
      <w:r w:rsidRPr="003E5020">
        <w:rPr>
          <w:rFonts w:ascii="Times New Roman" w:hAnsi="Times New Roman" w:cs="Times New Roman"/>
          <w:sz w:val="24"/>
          <w:szCs w:val="24"/>
          <w:lang w:val="sr-Cyrl-RS"/>
        </w:rPr>
        <w:t xml:space="preserve">и </w:t>
      </w:r>
      <w:r w:rsidR="00BA5EED" w:rsidRPr="003E5020">
        <w:rPr>
          <w:rFonts w:ascii="Times New Roman" w:hAnsi="Times New Roman" w:cs="Times New Roman"/>
          <w:b/>
          <w:sz w:val="24"/>
          <w:szCs w:val="24"/>
          <w:lang w:val="sr-Cyrl-RS"/>
        </w:rPr>
        <w:t xml:space="preserve">заменика јавних </w:t>
      </w:r>
      <w:r w:rsidRPr="003E5020">
        <w:rPr>
          <w:rFonts w:ascii="Times New Roman" w:hAnsi="Times New Roman" w:cs="Times New Roman"/>
          <w:b/>
          <w:sz w:val="24"/>
          <w:szCs w:val="24"/>
          <w:lang w:val="sr-Cyrl-RS"/>
        </w:rPr>
        <w:t>тужилаца</w:t>
      </w:r>
      <w:r w:rsidRPr="003E5020">
        <w:rPr>
          <w:rFonts w:ascii="Times New Roman" w:hAnsi="Times New Roman" w:cs="Times New Roman"/>
          <w:sz w:val="24"/>
          <w:szCs w:val="24"/>
          <w:lang w:val="sr-Cyrl-RS"/>
        </w:rPr>
        <w:t>,</w:t>
      </w:r>
      <w:r w:rsidR="002626A4" w:rsidRPr="003E5020">
        <w:rPr>
          <w:rFonts w:ascii="Times New Roman" w:hAnsi="Times New Roman" w:cs="Times New Roman"/>
          <w:sz w:val="24"/>
          <w:szCs w:val="24"/>
          <w:lang w:val="sr-Cyrl-RS"/>
        </w:rPr>
        <w:t xml:space="preserve"> као и </w:t>
      </w:r>
      <w:r w:rsidRPr="003E5020">
        <w:rPr>
          <w:rFonts w:ascii="Times New Roman" w:hAnsi="Times New Roman" w:cs="Times New Roman"/>
          <w:sz w:val="24"/>
          <w:szCs w:val="24"/>
          <w:lang w:val="sr-Cyrl-RS"/>
        </w:rPr>
        <w:t>(</w:t>
      </w:r>
      <w:r w:rsidRPr="003E5020">
        <w:rPr>
          <w:rFonts w:ascii="Times New Roman" w:hAnsi="Times New Roman" w:cs="Times New Roman"/>
          <w:b/>
          <w:sz w:val="24"/>
          <w:szCs w:val="24"/>
          <w:lang w:val="sr-Cyrl-RS"/>
        </w:rPr>
        <w:t>б</w:t>
      </w:r>
      <w:r w:rsidRPr="003E5020">
        <w:rPr>
          <w:rFonts w:ascii="Times New Roman" w:hAnsi="Times New Roman" w:cs="Times New Roman"/>
          <w:sz w:val="24"/>
          <w:szCs w:val="24"/>
          <w:lang w:val="sr-Cyrl-RS"/>
        </w:rPr>
        <w:t xml:space="preserve">) </w:t>
      </w:r>
      <w:r w:rsidRPr="003E5020">
        <w:rPr>
          <w:rFonts w:ascii="Times New Roman" w:hAnsi="Times New Roman" w:cs="Times New Roman"/>
          <w:b/>
          <w:sz w:val="24"/>
          <w:szCs w:val="24"/>
          <w:lang w:val="sr-Cyrl-RS"/>
        </w:rPr>
        <w:t>судског</w:t>
      </w:r>
      <w:r w:rsidR="005F74D2" w:rsidRPr="003E5020">
        <w:rPr>
          <w:rFonts w:ascii="Times New Roman" w:hAnsi="Times New Roman" w:cs="Times New Roman"/>
          <w:b/>
          <w:sz w:val="24"/>
          <w:szCs w:val="24"/>
          <w:lang w:val="sr-Cyrl-RS"/>
        </w:rPr>
        <w:t xml:space="preserve">, односно тужилачког </w:t>
      </w:r>
      <w:r w:rsidRPr="003E5020">
        <w:rPr>
          <w:rFonts w:ascii="Times New Roman" w:hAnsi="Times New Roman" w:cs="Times New Roman"/>
          <w:b/>
          <w:sz w:val="24"/>
          <w:szCs w:val="24"/>
          <w:lang w:val="sr-Cyrl-RS"/>
        </w:rPr>
        <w:t xml:space="preserve"> особљ</w:t>
      </w:r>
      <w:r w:rsidR="009F4E58" w:rsidRPr="003E5020">
        <w:rPr>
          <w:rFonts w:ascii="Times New Roman" w:hAnsi="Times New Roman" w:cs="Times New Roman"/>
          <w:b/>
          <w:sz w:val="24"/>
          <w:szCs w:val="24"/>
          <w:lang w:val="sr-Cyrl-RS"/>
        </w:rPr>
        <w:t>а</w:t>
      </w:r>
      <w:r w:rsidR="005F74D2" w:rsidRPr="003E5020">
        <w:rPr>
          <w:rFonts w:ascii="Times New Roman" w:hAnsi="Times New Roman" w:cs="Times New Roman"/>
          <w:sz w:val="24"/>
          <w:szCs w:val="24"/>
          <w:lang w:val="sr-Cyrl-RS"/>
        </w:rPr>
        <w:t xml:space="preserve">. </w:t>
      </w:r>
      <w:r w:rsidR="00413110" w:rsidRPr="003E5020">
        <w:rPr>
          <w:rFonts w:ascii="Times New Roman" w:hAnsi="Times New Roman" w:cs="Times New Roman"/>
          <w:sz w:val="24"/>
          <w:szCs w:val="24"/>
          <w:lang w:val="sr-Cyrl-RS"/>
        </w:rPr>
        <w:t>Судско</w:t>
      </w:r>
      <w:r w:rsidR="0055119D" w:rsidRPr="003E5020">
        <w:rPr>
          <w:rFonts w:ascii="Times New Roman" w:hAnsi="Times New Roman" w:cs="Times New Roman"/>
          <w:sz w:val="24"/>
          <w:szCs w:val="24"/>
          <w:lang w:val="sr-Cyrl-RS"/>
        </w:rPr>
        <w:t xml:space="preserve">, односно </w:t>
      </w:r>
      <w:r w:rsidR="00E47487" w:rsidRPr="003E5020">
        <w:rPr>
          <w:rFonts w:ascii="Times New Roman" w:hAnsi="Times New Roman" w:cs="Times New Roman"/>
          <w:sz w:val="24"/>
          <w:szCs w:val="24"/>
          <w:lang w:val="sr-Cyrl-RS"/>
        </w:rPr>
        <w:t xml:space="preserve">тужилачко </w:t>
      </w:r>
      <w:r w:rsidR="00413110" w:rsidRPr="003E5020">
        <w:rPr>
          <w:rFonts w:ascii="Times New Roman" w:hAnsi="Times New Roman" w:cs="Times New Roman"/>
          <w:sz w:val="24"/>
          <w:szCs w:val="24"/>
          <w:lang w:val="sr-Cyrl-RS"/>
        </w:rPr>
        <w:t xml:space="preserve">особље </w:t>
      </w:r>
      <w:r w:rsidRPr="003E5020">
        <w:rPr>
          <w:rFonts w:ascii="Times New Roman" w:hAnsi="Times New Roman" w:cs="Times New Roman"/>
          <w:sz w:val="24"/>
          <w:szCs w:val="24"/>
          <w:lang w:val="sr-Cyrl-RS"/>
        </w:rPr>
        <w:t>укључује</w:t>
      </w:r>
      <w:r w:rsidR="00E47487" w:rsidRPr="003E5020">
        <w:rPr>
          <w:rFonts w:ascii="Times New Roman" w:hAnsi="Times New Roman" w:cs="Times New Roman"/>
          <w:sz w:val="24"/>
          <w:szCs w:val="24"/>
          <w:lang w:val="sr-Cyrl-RS"/>
        </w:rPr>
        <w:t xml:space="preserve"> две основне категорије запослених</w:t>
      </w:r>
      <w:r w:rsidR="00845A69" w:rsidRPr="003E5020">
        <w:rPr>
          <w:rFonts w:ascii="Times New Roman" w:hAnsi="Times New Roman" w:cs="Times New Roman"/>
          <w:sz w:val="24"/>
          <w:szCs w:val="24"/>
          <w:lang w:val="sr-Cyrl-RS"/>
        </w:rPr>
        <w:t>:</w:t>
      </w:r>
    </w:p>
    <w:p w14:paraId="08287CC1" w14:textId="660DEBA9" w:rsidR="00845A69" w:rsidRPr="003E5020" w:rsidRDefault="00845A69" w:rsidP="00D7110A">
      <w:pPr>
        <w:ind w:left="851"/>
        <w:jc w:val="both"/>
        <w:rPr>
          <w:rFonts w:ascii="Times New Roman" w:hAnsi="Times New Roman" w:cs="Times New Roman"/>
          <w:sz w:val="24"/>
          <w:szCs w:val="24"/>
          <w:lang w:val="sr-Cyrl-RS"/>
        </w:rPr>
      </w:pPr>
    </w:p>
    <w:p w14:paraId="6EAFFFC9" w14:textId="3F16AD47" w:rsidR="0055119D" w:rsidRPr="003E5020" w:rsidRDefault="009D2E40" w:rsidP="00A23055">
      <w:pPr>
        <w:pStyle w:val="ListParagraph"/>
        <w:numPr>
          <w:ilvl w:val="0"/>
          <w:numId w:val="27"/>
        </w:numPr>
        <w:ind w:left="1276"/>
        <w:jc w:val="both"/>
        <w:rPr>
          <w:rFonts w:ascii="Times New Roman" w:hAnsi="Times New Roman" w:cs="Times New Roman"/>
          <w:sz w:val="24"/>
          <w:szCs w:val="24"/>
          <w:lang w:val="sr-Cyrl-RS"/>
        </w:rPr>
      </w:pPr>
      <w:r w:rsidRPr="003E5020">
        <w:rPr>
          <w:rFonts w:ascii="Times New Roman" w:hAnsi="Times New Roman" w:cs="Times New Roman"/>
          <w:i/>
          <w:sz w:val="24"/>
          <w:szCs w:val="24"/>
          <w:lang w:val="sr-Cyrl-RS"/>
        </w:rPr>
        <w:t>државне службенике</w:t>
      </w:r>
      <w:r w:rsidR="00845A69" w:rsidRPr="003E5020">
        <w:rPr>
          <w:rFonts w:ascii="Times New Roman" w:hAnsi="Times New Roman" w:cs="Times New Roman"/>
          <w:i/>
          <w:sz w:val="24"/>
          <w:szCs w:val="24"/>
          <w:lang w:val="sr-Cyrl-RS"/>
        </w:rPr>
        <w:t>,</w:t>
      </w:r>
      <w:r w:rsidRPr="003E5020">
        <w:rPr>
          <w:rFonts w:ascii="Times New Roman" w:hAnsi="Times New Roman" w:cs="Times New Roman"/>
          <w:sz w:val="24"/>
          <w:szCs w:val="24"/>
          <w:lang w:val="sr-Cyrl-RS"/>
        </w:rPr>
        <w:t xml:space="preserve"> </w:t>
      </w:r>
      <w:r w:rsidR="00801D82" w:rsidRPr="003E5020">
        <w:rPr>
          <w:rFonts w:ascii="Times New Roman" w:hAnsi="Times New Roman" w:cs="Times New Roman"/>
          <w:sz w:val="24"/>
          <w:szCs w:val="24"/>
          <w:lang w:val="sr-Cyrl-RS"/>
        </w:rPr>
        <w:t xml:space="preserve"> </w:t>
      </w:r>
      <w:r w:rsidR="001406C4" w:rsidRPr="003E5020">
        <w:rPr>
          <w:rFonts w:ascii="Times New Roman" w:hAnsi="Times New Roman" w:cs="Times New Roman"/>
          <w:sz w:val="24"/>
          <w:szCs w:val="24"/>
          <w:lang w:val="sr-Cyrl-RS"/>
        </w:rPr>
        <w:t>који обављају</w:t>
      </w:r>
      <w:r w:rsidR="00845A69" w:rsidRPr="003E5020">
        <w:rPr>
          <w:rFonts w:ascii="Times New Roman" w:hAnsi="Times New Roman" w:cs="Times New Roman"/>
          <w:sz w:val="24"/>
          <w:szCs w:val="24"/>
          <w:lang w:val="sr-Cyrl-RS"/>
        </w:rPr>
        <w:t xml:space="preserve">: </w:t>
      </w:r>
    </w:p>
    <w:p w14:paraId="57FCC507" w14:textId="51960F31" w:rsidR="00DB220F" w:rsidRPr="003E5020" w:rsidRDefault="009D2E40" w:rsidP="00A23055">
      <w:pPr>
        <w:pStyle w:val="ListParagraph"/>
        <w:numPr>
          <w:ilvl w:val="1"/>
          <w:numId w:val="27"/>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стручн</w:t>
      </w:r>
      <w:r w:rsidR="001406C4"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послов</w:t>
      </w:r>
      <w:r w:rsidR="001406C4"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w:t>
      </w:r>
      <w:r w:rsidR="00801D82" w:rsidRPr="003E5020">
        <w:rPr>
          <w:rFonts w:ascii="Times New Roman" w:hAnsi="Times New Roman" w:cs="Times New Roman"/>
          <w:i/>
          <w:sz w:val="24"/>
          <w:szCs w:val="24"/>
          <w:lang w:val="sr-Cyrl-RS"/>
        </w:rPr>
        <w:t>судијск</w:t>
      </w:r>
      <w:r w:rsidR="001406C4" w:rsidRPr="003E5020">
        <w:rPr>
          <w:rFonts w:ascii="Times New Roman" w:hAnsi="Times New Roman" w:cs="Times New Roman"/>
          <w:i/>
          <w:sz w:val="24"/>
          <w:szCs w:val="24"/>
          <w:lang w:val="sr-Cyrl-RS"/>
        </w:rPr>
        <w:t>и</w:t>
      </w:r>
      <w:r w:rsidR="00801D82" w:rsidRPr="003E5020">
        <w:rPr>
          <w:rFonts w:ascii="Times New Roman" w:hAnsi="Times New Roman" w:cs="Times New Roman"/>
          <w:i/>
          <w:sz w:val="24"/>
          <w:szCs w:val="24"/>
          <w:lang w:val="sr-Cyrl-RS"/>
        </w:rPr>
        <w:t xml:space="preserve"> помоћни</w:t>
      </w:r>
      <w:r w:rsidR="001406C4" w:rsidRPr="003E5020">
        <w:rPr>
          <w:rFonts w:ascii="Times New Roman" w:hAnsi="Times New Roman" w:cs="Times New Roman"/>
          <w:i/>
          <w:sz w:val="24"/>
          <w:szCs w:val="24"/>
          <w:lang w:val="sr-Cyrl-RS"/>
        </w:rPr>
        <w:t>ци</w:t>
      </w:r>
      <w:r w:rsidRPr="003E5020">
        <w:rPr>
          <w:rFonts w:ascii="Times New Roman" w:hAnsi="Times New Roman" w:cs="Times New Roman"/>
          <w:sz w:val="24"/>
          <w:szCs w:val="24"/>
          <w:lang w:val="sr-Cyrl-RS"/>
        </w:rPr>
        <w:t xml:space="preserve"> и </w:t>
      </w:r>
      <w:r w:rsidR="00801D82" w:rsidRPr="003E5020">
        <w:rPr>
          <w:rFonts w:ascii="Times New Roman" w:hAnsi="Times New Roman" w:cs="Times New Roman"/>
          <w:i/>
          <w:sz w:val="24"/>
          <w:szCs w:val="24"/>
          <w:lang w:val="sr-Cyrl-RS"/>
        </w:rPr>
        <w:t>судијск</w:t>
      </w:r>
      <w:r w:rsidR="001406C4" w:rsidRPr="003E5020">
        <w:rPr>
          <w:rFonts w:ascii="Times New Roman" w:hAnsi="Times New Roman" w:cs="Times New Roman"/>
          <w:i/>
          <w:sz w:val="24"/>
          <w:szCs w:val="24"/>
          <w:lang w:val="sr-Cyrl-RS"/>
        </w:rPr>
        <w:t>и</w:t>
      </w:r>
      <w:r w:rsidR="00801D82" w:rsidRPr="003E5020">
        <w:rPr>
          <w:rFonts w:ascii="Times New Roman" w:hAnsi="Times New Roman" w:cs="Times New Roman"/>
          <w:i/>
          <w:sz w:val="24"/>
          <w:szCs w:val="24"/>
          <w:lang w:val="sr-Cyrl-RS"/>
        </w:rPr>
        <w:t xml:space="preserve"> приправни</w:t>
      </w:r>
      <w:r w:rsidR="001406C4" w:rsidRPr="003E5020">
        <w:rPr>
          <w:rFonts w:ascii="Times New Roman" w:hAnsi="Times New Roman" w:cs="Times New Roman"/>
          <w:i/>
          <w:sz w:val="24"/>
          <w:szCs w:val="24"/>
          <w:lang w:val="sr-Cyrl-RS"/>
        </w:rPr>
        <w:t>ци</w:t>
      </w:r>
      <w:r w:rsidR="00E47487" w:rsidRPr="003E5020">
        <w:rPr>
          <w:rFonts w:ascii="Times New Roman" w:hAnsi="Times New Roman" w:cs="Times New Roman"/>
          <w:i/>
          <w:sz w:val="24"/>
          <w:szCs w:val="24"/>
          <w:lang w:val="sr-Cyrl-RS"/>
        </w:rPr>
        <w:t xml:space="preserve"> у судовима, односно тужилачки помоћници</w:t>
      </w:r>
      <w:r w:rsidR="00E47487" w:rsidRPr="003E5020">
        <w:rPr>
          <w:rFonts w:ascii="Times New Roman" w:hAnsi="Times New Roman" w:cs="Times New Roman"/>
          <w:sz w:val="24"/>
          <w:szCs w:val="24"/>
          <w:lang w:val="sr-Cyrl-RS"/>
        </w:rPr>
        <w:t xml:space="preserve">, </w:t>
      </w:r>
      <w:r w:rsidR="00E47487" w:rsidRPr="003E5020">
        <w:rPr>
          <w:rFonts w:ascii="Times New Roman" w:hAnsi="Times New Roman" w:cs="Times New Roman"/>
          <w:i/>
          <w:sz w:val="24"/>
          <w:szCs w:val="24"/>
          <w:lang w:val="sr-Cyrl-RS"/>
        </w:rPr>
        <w:t>тужилачки приправници у јавним тужилаштвима</w:t>
      </w:r>
      <w:r w:rsidRPr="003E5020">
        <w:rPr>
          <w:rFonts w:ascii="Times New Roman" w:hAnsi="Times New Roman" w:cs="Times New Roman"/>
          <w:i/>
          <w:sz w:val="24"/>
          <w:szCs w:val="24"/>
          <w:lang w:val="sr-Cyrl-RS"/>
        </w:rPr>
        <w:t>)</w:t>
      </w:r>
      <w:r w:rsidR="0055119D" w:rsidRPr="003E5020">
        <w:rPr>
          <w:rFonts w:ascii="Times New Roman" w:hAnsi="Times New Roman" w:cs="Times New Roman"/>
          <w:sz w:val="24"/>
          <w:szCs w:val="24"/>
          <w:lang w:val="sr-Cyrl-RS"/>
        </w:rPr>
        <w:t xml:space="preserve">, </w:t>
      </w:r>
      <w:r w:rsidR="00801D82" w:rsidRPr="003E5020">
        <w:rPr>
          <w:rFonts w:ascii="Times New Roman" w:hAnsi="Times New Roman" w:cs="Times New Roman"/>
          <w:sz w:val="24"/>
          <w:szCs w:val="24"/>
          <w:lang w:val="sr-Cyrl-RS"/>
        </w:rPr>
        <w:t>и</w:t>
      </w:r>
    </w:p>
    <w:p w14:paraId="0DA7AD99" w14:textId="30A4409D" w:rsidR="0055119D" w:rsidRPr="003E5020" w:rsidRDefault="00845A69" w:rsidP="00A23055">
      <w:pPr>
        <w:pStyle w:val="ListParagraph"/>
        <w:numPr>
          <w:ilvl w:val="1"/>
          <w:numId w:val="27"/>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административно-техничке послове</w:t>
      </w:r>
      <w:r w:rsidRPr="003E5020">
        <w:rPr>
          <w:rFonts w:ascii="Times New Roman" w:hAnsi="Times New Roman" w:cs="Times New Roman"/>
          <w:i/>
          <w:sz w:val="24"/>
          <w:szCs w:val="24"/>
          <w:lang w:val="sr-Cyrl-RS"/>
        </w:rPr>
        <w:t xml:space="preserve">, </w:t>
      </w:r>
      <w:r w:rsidR="00537929" w:rsidRPr="003E5020">
        <w:rPr>
          <w:rFonts w:ascii="Times New Roman" w:hAnsi="Times New Roman" w:cs="Times New Roman"/>
          <w:sz w:val="24"/>
          <w:szCs w:val="24"/>
          <w:lang w:val="sr-Cyrl-RS"/>
        </w:rPr>
        <w:t xml:space="preserve">као и </w:t>
      </w:r>
    </w:p>
    <w:p w14:paraId="22F4AB2C" w14:textId="7C1A5100" w:rsidR="00845A69" w:rsidRPr="003E5020" w:rsidRDefault="00845A69" w:rsidP="00A23055">
      <w:pPr>
        <w:pStyle w:val="ListParagraph"/>
        <w:ind w:left="1800"/>
        <w:jc w:val="both"/>
        <w:rPr>
          <w:rFonts w:ascii="Times New Roman" w:hAnsi="Times New Roman" w:cs="Times New Roman"/>
          <w:sz w:val="24"/>
          <w:szCs w:val="24"/>
          <w:lang w:val="sr-Cyrl-RS"/>
        </w:rPr>
      </w:pPr>
    </w:p>
    <w:p w14:paraId="2651B534" w14:textId="37F60BD6" w:rsidR="00486588" w:rsidRPr="003E5020" w:rsidRDefault="00801D82" w:rsidP="00A23055">
      <w:pPr>
        <w:pStyle w:val="ListParagraph"/>
        <w:numPr>
          <w:ilvl w:val="0"/>
          <w:numId w:val="27"/>
        </w:numPr>
        <w:ind w:left="1276"/>
        <w:jc w:val="both"/>
        <w:rPr>
          <w:rFonts w:ascii="Times New Roman" w:hAnsi="Times New Roman" w:cs="Times New Roman"/>
          <w:sz w:val="24"/>
          <w:szCs w:val="24"/>
          <w:lang w:val="sr-Cyrl-RS"/>
        </w:rPr>
      </w:pPr>
      <w:r w:rsidRPr="003E5020">
        <w:rPr>
          <w:rFonts w:ascii="Times New Roman" w:hAnsi="Times New Roman" w:cs="Times New Roman"/>
          <w:i/>
          <w:sz w:val="24"/>
          <w:szCs w:val="24"/>
          <w:lang w:val="sr-Cyrl-RS"/>
        </w:rPr>
        <w:t>намештенике</w:t>
      </w:r>
      <w:r w:rsidR="00845A69" w:rsidRPr="003E5020">
        <w:rPr>
          <w:rFonts w:ascii="Times New Roman" w:hAnsi="Times New Roman" w:cs="Times New Roman"/>
          <w:i/>
          <w:sz w:val="24"/>
          <w:szCs w:val="24"/>
          <w:lang w:val="sr-Cyrl-RS"/>
        </w:rPr>
        <w:t xml:space="preserve">, </w:t>
      </w:r>
      <w:r w:rsidR="00845A69" w:rsidRPr="003E5020">
        <w:rPr>
          <w:rFonts w:ascii="Times New Roman" w:hAnsi="Times New Roman" w:cs="Times New Roman"/>
          <w:sz w:val="24"/>
          <w:szCs w:val="24"/>
          <w:lang w:val="sr-Cyrl-RS"/>
        </w:rPr>
        <w:t xml:space="preserve">који обављају </w:t>
      </w:r>
      <w:r w:rsidRPr="003E5020">
        <w:rPr>
          <w:rFonts w:ascii="Times New Roman" w:hAnsi="Times New Roman" w:cs="Times New Roman"/>
          <w:sz w:val="24"/>
          <w:szCs w:val="24"/>
          <w:lang w:val="sr-Cyrl-RS"/>
        </w:rPr>
        <w:t>административн</w:t>
      </w:r>
      <w:r w:rsidR="00F30DC4" w:rsidRPr="003E5020">
        <w:rPr>
          <w:rFonts w:ascii="Times New Roman" w:hAnsi="Times New Roman" w:cs="Times New Roman"/>
          <w:sz w:val="24"/>
          <w:szCs w:val="24"/>
          <w:lang w:val="sr-Cyrl-RS"/>
        </w:rPr>
        <w:t xml:space="preserve">о-техничке, </w:t>
      </w:r>
      <w:r w:rsidRPr="003E5020">
        <w:rPr>
          <w:rFonts w:ascii="Times New Roman" w:hAnsi="Times New Roman" w:cs="Times New Roman"/>
          <w:sz w:val="24"/>
          <w:szCs w:val="24"/>
          <w:lang w:val="sr-Cyrl-RS"/>
        </w:rPr>
        <w:t>информа</w:t>
      </w:r>
      <w:r w:rsidR="00F30DC4" w:rsidRPr="003E5020">
        <w:rPr>
          <w:rFonts w:ascii="Times New Roman" w:hAnsi="Times New Roman" w:cs="Times New Roman"/>
          <w:sz w:val="24"/>
          <w:szCs w:val="24"/>
          <w:lang w:val="sr-Cyrl-RS"/>
        </w:rPr>
        <w:t xml:space="preserve">тичке </w:t>
      </w:r>
      <w:r w:rsidRPr="003E5020">
        <w:rPr>
          <w:rFonts w:ascii="Times New Roman" w:hAnsi="Times New Roman" w:cs="Times New Roman"/>
          <w:sz w:val="24"/>
          <w:szCs w:val="24"/>
          <w:lang w:val="sr-Cyrl-RS"/>
        </w:rPr>
        <w:t xml:space="preserve">и </w:t>
      </w:r>
      <w:r w:rsidR="00F30DC4" w:rsidRPr="003E5020">
        <w:rPr>
          <w:rFonts w:ascii="Times New Roman" w:hAnsi="Times New Roman" w:cs="Times New Roman"/>
          <w:sz w:val="24"/>
          <w:szCs w:val="24"/>
          <w:lang w:val="sr-Cyrl-RS"/>
        </w:rPr>
        <w:t xml:space="preserve">друге </w:t>
      </w:r>
      <w:r w:rsidRPr="003E5020">
        <w:rPr>
          <w:rFonts w:ascii="Times New Roman" w:hAnsi="Times New Roman" w:cs="Times New Roman"/>
          <w:sz w:val="24"/>
          <w:szCs w:val="24"/>
          <w:lang w:val="sr-Cyrl-RS"/>
        </w:rPr>
        <w:t>пратећ</w:t>
      </w:r>
      <w:r w:rsidR="00F30DC4"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послов</w:t>
      </w:r>
      <w:r w:rsidR="00F30DC4" w:rsidRPr="003E5020">
        <w:rPr>
          <w:rFonts w:ascii="Times New Roman" w:hAnsi="Times New Roman" w:cs="Times New Roman"/>
          <w:sz w:val="24"/>
          <w:szCs w:val="24"/>
          <w:lang w:val="sr-Cyrl-RS"/>
        </w:rPr>
        <w:t>е</w:t>
      </w:r>
      <w:r w:rsidR="00486588" w:rsidRPr="003E5020">
        <w:rPr>
          <w:rFonts w:ascii="Times New Roman" w:hAnsi="Times New Roman" w:cs="Times New Roman"/>
          <w:sz w:val="24"/>
          <w:szCs w:val="24"/>
          <w:lang w:val="sr-Cyrl-RS"/>
        </w:rPr>
        <w:t xml:space="preserve"> потребне за несметан рад </w:t>
      </w:r>
      <w:r w:rsidRPr="003E5020">
        <w:rPr>
          <w:rFonts w:ascii="Times New Roman" w:hAnsi="Times New Roman" w:cs="Times New Roman"/>
          <w:sz w:val="24"/>
          <w:szCs w:val="24"/>
          <w:lang w:val="sr-Cyrl-RS"/>
        </w:rPr>
        <w:t>суд</w:t>
      </w:r>
      <w:r w:rsidR="00486588" w:rsidRPr="003E5020">
        <w:rPr>
          <w:rFonts w:ascii="Times New Roman" w:hAnsi="Times New Roman" w:cs="Times New Roman"/>
          <w:sz w:val="24"/>
          <w:szCs w:val="24"/>
          <w:lang w:val="sr-Cyrl-RS"/>
        </w:rPr>
        <w:t xml:space="preserve">ова, </w:t>
      </w:r>
      <w:r w:rsidR="00DB220F" w:rsidRPr="003E5020">
        <w:rPr>
          <w:rFonts w:ascii="Times New Roman" w:hAnsi="Times New Roman" w:cs="Times New Roman"/>
          <w:sz w:val="24"/>
          <w:szCs w:val="24"/>
          <w:lang w:val="sr-Cyrl-RS"/>
        </w:rPr>
        <w:t xml:space="preserve">односно јавних тужилаштава. </w:t>
      </w:r>
    </w:p>
    <w:p w14:paraId="3E37D040" w14:textId="4423DF9B" w:rsidR="000E6D1D" w:rsidRPr="003E5020" w:rsidRDefault="000E6D1D" w:rsidP="00A23055">
      <w:pPr>
        <w:pStyle w:val="ListParagraph"/>
        <w:ind w:left="1211"/>
        <w:jc w:val="both"/>
        <w:rPr>
          <w:rFonts w:ascii="Times New Roman" w:hAnsi="Times New Roman" w:cs="Times New Roman"/>
          <w:sz w:val="24"/>
          <w:szCs w:val="24"/>
          <w:lang w:val="sr-Cyrl-RS"/>
        </w:rPr>
      </w:pPr>
    </w:p>
    <w:p w14:paraId="186BD9ED" w14:textId="41A7BD27" w:rsidR="000D0113" w:rsidRPr="003E5020" w:rsidRDefault="00293B3C" w:rsidP="00B8040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Осим прегледа актуелног стања по горе</w:t>
      </w:r>
      <w:r w:rsidR="00DB220F"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наведеним категоријама људских ресурса, наметнула се потреба и за сагледавањем стања у односу на </w:t>
      </w:r>
      <w:r w:rsidRPr="003E5020">
        <w:rPr>
          <w:rFonts w:ascii="Times New Roman" w:hAnsi="Times New Roman" w:cs="Times New Roman"/>
          <w:b/>
          <w:sz w:val="24"/>
          <w:szCs w:val="24"/>
          <w:lang w:val="sr-Cyrl-RS"/>
        </w:rPr>
        <w:t>кључне предуслове</w:t>
      </w:r>
      <w:r w:rsidRPr="003E5020">
        <w:rPr>
          <w:rFonts w:ascii="Times New Roman" w:hAnsi="Times New Roman" w:cs="Times New Roman"/>
          <w:sz w:val="24"/>
          <w:szCs w:val="24"/>
          <w:lang w:val="sr-Cyrl-RS"/>
        </w:rPr>
        <w:t xml:space="preserve"> које је потребно</w:t>
      </w:r>
      <w:r w:rsidR="00E57513" w:rsidRPr="003E5020">
        <w:rPr>
          <w:rFonts w:ascii="Times New Roman" w:hAnsi="Times New Roman" w:cs="Times New Roman"/>
          <w:sz w:val="24"/>
          <w:szCs w:val="24"/>
          <w:lang w:val="sr-Cyrl-RS"/>
        </w:rPr>
        <w:t xml:space="preserve"> обезбедити у циљу </w:t>
      </w:r>
      <w:r w:rsidRPr="003E5020">
        <w:rPr>
          <w:rFonts w:ascii="Times New Roman" w:hAnsi="Times New Roman" w:cs="Times New Roman"/>
          <w:sz w:val="24"/>
          <w:szCs w:val="24"/>
          <w:lang w:val="sr-Cyrl-RS"/>
        </w:rPr>
        <w:t>ефикасног и делотворног функционисања</w:t>
      </w:r>
      <w:r w:rsidR="00C7741D" w:rsidRPr="003E5020">
        <w:rPr>
          <w:rFonts w:ascii="Times New Roman" w:hAnsi="Times New Roman" w:cs="Times New Roman"/>
          <w:sz w:val="24"/>
          <w:szCs w:val="24"/>
          <w:lang w:val="sr-Cyrl-RS"/>
        </w:rPr>
        <w:t xml:space="preserve"> људских ресурса у правосуђу Републике</w:t>
      </w:r>
      <w:r w:rsidRPr="003E5020">
        <w:rPr>
          <w:rFonts w:ascii="Times New Roman" w:hAnsi="Times New Roman" w:cs="Times New Roman"/>
          <w:sz w:val="24"/>
          <w:szCs w:val="24"/>
          <w:lang w:val="sr-Cyrl-RS"/>
        </w:rPr>
        <w:t xml:space="preserve"> Србиј</w:t>
      </w:r>
      <w:r w:rsidR="00C7741D"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w:t>
      </w:r>
      <w:r w:rsidR="005B5167" w:rsidRPr="003E5020">
        <w:rPr>
          <w:rFonts w:ascii="Times New Roman" w:hAnsi="Times New Roman" w:cs="Times New Roman"/>
          <w:sz w:val="24"/>
          <w:szCs w:val="24"/>
          <w:lang w:val="sr-Cyrl-RS"/>
        </w:rPr>
        <w:t xml:space="preserve"> То су</w:t>
      </w:r>
      <w:r w:rsidR="00BA4372" w:rsidRPr="003E5020">
        <w:rPr>
          <w:rFonts w:ascii="Times New Roman" w:hAnsi="Times New Roman" w:cs="Times New Roman"/>
          <w:sz w:val="24"/>
          <w:szCs w:val="24"/>
          <w:lang w:val="sr-Cyrl-RS"/>
        </w:rPr>
        <w:t>,</w:t>
      </w:r>
      <w:r w:rsidR="005B5167" w:rsidRPr="003E5020">
        <w:rPr>
          <w:rFonts w:ascii="Times New Roman" w:hAnsi="Times New Roman" w:cs="Times New Roman"/>
          <w:sz w:val="24"/>
          <w:szCs w:val="24"/>
          <w:lang w:val="sr-Cyrl-RS"/>
        </w:rPr>
        <w:t xml:space="preserve"> пре свега</w:t>
      </w:r>
      <w:r w:rsidR="00BA4372" w:rsidRPr="003E5020">
        <w:rPr>
          <w:rFonts w:ascii="Times New Roman" w:hAnsi="Times New Roman" w:cs="Times New Roman"/>
          <w:sz w:val="24"/>
          <w:szCs w:val="24"/>
          <w:lang w:val="sr-Cyrl-RS"/>
        </w:rPr>
        <w:t>:</w:t>
      </w:r>
      <w:r w:rsidR="005B5167" w:rsidRPr="003E5020">
        <w:rPr>
          <w:rFonts w:ascii="Times New Roman" w:hAnsi="Times New Roman" w:cs="Times New Roman"/>
          <w:sz w:val="24"/>
          <w:szCs w:val="24"/>
          <w:lang w:val="sr-Cyrl-RS"/>
        </w:rPr>
        <w:t xml:space="preserve"> </w:t>
      </w:r>
    </w:p>
    <w:p w14:paraId="123EC38E" w14:textId="77777777" w:rsidR="00624E0F" w:rsidRPr="003E5020" w:rsidRDefault="00624E0F" w:rsidP="00624E0F">
      <w:pPr>
        <w:pStyle w:val="ListParagraph"/>
        <w:ind w:left="1440"/>
        <w:jc w:val="both"/>
        <w:rPr>
          <w:rFonts w:ascii="Times New Roman" w:hAnsi="Times New Roman" w:cs="Times New Roman"/>
          <w:sz w:val="24"/>
          <w:szCs w:val="24"/>
          <w:lang w:val="sr-Cyrl-RS"/>
        </w:rPr>
      </w:pPr>
    </w:p>
    <w:p w14:paraId="0CED4BA4" w14:textId="23F20929" w:rsidR="000D0113" w:rsidRPr="003E5020" w:rsidRDefault="00BA4372" w:rsidP="00A23055">
      <w:pPr>
        <w:pStyle w:val="ListParagraph"/>
        <w:numPr>
          <w:ilvl w:val="1"/>
          <w:numId w:val="2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постојањ</w:t>
      </w:r>
      <w:r w:rsidR="000D0113" w:rsidRPr="003E5020">
        <w:rPr>
          <w:rFonts w:ascii="Times New Roman" w:hAnsi="Times New Roman" w:cs="Times New Roman"/>
          <w:sz w:val="24"/>
          <w:szCs w:val="24"/>
          <w:lang w:val="sr-Cyrl-RS"/>
        </w:rPr>
        <w:t xml:space="preserve">е адекватног броја запослених који поседују прописане </w:t>
      </w:r>
      <w:r w:rsidRPr="003E5020">
        <w:rPr>
          <w:rFonts w:ascii="Times New Roman" w:hAnsi="Times New Roman" w:cs="Times New Roman"/>
          <w:sz w:val="24"/>
          <w:szCs w:val="24"/>
          <w:lang w:val="sr-Cyrl-RS"/>
        </w:rPr>
        <w:t>компетенц</w:t>
      </w:r>
      <w:r w:rsidR="00064636" w:rsidRPr="003E5020">
        <w:rPr>
          <w:rFonts w:ascii="Times New Roman" w:hAnsi="Times New Roman" w:cs="Times New Roman"/>
          <w:sz w:val="24"/>
          <w:szCs w:val="24"/>
          <w:lang w:val="sr-Cyrl-RS"/>
        </w:rPr>
        <w:t>иј</w:t>
      </w:r>
      <w:r w:rsidR="000D0113" w:rsidRPr="003E5020">
        <w:rPr>
          <w:rFonts w:ascii="Times New Roman" w:hAnsi="Times New Roman" w:cs="Times New Roman"/>
          <w:sz w:val="24"/>
          <w:szCs w:val="24"/>
          <w:lang w:val="sr-Cyrl-RS"/>
        </w:rPr>
        <w:t xml:space="preserve">е, односно знања и вештине, </w:t>
      </w:r>
      <w:r w:rsidR="006308DD" w:rsidRPr="003E5020">
        <w:rPr>
          <w:rFonts w:ascii="Times New Roman" w:hAnsi="Times New Roman" w:cs="Times New Roman"/>
          <w:sz w:val="24"/>
          <w:szCs w:val="24"/>
          <w:lang w:val="sr-Cyrl-RS"/>
        </w:rPr>
        <w:t xml:space="preserve">при чему је </w:t>
      </w:r>
      <w:r w:rsidR="009F4E58" w:rsidRPr="003E5020">
        <w:rPr>
          <w:rFonts w:ascii="Times New Roman" w:hAnsi="Times New Roman" w:cs="Times New Roman"/>
          <w:sz w:val="24"/>
          <w:szCs w:val="24"/>
          <w:lang w:val="sr-Cyrl-RS"/>
        </w:rPr>
        <w:t xml:space="preserve">њихов </w:t>
      </w:r>
      <w:r w:rsidR="006308DD" w:rsidRPr="003E5020">
        <w:rPr>
          <w:rFonts w:ascii="Times New Roman" w:hAnsi="Times New Roman" w:cs="Times New Roman"/>
          <w:sz w:val="24"/>
          <w:szCs w:val="24"/>
          <w:lang w:val="sr-Cyrl-RS"/>
        </w:rPr>
        <w:t xml:space="preserve">број усклађен са </w:t>
      </w:r>
      <w:r w:rsidR="000E5EBE" w:rsidRPr="003E5020">
        <w:rPr>
          <w:rFonts w:ascii="Times New Roman" w:hAnsi="Times New Roman" w:cs="Times New Roman"/>
          <w:sz w:val="24"/>
          <w:szCs w:val="24"/>
          <w:lang w:val="sr-Cyrl-RS"/>
        </w:rPr>
        <w:t xml:space="preserve">стварним </w:t>
      </w:r>
      <w:r w:rsidR="006308DD" w:rsidRPr="003E5020">
        <w:rPr>
          <w:rFonts w:ascii="Times New Roman" w:hAnsi="Times New Roman" w:cs="Times New Roman"/>
          <w:sz w:val="24"/>
          <w:szCs w:val="24"/>
          <w:lang w:val="sr-Cyrl-RS"/>
        </w:rPr>
        <w:t>обим</w:t>
      </w:r>
      <w:r w:rsidR="000E5EBE" w:rsidRPr="003E5020">
        <w:rPr>
          <w:rFonts w:ascii="Times New Roman" w:hAnsi="Times New Roman" w:cs="Times New Roman"/>
          <w:sz w:val="24"/>
          <w:szCs w:val="24"/>
          <w:lang w:val="sr-Cyrl-RS"/>
        </w:rPr>
        <w:t>ом</w:t>
      </w:r>
      <w:r w:rsidR="006308DD" w:rsidRPr="003E5020">
        <w:rPr>
          <w:rFonts w:ascii="Times New Roman" w:hAnsi="Times New Roman" w:cs="Times New Roman"/>
          <w:sz w:val="24"/>
          <w:szCs w:val="24"/>
          <w:lang w:val="sr-Cyrl-RS"/>
        </w:rPr>
        <w:t xml:space="preserve"> посла правосуђа, </w:t>
      </w:r>
    </w:p>
    <w:p w14:paraId="1D8BE8CE" w14:textId="67E5FBF0" w:rsidR="006308DD" w:rsidRPr="003E5020" w:rsidRDefault="000D0113" w:rsidP="00A23055">
      <w:pPr>
        <w:pStyle w:val="ListParagraph"/>
        <w:numPr>
          <w:ilvl w:val="1"/>
          <w:numId w:val="2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w:t>
      </w:r>
      <w:r w:rsidR="005B5167" w:rsidRPr="003E5020">
        <w:rPr>
          <w:rFonts w:ascii="Times New Roman" w:hAnsi="Times New Roman" w:cs="Times New Roman"/>
          <w:sz w:val="24"/>
          <w:szCs w:val="24"/>
          <w:lang w:val="sr-Cyrl-RS"/>
        </w:rPr>
        <w:t xml:space="preserve">остојање адекватне инфраструктуре за успешан и континуиран развој људских ресурса у правосуђу, </w:t>
      </w:r>
    </w:p>
    <w:p w14:paraId="18EB1C9B" w14:textId="77777777" w:rsidR="006308DD" w:rsidRPr="003E5020" w:rsidRDefault="005B5167" w:rsidP="00A23055">
      <w:pPr>
        <w:pStyle w:val="ListParagraph"/>
        <w:numPr>
          <w:ilvl w:val="1"/>
          <w:numId w:val="2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постојање адекватног правног оквира, </w:t>
      </w:r>
    </w:p>
    <w:p w14:paraId="2AE8F7A2" w14:textId="77777777" w:rsidR="000E5EBE" w:rsidRPr="003E5020" w:rsidRDefault="005B5167" w:rsidP="00A23055">
      <w:pPr>
        <w:pStyle w:val="ListParagraph"/>
        <w:numPr>
          <w:ilvl w:val="1"/>
          <w:numId w:val="2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успостављање праведног и одрживог система финансијске компензације </w:t>
      </w:r>
      <w:r w:rsidR="00D94331" w:rsidRPr="003E5020">
        <w:rPr>
          <w:rFonts w:ascii="Times New Roman" w:hAnsi="Times New Roman" w:cs="Times New Roman"/>
          <w:sz w:val="24"/>
          <w:szCs w:val="24"/>
          <w:lang w:val="sr-Cyrl-RS"/>
        </w:rPr>
        <w:t>(</w:t>
      </w:r>
      <w:r w:rsidR="00613F83" w:rsidRPr="003E5020">
        <w:rPr>
          <w:rFonts w:ascii="Times New Roman" w:hAnsi="Times New Roman" w:cs="Times New Roman"/>
          <w:sz w:val="24"/>
          <w:szCs w:val="24"/>
          <w:lang w:val="sr-Cyrl-RS"/>
        </w:rPr>
        <w:t>зараде</w:t>
      </w:r>
      <w:r w:rsidR="00D94331"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свих категорија људских ресурса</w:t>
      </w:r>
      <w:r w:rsidR="002049C1" w:rsidRPr="003E5020">
        <w:rPr>
          <w:rFonts w:ascii="Times New Roman" w:hAnsi="Times New Roman" w:cs="Times New Roman"/>
          <w:sz w:val="24"/>
          <w:szCs w:val="24"/>
          <w:lang w:val="sr-Cyrl-RS"/>
        </w:rPr>
        <w:t xml:space="preserve"> у правосуђу</w:t>
      </w:r>
      <w:r w:rsidR="000E5EBE" w:rsidRPr="003E5020">
        <w:rPr>
          <w:rFonts w:ascii="Times New Roman" w:hAnsi="Times New Roman" w:cs="Times New Roman"/>
          <w:sz w:val="24"/>
          <w:szCs w:val="24"/>
          <w:lang w:val="sr-Cyrl-RS"/>
        </w:rPr>
        <w:t xml:space="preserve">, </w:t>
      </w:r>
    </w:p>
    <w:p w14:paraId="6DE41A66" w14:textId="0BBCD958" w:rsidR="00293B3C" w:rsidRPr="003E5020" w:rsidRDefault="000E5EBE" w:rsidP="00A23055">
      <w:pPr>
        <w:pStyle w:val="ListParagraph"/>
        <w:numPr>
          <w:ilvl w:val="1"/>
          <w:numId w:val="2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успостављање стратешко-планске функције за планирање људских ресурса, као и за њихов стабилан и подстицајан каријерни развој</w:t>
      </w:r>
      <w:r w:rsidR="00537929"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у свим професијама правосуђа</w:t>
      </w:r>
      <w:r w:rsidR="002049C1" w:rsidRPr="003E5020">
        <w:rPr>
          <w:rFonts w:ascii="Times New Roman" w:hAnsi="Times New Roman" w:cs="Times New Roman"/>
          <w:sz w:val="24"/>
          <w:szCs w:val="24"/>
          <w:lang w:val="sr-Cyrl-RS"/>
        </w:rPr>
        <w:t>.</w:t>
      </w:r>
    </w:p>
    <w:p w14:paraId="485CF801" w14:textId="3F28E550" w:rsidR="00293B3C" w:rsidRPr="003E5020" w:rsidRDefault="00293B3C" w:rsidP="00B8040E">
      <w:pPr>
        <w:ind w:left="851"/>
        <w:jc w:val="both"/>
        <w:rPr>
          <w:rFonts w:ascii="Times New Roman" w:hAnsi="Times New Roman" w:cs="Times New Roman"/>
          <w:sz w:val="24"/>
          <w:szCs w:val="24"/>
          <w:lang w:val="sr-Cyrl-RS"/>
        </w:rPr>
      </w:pPr>
    </w:p>
    <w:p w14:paraId="7EA009BC" w14:textId="326FB8F4" w:rsidR="004170D2" w:rsidRPr="003E5020" w:rsidRDefault="005F3927" w:rsidP="00F72E87">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91" w:name="_Недостатак_стратешког_планирања"/>
      <w:bookmarkStart w:id="92" w:name="_Toc84778624"/>
      <w:bookmarkEnd w:id="91"/>
      <w:r w:rsidRPr="003E5020">
        <w:rPr>
          <w:rFonts w:ascii="Times New Roman" w:hAnsi="Times New Roman" w:cs="Times New Roman"/>
          <w:color w:val="auto"/>
          <w:sz w:val="24"/>
          <w:szCs w:val="24"/>
          <w:lang w:val="sr-Cyrl-RS"/>
        </w:rPr>
        <w:t>Недостатак стратешког планирања у управљању људским ресурсима</w:t>
      </w:r>
      <w:bookmarkEnd w:id="92"/>
    </w:p>
    <w:p w14:paraId="048B9921" w14:textId="2B3C54A1" w:rsidR="005F3927" w:rsidRPr="003E5020" w:rsidRDefault="005F3927">
      <w:pPr>
        <w:ind w:left="851"/>
        <w:jc w:val="both"/>
        <w:rPr>
          <w:rFonts w:ascii="Times New Roman" w:hAnsi="Times New Roman" w:cs="Times New Roman"/>
          <w:sz w:val="24"/>
          <w:szCs w:val="24"/>
          <w:lang w:val="sr-Cyrl-RS"/>
        </w:rPr>
      </w:pPr>
    </w:p>
    <w:p w14:paraId="44877410" w14:textId="3F4CD591" w:rsidR="005F3927" w:rsidRPr="003E5020" w:rsidRDefault="002614E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w:t>
      </w:r>
      <w:r w:rsidR="003332FC" w:rsidRPr="003E5020">
        <w:rPr>
          <w:rFonts w:ascii="Times New Roman" w:hAnsi="Times New Roman" w:cs="Times New Roman"/>
          <w:sz w:val="24"/>
          <w:szCs w:val="24"/>
          <w:lang w:val="sr-Cyrl-RS"/>
        </w:rPr>
        <w:t xml:space="preserve">едостатак стратешког </w:t>
      </w:r>
      <w:r w:rsidR="00815F50" w:rsidRPr="003E5020">
        <w:rPr>
          <w:rFonts w:ascii="Times New Roman" w:hAnsi="Times New Roman" w:cs="Times New Roman"/>
          <w:sz w:val="24"/>
          <w:szCs w:val="24"/>
          <w:lang w:val="sr-Cyrl-RS"/>
        </w:rPr>
        <w:t xml:space="preserve">средњорочног </w:t>
      </w:r>
      <w:r w:rsidR="003332FC" w:rsidRPr="003E5020">
        <w:rPr>
          <w:rFonts w:ascii="Times New Roman" w:hAnsi="Times New Roman" w:cs="Times New Roman"/>
          <w:sz w:val="24"/>
          <w:szCs w:val="24"/>
          <w:lang w:val="sr-Cyrl-RS"/>
        </w:rPr>
        <w:t>планирања људских ресурса</w:t>
      </w:r>
      <w:r w:rsidR="009E5D40" w:rsidRPr="003E5020">
        <w:rPr>
          <w:rFonts w:ascii="Times New Roman" w:hAnsi="Times New Roman" w:cs="Times New Roman"/>
          <w:sz w:val="24"/>
          <w:szCs w:val="24"/>
          <w:lang w:val="sr-Cyrl-RS"/>
        </w:rPr>
        <w:t xml:space="preserve"> је један од кључних недостатака правосудног система</w:t>
      </w:r>
      <w:r w:rsidR="00815F50" w:rsidRPr="003E5020">
        <w:rPr>
          <w:rFonts w:ascii="Times New Roman" w:hAnsi="Times New Roman" w:cs="Times New Roman"/>
          <w:sz w:val="24"/>
          <w:szCs w:val="24"/>
          <w:lang w:val="sr-Cyrl-RS"/>
        </w:rPr>
        <w:t xml:space="preserve"> </w:t>
      </w:r>
      <w:r w:rsidR="001B6F00" w:rsidRPr="003E5020">
        <w:rPr>
          <w:rFonts w:ascii="Times New Roman" w:hAnsi="Times New Roman" w:cs="Times New Roman"/>
          <w:sz w:val="24"/>
          <w:szCs w:val="24"/>
          <w:lang w:val="sr-Cyrl-RS"/>
        </w:rPr>
        <w:t xml:space="preserve">Републике </w:t>
      </w:r>
      <w:r w:rsidR="00815F50" w:rsidRPr="003E5020">
        <w:rPr>
          <w:rFonts w:ascii="Times New Roman" w:hAnsi="Times New Roman" w:cs="Times New Roman"/>
          <w:sz w:val="24"/>
          <w:szCs w:val="24"/>
          <w:lang w:val="sr-Cyrl-RS"/>
        </w:rPr>
        <w:t>Србије</w:t>
      </w:r>
      <w:r w:rsidR="009E5D40" w:rsidRPr="003E5020">
        <w:rPr>
          <w:rFonts w:ascii="Times New Roman" w:hAnsi="Times New Roman" w:cs="Times New Roman"/>
          <w:sz w:val="24"/>
          <w:szCs w:val="24"/>
          <w:lang w:val="sr-Cyrl-RS"/>
        </w:rPr>
        <w:t xml:space="preserve">, који </w:t>
      </w:r>
      <w:r w:rsidR="009D66F8" w:rsidRPr="003E5020">
        <w:rPr>
          <w:rFonts w:ascii="Times New Roman" w:hAnsi="Times New Roman" w:cs="Times New Roman"/>
          <w:sz w:val="24"/>
          <w:szCs w:val="24"/>
          <w:lang w:val="sr-Cyrl-RS"/>
        </w:rPr>
        <w:t>у многоме</w:t>
      </w:r>
      <w:r w:rsidR="003332FC" w:rsidRPr="003E5020">
        <w:rPr>
          <w:rFonts w:ascii="Times New Roman" w:hAnsi="Times New Roman" w:cs="Times New Roman"/>
          <w:sz w:val="24"/>
          <w:szCs w:val="24"/>
          <w:lang w:val="sr-Cyrl-RS"/>
        </w:rPr>
        <w:t xml:space="preserve"> </w:t>
      </w:r>
      <w:r w:rsidR="009D66F8" w:rsidRPr="003E5020">
        <w:rPr>
          <w:rFonts w:ascii="Times New Roman" w:hAnsi="Times New Roman" w:cs="Times New Roman"/>
          <w:sz w:val="24"/>
          <w:szCs w:val="24"/>
          <w:lang w:val="sr-Cyrl-RS"/>
        </w:rPr>
        <w:t xml:space="preserve">онемогућава </w:t>
      </w:r>
      <w:r w:rsidR="00815F50" w:rsidRPr="003E5020">
        <w:rPr>
          <w:rFonts w:ascii="Times New Roman" w:hAnsi="Times New Roman" w:cs="Times New Roman"/>
          <w:sz w:val="24"/>
          <w:szCs w:val="24"/>
          <w:lang w:val="sr-Cyrl-RS"/>
        </w:rPr>
        <w:t xml:space="preserve">његову </w:t>
      </w:r>
      <w:r w:rsidR="003332FC" w:rsidRPr="003E5020">
        <w:rPr>
          <w:rFonts w:ascii="Times New Roman" w:hAnsi="Times New Roman" w:cs="Times New Roman"/>
          <w:sz w:val="24"/>
          <w:szCs w:val="24"/>
          <w:lang w:val="sr-Cyrl-RS"/>
        </w:rPr>
        <w:t xml:space="preserve">суштинску трансформацију у складу са </w:t>
      </w:r>
      <w:r w:rsidR="00815F50" w:rsidRPr="003E5020">
        <w:rPr>
          <w:rFonts w:ascii="Times New Roman" w:hAnsi="Times New Roman" w:cs="Times New Roman"/>
          <w:sz w:val="24"/>
          <w:szCs w:val="24"/>
          <w:lang w:val="sr-Cyrl-RS"/>
        </w:rPr>
        <w:t xml:space="preserve">стандардима </w:t>
      </w:r>
      <w:r w:rsidR="003332FC" w:rsidRPr="003E5020">
        <w:rPr>
          <w:rFonts w:ascii="Times New Roman" w:hAnsi="Times New Roman" w:cs="Times New Roman"/>
          <w:sz w:val="24"/>
          <w:szCs w:val="24"/>
          <w:lang w:val="sr-Cyrl-RS"/>
        </w:rPr>
        <w:t xml:space="preserve">Европске уније, </w:t>
      </w:r>
      <w:r w:rsidR="009712D2" w:rsidRPr="003E5020">
        <w:rPr>
          <w:rFonts w:ascii="Times New Roman" w:hAnsi="Times New Roman" w:cs="Times New Roman"/>
          <w:sz w:val="24"/>
          <w:szCs w:val="24"/>
          <w:lang w:val="sr-Cyrl-RS"/>
        </w:rPr>
        <w:t xml:space="preserve">где су </w:t>
      </w:r>
      <w:r w:rsidR="003332FC" w:rsidRPr="003E5020">
        <w:rPr>
          <w:rFonts w:ascii="Times New Roman" w:hAnsi="Times New Roman" w:cs="Times New Roman"/>
          <w:sz w:val="24"/>
          <w:szCs w:val="24"/>
          <w:lang w:val="sr-Cyrl-RS"/>
        </w:rPr>
        <w:t xml:space="preserve">учинак, продуктивност и инвестирање у људске ресурсе </w:t>
      </w:r>
      <w:r w:rsidR="003619EE" w:rsidRPr="003E5020">
        <w:rPr>
          <w:rFonts w:ascii="Times New Roman" w:hAnsi="Times New Roman" w:cs="Times New Roman"/>
          <w:sz w:val="24"/>
          <w:szCs w:val="24"/>
          <w:lang w:val="sr-Cyrl-RS"/>
        </w:rPr>
        <w:t>кључни елемент</w:t>
      </w:r>
      <w:r w:rsidR="009E5D40" w:rsidRPr="003E5020">
        <w:rPr>
          <w:rFonts w:ascii="Times New Roman" w:hAnsi="Times New Roman" w:cs="Times New Roman"/>
          <w:sz w:val="24"/>
          <w:szCs w:val="24"/>
          <w:lang w:val="sr-Cyrl-RS"/>
        </w:rPr>
        <w:t>и</w:t>
      </w:r>
      <w:r w:rsidR="003619EE" w:rsidRPr="003E5020">
        <w:rPr>
          <w:rFonts w:ascii="Times New Roman" w:hAnsi="Times New Roman" w:cs="Times New Roman"/>
          <w:sz w:val="24"/>
          <w:szCs w:val="24"/>
          <w:lang w:val="sr-Cyrl-RS"/>
        </w:rPr>
        <w:t xml:space="preserve"> успеха. </w:t>
      </w:r>
    </w:p>
    <w:p w14:paraId="275D5884" w14:textId="5AF5FE9B" w:rsidR="003619EE" w:rsidRPr="003E5020" w:rsidRDefault="003619EE">
      <w:pPr>
        <w:ind w:left="851"/>
        <w:jc w:val="both"/>
        <w:rPr>
          <w:rFonts w:ascii="Times New Roman" w:hAnsi="Times New Roman" w:cs="Times New Roman"/>
          <w:sz w:val="24"/>
          <w:szCs w:val="24"/>
          <w:lang w:val="sr-Cyrl-RS"/>
        </w:rPr>
      </w:pPr>
    </w:p>
    <w:p w14:paraId="5BA1169F" w14:textId="150EFE95" w:rsidR="00983EFF" w:rsidRPr="003E5020" w:rsidRDefault="002E0B06" w:rsidP="0069015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w:t>
      </w:r>
      <w:r w:rsidR="009C3AFD" w:rsidRPr="003E5020">
        <w:rPr>
          <w:rFonts w:ascii="Times New Roman" w:hAnsi="Times New Roman" w:cs="Times New Roman"/>
          <w:sz w:val="24"/>
          <w:szCs w:val="24"/>
          <w:lang w:val="sr-Cyrl-RS"/>
        </w:rPr>
        <w:t>до сада урађеним анализама</w:t>
      </w:r>
      <w:r w:rsidRPr="003E5020">
        <w:rPr>
          <w:rFonts w:ascii="Times New Roman" w:hAnsi="Times New Roman" w:cs="Times New Roman"/>
          <w:sz w:val="24"/>
          <w:szCs w:val="24"/>
          <w:lang w:val="sr-Cyrl-RS"/>
        </w:rPr>
        <w:t xml:space="preserve">, </w:t>
      </w:r>
      <w:r w:rsidR="003619EE" w:rsidRPr="003E5020">
        <w:rPr>
          <w:rFonts w:ascii="Times New Roman" w:hAnsi="Times New Roman" w:cs="Times New Roman"/>
          <w:sz w:val="24"/>
          <w:szCs w:val="24"/>
          <w:lang w:val="sr-Cyrl-RS"/>
        </w:rPr>
        <w:t>Србија има једну од највиших стопа броја судија у односу на број становника у целој Европ</w:t>
      </w:r>
      <w:r w:rsidR="006F55DF" w:rsidRPr="003E5020">
        <w:rPr>
          <w:rFonts w:ascii="Times New Roman" w:hAnsi="Times New Roman" w:cs="Times New Roman"/>
          <w:sz w:val="24"/>
          <w:szCs w:val="24"/>
          <w:lang w:val="sr-Cyrl-RS"/>
        </w:rPr>
        <w:t>и</w:t>
      </w:r>
      <w:r w:rsidR="003619EE" w:rsidRPr="003E5020">
        <w:rPr>
          <w:rStyle w:val="FootnoteReference"/>
          <w:rFonts w:ascii="Times New Roman" w:hAnsi="Times New Roman" w:cs="Times New Roman"/>
          <w:sz w:val="24"/>
          <w:szCs w:val="24"/>
          <w:lang w:val="sr-Cyrl-RS"/>
        </w:rPr>
        <w:footnoteReference w:id="26"/>
      </w:r>
      <w:r w:rsidR="003619EE"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која </w:t>
      </w:r>
      <w:r w:rsidR="00F50FA0" w:rsidRPr="003E5020">
        <w:rPr>
          <w:rFonts w:ascii="Times New Roman" w:hAnsi="Times New Roman" w:cs="Times New Roman"/>
          <w:sz w:val="24"/>
          <w:szCs w:val="24"/>
          <w:lang w:val="sr-Cyrl-RS"/>
        </w:rPr>
        <w:t xml:space="preserve">не кореспондира са стопом ефикасности </w:t>
      </w:r>
      <w:r w:rsidR="0015554A" w:rsidRPr="003E5020">
        <w:rPr>
          <w:rFonts w:ascii="Times New Roman" w:hAnsi="Times New Roman" w:cs="Times New Roman"/>
          <w:sz w:val="24"/>
          <w:szCs w:val="24"/>
          <w:lang w:val="sr-Cyrl-RS"/>
        </w:rPr>
        <w:t xml:space="preserve">и </w:t>
      </w:r>
      <w:r w:rsidR="00DD552B" w:rsidRPr="003E5020">
        <w:rPr>
          <w:rFonts w:ascii="Times New Roman" w:hAnsi="Times New Roman" w:cs="Times New Roman"/>
          <w:sz w:val="24"/>
          <w:szCs w:val="24"/>
          <w:lang w:val="sr-Cyrl-RS"/>
        </w:rPr>
        <w:t>учинка система, док је број јавних тужилаца и заменика јавних тужилаца близу европског просека</w:t>
      </w:r>
      <w:r w:rsidR="00DD552B" w:rsidRPr="003E5020">
        <w:rPr>
          <w:rStyle w:val="FootnoteReference"/>
          <w:rFonts w:ascii="Times New Roman" w:hAnsi="Times New Roman" w:cs="Times New Roman"/>
          <w:sz w:val="24"/>
          <w:szCs w:val="24"/>
          <w:lang w:val="sr-Cyrl-RS"/>
        </w:rPr>
        <w:footnoteReference w:id="27"/>
      </w:r>
      <w:r w:rsidR="00DD552B" w:rsidRPr="003E5020">
        <w:rPr>
          <w:rFonts w:ascii="Times New Roman" w:hAnsi="Times New Roman" w:cs="Times New Roman"/>
          <w:sz w:val="24"/>
          <w:szCs w:val="24"/>
          <w:lang w:val="sr-Cyrl-RS"/>
        </w:rPr>
        <w:t xml:space="preserve">. </w:t>
      </w:r>
    </w:p>
    <w:p w14:paraId="6F3E897E" w14:textId="77777777" w:rsidR="00DD552B" w:rsidRPr="003E5020" w:rsidRDefault="00DD552B" w:rsidP="0069015C">
      <w:pPr>
        <w:ind w:left="851"/>
        <w:jc w:val="both"/>
        <w:rPr>
          <w:rFonts w:ascii="Times New Roman" w:hAnsi="Times New Roman" w:cs="Times New Roman"/>
          <w:sz w:val="24"/>
          <w:szCs w:val="24"/>
          <w:lang w:val="sr-Cyrl-RS"/>
        </w:rPr>
      </w:pPr>
    </w:p>
    <w:p w14:paraId="32B793C9" w14:textId="5618450B" w:rsidR="00DD552B" w:rsidRPr="003E5020" w:rsidRDefault="00DD552B" w:rsidP="00DD552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Светска банка израдила је почетком 2019. године и посебну „Функционалну анализу тужилачког система у Србији</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која се, између осталог, бави и проблемима у управљању људским ресурсима унутар тужилачког система. Такође, треба имати у виду и закључке и препоруке, који су садржани у Анализи потребног броја заменика јавних тужилаца у јавним тужилаштвима у Републици Србији.</w:t>
      </w:r>
    </w:p>
    <w:p w14:paraId="7358F7AE" w14:textId="6D98D9B0" w:rsidR="00084908" w:rsidRPr="003E5020" w:rsidRDefault="00084908">
      <w:pPr>
        <w:autoSpaceDE w:val="0"/>
        <w:autoSpaceDN w:val="0"/>
        <w:adjustRightInd w:val="0"/>
        <w:spacing w:line="240" w:lineRule="auto"/>
        <w:rPr>
          <w:rFonts w:ascii="Times New Roman" w:hAnsi="Times New Roman" w:cs="Times New Roman"/>
          <w:sz w:val="24"/>
          <w:szCs w:val="24"/>
          <w:lang w:val="sr-Cyrl-RS"/>
        </w:rPr>
      </w:pPr>
    </w:p>
    <w:p w14:paraId="156BC3F6" w14:textId="4437A048" w:rsidR="004549F0" w:rsidRPr="003E5020" w:rsidRDefault="002E0B0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Међутим, закључци о броју судија </w:t>
      </w:r>
      <w:r w:rsidR="00DD552B" w:rsidRPr="003E5020">
        <w:rPr>
          <w:rFonts w:ascii="Times New Roman" w:hAnsi="Times New Roman" w:cs="Times New Roman"/>
          <w:sz w:val="24"/>
          <w:szCs w:val="24"/>
          <w:lang w:val="sr-Cyrl-RS"/>
        </w:rPr>
        <w:t>и јавних тужилаца и заменика јавних тужилаца</w:t>
      </w:r>
      <w:r w:rsidR="00DD552B" w:rsidRPr="003E5020" w:rsidDel="00DD552B">
        <w:rPr>
          <w:rFonts w:ascii="Times New Roman" w:hAnsi="Times New Roman" w:cs="Times New Roman"/>
          <w:sz w:val="24"/>
          <w:szCs w:val="24"/>
          <w:lang w:val="sr-Cyrl-RS"/>
        </w:rPr>
        <w:t xml:space="preserve"> </w:t>
      </w:r>
      <w:r w:rsidR="00DD552B"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као и судског/тужилачког особља, могу се с правом </w:t>
      </w:r>
      <w:r w:rsidR="004D7A03" w:rsidRPr="003E5020">
        <w:rPr>
          <w:rFonts w:ascii="Times New Roman" w:hAnsi="Times New Roman" w:cs="Times New Roman"/>
          <w:sz w:val="24"/>
          <w:szCs w:val="24"/>
          <w:lang w:val="sr-Cyrl-RS"/>
        </w:rPr>
        <w:t xml:space="preserve">узети с резервом, имајући у виду </w:t>
      </w:r>
      <w:r w:rsidR="001F78C5" w:rsidRPr="003E5020">
        <w:rPr>
          <w:rFonts w:ascii="Times New Roman" w:hAnsi="Times New Roman" w:cs="Times New Roman"/>
          <w:sz w:val="24"/>
          <w:szCs w:val="24"/>
          <w:lang w:val="sr-Cyrl-RS"/>
        </w:rPr>
        <w:t>да н</w:t>
      </w:r>
      <w:r w:rsidR="004D7A03" w:rsidRPr="003E5020">
        <w:rPr>
          <w:rFonts w:ascii="Times New Roman" w:hAnsi="Times New Roman" w:cs="Times New Roman"/>
          <w:sz w:val="24"/>
          <w:szCs w:val="24"/>
          <w:lang w:val="sr-Cyrl-RS"/>
        </w:rPr>
        <w:t xml:space="preserve">е постоји систем програмског планирања који </w:t>
      </w:r>
      <w:r w:rsidR="003C06EF" w:rsidRPr="003E5020">
        <w:rPr>
          <w:rFonts w:ascii="Times New Roman" w:hAnsi="Times New Roman" w:cs="Times New Roman"/>
          <w:sz w:val="24"/>
          <w:szCs w:val="24"/>
          <w:lang w:val="sr-Cyrl-RS"/>
        </w:rPr>
        <w:t>на аналитич</w:t>
      </w:r>
      <w:r w:rsidR="000D25C0" w:rsidRPr="003E5020">
        <w:rPr>
          <w:rFonts w:ascii="Times New Roman" w:hAnsi="Times New Roman" w:cs="Times New Roman"/>
          <w:sz w:val="24"/>
          <w:szCs w:val="24"/>
          <w:lang w:val="sr-Cyrl-RS"/>
        </w:rPr>
        <w:t>ан</w:t>
      </w:r>
      <w:r w:rsidR="003C06EF" w:rsidRPr="003E5020">
        <w:rPr>
          <w:rFonts w:ascii="Times New Roman" w:hAnsi="Times New Roman" w:cs="Times New Roman"/>
          <w:sz w:val="24"/>
          <w:szCs w:val="24"/>
          <w:lang w:val="sr-Cyrl-RS"/>
        </w:rPr>
        <w:t xml:space="preserve"> начин</w:t>
      </w:r>
      <w:r w:rsidR="008E330D" w:rsidRPr="003E5020">
        <w:rPr>
          <w:rFonts w:ascii="Times New Roman" w:hAnsi="Times New Roman" w:cs="Times New Roman"/>
          <w:sz w:val="24"/>
          <w:szCs w:val="24"/>
          <w:lang w:val="sr-Cyrl-RS"/>
        </w:rPr>
        <w:t>,</w:t>
      </w:r>
      <w:r w:rsidR="003C06EF" w:rsidRPr="003E5020">
        <w:rPr>
          <w:rFonts w:ascii="Times New Roman" w:hAnsi="Times New Roman" w:cs="Times New Roman"/>
          <w:sz w:val="24"/>
          <w:szCs w:val="24"/>
          <w:lang w:val="sr-Cyrl-RS"/>
        </w:rPr>
        <w:t xml:space="preserve"> квалитативно разматра однос обима и структуре посла правосуђа (изражен</w:t>
      </w:r>
      <w:r w:rsidR="00964186" w:rsidRPr="003E5020">
        <w:rPr>
          <w:rFonts w:ascii="Times New Roman" w:hAnsi="Times New Roman" w:cs="Times New Roman"/>
          <w:sz w:val="24"/>
          <w:szCs w:val="24"/>
          <w:lang w:val="sr-Cyrl-RS"/>
        </w:rPr>
        <w:t>е</w:t>
      </w:r>
      <w:r w:rsidR="003C06EF" w:rsidRPr="003E5020">
        <w:rPr>
          <w:rFonts w:ascii="Times New Roman" w:hAnsi="Times New Roman" w:cs="Times New Roman"/>
          <w:sz w:val="24"/>
          <w:szCs w:val="24"/>
          <w:lang w:val="sr-Cyrl-RS"/>
        </w:rPr>
        <w:t xml:space="preserve"> </w:t>
      </w:r>
      <w:r w:rsidR="00964186" w:rsidRPr="003E5020">
        <w:rPr>
          <w:rFonts w:ascii="Times New Roman" w:hAnsi="Times New Roman" w:cs="Times New Roman"/>
          <w:sz w:val="24"/>
          <w:szCs w:val="24"/>
          <w:lang w:val="sr-Cyrl-RS"/>
        </w:rPr>
        <w:t xml:space="preserve">не само </w:t>
      </w:r>
      <w:r w:rsidR="003C06EF" w:rsidRPr="003E5020">
        <w:rPr>
          <w:rFonts w:ascii="Times New Roman" w:hAnsi="Times New Roman" w:cs="Times New Roman"/>
          <w:sz w:val="24"/>
          <w:szCs w:val="24"/>
          <w:lang w:val="sr-Cyrl-RS"/>
        </w:rPr>
        <w:t>кроз број</w:t>
      </w:r>
      <w:r w:rsidR="00964186" w:rsidRPr="003E5020">
        <w:rPr>
          <w:rFonts w:ascii="Times New Roman" w:hAnsi="Times New Roman" w:cs="Times New Roman"/>
          <w:sz w:val="24"/>
          <w:szCs w:val="24"/>
          <w:lang w:val="sr-Cyrl-RS"/>
        </w:rPr>
        <w:t>, него</w:t>
      </w:r>
      <w:r w:rsidR="003C06EF" w:rsidRPr="003E5020">
        <w:rPr>
          <w:rFonts w:ascii="Times New Roman" w:hAnsi="Times New Roman" w:cs="Times New Roman"/>
          <w:sz w:val="24"/>
          <w:szCs w:val="24"/>
          <w:lang w:val="sr-Cyrl-RS"/>
        </w:rPr>
        <w:t xml:space="preserve"> и </w:t>
      </w:r>
      <w:r w:rsidR="0086749F" w:rsidRPr="003E5020">
        <w:rPr>
          <w:rFonts w:ascii="Times New Roman" w:hAnsi="Times New Roman" w:cs="Times New Roman"/>
          <w:sz w:val="24"/>
          <w:szCs w:val="24"/>
          <w:lang w:val="sr-Cyrl-RS"/>
        </w:rPr>
        <w:t xml:space="preserve">сложеност </w:t>
      </w:r>
      <w:r w:rsidR="003C06EF" w:rsidRPr="003E5020">
        <w:rPr>
          <w:rFonts w:ascii="Times New Roman" w:hAnsi="Times New Roman" w:cs="Times New Roman"/>
          <w:sz w:val="24"/>
          <w:szCs w:val="24"/>
          <w:lang w:val="sr-Cyrl-RS"/>
        </w:rPr>
        <w:t>предмета које правосуђе треба да реши</w:t>
      </w:r>
      <w:r w:rsidR="00964186" w:rsidRPr="003E5020">
        <w:rPr>
          <w:rFonts w:ascii="Times New Roman" w:hAnsi="Times New Roman" w:cs="Times New Roman"/>
          <w:sz w:val="24"/>
          <w:szCs w:val="24"/>
          <w:lang w:val="sr-Cyrl-RS"/>
        </w:rPr>
        <w:t xml:space="preserve">, и </w:t>
      </w:r>
      <w:r w:rsidR="0086749F" w:rsidRPr="003E5020">
        <w:rPr>
          <w:rFonts w:ascii="Times New Roman" w:hAnsi="Times New Roman" w:cs="Times New Roman"/>
          <w:sz w:val="24"/>
          <w:szCs w:val="24"/>
          <w:lang w:val="sr-Cyrl-RS"/>
        </w:rPr>
        <w:t xml:space="preserve">тиме и </w:t>
      </w:r>
      <w:r w:rsidR="00964186" w:rsidRPr="003E5020">
        <w:rPr>
          <w:rFonts w:ascii="Times New Roman" w:hAnsi="Times New Roman" w:cs="Times New Roman"/>
          <w:sz w:val="24"/>
          <w:szCs w:val="24"/>
          <w:lang w:val="sr-Cyrl-RS"/>
        </w:rPr>
        <w:t>потребно време за њихово решавање</w:t>
      </w:r>
      <w:r w:rsidR="003C06EF" w:rsidRPr="003E5020">
        <w:rPr>
          <w:rFonts w:ascii="Times New Roman" w:hAnsi="Times New Roman" w:cs="Times New Roman"/>
          <w:sz w:val="24"/>
          <w:szCs w:val="24"/>
          <w:lang w:val="sr-Cyrl-RS"/>
        </w:rPr>
        <w:t>)</w:t>
      </w:r>
      <w:r w:rsidR="000D25C0" w:rsidRPr="003E5020">
        <w:rPr>
          <w:rFonts w:ascii="Times New Roman" w:hAnsi="Times New Roman" w:cs="Times New Roman"/>
          <w:sz w:val="24"/>
          <w:szCs w:val="24"/>
          <w:lang w:val="sr-Cyrl-RS"/>
        </w:rPr>
        <w:t xml:space="preserve">, </w:t>
      </w:r>
      <w:r w:rsidR="008E330D" w:rsidRPr="003E5020">
        <w:rPr>
          <w:rFonts w:ascii="Times New Roman" w:hAnsi="Times New Roman" w:cs="Times New Roman"/>
          <w:sz w:val="24"/>
          <w:szCs w:val="24"/>
          <w:lang w:val="sr-Cyrl-RS"/>
        </w:rPr>
        <w:t xml:space="preserve">с једне, и </w:t>
      </w:r>
      <w:r w:rsidR="000D25C0" w:rsidRPr="003E5020">
        <w:rPr>
          <w:rFonts w:ascii="Times New Roman" w:hAnsi="Times New Roman" w:cs="Times New Roman"/>
          <w:sz w:val="24"/>
          <w:szCs w:val="24"/>
          <w:lang w:val="sr-Cyrl-RS"/>
        </w:rPr>
        <w:t xml:space="preserve">стварне потребе за свим врстама људских ресурса, а тиме и реалан </w:t>
      </w:r>
      <w:r w:rsidR="008E330D" w:rsidRPr="003E5020">
        <w:rPr>
          <w:rFonts w:ascii="Times New Roman" w:hAnsi="Times New Roman" w:cs="Times New Roman"/>
          <w:sz w:val="24"/>
          <w:szCs w:val="24"/>
          <w:lang w:val="sr-Cyrl-RS"/>
        </w:rPr>
        <w:t xml:space="preserve">и независан </w:t>
      </w:r>
      <w:r w:rsidR="000D25C0" w:rsidRPr="003E5020">
        <w:rPr>
          <w:rFonts w:ascii="Times New Roman" w:hAnsi="Times New Roman" w:cs="Times New Roman"/>
          <w:sz w:val="24"/>
          <w:szCs w:val="24"/>
          <w:lang w:val="sr-Cyrl-RS"/>
        </w:rPr>
        <w:t>буџет</w:t>
      </w:r>
      <w:r w:rsidR="002211DC" w:rsidRPr="003E5020">
        <w:rPr>
          <w:rFonts w:ascii="Times New Roman" w:hAnsi="Times New Roman" w:cs="Times New Roman"/>
          <w:sz w:val="24"/>
          <w:szCs w:val="24"/>
          <w:lang w:val="sr-Cyrl-RS"/>
        </w:rPr>
        <w:t xml:space="preserve"> правосуђа</w:t>
      </w:r>
      <w:r w:rsidR="008E330D" w:rsidRPr="003E5020">
        <w:rPr>
          <w:rFonts w:ascii="Times New Roman" w:hAnsi="Times New Roman" w:cs="Times New Roman"/>
          <w:sz w:val="24"/>
          <w:szCs w:val="24"/>
          <w:lang w:val="sr-Cyrl-RS"/>
        </w:rPr>
        <w:t>, с друге стране</w:t>
      </w:r>
      <w:r w:rsidR="001F78C5" w:rsidRPr="003E5020">
        <w:rPr>
          <w:rFonts w:ascii="Times New Roman" w:hAnsi="Times New Roman" w:cs="Times New Roman"/>
          <w:sz w:val="24"/>
          <w:szCs w:val="24"/>
          <w:lang w:val="sr-Cyrl-RS"/>
        </w:rPr>
        <w:t xml:space="preserve">. </w:t>
      </w:r>
      <w:r w:rsidR="00FC32B6" w:rsidRPr="003E5020">
        <w:rPr>
          <w:rFonts w:ascii="Times New Roman" w:hAnsi="Times New Roman" w:cs="Times New Roman"/>
          <w:sz w:val="24"/>
          <w:szCs w:val="24"/>
          <w:lang w:val="sr-Cyrl-RS"/>
        </w:rPr>
        <w:t xml:space="preserve">Стога је садашње </w:t>
      </w:r>
      <w:r w:rsidR="001F78C5" w:rsidRPr="003E5020">
        <w:rPr>
          <w:rFonts w:ascii="Times New Roman" w:hAnsi="Times New Roman" w:cs="Times New Roman"/>
          <w:sz w:val="24"/>
          <w:szCs w:val="24"/>
          <w:lang w:val="sr-Cyrl-RS"/>
        </w:rPr>
        <w:t>упросечавање радног оптерећења</w:t>
      </w:r>
      <w:r w:rsidR="00FC32B6" w:rsidRPr="003E5020">
        <w:rPr>
          <w:rFonts w:ascii="Times New Roman" w:hAnsi="Times New Roman" w:cs="Times New Roman"/>
          <w:sz w:val="24"/>
          <w:szCs w:val="24"/>
          <w:lang w:val="sr-Cyrl-RS"/>
        </w:rPr>
        <w:t xml:space="preserve"> и носилаца правосудних функција и судског/тужилачког особља, а према томе и њиховог броја, релативно</w:t>
      </w:r>
      <w:r w:rsidR="004549F0" w:rsidRPr="003E5020">
        <w:rPr>
          <w:rFonts w:ascii="Times New Roman" w:hAnsi="Times New Roman" w:cs="Times New Roman"/>
          <w:sz w:val="24"/>
          <w:szCs w:val="24"/>
          <w:lang w:val="sr-Cyrl-RS"/>
        </w:rPr>
        <w:t>, и ствара несклад између могућности и очекивања од правосуђа</w:t>
      </w:r>
      <w:r w:rsidR="00FC32B6" w:rsidRPr="003E5020">
        <w:rPr>
          <w:rFonts w:ascii="Times New Roman" w:hAnsi="Times New Roman" w:cs="Times New Roman"/>
          <w:sz w:val="24"/>
          <w:szCs w:val="24"/>
          <w:lang w:val="sr-Cyrl-RS"/>
        </w:rPr>
        <w:t xml:space="preserve">. </w:t>
      </w:r>
    </w:p>
    <w:p w14:paraId="6C024C02" w14:textId="77777777" w:rsidR="004549F0" w:rsidRPr="003E5020" w:rsidRDefault="004549F0" w:rsidP="00F42805">
      <w:pPr>
        <w:jc w:val="both"/>
        <w:rPr>
          <w:rFonts w:ascii="Times New Roman" w:hAnsi="Times New Roman" w:cs="Times New Roman"/>
          <w:sz w:val="24"/>
          <w:szCs w:val="24"/>
          <w:lang w:val="sr-Cyrl-RS"/>
        </w:rPr>
      </w:pPr>
    </w:p>
    <w:p w14:paraId="62F4F1DC" w14:textId="66AA728B" w:rsidR="002E0B06" w:rsidRPr="003E5020" w:rsidRDefault="004549F0" w:rsidP="008F43C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 </w:t>
      </w:r>
      <w:r w:rsidR="001F78C5" w:rsidRPr="003E5020">
        <w:rPr>
          <w:rFonts w:ascii="Times New Roman" w:hAnsi="Times New Roman" w:cs="Times New Roman"/>
          <w:sz w:val="24"/>
          <w:szCs w:val="24"/>
          <w:lang w:val="sr-Cyrl-RS"/>
        </w:rPr>
        <w:t xml:space="preserve">исправне закључке </w:t>
      </w:r>
      <w:r w:rsidR="00213745" w:rsidRPr="003E5020">
        <w:rPr>
          <w:rFonts w:ascii="Times New Roman" w:hAnsi="Times New Roman" w:cs="Times New Roman"/>
          <w:sz w:val="24"/>
          <w:szCs w:val="24"/>
          <w:lang w:val="sr-Cyrl-RS"/>
        </w:rPr>
        <w:t xml:space="preserve">о броју и структури потребних људских ресурса, неопходно је </w:t>
      </w:r>
      <w:r w:rsidR="001F78C5" w:rsidRPr="003E5020">
        <w:rPr>
          <w:rFonts w:ascii="Times New Roman" w:hAnsi="Times New Roman" w:cs="Times New Roman"/>
          <w:sz w:val="24"/>
          <w:szCs w:val="24"/>
          <w:lang w:val="sr-Cyrl-RS"/>
        </w:rPr>
        <w:t>успоставити систем програмског планирања ресурса</w:t>
      </w:r>
      <w:r w:rsidR="008F43C6" w:rsidRPr="003E5020">
        <w:rPr>
          <w:rFonts w:ascii="Times New Roman" w:hAnsi="Times New Roman" w:cs="Times New Roman"/>
          <w:sz w:val="24"/>
          <w:szCs w:val="24"/>
          <w:lang w:val="sr-Cyrl-RS"/>
        </w:rPr>
        <w:t xml:space="preserve"> у</w:t>
      </w:r>
      <w:r w:rsidR="001F78C5" w:rsidRPr="003E5020">
        <w:rPr>
          <w:rFonts w:ascii="Times New Roman" w:hAnsi="Times New Roman" w:cs="Times New Roman"/>
          <w:sz w:val="24"/>
          <w:szCs w:val="24"/>
          <w:lang w:val="sr-Cyrl-RS"/>
        </w:rPr>
        <w:t xml:space="preserve"> правосуђ</w:t>
      </w:r>
      <w:r w:rsidR="008F43C6" w:rsidRPr="003E5020">
        <w:rPr>
          <w:rFonts w:ascii="Times New Roman" w:hAnsi="Times New Roman" w:cs="Times New Roman"/>
          <w:sz w:val="24"/>
          <w:szCs w:val="24"/>
          <w:lang w:val="sr-Cyrl-RS"/>
        </w:rPr>
        <w:t>у</w:t>
      </w:r>
      <w:r w:rsidR="001F78C5" w:rsidRPr="003E5020">
        <w:rPr>
          <w:rFonts w:ascii="Times New Roman" w:hAnsi="Times New Roman" w:cs="Times New Roman"/>
          <w:sz w:val="24"/>
          <w:szCs w:val="24"/>
          <w:lang w:val="sr-Cyrl-RS"/>
        </w:rPr>
        <w:t xml:space="preserve">, заснован на </w:t>
      </w:r>
      <w:r w:rsidR="00213745" w:rsidRPr="003E5020">
        <w:rPr>
          <w:rFonts w:ascii="Times New Roman" w:hAnsi="Times New Roman" w:cs="Times New Roman"/>
          <w:sz w:val="24"/>
          <w:szCs w:val="24"/>
          <w:lang w:val="sr-Cyrl-RS"/>
        </w:rPr>
        <w:t>пословним</w:t>
      </w:r>
      <w:r w:rsidR="008F43C6" w:rsidRPr="003E5020">
        <w:rPr>
          <w:rFonts w:ascii="Times New Roman" w:hAnsi="Times New Roman" w:cs="Times New Roman"/>
          <w:sz w:val="24"/>
          <w:szCs w:val="24"/>
          <w:lang w:val="sr-Cyrl-RS"/>
        </w:rPr>
        <w:t xml:space="preserve"> </w:t>
      </w:r>
      <w:r w:rsidR="00213745" w:rsidRPr="003E5020">
        <w:rPr>
          <w:rFonts w:ascii="Times New Roman" w:hAnsi="Times New Roman" w:cs="Times New Roman"/>
          <w:sz w:val="24"/>
          <w:szCs w:val="24"/>
          <w:lang w:val="sr-Cyrl-RS"/>
        </w:rPr>
        <w:t>(</w:t>
      </w:r>
      <w:r w:rsidR="001F78C5" w:rsidRPr="003E5020">
        <w:rPr>
          <w:rFonts w:ascii="Times New Roman" w:hAnsi="Times New Roman" w:cs="Times New Roman"/>
          <w:sz w:val="24"/>
          <w:szCs w:val="24"/>
          <w:lang w:val="sr-Cyrl-RS"/>
        </w:rPr>
        <w:t>броју</w:t>
      </w:r>
      <w:r w:rsidR="00CC7F3F" w:rsidRPr="003E5020">
        <w:rPr>
          <w:rFonts w:ascii="Times New Roman" w:hAnsi="Times New Roman" w:cs="Times New Roman"/>
          <w:sz w:val="24"/>
          <w:szCs w:val="24"/>
          <w:lang w:val="sr-Cyrl-RS"/>
        </w:rPr>
        <w:t xml:space="preserve"> и </w:t>
      </w:r>
      <w:r w:rsidR="001F78C5" w:rsidRPr="003E5020">
        <w:rPr>
          <w:rFonts w:ascii="Times New Roman" w:hAnsi="Times New Roman" w:cs="Times New Roman"/>
          <w:sz w:val="24"/>
          <w:szCs w:val="24"/>
          <w:lang w:val="sr-Cyrl-RS"/>
        </w:rPr>
        <w:t xml:space="preserve"> сложености</w:t>
      </w:r>
      <w:r w:rsidR="00CC7F3F" w:rsidRPr="003E5020">
        <w:rPr>
          <w:rFonts w:ascii="Times New Roman" w:hAnsi="Times New Roman" w:cs="Times New Roman"/>
          <w:sz w:val="24"/>
          <w:szCs w:val="24"/>
          <w:lang w:val="sr-Cyrl-RS"/>
        </w:rPr>
        <w:t xml:space="preserve"> предмета правосуђа</w:t>
      </w:r>
      <w:r w:rsidR="00213745" w:rsidRPr="003E5020">
        <w:rPr>
          <w:rFonts w:ascii="Times New Roman" w:hAnsi="Times New Roman" w:cs="Times New Roman"/>
          <w:sz w:val="24"/>
          <w:szCs w:val="24"/>
          <w:lang w:val="sr-Cyrl-RS"/>
        </w:rPr>
        <w:t>) и временским (</w:t>
      </w:r>
      <w:r w:rsidR="00CC7F3F" w:rsidRPr="003E5020">
        <w:rPr>
          <w:rFonts w:ascii="Times New Roman" w:hAnsi="Times New Roman" w:cs="Times New Roman"/>
          <w:sz w:val="24"/>
          <w:szCs w:val="24"/>
          <w:lang w:val="sr-Cyrl-RS"/>
        </w:rPr>
        <w:t xml:space="preserve">реално </w:t>
      </w:r>
      <w:r w:rsidR="001F78C5" w:rsidRPr="003E5020">
        <w:rPr>
          <w:rFonts w:ascii="Times New Roman" w:hAnsi="Times New Roman" w:cs="Times New Roman"/>
          <w:sz w:val="24"/>
          <w:szCs w:val="24"/>
          <w:lang w:val="sr-Cyrl-RS"/>
        </w:rPr>
        <w:t xml:space="preserve">потребном времену да се савлада </w:t>
      </w:r>
      <w:r w:rsidR="00CD7364" w:rsidRPr="003E5020">
        <w:rPr>
          <w:rFonts w:ascii="Times New Roman" w:hAnsi="Times New Roman" w:cs="Times New Roman"/>
          <w:sz w:val="24"/>
          <w:szCs w:val="24"/>
          <w:lang w:val="sr-Cyrl-RS"/>
        </w:rPr>
        <w:t>жељени</w:t>
      </w:r>
      <w:r w:rsidR="00CC7F3F" w:rsidRPr="003E5020">
        <w:rPr>
          <w:rFonts w:ascii="Times New Roman" w:hAnsi="Times New Roman" w:cs="Times New Roman"/>
          <w:sz w:val="24"/>
          <w:szCs w:val="24"/>
          <w:lang w:val="sr-Cyrl-RS"/>
        </w:rPr>
        <w:t xml:space="preserve"> </w:t>
      </w:r>
      <w:r w:rsidR="001F78C5" w:rsidRPr="003E5020">
        <w:rPr>
          <w:rFonts w:ascii="Times New Roman" w:hAnsi="Times New Roman" w:cs="Times New Roman"/>
          <w:sz w:val="24"/>
          <w:szCs w:val="24"/>
          <w:lang w:val="sr-Cyrl-RS"/>
        </w:rPr>
        <w:t>обим посла</w:t>
      </w:r>
      <w:r w:rsidR="00213745" w:rsidRPr="003E5020">
        <w:rPr>
          <w:rFonts w:ascii="Times New Roman" w:hAnsi="Times New Roman" w:cs="Times New Roman"/>
          <w:sz w:val="24"/>
          <w:szCs w:val="24"/>
          <w:lang w:val="sr-Cyrl-RS"/>
        </w:rPr>
        <w:t>)</w:t>
      </w:r>
      <w:r w:rsidR="00CD7364" w:rsidRPr="003E5020">
        <w:rPr>
          <w:rFonts w:ascii="Times New Roman" w:hAnsi="Times New Roman" w:cs="Times New Roman"/>
          <w:sz w:val="24"/>
          <w:szCs w:val="24"/>
          <w:lang w:val="sr-Cyrl-RS"/>
        </w:rPr>
        <w:t xml:space="preserve"> стандардима.</w:t>
      </w:r>
      <w:r w:rsidR="000D25C0" w:rsidRPr="003E5020">
        <w:rPr>
          <w:rFonts w:ascii="Times New Roman" w:hAnsi="Times New Roman" w:cs="Times New Roman"/>
          <w:sz w:val="24"/>
          <w:szCs w:val="24"/>
          <w:lang w:val="sr-Cyrl-RS"/>
        </w:rPr>
        <w:t xml:space="preserve"> </w:t>
      </w:r>
    </w:p>
    <w:p w14:paraId="7FF4B606" w14:textId="77777777" w:rsidR="002E0B06" w:rsidRPr="003E5020" w:rsidRDefault="002E0B06">
      <w:pPr>
        <w:ind w:left="851"/>
        <w:jc w:val="both"/>
        <w:rPr>
          <w:rFonts w:ascii="Times New Roman" w:hAnsi="Times New Roman" w:cs="Times New Roman"/>
          <w:sz w:val="24"/>
          <w:szCs w:val="24"/>
          <w:lang w:val="sr-Cyrl-RS"/>
        </w:rPr>
      </w:pPr>
    </w:p>
    <w:p w14:paraId="6076C391" w14:textId="2CADB952" w:rsidR="00F86600" w:rsidRPr="003E5020" w:rsidRDefault="004E5D21" w:rsidP="00247E9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Обједињена функција управљања људским ресурсима не постоји. </w:t>
      </w:r>
      <w:r w:rsidR="00F4165D" w:rsidRPr="003E5020">
        <w:rPr>
          <w:rFonts w:ascii="Times New Roman" w:hAnsi="Times New Roman" w:cs="Times New Roman"/>
          <w:sz w:val="24"/>
          <w:szCs w:val="24"/>
          <w:lang w:val="sr-Cyrl-RS"/>
        </w:rPr>
        <w:t>Питање људских ресурса</w:t>
      </w:r>
      <w:r w:rsidRPr="003E5020">
        <w:rPr>
          <w:rFonts w:ascii="Times New Roman" w:hAnsi="Times New Roman" w:cs="Times New Roman"/>
          <w:sz w:val="24"/>
          <w:szCs w:val="24"/>
          <w:lang w:val="sr-Cyrl-RS"/>
        </w:rPr>
        <w:t xml:space="preserve"> </w:t>
      </w:r>
      <w:r w:rsidR="00A0544F" w:rsidRPr="003E5020">
        <w:rPr>
          <w:rFonts w:ascii="Times New Roman" w:hAnsi="Times New Roman" w:cs="Times New Roman"/>
          <w:sz w:val="24"/>
          <w:szCs w:val="24"/>
          <w:lang w:val="sr-Cyrl-RS"/>
        </w:rPr>
        <w:t xml:space="preserve">je </w:t>
      </w:r>
      <w:r w:rsidRPr="003E5020">
        <w:rPr>
          <w:rFonts w:ascii="Times New Roman" w:hAnsi="Times New Roman" w:cs="Times New Roman"/>
          <w:sz w:val="24"/>
          <w:szCs w:val="24"/>
          <w:lang w:val="sr-Cyrl-RS"/>
        </w:rPr>
        <w:t xml:space="preserve">тренутно решено на </w:t>
      </w:r>
      <w:r w:rsidRPr="003E5020">
        <w:rPr>
          <w:rFonts w:ascii="Times New Roman" w:hAnsi="Times New Roman" w:cs="Times New Roman"/>
          <w:i/>
          <w:sz w:val="24"/>
          <w:szCs w:val="24"/>
          <w:lang w:val="sr-Cyrl-RS"/>
        </w:rPr>
        <w:t>ad hoc</w:t>
      </w:r>
      <w:r w:rsidRPr="003E5020">
        <w:rPr>
          <w:rFonts w:ascii="Times New Roman" w:hAnsi="Times New Roman" w:cs="Times New Roman"/>
          <w:sz w:val="24"/>
          <w:szCs w:val="24"/>
          <w:lang w:val="sr-Cyrl-RS"/>
        </w:rPr>
        <w:t xml:space="preserve"> основи. Према налазима до којих се дошло током </w:t>
      </w:r>
      <w:r w:rsidR="00FC047C" w:rsidRPr="003E5020">
        <w:rPr>
          <w:rFonts w:ascii="Times New Roman" w:hAnsi="Times New Roman" w:cs="Times New Roman"/>
          <w:sz w:val="24"/>
          <w:szCs w:val="24"/>
          <w:lang w:val="sr-Cyrl-RS"/>
        </w:rPr>
        <w:t>2017.</w:t>
      </w:r>
      <w:r w:rsidRPr="003E5020">
        <w:rPr>
          <w:rStyle w:val="FootnoteReference"/>
          <w:rFonts w:ascii="Times New Roman" w:hAnsi="Times New Roman" w:cs="Times New Roman"/>
          <w:sz w:val="24"/>
          <w:szCs w:val="24"/>
          <w:lang w:val="sr-Cyrl-RS"/>
        </w:rPr>
        <w:footnoteReference w:id="28"/>
      </w:r>
      <w:r w:rsidR="00DA6235" w:rsidRPr="003E5020">
        <w:rPr>
          <w:rFonts w:ascii="Times New Roman" w:hAnsi="Times New Roman" w:cs="Times New Roman"/>
          <w:sz w:val="24"/>
          <w:szCs w:val="24"/>
          <w:lang w:val="sr-Cyrl-RS"/>
        </w:rPr>
        <w:t xml:space="preserve"> </w:t>
      </w:r>
      <w:r w:rsidR="00E71796" w:rsidRPr="003E5020">
        <w:rPr>
          <w:rFonts w:ascii="Times New Roman" w:hAnsi="Times New Roman" w:cs="Times New Roman"/>
          <w:sz w:val="24"/>
          <w:szCs w:val="24"/>
          <w:lang w:val="sr-Cyrl-RS"/>
        </w:rPr>
        <w:t xml:space="preserve">године, </w:t>
      </w:r>
      <w:r w:rsidR="00DA6235" w:rsidRPr="003E5020">
        <w:rPr>
          <w:rFonts w:ascii="Times New Roman" w:hAnsi="Times New Roman" w:cs="Times New Roman"/>
          <w:sz w:val="24"/>
          <w:szCs w:val="24"/>
          <w:lang w:val="sr-Cyrl-RS"/>
        </w:rPr>
        <w:t>од 162 суд</w:t>
      </w:r>
      <w:r w:rsidR="004274FD" w:rsidRPr="003E5020">
        <w:rPr>
          <w:rFonts w:ascii="Times New Roman" w:hAnsi="Times New Roman" w:cs="Times New Roman"/>
          <w:sz w:val="24"/>
          <w:szCs w:val="24"/>
          <w:lang w:val="sr-Cyrl-RS"/>
        </w:rPr>
        <w:t>а</w:t>
      </w:r>
      <w:r w:rsidR="00DA6235" w:rsidRPr="003E5020">
        <w:rPr>
          <w:rFonts w:ascii="Times New Roman" w:hAnsi="Times New Roman" w:cs="Times New Roman"/>
          <w:sz w:val="24"/>
          <w:szCs w:val="24"/>
          <w:lang w:val="sr-Cyrl-RS"/>
        </w:rPr>
        <w:t xml:space="preserve"> у Србији, само у 29 постој</w:t>
      </w:r>
      <w:r w:rsidR="00FB2E9B" w:rsidRPr="003E5020">
        <w:rPr>
          <w:rFonts w:ascii="Times New Roman" w:hAnsi="Times New Roman" w:cs="Times New Roman"/>
          <w:sz w:val="24"/>
          <w:szCs w:val="24"/>
          <w:lang w:val="sr-Cyrl-RS"/>
        </w:rPr>
        <w:t>е</w:t>
      </w:r>
      <w:r w:rsidR="00DA6235" w:rsidRPr="003E5020">
        <w:rPr>
          <w:rFonts w:ascii="Times New Roman" w:hAnsi="Times New Roman" w:cs="Times New Roman"/>
          <w:sz w:val="24"/>
          <w:szCs w:val="24"/>
          <w:lang w:val="sr-Cyrl-RS"/>
        </w:rPr>
        <w:t xml:space="preserve"> стално запослени који се баве питањима људских ресурса, док у 97 судова те послове обавља секретар суда. У преосталих 39 судова који нема</w:t>
      </w:r>
      <w:r w:rsidR="00F86600" w:rsidRPr="003E5020">
        <w:rPr>
          <w:rFonts w:ascii="Times New Roman" w:hAnsi="Times New Roman" w:cs="Times New Roman"/>
          <w:sz w:val="24"/>
          <w:szCs w:val="24"/>
          <w:lang w:val="sr-Cyrl-RS"/>
        </w:rPr>
        <w:t>ју</w:t>
      </w:r>
      <w:r w:rsidR="00DA6235" w:rsidRPr="003E5020">
        <w:rPr>
          <w:rFonts w:ascii="Times New Roman" w:hAnsi="Times New Roman" w:cs="Times New Roman"/>
          <w:sz w:val="24"/>
          <w:szCs w:val="24"/>
          <w:lang w:val="sr-Cyrl-RS"/>
        </w:rPr>
        <w:t xml:space="preserve"> секретара, односно запосленог који се бави питањем људских ресурса, те послове обављају судијски помоћници</w:t>
      </w:r>
      <w:r w:rsidR="00FB2E9B" w:rsidRPr="003E5020">
        <w:rPr>
          <w:rFonts w:ascii="Times New Roman" w:hAnsi="Times New Roman" w:cs="Times New Roman"/>
          <w:sz w:val="24"/>
          <w:szCs w:val="24"/>
          <w:lang w:val="sr-Cyrl-RS"/>
        </w:rPr>
        <w:t xml:space="preserve">, чија је претежна професионална оријентација </w:t>
      </w:r>
      <w:r w:rsidR="0014287E" w:rsidRPr="003E5020">
        <w:rPr>
          <w:rFonts w:ascii="Times New Roman" w:hAnsi="Times New Roman" w:cs="Times New Roman"/>
          <w:sz w:val="24"/>
          <w:szCs w:val="24"/>
          <w:lang w:val="sr-Cyrl-RS"/>
        </w:rPr>
        <w:t xml:space="preserve">усмерена на </w:t>
      </w:r>
      <w:r w:rsidR="00FB2E9B" w:rsidRPr="003E5020">
        <w:rPr>
          <w:rFonts w:ascii="Times New Roman" w:hAnsi="Times New Roman" w:cs="Times New Roman"/>
          <w:sz w:val="24"/>
          <w:szCs w:val="24"/>
          <w:lang w:val="sr-Cyrl-RS"/>
        </w:rPr>
        <w:t xml:space="preserve">избор за судију или заменика јавног тужица, </w:t>
      </w:r>
      <w:r w:rsidR="0014287E" w:rsidRPr="003E5020">
        <w:rPr>
          <w:rFonts w:ascii="Times New Roman" w:hAnsi="Times New Roman" w:cs="Times New Roman"/>
          <w:sz w:val="24"/>
          <w:szCs w:val="24"/>
          <w:lang w:val="sr-Cyrl-RS"/>
        </w:rPr>
        <w:t xml:space="preserve">односно рад на предметима, а не на послове у вези са људским ресурсима. </w:t>
      </w:r>
      <w:r w:rsidR="00FE53B8" w:rsidRPr="003E5020">
        <w:rPr>
          <w:rFonts w:ascii="Times New Roman" w:hAnsi="Times New Roman" w:cs="Times New Roman"/>
          <w:sz w:val="24"/>
          <w:szCs w:val="24"/>
          <w:lang w:val="sr-Cyrl-RS"/>
        </w:rPr>
        <w:t xml:space="preserve"> </w:t>
      </w:r>
    </w:p>
    <w:p w14:paraId="5E3D9027" w14:textId="77777777" w:rsidR="00F86600" w:rsidRPr="003E5020" w:rsidRDefault="00F86600">
      <w:pPr>
        <w:ind w:left="851"/>
        <w:jc w:val="both"/>
        <w:rPr>
          <w:rFonts w:ascii="Times New Roman" w:hAnsi="Times New Roman" w:cs="Times New Roman"/>
          <w:sz w:val="24"/>
          <w:szCs w:val="24"/>
          <w:lang w:val="sr-Cyrl-RS"/>
        </w:rPr>
      </w:pPr>
    </w:p>
    <w:p w14:paraId="308752C4" w14:textId="77777777" w:rsidR="007C0366" w:rsidRPr="003E5020" w:rsidRDefault="007C0366" w:rsidP="007C036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Слична ситуација је и у јавним тужилаштвима. Према истом извору података, у свега 5 јавних тужилаштва има укупно 5 стално запослених лица на овим пословима, док у преосталих 86 не постоји предвиђено место за обављање послова управљања људских ресурса, те исте обављају, слично као и у судовима – секретари (у 17 јавних тужилаштва) и тужилачки помоћници (у 69 јавних тужилаштва).</w:t>
      </w:r>
    </w:p>
    <w:p w14:paraId="2673EB6E" w14:textId="3E251D42" w:rsidR="00F86600" w:rsidRPr="003E5020" w:rsidRDefault="00F86600">
      <w:pPr>
        <w:ind w:left="851"/>
        <w:jc w:val="both"/>
        <w:rPr>
          <w:rFonts w:ascii="Times New Roman" w:hAnsi="Times New Roman" w:cs="Times New Roman"/>
          <w:sz w:val="24"/>
          <w:szCs w:val="24"/>
          <w:lang w:val="sr-Cyrl-RS"/>
        </w:rPr>
      </w:pPr>
    </w:p>
    <w:p w14:paraId="02C80008" w14:textId="347CC4BA" w:rsidR="008D6749" w:rsidRPr="003E5020" w:rsidRDefault="00BA5EB3" w:rsidP="008D6749">
      <w:pPr>
        <w:ind w:left="851"/>
        <w:jc w:val="both"/>
        <w:rPr>
          <w:rFonts w:ascii="Times New Roman" w:hAnsi="Times New Roman" w:cs="Times New Roman"/>
          <w:bCs/>
          <w:sz w:val="24"/>
          <w:szCs w:val="24"/>
          <w:lang w:val="sr-Cyrl-RS"/>
        </w:rPr>
      </w:pPr>
      <w:r w:rsidRPr="003E5020">
        <w:rPr>
          <w:rFonts w:ascii="Times New Roman" w:hAnsi="Times New Roman" w:cs="Times New Roman"/>
          <w:sz w:val="24"/>
          <w:szCs w:val="24"/>
          <w:lang w:val="sr-Cyrl-RS"/>
        </w:rPr>
        <w:t xml:space="preserve">Недостатак стратешког планирања у управљању људским ресурсима може се сликовито објаснити на примеру недостатка системског приступа обукама и стручном усавршавању запослених у правосуђу. Наиме, </w:t>
      </w:r>
      <w:r w:rsidRPr="003E5020">
        <w:rPr>
          <w:rFonts w:ascii="Times New Roman" w:hAnsi="Times New Roman" w:cs="Times New Roman"/>
          <w:bCs/>
          <w:sz w:val="24"/>
          <w:szCs w:val="24"/>
          <w:lang w:val="sr-Cyrl-RS"/>
        </w:rPr>
        <w:t>иако запослени у правосуђу имају велику вољу за стручн</w:t>
      </w:r>
      <w:r w:rsidR="00F1187E" w:rsidRPr="003E5020">
        <w:rPr>
          <w:rFonts w:ascii="Times New Roman" w:hAnsi="Times New Roman" w:cs="Times New Roman"/>
          <w:bCs/>
          <w:sz w:val="24"/>
          <w:szCs w:val="24"/>
          <w:lang w:val="sr-Cyrl-RS"/>
        </w:rPr>
        <w:t>и</w:t>
      </w:r>
      <w:r w:rsidRPr="003E5020">
        <w:rPr>
          <w:rFonts w:ascii="Times New Roman" w:hAnsi="Times New Roman" w:cs="Times New Roman"/>
          <w:bCs/>
          <w:sz w:val="24"/>
          <w:szCs w:val="24"/>
          <w:lang w:val="sr-Cyrl-RS"/>
        </w:rPr>
        <w:t>м усавршав</w:t>
      </w:r>
      <w:r w:rsidR="00F1187E" w:rsidRPr="003E5020">
        <w:rPr>
          <w:rFonts w:ascii="Times New Roman" w:hAnsi="Times New Roman" w:cs="Times New Roman"/>
          <w:bCs/>
          <w:sz w:val="24"/>
          <w:szCs w:val="24"/>
          <w:lang w:val="sr-Cyrl-RS"/>
        </w:rPr>
        <w:t>ањем</w:t>
      </w:r>
      <w:r w:rsidRPr="003E5020">
        <w:rPr>
          <w:rFonts w:ascii="Times New Roman" w:hAnsi="Times New Roman" w:cs="Times New Roman"/>
          <w:bCs/>
          <w:sz w:val="24"/>
          <w:szCs w:val="24"/>
          <w:lang w:val="sr-Cyrl-RS"/>
        </w:rPr>
        <w:t xml:space="preserve">, </w:t>
      </w:r>
      <w:r w:rsidR="00352DF2" w:rsidRPr="003E5020">
        <w:rPr>
          <w:rFonts w:ascii="Times New Roman" w:hAnsi="Times New Roman" w:cs="Times New Roman"/>
          <w:bCs/>
          <w:sz w:val="24"/>
          <w:szCs w:val="24"/>
          <w:lang w:val="sr-Cyrl-RS"/>
        </w:rPr>
        <w:t xml:space="preserve">о чему говори њихов добар одзив за учешће у обукама, </w:t>
      </w:r>
      <w:r w:rsidR="008E7D3C" w:rsidRPr="003E5020">
        <w:rPr>
          <w:rFonts w:ascii="Times New Roman" w:hAnsi="Times New Roman" w:cs="Times New Roman"/>
          <w:bCs/>
          <w:sz w:val="24"/>
          <w:szCs w:val="24"/>
          <w:lang w:val="sr-Cyrl-RS"/>
        </w:rPr>
        <w:t xml:space="preserve">специфичне </w:t>
      </w:r>
      <w:r w:rsidR="00352DF2" w:rsidRPr="003E5020">
        <w:rPr>
          <w:rFonts w:ascii="Times New Roman" w:hAnsi="Times New Roman" w:cs="Times New Roman"/>
          <w:bCs/>
          <w:sz w:val="24"/>
          <w:szCs w:val="24"/>
          <w:lang w:val="sr-Cyrl-RS"/>
        </w:rPr>
        <w:t xml:space="preserve">стручне </w:t>
      </w:r>
      <w:r w:rsidRPr="003E5020">
        <w:rPr>
          <w:rFonts w:ascii="Times New Roman" w:hAnsi="Times New Roman" w:cs="Times New Roman"/>
          <w:bCs/>
          <w:sz w:val="24"/>
          <w:szCs w:val="24"/>
          <w:lang w:val="sr-Cyrl-RS"/>
        </w:rPr>
        <w:t xml:space="preserve">обуке </w:t>
      </w:r>
      <w:r w:rsidR="00352DF2" w:rsidRPr="003E5020">
        <w:rPr>
          <w:rFonts w:ascii="Times New Roman" w:hAnsi="Times New Roman" w:cs="Times New Roman"/>
          <w:bCs/>
          <w:sz w:val="24"/>
          <w:szCs w:val="24"/>
          <w:lang w:val="sr-Cyrl-RS"/>
        </w:rPr>
        <w:t xml:space="preserve">нису ни у каквој вези са резултатима рада, односно оне су омогућене линеарно свима, а не као нека врста </w:t>
      </w:r>
      <w:r w:rsidRPr="003E5020">
        <w:rPr>
          <w:rFonts w:ascii="Times New Roman" w:hAnsi="Times New Roman" w:cs="Times New Roman"/>
          <w:bCs/>
          <w:sz w:val="24"/>
          <w:szCs w:val="24"/>
          <w:lang w:val="sr-Cyrl-RS"/>
        </w:rPr>
        <w:t>наград</w:t>
      </w:r>
      <w:r w:rsidR="00352DF2" w:rsidRPr="003E5020">
        <w:rPr>
          <w:rFonts w:ascii="Times New Roman" w:hAnsi="Times New Roman" w:cs="Times New Roman"/>
          <w:bCs/>
          <w:sz w:val="24"/>
          <w:szCs w:val="24"/>
          <w:lang w:val="sr-Cyrl-RS"/>
        </w:rPr>
        <w:t>е</w:t>
      </w:r>
      <w:r w:rsidRPr="003E5020">
        <w:rPr>
          <w:rFonts w:ascii="Times New Roman" w:hAnsi="Times New Roman" w:cs="Times New Roman"/>
          <w:bCs/>
          <w:sz w:val="24"/>
          <w:szCs w:val="24"/>
          <w:lang w:val="sr-Cyrl-RS"/>
        </w:rPr>
        <w:t xml:space="preserve"> за добро обављен посао</w:t>
      </w:r>
      <w:r w:rsidR="00352DF2" w:rsidRPr="003E5020">
        <w:rPr>
          <w:rFonts w:ascii="Times New Roman" w:hAnsi="Times New Roman" w:cs="Times New Roman"/>
          <w:bCs/>
          <w:sz w:val="24"/>
          <w:szCs w:val="24"/>
          <w:lang w:val="sr-Cyrl-RS"/>
        </w:rPr>
        <w:t xml:space="preserve"> и успешне резултате рада</w:t>
      </w:r>
      <w:r w:rsidRPr="003E5020">
        <w:rPr>
          <w:rFonts w:ascii="Times New Roman" w:hAnsi="Times New Roman" w:cs="Times New Roman"/>
          <w:bCs/>
          <w:sz w:val="24"/>
          <w:szCs w:val="24"/>
          <w:lang w:val="sr-Cyrl-RS"/>
        </w:rPr>
        <w:t xml:space="preserve">. Стога, </w:t>
      </w:r>
      <w:r w:rsidR="008D6749" w:rsidRPr="003E5020">
        <w:rPr>
          <w:rFonts w:ascii="Times New Roman" w:hAnsi="Times New Roman" w:cs="Times New Roman"/>
          <w:bCs/>
          <w:sz w:val="24"/>
          <w:szCs w:val="24"/>
          <w:lang w:val="sr-Cyrl-RS"/>
        </w:rPr>
        <w:t>како би се воља за професионалним обукама искористила на адекватан начин, нужно је да се континуирано унапређује програм обуке у складу са резултатима вредновања рада судија и тужилаца, као и потребама исказаним у поступку редовног годишњег испитивања потреба за стручним усавршавањем.</w:t>
      </w:r>
    </w:p>
    <w:p w14:paraId="1F97109E" w14:textId="247F8040" w:rsidR="00BA5EB3" w:rsidRPr="003E5020" w:rsidRDefault="00BA5EB3" w:rsidP="00BA5EB3">
      <w:pPr>
        <w:ind w:left="851"/>
        <w:jc w:val="both"/>
        <w:rPr>
          <w:rFonts w:ascii="Times New Roman" w:hAnsi="Times New Roman" w:cs="Times New Roman"/>
          <w:sz w:val="24"/>
          <w:szCs w:val="24"/>
          <w:lang w:val="sr-Cyrl-RS"/>
        </w:rPr>
      </w:pPr>
    </w:p>
    <w:p w14:paraId="016551EC" w14:textId="3A066807" w:rsidR="00BA5EB3" w:rsidRPr="003E5020" w:rsidRDefault="00BA5EB3" w:rsidP="00BA5EB3">
      <w:pPr>
        <w:ind w:left="851"/>
        <w:jc w:val="both"/>
        <w:rPr>
          <w:rFonts w:ascii="Times New Roman" w:hAnsi="Times New Roman" w:cs="Times New Roman"/>
          <w:sz w:val="24"/>
          <w:szCs w:val="24"/>
          <w:lang w:val="sr-Cyrl-RS"/>
        </w:rPr>
      </w:pPr>
      <w:r w:rsidRPr="003E5020">
        <w:rPr>
          <w:rFonts w:ascii="Times New Roman" w:hAnsi="Times New Roman" w:cs="Times New Roman"/>
          <w:bCs/>
          <w:sz w:val="24"/>
          <w:szCs w:val="24"/>
          <w:lang w:val="sr-Cyrl-RS"/>
        </w:rPr>
        <w:t>Додатно</w:t>
      </w:r>
      <w:r w:rsidR="00831AB0" w:rsidRPr="003E5020">
        <w:rPr>
          <w:rFonts w:ascii="Times New Roman" w:hAnsi="Times New Roman" w:cs="Times New Roman"/>
          <w:bCs/>
          <w:sz w:val="24"/>
          <w:szCs w:val="24"/>
          <w:lang w:val="sr-Cyrl-RS"/>
        </w:rPr>
        <w:t>,</w:t>
      </w:r>
      <w:r w:rsidRPr="003E5020">
        <w:rPr>
          <w:rFonts w:ascii="Times New Roman" w:hAnsi="Times New Roman" w:cs="Times New Roman"/>
          <w:bCs/>
          <w:sz w:val="24"/>
          <w:szCs w:val="24"/>
          <w:lang w:val="sr-Cyrl-RS"/>
        </w:rPr>
        <w:t xml:space="preserve"> програми обуке нису довољно флексиб</w:t>
      </w:r>
      <w:r w:rsidR="00711CC4" w:rsidRPr="003E5020">
        <w:rPr>
          <w:rFonts w:ascii="Times New Roman" w:hAnsi="Times New Roman" w:cs="Times New Roman"/>
          <w:bCs/>
          <w:sz w:val="24"/>
          <w:szCs w:val="24"/>
          <w:lang w:val="sr-Cyrl-RS"/>
        </w:rPr>
        <w:t>и</w:t>
      </w:r>
      <w:r w:rsidRPr="003E5020">
        <w:rPr>
          <w:rFonts w:ascii="Times New Roman" w:hAnsi="Times New Roman" w:cs="Times New Roman"/>
          <w:bCs/>
          <w:sz w:val="24"/>
          <w:szCs w:val="24"/>
          <w:lang w:val="sr-Cyrl-RS"/>
        </w:rPr>
        <w:t xml:space="preserve">лни и не одговарају динамичним променама прописа и поступака и другим релативним околностима. Из тог разлога, потребно је развити </w:t>
      </w:r>
      <w:r w:rsidRPr="003E5020">
        <w:rPr>
          <w:rFonts w:ascii="Times New Roman" w:hAnsi="Times New Roman" w:cs="Times New Roman"/>
          <w:bCs/>
          <w:i/>
          <w:iCs/>
          <w:sz w:val="24"/>
          <w:szCs w:val="24"/>
          <w:lang w:val="sr-Latn-RS"/>
        </w:rPr>
        <w:t>ad hoc</w:t>
      </w:r>
      <w:r w:rsidRPr="003E5020">
        <w:rPr>
          <w:rFonts w:ascii="Times New Roman" w:hAnsi="Times New Roman" w:cs="Times New Roman"/>
          <w:bCs/>
          <w:sz w:val="24"/>
          <w:szCs w:val="24"/>
          <w:lang w:val="sr-Cyrl-RS"/>
        </w:rPr>
        <w:t xml:space="preserve"> механизме за реаговање на хитне/ванредне потребе за обуком, која би могла да одговори на динамичност промена прописа и поступака и други околности. </w:t>
      </w:r>
    </w:p>
    <w:p w14:paraId="27047A04" w14:textId="77777777" w:rsidR="00BA5EB3" w:rsidRPr="003E5020" w:rsidRDefault="00BA5EB3" w:rsidP="00BA5EB3">
      <w:pPr>
        <w:ind w:left="851"/>
        <w:jc w:val="both"/>
        <w:rPr>
          <w:rFonts w:ascii="Times New Roman" w:hAnsi="Times New Roman" w:cs="Times New Roman"/>
          <w:sz w:val="24"/>
          <w:szCs w:val="24"/>
          <w:lang w:val="sr-Cyrl-RS"/>
        </w:rPr>
      </w:pPr>
    </w:p>
    <w:p w14:paraId="71C9B688" w14:textId="5D04D1C6" w:rsidR="00BA5EB3" w:rsidRPr="003E5020" w:rsidRDefault="00711CC4" w:rsidP="00BA5EB3">
      <w:pPr>
        <w:ind w:left="851"/>
        <w:jc w:val="both"/>
        <w:rPr>
          <w:rFonts w:ascii="Times New Roman" w:hAnsi="Times New Roman" w:cs="Times New Roman"/>
          <w:sz w:val="24"/>
          <w:szCs w:val="24"/>
          <w:lang w:val="sr-Cyrl-RS"/>
        </w:rPr>
      </w:pPr>
      <w:r w:rsidRPr="003E5020">
        <w:rPr>
          <w:rFonts w:ascii="Times New Roman" w:hAnsi="Times New Roman" w:cs="Times New Roman"/>
          <w:bCs/>
          <w:sz w:val="24"/>
          <w:szCs w:val="24"/>
          <w:lang w:val="sr-Cyrl-RS"/>
        </w:rPr>
        <w:t>П</w:t>
      </w:r>
      <w:r w:rsidR="00BA5EB3" w:rsidRPr="003E5020">
        <w:rPr>
          <w:rFonts w:ascii="Times New Roman" w:hAnsi="Times New Roman" w:cs="Times New Roman"/>
          <w:bCs/>
          <w:sz w:val="24"/>
          <w:szCs w:val="24"/>
          <w:lang w:val="sr-Cyrl-RS"/>
        </w:rPr>
        <w:t>риметан је и недостатак систематичности приликом обављања обука у правосуђу. На пример</w:t>
      </w:r>
      <w:r w:rsidR="00BA5EB3" w:rsidRPr="003E5020">
        <w:rPr>
          <w:rFonts w:ascii="Times New Roman" w:hAnsi="Times New Roman" w:cs="Times New Roman"/>
          <w:sz w:val="24"/>
          <w:szCs w:val="24"/>
          <w:lang w:val="sr-Cyrl-RS"/>
        </w:rPr>
        <w:t xml:space="preserve">, иако Високи савет судства показује посвећеност обукама својих запослених, приступ обукама би могао бити далеко систематичнији. </w:t>
      </w:r>
      <w:r w:rsidRPr="003E5020">
        <w:rPr>
          <w:rFonts w:ascii="Times New Roman" w:hAnsi="Times New Roman" w:cs="Times New Roman"/>
          <w:sz w:val="24"/>
          <w:szCs w:val="24"/>
          <w:lang w:val="sr-Cyrl-RS"/>
        </w:rPr>
        <w:t>П</w:t>
      </w:r>
      <w:r w:rsidR="00BA5EB3" w:rsidRPr="003E5020">
        <w:rPr>
          <w:rFonts w:ascii="Times New Roman" w:hAnsi="Times New Roman" w:cs="Times New Roman"/>
          <w:sz w:val="24"/>
          <w:szCs w:val="24"/>
          <w:lang w:val="sr-Cyrl-RS"/>
        </w:rPr>
        <w:t xml:space="preserve">роценом обуке пружене у Високом савету судства крајем 2017. године, Светска банка дошла је </w:t>
      </w:r>
      <w:r w:rsidRPr="003E5020">
        <w:rPr>
          <w:rFonts w:ascii="Times New Roman" w:hAnsi="Times New Roman" w:cs="Times New Roman"/>
          <w:sz w:val="24"/>
          <w:szCs w:val="24"/>
          <w:lang w:val="sr-Cyrl-RS"/>
        </w:rPr>
        <w:t>до</w:t>
      </w:r>
      <w:r w:rsidR="00BA5EB3" w:rsidRPr="003E5020">
        <w:rPr>
          <w:rFonts w:ascii="Times New Roman" w:hAnsi="Times New Roman" w:cs="Times New Roman"/>
          <w:sz w:val="24"/>
          <w:szCs w:val="24"/>
          <w:lang w:val="sr-Cyrl-RS"/>
        </w:rPr>
        <w:t xml:space="preserve"> закључка да је тренинг запослених у Високом савету судства био </w:t>
      </w:r>
      <w:r w:rsidR="008E7D3C" w:rsidRPr="003E5020">
        <w:rPr>
          <w:rFonts w:ascii="Times New Roman" w:hAnsi="Times New Roman" w:cs="Times New Roman"/>
          <w:sz w:val="24"/>
          <w:szCs w:val="24"/>
          <w:lang w:val="sr-Cyrl-RS"/>
        </w:rPr>
        <w:t>фокусиран</w:t>
      </w:r>
      <w:r w:rsidR="00BA5EB3" w:rsidRPr="003E5020">
        <w:rPr>
          <w:rFonts w:ascii="Times New Roman" w:hAnsi="Times New Roman" w:cs="Times New Roman"/>
          <w:sz w:val="24"/>
          <w:szCs w:val="24"/>
          <w:lang w:val="sr-Cyrl-RS"/>
        </w:rPr>
        <w:t xml:space="preserve"> на основе информационих технологија и учењ</w:t>
      </w:r>
      <w:r w:rsidR="008E7D3C" w:rsidRPr="003E5020">
        <w:rPr>
          <w:rFonts w:ascii="Times New Roman" w:hAnsi="Times New Roman" w:cs="Times New Roman"/>
          <w:sz w:val="24"/>
          <w:szCs w:val="24"/>
          <w:lang w:val="sr-Cyrl-RS"/>
        </w:rPr>
        <w:t>е</w:t>
      </w:r>
      <w:r w:rsidR="00BA5EB3" w:rsidRPr="003E5020">
        <w:rPr>
          <w:rFonts w:ascii="Times New Roman" w:hAnsi="Times New Roman" w:cs="Times New Roman"/>
          <w:sz w:val="24"/>
          <w:szCs w:val="24"/>
          <w:lang w:val="sr-Cyrl-RS"/>
        </w:rPr>
        <w:t xml:space="preserve"> </w:t>
      </w:r>
      <w:r w:rsidR="00F1187E" w:rsidRPr="003E5020">
        <w:rPr>
          <w:rFonts w:ascii="Times New Roman" w:hAnsi="Times New Roman" w:cs="Times New Roman"/>
          <w:sz w:val="24"/>
          <w:szCs w:val="24"/>
          <w:lang w:val="sr-Cyrl-RS"/>
        </w:rPr>
        <w:t>е</w:t>
      </w:r>
      <w:r w:rsidR="00BA5EB3" w:rsidRPr="003E5020">
        <w:rPr>
          <w:rFonts w:ascii="Times New Roman" w:hAnsi="Times New Roman" w:cs="Times New Roman"/>
          <w:sz w:val="24"/>
          <w:szCs w:val="24"/>
          <w:lang w:val="sr-Cyrl-RS"/>
        </w:rPr>
        <w:t>нглеског језика, финансиј</w:t>
      </w:r>
      <w:r w:rsidR="008E7D3C" w:rsidRPr="003E5020">
        <w:rPr>
          <w:rFonts w:ascii="Times New Roman" w:hAnsi="Times New Roman" w:cs="Times New Roman"/>
          <w:sz w:val="24"/>
          <w:szCs w:val="24"/>
          <w:lang w:val="sr-Cyrl-RS"/>
        </w:rPr>
        <w:t>е</w:t>
      </w:r>
      <w:r w:rsidR="00BA5EB3" w:rsidRPr="003E5020">
        <w:rPr>
          <w:rFonts w:ascii="Times New Roman" w:hAnsi="Times New Roman" w:cs="Times New Roman"/>
          <w:sz w:val="24"/>
          <w:szCs w:val="24"/>
          <w:lang w:val="sr-Cyrl-RS"/>
        </w:rPr>
        <w:t>, комуникације, јавне набавке и материјално прав</w:t>
      </w:r>
      <w:r w:rsidR="008E7D3C" w:rsidRPr="003E5020">
        <w:rPr>
          <w:rFonts w:ascii="Times New Roman" w:hAnsi="Times New Roman" w:cs="Times New Roman"/>
          <w:sz w:val="24"/>
          <w:szCs w:val="24"/>
          <w:lang w:val="sr-Cyrl-RS"/>
        </w:rPr>
        <w:t>о</w:t>
      </w:r>
      <w:r w:rsidR="00BA5EB3" w:rsidRPr="003E5020">
        <w:rPr>
          <w:rFonts w:ascii="Times New Roman" w:hAnsi="Times New Roman" w:cs="Times New Roman"/>
          <w:sz w:val="24"/>
          <w:szCs w:val="24"/>
          <w:lang w:val="sr-Cyrl-RS"/>
        </w:rPr>
        <w:t xml:space="preserve"> (заштит</w:t>
      </w:r>
      <w:r w:rsidR="008E7D3C" w:rsidRPr="003E5020">
        <w:rPr>
          <w:rFonts w:ascii="Times New Roman" w:hAnsi="Times New Roman" w:cs="Times New Roman"/>
          <w:sz w:val="24"/>
          <w:szCs w:val="24"/>
          <w:lang w:val="sr-Cyrl-RS"/>
        </w:rPr>
        <w:t>а</w:t>
      </w:r>
      <w:r w:rsidR="00BA5EB3" w:rsidRPr="003E5020">
        <w:rPr>
          <w:rFonts w:ascii="Times New Roman" w:hAnsi="Times New Roman" w:cs="Times New Roman"/>
          <w:sz w:val="24"/>
          <w:szCs w:val="24"/>
          <w:lang w:val="sr-Cyrl-RS"/>
        </w:rPr>
        <w:t xml:space="preserve"> података о личности, управни поступак итд.). Са друге стране, мали део обуке био је у</w:t>
      </w:r>
      <w:r w:rsidR="00BF2760" w:rsidRPr="003E5020">
        <w:rPr>
          <w:rFonts w:ascii="Times New Roman" w:hAnsi="Times New Roman" w:cs="Times New Roman"/>
          <w:sz w:val="24"/>
          <w:szCs w:val="24"/>
          <w:lang w:val="sr-Cyrl-RS"/>
        </w:rPr>
        <w:t>с</w:t>
      </w:r>
      <w:r w:rsidR="00BA5EB3" w:rsidRPr="003E5020">
        <w:rPr>
          <w:rFonts w:ascii="Times New Roman" w:hAnsi="Times New Roman" w:cs="Times New Roman"/>
          <w:sz w:val="24"/>
          <w:szCs w:val="24"/>
          <w:lang w:val="sr-Cyrl-RS"/>
        </w:rPr>
        <w:t>мерен на професионални развој који би помогао да се Висок</w:t>
      </w:r>
      <w:r w:rsidR="00F1187E" w:rsidRPr="003E5020">
        <w:rPr>
          <w:rFonts w:ascii="Times New Roman" w:hAnsi="Times New Roman" w:cs="Times New Roman"/>
          <w:sz w:val="24"/>
          <w:szCs w:val="24"/>
          <w:lang w:val="sr-Cyrl-RS"/>
        </w:rPr>
        <w:t>и</w:t>
      </w:r>
      <w:r w:rsidR="00BA5EB3" w:rsidRPr="003E5020">
        <w:rPr>
          <w:rFonts w:ascii="Times New Roman" w:hAnsi="Times New Roman" w:cs="Times New Roman"/>
          <w:sz w:val="24"/>
          <w:szCs w:val="24"/>
          <w:lang w:val="sr-Cyrl-RS"/>
        </w:rPr>
        <w:t xml:space="preserve"> савет судства истакне у стратешким задацима који су предвиђени за ту институцију, пре свега у стратешком планирању, управљању учинком везаним за буџет, реорганизацијом процеса, управљањем и надзором ИПА пројеката</w:t>
      </w:r>
      <w:r w:rsidR="00F1187E" w:rsidRPr="003E5020">
        <w:rPr>
          <w:rFonts w:ascii="Times New Roman" w:hAnsi="Times New Roman" w:cs="Times New Roman"/>
          <w:sz w:val="24"/>
          <w:szCs w:val="24"/>
          <w:lang w:val="sr-Cyrl-RS"/>
        </w:rPr>
        <w:t xml:space="preserve"> (пројекти развојне помоћи ЕУ)</w:t>
      </w:r>
      <w:r w:rsidR="00BA5EB3" w:rsidRPr="003E5020">
        <w:rPr>
          <w:rFonts w:ascii="Times New Roman" w:hAnsi="Times New Roman" w:cs="Times New Roman"/>
          <w:sz w:val="24"/>
          <w:szCs w:val="24"/>
          <w:lang w:val="sr-Cyrl-RS"/>
        </w:rPr>
        <w:t xml:space="preserve">, </w:t>
      </w:r>
      <w:r w:rsidR="00BF2760" w:rsidRPr="003E5020">
        <w:rPr>
          <w:rFonts w:ascii="Times New Roman" w:hAnsi="Times New Roman" w:cs="Times New Roman"/>
          <w:sz w:val="24"/>
          <w:szCs w:val="24"/>
          <w:lang w:val="sr-Cyrl-RS"/>
        </w:rPr>
        <w:t xml:space="preserve">у области међународне сарадње </w:t>
      </w:r>
      <w:r w:rsidR="00BA5EB3" w:rsidRPr="003E5020">
        <w:rPr>
          <w:rFonts w:ascii="Times New Roman" w:hAnsi="Times New Roman" w:cs="Times New Roman"/>
          <w:sz w:val="24"/>
          <w:szCs w:val="24"/>
          <w:lang w:val="sr-Cyrl-RS"/>
        </w:rPr>
        <w:t>и општ</w:t>
      </w:r>
      <w:r w:rsidR="008E7D3C" w:rsidRPr="003E5020">
        <w:rPr>
          <w:rFonts w:ascii="Times New Roman" w:hAnsi="Times New Roman" w:cs="Times New Roman"/>
          <w:sz w:val="24"/>
          <w:szCs w:val="24"/>
          <w:lang w:val="sr-Cyrl-RS"/>
        </w:rPr>
        <w:t>ег</w:t>
      </w:r>
      <w:r w:rsidR="00BA5EB3" w:rsidRPr="003E5020">
        <w:rPr>
          <w:rFonts w:ascii="Times New Roman" w:hAnsi="Times New Roman" w:cs="Times New Roman"/>
          <w:sz w:val="24"/>
          <w:szCs w:val="24"/>
          <w:lang w:val="sr-Cyrl-RS"/>
        </w:rPr>
        <w:t xml:space="preserve"> менаџмент</w:t>
      </w:r>
      <w:r w:rsidR="008E7D3C" w:rsidRPr="003E5020">
        <w:rPr>
          <w:rFonts w:ascii="Times New Roman" w:hAnsi="Times New Roman" w:cs="Times New Roman"/>
          <w:sz w:val="24"/>
          <w:szCs w:val="24"/>
          <w:lang w:val="sr-Cyrl-RS"/>
        </w:rPr>
        <w:t>а</w:t>
      </w:r>
      <w:r w:rsidR="00BA5EB3" w:rsidRPr="003E5020">
        <w:rPr>
          <w:rFonts w:ascii="Times New Roman" w:hAnsi="Times New Roman" w:cs="Times New Roman"/>
          <w:sz w:val="24"/>
          <w:szCs w:val="24"/>
          <w:lang w:val="sr-Cyrl-RS"/>
        </w:rPr>
        <w:t xml:space="preserve">. </w:t>
      </w:r>
      <w:r w:rsidR="00BA5EB3" w:rsidRPr="003E5020">
        <w:rPr>
          <w:rStyle w:val="FootnoteReference"/>
          <w:rFonts w:ascii="Times New Roman" w:hAnsi="Times New Roman" w:cs="Times New Roman"/>
          <w:sz w:val="24"/>
          <w:szCs w:val="24"/>
          <w:lang w:val="sr-Cyrl-RS"/>
        </w:rPr>
        <w:footnoteReference w:id="29"/>
      </w:r>
    </w:p>
    <w:p w14:paraId="626C64E5" w14:textId="77777777" w:rsidR="00BA5EB3" w:rsidRPr="003E5020" w:rsidRDefault="00BA5EB3" w:rsidP="00BA5EB3">
      <w:pPr>
        <w:ind w:left="851"/>
        <w:jc w:val="both"/>
        <w:rPr>
          <w:rFonts w:ascii="Times New Roman" w:hAnsi="Times New Roman" w:cs="Times New Roman"/>
          <w:sz w:val="24"/>
          <w:szCs w:val="24"/>
          <w:highlight w:val="cyan"/>
          <w:lang w:val="sr-Cyrl-RS"/>
        </w:rPr>
      </w:pPr>
    </w:p>
    <w:p w14:paraId="7367938F" w14:textId="1452FE8A" w:rsidR="00BA5EB3" w:rsidRPr="003E5020" w:rsidRDefault="00BA5EB3" w:rsidP="00BA5EB3">
      <w:pPr>
        <w:ind w:left="851"/>
        <w:jc w:val="both"/>
        <w:rPr>
          <w:rFonts w:ascii="Times New Roman" w:hAnsi="Times New Roman" w:cs="Times New Roman"/>
          <w:bCs/>
          <w:sz w:val="24"/>
          <w:szCs w:val="24"/>
          <w:lang w:val="sr-Cyrl-RS"/>
        </w:rPr>
      </w:pPr>
      <w:r w:rsidRPr="003E5020">
        <w:rPr>
          <w:rFonts w:ascii="Times New Roman" w:hAnsi="Times New Roman" w:cs="Times New Roman"/>
          <w:sz w:val="24"/>
          <w:szCs w:val="24"/>
          <w:lang w:val="sr-Cyrl-RS"/>
        </w:rPr>
        <w:t xml:space="preserve">Осим систематичности, приметан је очигледан недостатак у разноврсности техника обуке. Наиме, </w:t>
      </w:r>
      <w:r w:rsidRPr="003E5020">
        <w:rPr>
          <w:rFonts w:ascii="Times New Roman" w:hAnsi="Times New Roman" w:cs="Times New Roman"/>
          <w:bCs/>
          <w:sz w:val="24"/>
          <w:szCs w:val="24"/>
          <w:lang w:val="sr-Cyrl-RS"/>
        </w:rPr>
        <w:t>уместо стављања пажње на технике обуке као што су менторство, играњ</w:t>
      </w:r>
      <w:r w:rsidR="008E7D3C" w:rsidRPr="003E5020">
        <w:rPr>
          <w:rFonts w:ascii="Times New Roman" w:hAnsi="Times New Roman" w:cs="Times New Roman"/>
          <w:bCs/>
          <w:sz w:val="24"/>
          <w:szCs w:val="24"/>
          <w:lang w:val="sr-Cyrl-RS"/>
        </w:rPr>
        <w:t>е</w:t>
      </w:r>
      <w:r w:rsidRPr="003E5020">
        <w:rPr>
          <w:rFonts w:ascii="Times New Roman" w:hAnsi="Times New Roman" w:cs="Times New Roman"/>
          <w:bCs/>
          <w:sz w:val="24"/>
          <w:szCs w:val="24"/>
          <w:lang w:val="sr-Cyrl-RS"/>
        </w:rPr>
        <w:t xml:space="preserve"> улога</w:t>
      </w:r>
      <w:r w:rsidR="008E7D3C" w:rsidRPr="003E5020">
        <w:rPr>
          <w:rFonts w:ascii="Times New Roman" w:hAnsi="Times New Roman" w:cs="Times New Roman"/>
          <w:bCs/>
          <w:sz w:val="24"/>
          <w:szCs w:val="24"/>
          <w:lang w:val="sr-Cyrl-RS"/>
        </w:rPr>
        <w:t>,</w:t>
      </w:r>
      <w:r w:rsidR="0079126F" w:rsidRPr="003E5020">
        <w:rPr>
          <w:rFonts w:ascii="Times New Roman" w:hAnsi="Times New Roman" w:cs="Times New Roman"/>
          <w:bCs/>
          <w:sz w:val="24"/>
          <w:szCs w:val="24"/>
          <w:lang w:val="sr-Cyrl-RS"/>
        </w:rPr>
        <w:t xml:space="preserve"> </w:t>
      </w:r>
      <w:r w:rsidRPr="003E5020">
        <w:rPr>
          <w:rFonts w:ascii="Times New Roman" w:hAnsi="Times New Roman" w:cs="Times New Roman"/>
          <w:bCs/>
          <w:sz w:val="24"/>
          <w:szCs w:val="24"/>
          <w:lang w:val="sr-Cyrl-RS"/>
        </w:rPr>
        <w:t>симулације</w:t>
      </w:r>
      <w:r w:rsidR="0079126F" w:rsidRPr="003E5020">
        <w:rPr>
          <w:rFonts w:ascii="Times New Roman" w:hAnsi="Times New Roman" w:cs="Times New Roman"/>
          <w:bCs/>
          <w:sz w:val="24"/>
          <w:szCs w:val="24"/>
          <w:lang w:val="sr-Cyrl-RS"/>
        </w:rPr>
        <w:t xml:space="preserve"> случаја, </w:t>
      </w:r>
      <w:r w:rsidR="00F1187E" w:rsidRPr="003E5020">
        <w:rPr>
          <w:rFonts w:ascii="Times New Roman" w:hAnsi="Times New Roman" w:cs="Times New Roman"/>
          <w:bCs/>
          <w:sz w:val="24"/>
          <w:szCs w:val="24"/>
          <w:lang w:val="sr-Cyrl-RS"/>
        </w:rPr>
        <w:t xml:space="preserve">интерне расправе </w:t>
      </w:r>
      <w:r w:rsidRPr="003E5020">
        <w:rPr>
          <w:rFonts w:ascii="Times New Roman" w:hAnsi="Times New Roman" w:cs="Times New Roman"/>
          <w:bCs/>
          <w:sz w:val="24"/>
          <w:szCs w:val="24"/>
          <w:lang w:val="sr-Cyrl-RS"/>
        </w:rPr>
        <w:t xml:space="preserve">и </w:t>
      </w:r>
      <w:r w:rsidR="0079126F" w:rsidRPr="003E5020">
        <w:rPr>
          <w:rFonts w:ascii="Times New Roman" w:hAnsi="Times New Roman" w:cs="Times New Roman"/>
          <w:bCs/>
          <w:sz w:val="24"/>
          <w:szCs w:val="24"/>
          <w:lang w:val="sr-Cyrl-RS"/>
        </w:rPr>
        <w:t>развијањ</w:t>
      </w:r>
      <w:r w:rsidR="008E7D3C" w:rsidRPr="003E5020">
        <w:rPr>
          <w:rFonts w:ascii="Times New Roman" w:hAnsi="Times New Roman" w:cs="Times New Roman"/>
          <w:bCs/>
          <w:sz w:val="24"/>
          <w:szCs w:val="24"/>
          <w:lang w:val="sr-Cyrl-RS"/>
        </w:rPr>
        <w:t>е</w:t>
      </w:r>
      <w:r w:rsidR="0079126F" w:rsidRPr="003E5020">
        <w:rPr>
          <w:rFonts w:ascii="Times New Roman" w:hAnsi="Times New Roman" w:cs="Times New Roman"/>
          <w:bCs/>
          <w:sz w:val="24"/>
          <w:szCs w:val="24"/>
          <w:lang w:val="sr-Cyrl-RS"/>
        </w:rPr>
        <w:t xml:space="preserve"> тзв.</w:t>
      </w:r>
      <w:r w:rsidRPr="003E5020">
        <w:rPr>
          <w:rFonts w:ascii="Times New Roman" w:hAnsi="Times New Roman" w:cs="Times New Roman"/>
          <w:bCs/>
          <w:sz w:val="24"/>
          <w:szCs w:val="24"/>
          <w:lang w:val="sr-Cyrl-RS"/>
        </w:rPr>
        <w:t xml:space="preserve"> </w:t>
      </w:r>
      <w:r w:rsidR="00F1187E" w:rsidRPr="003E5020">
        <w:rPr>
          <w:rFonts w:ascii="Times New Roman" w:hAnsi="Times New Roman" w:cs="Times New Roman"/>
          <w:bCs/>
          <w:sz w:val="24"/>
          <w:szCs w:val="24"/>
          <w:lang w:val="sr-Cyrl-RS"/>
        </w:rPr>
        <w:t>„меких</w:t>
      </w:r>
      <w:r w:rsidR="00701BFF">
        <w:rPr>
          <w:rFonts w:ascii="Times New Roman" w:hAnsi="Times New Roman" w:cs="Times New Roman"/>
          <w:bCs/>
          <w:sz w:val="24"/>
          <w:szCs w:val="24"/>
          <w:lang w:val="sr-Cyrl-RS"/>
        </w:rPr>
        <w:t>ˮ</w:t>
      </w:r>
      <w:r w:rsidR="00F1187E" w:rsidRPr="003E5020">
        <w:rPr>
          <w:rFonts w:ascii="Times New Roman" w:hAnsi="Times New Roman" w:cs="Times New Roman"/>
          <w:bCs/>
          <w:sz w:val="24"/>
          <w:szCs w:val="24"/>
          <w:lang w:val="sr-Cyrl-RS"/>
        </w:rPr>
        <w:t xml:space="preserve"> вештина (енгл: </w:t>
      </w:r>
      <w:r w:rsidR="00F1187E" w:rsidRPr="003E5020">
        <w:rPr>
          <w:rFonts w:ascii="Times New Roman" w:hAnsi="Times New Roman" w:cs="Times New Roman"/>
          <w:bCs/>
          <w:i/>
          <w:iCs/>
          <w:sz w:val="24"/>
          <w:szCs w:val="24"/>
        </w:rPr>
        <w:t>soft</w:t>
      </w:r>
      <w:r w:rsidR="00F1187E" w:rsidRPr="003E5020">
        <w:rPr>
          <w:rFonts w:ascii="Times New Roman" w:hAnsi="Times New Roman" w:cs="Times New Roman"/>
          <w:bCs/>
          <w:i/>
          <w:iCs/>
          <w:sz w:val="24"/>
          <w:szCs w:val="24"/>
          <w:lang w:val="sr-Cyrl-RS"/>
        </w:rPr>
        <w:t xml:space="preserve"> </w:t>
      </w:r>
      <w:r w:rsidR="00F1187E" w:rsidRPr="003E5020">
        <w:rPr>
          <w:rFonts w:ascii="Times New Roman" w:hAnsi="Times New Roman" w:cs="Times New Roman"/>
          <w:bCs/>
          <w:i/>
          <w:iCs/>
          <w:sz w:val="24"/>
          <w:szCs w:val="24"/>
        </w:rPr>
        <w:t>skills</w:t>
      </w:r>
      <w:r w:rsidR="00F1187E" w:rsidRPr="003E5020">
        <w:rPr>
          <w:rFonts w:ascii="Times New Roman" w:hAnsi="Times New Roman" w:cs="Times New Roman"/>
          <w:bCs/>
          <w:sz w:val="24"/>
          <w:szCs w:val="24"/>
          <w:lang w:val="sr-Cyrl-RS"/>
        </w:rPr>
        <w:t>)</w:t>
      </w:r>
      <w:r w:rsidRPr="003E5020">
        <w:rPr>
          <w:rFonts w:ascii="Times New Roman" w:hAnsi="Times New Roman" w:cs="Times New Roman"/>
          <w:bCs/>
          <w:sz w:val="24"/>
          <w:szCs w:val="24"/>
          <w:lang w:val="sr-Cyrl-RS"/>
        </w:rPr>
        <w:t>, пажња у обукама се највише даје групним обукама и предавањима. Уз коришћење нових модалитета обука, како би се потреба за тим моделитетима хармонизовала са буџетским оквирима, поред подизања свести о новим приступима обукама, потребно је и посебну пажњу усмерити ка обављању бесплатних обука у оквиру сами</w:t>
      </w:r>
      <w:r w:rsidR="00F1187E" w:rsidRPr="003E5020">
        <w:rPr>
          <w:rFonts w:ascii="Times New Roman" w:hAnsi="Times New Roman" w:cs="Times New Roman"/>
          <w:bCs/>
          <w:sz w:val="24"/>
          <w:szCs w:val="24"/>
          <w:lang w:val="sr-Cyrl-RS"/>
        </w:rPr>
        <w:t>х</w:t>
      </w:r>
      <w:r w:rsidRPr="003E5020">
        <w:rPr>
          <w:rFonts w:ascii="Times New Roman" w:hAnsi="Times New Roman" w:cs="Times New Roman"/>
          <w:bCs/>
          <w:sz w:val="24"/>
          <w:szCs w:val="24"/>
          <w:lang w:val="sr-Cyrl-RS"/>
        </w:rPr>
        <w:t xml:space="preserve"> институција. </w:t>
      </w:r>
    </w:p>
    <w:p w14:paraId="5FDB1B33" w14:textId="77777777" w:rsidR="00FF7D8F" w:rsidRPr="003E5020" w:rsidRDefault="00FF7D8F" w:rsidP="00BA5EB3">
      <w:pPr>
        <w:ind w:left="851"/>
        <w:jc w:val="both"/>
        <w:rPr>
          <w:rFonts w:ascii="Times New Roman" w:hAnsi="Times New Roman" w:cs="Times New Roman"/>
          <w:bCs/>
          <w:sz w:val="24"/>
          <w:szCs w:val="24"/>
          <w:highlight w:val="cyan"/>
          <w:lang w:val="sr-Cyrl-RS"/>
        </w:rPr>
      </w:pPr>
    </w:p>
    <w:p w14:paraId="4259D79A" w14:textId="55FD701A" w:rsidR="00BA5EB3" w:rsidRPr="003E5020" w:rsidRDefault="006342DC" w:rsidP="00BA5EB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Претходно наведено јасно говори у прилог тврдњи да српско правосуђе тренутно не познаје стратешко планирање у управљању људским ресурсима, што у највећој мери доприноси настанку проблема са којима се правосуђе суочава</w:t>
      </w:r>
      <w:r w:rsidRPr="003E5020">
        <w:rPr>
          <w:rFonts w:ascii="Times New Roman" w:hAnsi="Times New Roman" w:cs="Times New Roman"/>
          <w:bCs/>
          <w:sz w:val="24"/>
          <w:szCs w:val="24"/>
          <w:lang w:val="sr-Cyrl-RS"/>
        </w:rPr>
        <w:t>.</w:t>
      </w:r>
    </w:p>
    <w:p w14:paraId="4C818565" w14:textId="1FE75D91" w:rsidR="007854DC" w:rsidRPr="003E5020" w:rsidRDefault="007854DC" w:rsidP="00CC2390">
      <w:pPr>
        <w:jc w:val="both"/>
        <w:rPr>
          <w:rFonts w:ascii="Times New Roman" w:hAnsi="Times New Roman" w:cs="Times New Roman"/>
          <w:sz w:val="24"/>
          <w:szCs w:val="24"/>
          <w:lang w:val="sr-Cyrl-RS"/>
        </w:rPr>
      </w:pPr>
    </w:p>
    <w:p w14:paraId="09FD5068" w14:textId="559E8A0B" w:rsidR="007854DC" w:rsidRPr="003E5020" w:rsidRDefault="007854D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Чини се </w:t>
      </w:r>
      <w:r w:rsidR="0079126F" w:rsidRPr="003E5020">
        <w:rPr>
          <w:rFonts w:ascii="Times New Roman" w:hAnsi="Times New Roman" w:cs="Times New Roman"/>
          <w:sz w:val="24"/>
          <w:szCs w:val="24"/>
          <w:lang w:val="sr-Cyrl-RS"/>
        </w:rPr>
        <w:t xml:space="preserve">ипак </w:t>
      </w:r>
      <w:r w:rsidRPr="003E5020">
        <w:rPr>
          <w:rFonts w:ascii="Times New Roman" w:hAnsi="Times New Roman" w:cs="Times New Roman"/>
          <w:sz w:val="24"/>
          <w:szCs w:val="24"/>
          <w:lang w:val="sr-Cyrl-RS"/>
        </w:rPr>
        <w:t xml:space="preserve">да постојећи правни </w:t>
      </w:r>
      <w:r w:rsidR="00F35D19">
        <w:rPr>
          <w:rFonts w:ascii="Times New Roman" w:hAnsi="Times New Roman" w:cs="Times New Roman"/>
          <w:sz w:val="24"/>
          <w:szCs w:val="24"/>
          <w:lang w:val="sr-Cyrl-RS"/>
        </w:rPr>
        <w:t>о</w:t>
      </w:r>
      <w:r w:rsidRPr="003E5020">
        <w:rPr>
          <w:rFonts w:ascii="Times New Roman" w:hAnsi="Times New Roman" w:cs="Times New Roman"/>
          <w:sz w:val="24"/>
          <w:szCs w:val="24"/>
          <w:lang w:val="sr-Cyrl-RS"/>
        </w:rPr>
        <w:t>квир не спречава успоставу стратешког планирања људских ресурса у правосуђу. Напротив, постојећа регулатива која се директно тиче креирања јавних политика треба да подстак</w:t>
      </w:r>
      <w:r w:rsidR="00CB2CEA" w:rsidRPr="003E5020">
        <w:rPr>
          <w:rFonts w:ascii="Times New Roman" w:hAnsi="Times New Roman" w:cs="Times New Roman"/>
          <w:sz w:val="24"/>
          <w:szCs w:val="24"/>
          <w:lang w:val="sr-Cyrl-RS"/>
        </w:rPr>
        <w:t>н</w:t>
      </w:r>
      <w:r w:rsidRPr="003E5020">
        <w:rPr>
          <w:rFonts w:ascii="Times New Roman" w:hAnsi="Times New Roman" w:cs="Times New Roman"/>
          <w:sz w:val="24"/>
          <w:szCs w:val="24"/>
          <w:lang w:val="sr-Cyrl-RS"/>
        </w:rPr>
        <w:t>е стратешко планирање у целокупном државном апарату, укључујући и правосуђе</w:t>
      </w:r>
      <w:r w:rsidR="00BF2760"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као посебан и независан део тог апарата. Слична ствар је и у области постојећи</w:t>
      </w:r>
      <w:r w:rsidR="00CB2CEA" w:rsidRPr="003E5020">
        <w:rPr>
          <w:rFonts w:ascii="Times New Roman" w:hAnsi="Times New Roman" w:cs="Times New Roman"/>
          <w:sz w:val="24"/>
          <w:szCs w:val="24"/>
          <w:lang w:val="sr-Cyrl-RS"/>
        </w:rPr>
        <w:t>х</w:t>
      </w:r>
      <w:r w:rsidRPr="003E5020">
        <w:rPr>
          <w:rFonts w:ascii="Times New Roman" w:hAnsi="Times New Roman" w:cs="Times New Roman"/>
          <w:sz w:val="24"/>
          <w:szCs w:val="24"/>
          <w:lang w:val="sr-Cyrl-RS"/>
        </w:rPr>
        <w:t xml:space="preserve"> стратешких докумената</w:t>
      </w:r>
      <w:r w:rsidR="00CB2CEA" w:rsidRPr="003E5020">
        <w:rPr>
          <w:rFonts w:ascii="Times New Roman" w:hAnsi="Times New Roman" w:cs="Times New Roman"/>
          <w:sz w:val="24"/>
          <w:szCs w:val="24"/>
          <w:lang w:val="sr-Cyrl-RS"/>
        </w:rPr>
        <w:t xml:space="preserve"> (</w:t>
      </w:r>
      <w:r w:rsidR="00BF2760" w:rsidRPr="003E5020">
        <w:rPr>
          <w:rFonts w:ascii="Times New Roman" w:hAnsi="Times New Roman" w:cs="Times New Roman"/>
          <w:sz w:val="24"/>
          <w:szCs w:val="24"/>
          <w:lang w:val="sr-Cyrl-RS"/>
        </w:rPr>
        <w:t xml:space="preserve">најпре </w:t>
      </w:r>
      <w:r w:rsidR="001B42A0" w:rsidRPr="003E5020">
        <w:rPr>
          <w:rFonts w:ascii="Times New Roman" w:hAnsi="Times New Roman" w:cs="Times New Roman"/>
          <w:sz w:val="24"/>
          <w:szCs w:val="24"/>
          <w:lang w:val="sr-Cyrl-RS"/>
        </w:rPr>
        <w:t xml:space="preserve">Стратегија развоја правосуђа за период 2020–2025. године </w:t>
      </w:r>
      <w:r w:rsidR="00CB2CEA" w:rsidRPr="003E5020">
        <w:rPr>
          <w:rFonts w:ascii="Times New Roman" w:hAnsi="Times New Roman" w:cs="Times New Roman"/>
          <w:sz w:val="24"/>
          <w:szCs w:val="24"/>
          <w:lang w:val="sr-Cyrl-RS"/>
        </w:rPr>
        <w:t>и АП 23)</w:t>
      </w:r>
      <w:r w:rsidRPr="003E5020">
        <w:rPr>
          <w:rFonts w:ascii="Times New Roman" w:hAnsi="Times New Roman" w:cs="Times New Roman"/>
          <w:sz w:val="24"/>
          <w:szCs w:val="24"/>
          <w:lang w:val="sr-Cyrl-RS"/>
        </w:rPr>
        <w:t>, који такође акценат стављају на</w:t>
      </w:r>
      <w:r w:rsidR="00CB2CEA" w:rsidRPr="003E5020">
        <w:rPr>
          <w:rFonts w:ascii="Times New Roman" w:hAnsi="Times New Roman" w:cs="Times New Roman"/>
          <w:sz w:val="24"/>
          <w:szCs w:val="24"/>
          <w:lang w:val="sr-Cyrl-RS"/>
        </w:rPr>
        <w:t xml:space="preserve"> потребу за</w:t>
      </w:r>
      <w:r w:rsidRPr="003E5020">
        <w:rPr>
          <w:rFonts w:ascii="Times New Roman" w:hAnsi="Times New Roman" w:cs="Times New Roman"/>
          <w:sz w:val="24"/>
          <w:szCs w:val="24"/>
          <w:lang w:val="sr-Cyrl-RS"/>
        </w:rPr>
        <w:t xml:space="preserve"> стратешк</w:t>
      </w:r>
      <w:r w:rsidR="00CB2CEA" w:rsidRPr="003E5020">
        <w:rPr>
          <w:rFonts w:ascii="Times New Roman" w:hAnsi="Times New Roman" w:cs="Times New Roman"/>
          <w:sz w:val="24"/>
          <w:szCs w:val="24"/>
          <w:lang w:val="sr-Cyrl-RS"/>
        </w:rPr>
        <w:t>им</w:t>
      </w:r>
      <w:r w:rsidRPr="003E5020">
        <w:rPr>
          <w:rFonts w:ascii="Times New Roman" w:hAnsi="Times New Roman" w:cs="Times New Roman"/>
          <w:sz w:val="24"/>
          <w:szCs w:val="24"/>
          <w:lang w:val="sr-Cyrl-RS"/>
        </w:rPr>
        <w:t xml:space="preserve"> планирање</w:t>
      </w:r>
      <w:r w:rsidR="00CB2CEA" w:rsidRPr="003E5020">
        <w:rPr>
          <w:rFonts w:ascii="Times New Roman" w:hAnsi="Times New Roman" w:cs="Times New Roman"/>
          <w:sz w:val="24"/>
          <w:szCs w:val="24"/>
          <w:lang w:val="sr-Cyrl-RS"/>
        </w:rPr>
        <w:t>м. Наведени документи успостављају и одговарајуће институционално окружење које треба да допринесе бољој координацији свих заинтересованих институција и чинилаца у успостави стратешког планирања. На послетку, постоји већ дубок</w:t>
      </w:r>
      <w:r w:rsidR="00BF2760" w:rsidRPr="003E5020">
        <w:rPr>
          <w:rFonts w:ascii="Times New Roman" w:hAnsi="Times New Roman" w:cs="Times New Roman"/>
          <w:sz w:val="24"/>
          <w:szCs w:val="24"/>
          <w:lang w:val="sr-Cyrl-RS"/>
        </w:rPr>
        <w:t>о</w:t>
      </w:r>
      <w:r w:rsidR="00CB2CEA" w:rsidRPr="003E5020">
        <w:rPr>
          <w:rFonts w:ascii="Times New Roman" w:hAnsi="Times New Roman" w:cs="Times New Roman"/>
          <w:sz w:val="24"/>
          <w:szCs w:val="24"/>
          <w:lang w:val="sr-Cyrl-RS"/>
        </w:rPr>
        <w:t xml:space="preserve"> уврежено уверење свих правосудних чинилаца да је стратешки приступ развоју људских ресурса у правосуђу кључан корак ка даљем унапређењу</w:t>
      </w:r>
      <w:r w:rsidR="00BF2760" w:rsidRPr="003E5020">
        <w:rPr>
          <w:rFonts w:ascii="Times New Roman" w:hAnsi="Times New Roman" w:cs="Times New Roman"/>
          <w:sz w:val="24"/>
          <w:szCs w:val="24"/>
          <w:lang w:val="sr-Cyrl-RS"/>
        </w:rPr>
        <w:t xml:space="preserve"> правосуђа</w:t>
      </w:r>
      <w:r w:rsidR="00CB2CEA" w:rsidRPr="003E5020">
        <w:rPr>
          <w:rFonts w:ascii="Times New Roman" w:hAnsi="Times New Roman" w:cs="Times New Roman"/>
          <w:sz w:val="24"/>
          <w:szCs w:val="24"/>
          <w:lang w:val="sr-Cyrl-RS"/>
        </w:rPr>
        <w:t>.</w:t>
      </w:r>
    </w:p>
    <w:p w14:paraId="7C9408B7" w14:textId="036FB221" w:rsidR="00025097" w:rsidRPr="003E5020" w:rsidRDefault="00025097">
      <w:pPr>
        <w:ind w:left="851"/>
        <w:jc w:val="both"/>
        <w:rPr>
          <w:rFonts w:ascii="Times New Roman" w:hAnsi="Times New Roman" w:cs="Times New Roman"/>
          <w:sz w:val="24"/>
          <w:szCs w:val="24"/>
          <w:lang w:val="sr-Cyrl-RS"/>
        </w:rPr>
      </w:pPr>
    </w:p>
    <w:p w14:paraId="76B02396" w14:textId="77777777" w:rsidR="008852F3" w:rsidRPr="003E5020" w:rsidRDefault="008852F3">
      <w:pPr>
        <w:ind w:left="851"/>
        <w:jc w:val="both"/>
        <w:rPr>
          <w:rFonts w:ascii="Times New Roman" w:eastAsiaTheme="majorEastAsia" w:hAnsi="Times New Roman" w:cs="Times New Roman"/>
          <w:sz w:val="24"/>
          <w:szCs w:val="24"/>
          <w:lang w:val="sr-Cyrl-RS"/>
        </w:rPr>
      </w:pPr>
    </w:p>
    <w:p w14:paraId="6F1152E8" w14:textId="14E07024" w:rsidR="00DA43B8" w:rsidRPr="003E5020" w:rsidRDefault="00DA43B8">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w:t>
      </w:r>
      <w:r w:rsidR="00175500" w:rsidRPr="003E5020">
        <w:rPr>
          <w:rFonts w:ascii="Times New Roman" w:hAnsi="Times New Roman" w:cs="Times New Roman"/>
          <w:sz w:val="24"/>
          <w:szCs w:val="24"/>
          <w:lang w:val="sr-Cyrl-RS"/>
        </w:rPr>
        <w:t xml:space="preserve">непосредно </w:t>
      </w:r>
      <w:r w:rsidRPr="003E5020">
        <w:rPr>
          <w:rFonts w:ascii="Times New Roman" w:hAnsi="Times New Roman" w:cs="Times New Roman"/>
          <w:sz w:val="24"/>
          <w:szCs w:val="24"/>
          <w:lang w:val="sr-Cyrl-RS"/>
        </w:rPr>
        <w:t xml:space="preserve">третира </w:t>
      </w:r>
      <w:r w:rsidR="00B766F2" w:rsidRPr="003E5020">
        <w:rPr>
          <w:rFonts w:ascii="Times New Roman" w:hAnsi="Times New Roman" w:cs="Times New Roman"/>
          <w:sz w:val="24"/>
          <w:szCs w:val="24"/>
          <w:lang w:val="sr-Cyrl-RS"/>
        </w:rPr>
        <w:t xml:space="preserve">најпре </w:t>
      </w:r>
      <w:r w:rsidR="00175500" w:rsidRPr="003E5020">
        <w:rPr>
          <w:rFonts w:ascii="Times New Roman" w:hAnsi="Times New Roman" w:cs="Times New Roman"/>
          <w:sz w:val="24"/>
          <w:szCs w:val="24"/>
          <w:lang w:val="sr-Cyrl-RS"/>
        </w:rPr>
        <w:t>кроз реализацију посебног</w:t>
      </w:r>
      <w:r w:rsidR="00E91AFA" w:rsidRPr="003E5020">
        <w:rPr>
          <w:rFonts w:ascii="Times New Roman" w:hAnsi="Times New Roman" w:cs="Times New Roman"/>
          <w:sz w:val="24"/>
          <w:szCs w:val="24"/>
          <w:lang w:val="sr-Cyrl-RS"/>
        </w:rPr>
        <w:t xml:space="preserve"> </w:t>
      </w:r>
      <w:hyperlink w:anchor="_Циљ_3._–" w:history="1">
        <w:r w:rsidR="00EB5749" w:rsidRPr="003E5020">
          <w:rPr>
            <w:rStyle w:val="Hyperlink"/>
            <w:rFonts w:ascii="Times New Roman" w:hAnsi="Times New Roman" w:cs="Times New Roman"/>
            <w:color w:val="auto"/>
            <w:sz w:val="24"/>
            <w:szCs w:val="24"/>
            <w:lang w:val="sr-Cyrl-RS"/>
          </w:rPr>
          <w:t>циља 3</w:t>
        </w:r>
      </w:hyperlink>
      <w:r w:rsidR="00175500" w:rsidRPr="003E5020">
        <w:rPr>
          <w:rFonts w:ascii="Times New Roman" w:hAnsi="Times New Roman" w:cs="Times New Roman"/>
          <w:sz w:val="24"/>
          <w:szCs w:val="24"/>
          <w:lang w:val="sr-Cyrl-RS"/>
        </w:rPr>
        <w:t xml:space="preserve">. Имајући у виду да је у питању </w:t>
      </w:r>
      <w:r w:rsidR="00B766F2" w:rsidRPr="003E5020">
        <w:rPr>
          <w:rFonts w:ascii="Times New Roman" w:hAnsi="Times New Roman" w:cs="Times New Roman"/>
          <w:sz w:val="24"/>
          <w:szCs w:val="24"/>
          <w:lang w:val="sr-Cyrl-RS"/>
        </w:rPr>
        <w:t>један од кључних проблема који утиче на, односно проузрокује и друге проблеме по питању људксих ресурса у правосуђу, наведени проблем се посредно третира и кроз реализацију свих осталих посебних циљева Стратегије.</w:t>
      </w:r>
    </w:p>
    <w:p w14:paraId="4355AD15" w14:textId="77777777" w:rsidR="00DA43B8" w:rsidRPr="003E5020" w:rsidRDefault="00DA43B8">
      <w:pPr>
        <w:ind w:left="851"/>
        <w:jc w:val="both"/>
        <w:rPr>
          <w:rFonts w:ascii="Times New Roman" w:hAnsi="Times New Roman" w:cs="Times New Roman"/>
          <w:sz w:val="24"/>
          <w:szCs w:val="24"/>
          <w:lang w:val="sr-Cyrl-RS"/>
        </w:rPr>
      </w:pPr>
    </w:p>
    <w:p w14:paraId="2A08AA27" w14:textId="69281341" w:rsidR="00C82767" w:rsidRPr="003E5020" w:rsidRDefault="00C82767" w:rsidP="00997FFA">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93" w:name="_Положај_судијских_помоћника"/>
      <w:bookmarkStart w:id="94" w:name="_Toc84778625"/>
      <w:bookmarkEnd w:id="93"/>
      <w:r w:rsidRPr="003E5020">
        <w:rPr>
          <w:rFonts w:ascii="Times New Roman" w:hAnsi="Times New Roman" w:cs="Times New Roman"/>
          <w:color w:val="auto"/>
          <w:sz w:val="24"/>
          <w:szCs w:val="24"/>
          <w:lang w:val="sr-Cyrl-RS"/>
        </w:rPr>
        <w:t xml:space="preserve">Подељена надлежност у управљању људским ресурсима између </w:t>
      </w:r>
      <w:r w:rsidR="00997FFA" w:rsidRPr="003E5020">
        <w:rPr>
          <w:rFonts w:ascii="Times New Roman" w:hAnsi="Times New Roman" w:cs="Times New Roman"/>
          <w:color w:val="auto"/>
          <w:sz w:val="24"/>
          <w:szCs w:val="24"/>
          <w:lang w:val="sr-Cyrl-RS"/>
        </w:rPr>
        <w:t>Министарства правде с једне и Високог савета судства и Државног већа тужилаца, с друге</w:t>
      </w:r>
      <w:r w:rsidR="0043552A" w:rsidRPr="003E5020">
        <w:rPr>
          <w:rFonts w:ascii="Times New Roman" w:hAnsi="Times New Roman" w:cs="Times New Roman"/>
          <w:color w:val="auto"/>
          <w:sz w:val="24"/>
          <w:szCs w:val="24"/>
          <w:lang w:val="sr-Cyrl-RS"/>
        </w:rPr>
        <w:t xml:space="preserve"> стране</w:t>
      </w:r>
      <w:bookmarkEnd w:id="94"/>
    </w:p>
    <w:p w14:paraId="535FA467" w14:textId="77777777" w:rsidR="00540EA5" w:rsidRPr="003E5020" w:rsidRDefault="00540EA5">
      <w:pPr>
        <w:rPr>
          <w:rFonts w:ascii="Times New Roman" w:hAnsi="Times New Roman" w:cs="Times New Roman"/>
          <w:sz w:val="24"/>
          <w:szCs w:val="24"/>
          <w:lang w:val="sr-Cyrl-RS"/>
        </w:rPr>
      </w:pPr>
    </w:p>
    <w:p w14:paraId="0D9F22EA" w14:textId="073DF251" w:rsidR="00C82767" w:rsidRPr="003E5020" w:rsidRDefault="00540EA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Одсуство стратешког планирања људских ресурса у правосуђу је једним делом узроковано и поделом надлежности између Министарства правде, с једне, и Високог савета судства и Државног већа тужилаца, с друге стране.</w:t>
      </w:r>
    </w:p>
    <w:p w14:paraId="67AA8CBC" w14:textId="1708245D" w:rsidR="0047686C" w:rsidRPr="003E5020" w:rsidRDefault="0047686C">
      <w:pPr>
        <w:ind w:left="851"/>
        <w:jc w:val="both"/>
        <w:rPr>
          <w:rFonts w:ascii="Times New Roman" w:hAnsi="Times New Roman" w:cs="Times New Roman"/>
          <w:sz w:val="24"/>
          <w:szCs w:val="24"/>
          <w:lang w:val="sr-Cyrl-RS"/>
        </w:rPr>
      </w:pPr>
    </w:p>
    <w:p w14:paraId="498BC7FF" w14:textId="6E85D07C" w:rsidR="00F728CB" w:rsidRPr="003E5020" w:rsidRDefault="004768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Послови правосудне управе</w:t>
      </w:r>
      <w:r w:rsidR="00033428" w:rsidRPr="003E5020">
        <w:rPr>
          <w:rFonts w:ascii="Times New Roman" w:hAnsi="Times New Roman" w:cs="Times New Roman"/>
          <w:sz w:val="24"/>
          <w:szCs w:val="24"/>
          <w:lang w:val="sr-Cyrl-RS"/>
        </w:rPr>
        <w:t xml:space="preserve"> у судовима</w:t>
      </w:r>
      <w:r w:rsidRPr="003E5020">
        <w:rPr>
          <w:rFonts w:ascii="Times New Roman" w:hAnsi="Times New Roman" w:cs="Times New Roman"/>
          <w:sz w:val="24"/>
          <w:szCs w:val="24"/>
          <w:lang w:val="sr-Cyrl-RS"/>
        </w:rPr>
        <w:t xml:space="preserve"> се врше од стране Високог савета судства и Министарства правде</w:t>
      </w:r>
      <w:r w:rsidRPr="003E5020">
        <w:rPr>
          <w:rFonts w:ascii="Times New Roman" w:hAnsi="Times New Roman" w:cs="Times New Roman"/>
          <w:sz w:val="24"/>
          <w:szCs w:val="24"/>
          <w:vertAlign w:val="superscript"/>
          <w:lang w:val="sr-Cyrl-RS"/>
        </w:rPr>
        <w:footnoteReference w:id="30"/>
      </w:r>
      <w:r w:rsidRPr="003E5020">
        <w:rPr>
          <w:rFonts w:ascii="Times New Roman" w:hAnsi="Times New Roman" w:cs="Times New Roman"/>
          <w:sz w:val="24"/>
          <w:szCs w:val="24"/>
          <w:lang w:val="sr-Cyrl-RS"/>
        </w:rPr>
        <w:t xml:space="preserve">. Послови правосудне управе које врши Високи савет судства су: доношење упутства за састављање извештаја о раду судова; утврђивање општих смерница за унутрашње уређење судова; вођење личних листова судија, судија поротника и судског особља; предлагање дела буџета за рад судова за текуће расходе, осим расхода за судско особље и одржавање опреме и објеката, као и расподелу ових средстава; вршење надзора над наменским коришћењем буџетских средстава и вршење надзора над финансијским и материјалним пословањем судова. </w:t>
      </w:r>
    </w:p>
    <w:p w14:paraId="67D4123E" w14:textId="77777777" w:rsidR="00F728CB" w:rsidRPr="003E5020" w:rsidRDefault="00F728CB">
      <w:pPr>
        <w:ind w:left="851"/>
        <w:jc w:val="both"/>
        <w:rPr>
          <w:rFonts w:ascii="Times New Roman" w:hAnsi="Times New Roman" w:cs="Times New Roman"/>
          <w:sz w:val="24"/>
          <w:szCs w:val="24"/>
          <w:lang w:val="sr-Cyrl-RS"/>
        </w:rPr>
      </w:pPr>
    </w:p>
    <w:p w14:paraId="6EAA9B19" w14:textId="4132A34A" w:rsidR="0047686C" w:rsidRPr="003E5020" w:rsidRDefault="0047686C">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Послови правосудне управе које врши </w:t>
      </w:r>
      <w:r w:rsidR="00F728CB" w:rsidRPr="003E5020">
        <w:rPr>
          <w:rFonts w:ascii="Times New Roman" w:hAnsi="Times New Roman" w:cs="Times New Roman"/>
          <w:sz w:val="24"/>
          <w:szCs w:val="24"/>
          <w:lang w:val="sr-Cyrl-RS"/>
        </w:rPr>
        <w:t>Министарств</w:t>
      </w:r>
      <w:r w:rsidR="00757651" w:rsidRPr="003E5020">
        <w:rPr>
          <w:rFonts w:ascii="Times New Roman" w:hAnsi="Times New Roman" w:cs="Times New Roman"/>
          <w:sz w:val="24"/>
          <w:szCs w:val="24"/>
          <w:lang w:val="sr-Cyrl-RS"/>
        </w:rPr>
        <w:t>о</w:t>
      </w:r>
      <w:r w:rsidR="00F728CB" w:rsidRPr="003E5020">
        <w:rPr>
          <w:rFonts w:ascii="Times New Roman" w:hAnsi="Times New Roman" w:cs="Times New Roman"/>
          <w:sz w:val="24"/>
          <w:szCs w:val="24"/>
          <w:lang w:val="sr-Cyrl-RS"/>
        </w:rPr>
        <w:t xml:space="preserve"> правде </w:t>
      </w:r>
      <w:r w:rsidRPr="003E5020">
        <w:rPr>
          <w:rFonts w:ascii="Times New Roman" w:hAnsi="Times New Roman" w:cs="Times New Roman"/>
          <w:sz w:val="24"/>
          <w:szCs w:val="24"/>
          <w:lang w:val="sr-Cyrl-RS"/>
        </w:rPr>
        <w:t xml:space="preserve">су: праћење рада судова; прикупљање статистичких и других података о раду судова; давање сагласности на правилник о унутрашњој организацији и систематизацији радних места у суду; надзор над поступањем у предметима у прописаним роковима и поступањем по притужбама и представкама; предлагање дела буџета за расходе за судско особље и за одржавање опреме и објеката, као и расподела ових средстава; предлагање дела буџета за инвестиције, пројекте и друге програме за рад правосудних органа; старање о смештајним условима, опремању и обезбеђењу судова; надзор над финансијским и материјалним пословањем судова и Високог савета судства; уређење и развој правосудног информационог система; развој и спровођење капиталних пројеката и других програма за правосудне органе; постављање и разрешење судских вештака и тумача. </w:t>
      </w:r>
      <w:r w:rsidR="00F728CB" w:rsidRPr="003E5020">
        <w:rPr>
          <w:rFonts w:ascii="Times New Roman" w:hAnsi="Times New Roman" w:cs="Times New Roman"/>
          <w:sz w:val="24"/>
          <w:szCs w:val="24"/>
          <w:lang w:val="sr-Cyrl-RS"/>
        </w:rPr>
        <w:t xml:space="preserve">Капиталне расходе везане за горе побројане надлежности извршава Министарство правде, односно правосудни орган уз сагласност претходно наведеног </w:t>
      </w:r>
      <w:r w:rsidR="00EB6BA3" w:rsidRPr="003E5020">
        <w:rPr>
          <w:rFonts w:ascii="Times New Roman" w:hAnsi="Times New Roman" w:cs="Times New Roman"/>
          <w:sz w:val="24"/>
          <w:szCs w:val="24"/>
          <w:lang w:val="sr-Cyrl-RS"/>
        </w:rPr>
        <w:t>министарства</w:t>
      </w:r>
      <w:r w:rsidR="00F728CB" w:rsidRPr="003E5020">
        <w:rPr>
          <w:rFonts w:ascii="Times New Roman" w:hAnsi="Times New Roman" w:cs="Times New Roman"/>
          <w:sz w:val="24"/>
          <w:szCs w:val="24"/>
          <w:lang w:val="sr-Cyrl-RS"/>
        </w:rPr>
        <w:t>.</w:t>
      </w:r>
    </w:p>
    <w:p w14:paraId="59D2EC01" w14:textId="137C71DD" w:rsidR="003A26F8" w:rsidRPr="003E5020" w:rsidRDefault="003A26F8">
      <w:pPr>
        <w:ind w:left="851"/>
        <w:jc w:val="both"/>
        <w:rPr>
          <w:rFonts w:ascii="Times New Roman" w:hAnsi="Times New Roman" w:cs="Times New Roman"/>
          <w:sz w:val="24"/>
          <w:szCs w:val="24"/>
          <w:lang w:val="sr-Cyrl-RS"/>
        </w:rPr>
      </w:pPr>
    </w:p>
    <w:p w14:paraId="19092AC6" w14:textId="32B8BD2E" w:rsidR="000702A5" w:rsidRPr="003E5020" w:rsidRDefault="003A26F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Слична ситуација је и са пословима</w:t>
      </w:r>
      <w:r w:rsidR="00033428" w:rsidRPr="003E5020">
        <w:rPr>
          <w:rFonts w:ascii="Times New Roman" w:hAnsi="Times New Roman" w:cs="Times New Roman"/>
          <w:sz w:val="24"/>
          <w:szCs w:val="24"/>
          <w:lang w:val="sr-Cyrl-RS"/>
        </w:rPr>
        <w:t xml:space="preserve"> управе у јавним тужилаштвима, где је такође извршена подела надлежности између Државног већа тужилаца и Министарства правде</w:t>
      </w:r>
      <w:r w:rsidR="00F0389C" w:rsidRPr="003E5020">
        <w:rPr>
          <w:rStyle w:val="FootnoteReference"/>
          <w:rFonts w:ascii="Times New Roman" w:hAnsi="Times New Roman" w:cs="Times New Roman"/>
          <w:sz w:val="24"/>
          <w:szCs w:val="24"/>
          <w:lang w:val="sr-Cyrl-RS"/>
        </w:rPr>
        <w:footnoteReference w:id="31"/>
      </w:r>
      <w:r w:rsidR="00033428" w:rsidRPr="003E5020">
        <w:rPr>
          <w:rFonts w:ascii="Times New Roman" w:hAnsi="Times New Roman" w:cs="Times New Roman"/>
          <w:sz w:val="24"/>
          <w:szCs w:val="24"/>
          <w:lang w:val="sr-Cyrl-RS"/>
        </w:rPr>
        <w:t>.</w:t>
      </w:r>
      <w:r w:rsidR="00F0389C"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 </w:t>
      </w:r>
      <w:r w:rsidR="000702A5" w:rsidRPr="003E5020">
        <w:rPr>
          <w:rFonts w:ascii="Times New Roman" w:hAnsi="Times New Roman" w:cs="Times New Roman"/>
          <w:sz w:val="24"/>
          <w:szCs w:val="24"/>
          <w:lang w:val="sr-Cyrl-RS"/>
        </w:rPr>
        <w:t xml:space="preserve">У управу </w:t>
      </w:r>
      <w:r w:rsidR="00E80BE2" w:rsidRPr="003E5020">
        <w:rPr>
          <w:rFonts w:ascii="Times New Roman" w:hAnsi="Times New Roman" w:cs="Times New Roman"/>
          <w:sz w:val="24"/>
          <w:szCs w:val="24"/>
          <w:lang w:val="sr-Cyrl-RS"/>
        </w:rPr>
        <w:t xml:space="preserve">у јавним тужилаштвима </w:t>
      </w:r>
      <w:r w:rsidR="000702A5" w:rsidRPr="003E5020">
        <w:rPr>
          <w:rFonts w:ascii="Times New Roman" w:hAnsi="Times New Roman" w:cs="Times New Roman"/>
          <w:sz w:val="24"/>
          <w:szCs w:val="24"/>
          <w:lang w:val="sr-Cyrl-RS"/>
        </w:rPr>
        <w:t xml:space="preserve">спадају послови којима се обезбеђује вршење послова у јавним тужилаштвима, посебно обезбеђивање материјалних, финансијских, просторних и других услова за рад јавних тужилаштава, обезбеђују финансијска средства за стручно усавршавање јавних тужилаца, заменика јавних тужилаца и особља, прописивање стандарда за простор и опрему у јавном тужилаштву, давање сагласности на акт о унутрашњем уређењу и систематизацији јавног тужилаштва и други послови. </w:t>
      </w:r>
    </w:p>
    <w:p w14:paraId="2767F771" w14:textId="2A2392B4" w:rsidR="000702A5" w:rsidRPr="003E5020" w:rsidRDefault="000702A5">
      <w:pPr>
        <w:ind w:left="851"/>
        <w:jc w:val="both"/>
        <w:rPr>
          <w:rFonts w:ascii="Times New Roman" w:hAnsi="Times New Roman" w:cs="Times New Roman"/>
          <w:sz w:val="24"/>
          <w:szCs w:val="24"/>
          <w:lang w:val="sr-Cyrl-RS"/>
        </w:rPr>
      </w:pPr>
    </w:p>
    <w:p w14:paraId="7BDDBE7B" w14:textId="7858CACA" w:rsidR="00BD2191" w:rsidRPr="003E5020" w:rsidRDefault="000702A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Послове правосудне управе врши </w:t>
      </w:r>
      <w:r w:rsidR="002967E9" w:rsidRPr="003E5020">
        <w:rPr>
          <w:rFonts w:ascii="Times New Roman" w:hAnsi="Times New Roman" w:cs="Times New Roman"/>
          <w:sz w:val="24"/>
          <w:szCs w:val="24"/>
          <w:lang w:val="sr-Cyrl-RS"/>
        </w:rPr>
        <w:t>Министарство правде</w:t>
      </w:r>
      <w:r w:rsidRPr="003E5020">
        <w:rPr>
          <w:rFonts w:ascii="Times New Roman" w:hAnsi="Times New Roman" w:cs="Times New Roman"/>
          <w:sz w:val="24"/>
          <w:szCs w:val="24"/>
          <w:lang w:val="sr-Cyrl-RS"/>
        </w:rPr>
        <w:t xml:space="preserve">, изузев послова правосудне управе који се односе на обезбеђивање финансијских услова за рад јавних тужилаштава, које обавља Државно веће тужилаца. Министарство </w:t>
      </w:r>
      <w:r w:rsidR="002967E9" w:rsidRPr="003E5020">
        <w:rPr>
          <w:rFonts w:ascii="Times New Roman" w:hAnsi="Times New Roman" w:cs="Times New Roman"/>
          <w:sz w:val="24"/>
          <w:szCs w:val="24"/>
          <w:lang w:val="sr-Cyrl-RS"/>
        </w:rPr>
        <w:t xml:space="preserve">правде </w:t>
      </w:r>
      <w:r w:rsidRPr="003E5020">
        <w:rPr>
          <w:rFonts w:ascii="Times New Roman" w:hAnsi="Times New Roman" w:cs="Times New Roman"/>
          <w:sz w:val="24"/>
          <w:szCs w:val="24"/>
          <w:lang w:val="sr-Cyrl-RS"/>
        </w:rPr>
        <w:t>може у вршењу послова правосудне управе од јавних тужилаштава тражити извештаје и податке</w:t>
      </w:r>
      <w:r w:rsidR="002967E9" w:rsidRPr="003E5020">
        <w:rPr>
          <w:rStyle w:val="FootnoteReference"/>
          <w:rFonts w:ascii="Times New Roman" w:hAnsi="Times New Roman" w:cs="Times New Roman"/>
          <w:sz w:val="24"/>
          <w:szCs w:val="24"/>
          <w:lang w:val="sr-Cyrl-RS"/>
        </w:rPr>
        <w:footnoteReference w:id="32"/>
      </w:r>
      <w:r w:rsidRPr="003E5020">
        <w:rPr>
          <w:rFonts w:ascii="Times New Roman" w:hAnsi="Times New Roman" w:cs="Times New Roman"/>
          <w:sz w:val="24"/>
          <w:szCs w:val="24"/>
          <w:lang w:val="sr-Cyrl-RS"/>
        </w:rPr>
        <w:t xml:space="preserve">. </w:t>
      </w:r>
      <w:r w:rsidR="00BD2191" w:rsidRPr="003E5020">
        <w:rPr>
          <w:rFonts w:ascii="Times New Roman" w:hAnsi="Times New Roman" w:cs="Times New Roman"/>
          <w:sz w:val="24"/>
          <w:szCs w:val="24"/>
          <w:lang w:val="sr-Cyrl-RS"/>
        </w:rPr>
        <w:t>Средства за рад јавних тужилаштава обезбеђују се у буџету Републике Србије. Државно веће тужилаца предлаже обим и структуру буџетских средстава неопходних за рад јавних тужилаштава за текуће расходе, уз претходно прибављено мишљење Министарства правде и врши расподелу ових средстава на јавна тужилаштва. Надзор над трошењем средстава буџета опредељених за рад јавних тужилаштава врши Државно веће тужилаца, Министарство правде и Министарство финансија. Надзор над финансијским и материјалним пословањем Државног већа тужилаца, у делу који се односи на средства буџета, врши Министарство правде и Министарство финансија</w:t>
      </w:r>
      <w:r w:rsidR="006D33FC" w:rsidRPr="003E5020">
        <w:rPr>
          <w:rStyle w:val="FootnoteReference"/>
          <w:rFonts w:ascii="Times New Roman" w:hAnsi="Times New Roman" w:cs="Times New Roman"/>
          <w:sz w:val="24"/>
          <w:szCs w:val="24"/>
          <w:lang w:val="sr-Cyrl-RS"/>
        </w:rPr>
        <w:footnoteReference w:id="33"/>
      </w:r>
      <w:r w:rsidR="00BD2191" w:rsidRPr="003E5020">
        <w:rPr>
          <w:rFonts w:ascii="Times New Roman" w:hAnsi="Times New Roman" w:cs="Times New Roman"/>
          <w:sz w:val="24"/>
          <w:szCs w:val="24"/>
          <w:lang w:val="sr-Cyrl-RS"/>
        </w:rPr>
        <w:t xml:space="preserve">. </w:t>
      </w:r>
    </w:p>
    <w:p w14:paraId="5168915F" w14:textId="38230963" w:rsidR="00CC2E04" w:rsidRDefault="00CC2E04">
      <w:pPr>
        <w:ind w:left="851"/>
        <w:jc w:val="both"/>
        <w:rPr>
          <w:rFonts w:ascii="Times New Roman" w:hAnsi="Times New Roman" w:cs="Times New Roman"/>
          <w:sz w:val="24"/>
          <w:szCs w:val="24"/>
          <w:lang w:val="sr-Cyrl-RS"/>
        </w:rPr>
      </w:pPr>
    </w:p>
    <w:p w14:paraId="332BE811" w14:textId="77777777" w:rsidR="00DC7F5A" w:rsidRPr="003E5020" w:rsidRDefault="00DC7F5A">
      <w:pPr>
        <w:ind w:left="851"/>
        <w:jc w:val="both"/>
        <w:rPr>
          <w:rFonts w:ascii="Times New Roman" w:hAnsi="Times New Roman" w:cs="Times New Roman"/>
          <w:sz w:val="24"/>
          <w:szCs w:val="24"/>
          <w:lang w:val="sr-Cyrl-RS"/>
        </w:rPr>
      </w:pPr>
    </w:p>
    <w:p w14:paraId="2337FEBD" w14:textId="7A8E3F73" w:rsidR="00CC2E04" w:rsidRPr="003E5020" w:rsidRDefault="00CC2E04">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Из горе наведених података</w:t>
      </w:r>
      <w:r w:rsidR="001D0223" w:rsidRPr="003E5020">
        <w:rPr>
          <w:rFonts w:ascii="Times New Roman" w:hAnsi="Times New Roman" w:cs="Times New Roman"/>
          <w:sz w:val="24"/>
          <w:szCs w:val="24"/>
          <w:lang w:val="sr-Cyrl-RS"/>
        </w:rPr>
        <w:t xml:space="preserve"> </w:t>
      </w:r>
      <w:r w:rsidR="00227A4D" w:rsidRPr="003E5020">
        <w:rPr>
          <w:rFonts w:ascii="Times New Roman" w:hAnsi="Times New Roman" w:cs="Times New Roman"/>
          <w:sz w:val="24"/>
          <w:szCs w:val="24"/>
          <w:lang w:val="sr-Cyrl-RS"/>
        </w:rPr>
        <w:t xml:space="preserve">је </w:t>
      </w:r>
      <w:r w:rsidR="001D0223" w:rsidRPr="003E5020">
        <w:rPr>
          <w:rFonts w:ascii="Times New Roman" w:hAnsi="Times New Roman" w:cs="Times New Roman"/>
          <w:sz w:val="24"/>
          <w:szCs w:val="24"/>
          <w:lang w:val="sr-Cyrl-RS"/>
        </w:rPr>
        <w:t xml:space="preserve">јасно </w:t>
      </w:r>
      <w:r w:rsidR="00227A4D" w:rsidRPr="003E5020">
        <w:rPr>
          <w:rFonts w:ascii="Times New Roman" w:hAnsi="Times New Roman" w:cs="Times New Roman"/>
          <w:sz w:val="24"/>
          <w:szCs w:val="24"/>
          <w:lang w:val="sr-Cyrl-RS"/>
        </w:rPr>
        <w:t xml:space="preserve">да је </w:t>
      </w:r>
      <w:r w:rsidR="001D0223" w:rsidRPr="003E5020">
        <w:rPr>
          <w:rFonts w:ascii="Times New Roman" w:hAnsi="Times New Roman" w:cs="Times New Roman"/>
          <w:sz w:val="24"/>
          <w:szCs w:val="24"/>
          <w:lang w:val="sr-Cyrl-RS"/>
        </w:rPr>
        <w:t>без јаке синергије</w:t>
      </w:r>
      <w:r w:rsidR="00CD1AE8" w:rsidRPr="003E5020">
        <w:rPr>
          <w:rFonts w:ascii="Times New Roman" w:hAnsi="Times New Roman" w:cs="Times New Roman"/>
          <w:sz w:val="24"/>
          <w:szCs w:val="24"/>
          <w:lang w:val="sr-Cyrl-RS"/>
        </w:rPr>
        <w:t xml:space="preserve"> и сарадње носилаца</w:t>
      </w:r>
      <w:r w:rsidR="001D0223" w:rsidRPr="003E5020">
        <w:rPr>
          <w:rFonts w:ascii="Times New Roman" w:hAnsi="Times New Roman" w:cs="Times New Roman"/>
          <w:sz w:val="24"/>
          <w:szCs w:val="24"/>
          <w:lang w:val="sr-Cyrl-RS"/>
        </w:rPr>
        <w:t xml:space="preserve"> извршне и </w:t>
      </w:r>
      <w:r w:rsidR="00CD1AE8" w:rsidRPr="003E5020">
        <w:rPr>
          <w:rFonts w:ascii="Times New Roman" w:hAnsi="Times New Roman" w:cs="Times New Roman"/>
          <w:sz w:val="24"/>
          <w:szCs w:val="24"/>
          <w:lang w:val="sr-Cyrl-RS"/>
        </w:rPr>
        <w:t>органа правосуђа</w:t>
      </w:r>
      <w:r w:rsidR="00C221A2" w:rsidRPr="003E5020">
        <w:rPr>
          <w:rFonts w:ascii="Times New Roman" w:hAnsi="Times New Roman" w:cs="Times New Roman"/>
          <w:sz w:val="24"/>
          <w:szCs w:val="24"/>
          <w:lang w:val="sr-Cyrl-RS"/>
        </w:rPr>
        <w:t xml:space="preserve"> </w:t>
      </w:r>
      <w:r w:rsidR="001D0223" w:rsidRPr="003E5020">
        <w:rPr>
          <w:rFonts w:ascii="Times New Roman" w:hAnsi="Times New Roman" w:cs="Times New Roman"/>
          <w:sz w:val="24"/>
          <w:szCs w:val="24"/>
          <w:lang w:val="sr-Cyrl-RS"/>
        </w:rPr>
        <w:t>(Високог савета судства и Државног већа тужилаца) стратешко планирање у области људских ресурса тешко остварљиво. Из тог разлога се сматра сврсисходним размотрити могућност обједињавања надлежности по питању људских ресурса,</w:t>
      </w:r>
      <w:r w:rsidR="00897C00" w:rsidRPr="003E5020">
        <w:rPr>
          <w:rFonts w:ascii="Times New Roman" w:hAnsi="Times New Roman" w:cs="Times New Roman"/>
          <w:sz w:val="24"/>
          <w:szCs w:val="24"/>
          <w:lang w:val="sr-Cyrl-RS"/>
        </w:rPr>
        <w:t xml:space="preserve"> за све категорије запослених,</w:t>
      </w:r>
      <w:r w:rsidR="001D7C49" w:rsidRPr="003E5020">
        <w:rPr>
          <w:rFonts w:ascii="Times New Roman" w:hAnsi="Times New Roman" w:cs="Times New Roman"/>
          <w:sz w:val="24"/>
          <w:szCs w:val="24"/>
          <w:lang w:val="sr-Cyrl-RS"/>
        </w:rPr>
        <w:t xml:space="preserve"> односно његовог обједињавања у оквиру једне </w:t>
      </w:r>
      <w:r w:rsidR="001D0223" w:rsidRPr="003E5020">
        <w:rPr>
          <w:rFonts w:ascii="Times New Roman" w:hAnsi="Times New Roman" w:cs="Times New Roman"/>
          <w:sz w:val="24"/>
          <w:szCs w:val="24"/>
          <w:lang w:val="sr-Cyrl-RS"/>
        </w:rPr>
        <w:t>функције</w:t>
      </w:r>
      <w:r w:rsidR="001D7C49" w:rsidRPr="003E5020">
        <w:rPr>
          <w:rFonts w:ascii="Times New Roman" w:hAnsi="Times New Roman" w:cs="Times New Roman"/>
          <w:sz w:val="24"/>
          <w:szCs w:val="24"/>
          <w:lang w:val="sr-Cyrl-RS"/>
        </w:rPr>
        <w:t xml:space="preserve"> унутар правосудног система.</w:t>
      </w:r>
      <w:r w:rsidR="001D0223" w:rsidRPr="003E5020">
        <w:rPr>
          <w:rFonts w:ascii="Times New Roman" w:hAnsi="Times New Roman" w:cs="Times New Roman"/>
          <w:sz w:val="24"/>
          <w:szCs w:val="24"/>
          <w:lang w:val="sr-Cyrl-RS"/>
        </w:rPr>
        <w:t xml:space="preserve"> </w:t>
      </w:r>
    </w:p>
    <w:p w14:paraId="102723FC" w14:textId="77777777" w:rsidR="008852F3" w:rsidRPr="003E5020" w:rsidRDefault="008852F3">
      <w:pPr>
        <w:ind w:left="851"/>
        <w:jc w:val="both"/>
        <w:rPr>
          <w:rFonts w:ascii="Times New Roman" w:hAnsi="Times New Roman" w:cs="Times New Roman"/>
          <w:sz w:val="24"/>
          <w:szCs w:val="24"/>
          <w:lang w:val="sr-Cyrl-RS"/>
        </w:rPr>
      </w:pPr>
    </w:p>
    <w:p w14:paraId="37ECC26C" w14:textId="541E277B" w:rsidR="00B766F2" w:rsidRPr="003E5020" w:rsidRDefault="00B766F2" w:rsidP="00B766F2">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непосредно третира најпре кроз реализацију посебног </w:t>
      </w:r>
      <w:hyperlink w:anchor="_Циљ_3._–" w:history="1">
        <w:r w:rsidR="00EB5749" w:rsidRPr="003E5020">
          <w:rPr>
            <w:rStyle w:val="Hyperlink"/>
            <w:rFonts w:ascii="Times New Roman" w:hAnsi="Times New Roman" w:cs="Times New Roman"/>
            <w:color w:val="auto"/>
            <w:sz w:val="24"/>
            <w:szCs w:val="24"/>
            <w:lang w:val="sr-Cyrl-RS"/>
          </w:rPr>
          <w:t>циља 3</w:t>
        </w:r>
      </w:hyperlink>
      <w:r w:rsidRPr="003E5020">
        <w:rPr>
          <w:rFonts w:ascii="Times New Roman" w:hAnsi="Times New Roman" w:cs="Times New Roman"/>
          <w:sz w:val="24"/>
          <w:szCs w:val="24"/>
          <w:lang w:val="sr-Cyrl-RS"/>
        </w:rPr>
        <w:t>. Имајући у виду да је у питању један од кључних проблема који утиче на, односно проузрокује и друге проблеме по питању људксих ресурса у правосуђу, наведени проблем се посредно третира и кроз реализацију свих осталих посебних циљева Стратегије.</w:t>
      </w:r>
    </w:p>
    <w:p w14:paraId="34B21EA4" w14:textId="77777777" w:rsidR="00C82767" w:rsidRPr="003E5020" w:rsidRDefault="00C82767">
      <w:pPr>
        <w:rPr>
          <w:rFonts w:ascii="Times New Roman" w:hAnsi="Times New Roman" w:cs="Times New Roman"/>
          <w:sz w:val="24"/>
          <w:szCs w:val="24"/>
          <w:lang w:val="sr-Cyrl-RS"/>
        </w:rPr>
      </w:pPr>
    </w:p>
    <w:p w14:paraId="35350945" w14:textId="42BB4AD2" w:rsidR="004472DA" w:rsidRPr="003E5020" w:rsidRDefault="00125F0E" w:rsidP="003F63B9">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95" w:name="_Toc84778626"/>
      <w:r w:rsidRPr="003E5020">
        <w:rPr>
          <w:rFonts w:ascii="Times New Roman" w:hAnsi="Times New Roman" w:cs="Times New Roman"/>
          <w:color w:val="auto"/>
          <w:sz w:val="24"/>
          <w:szCs w:val="24"/>
          <w:lang w:val="sr-Cyrl-RS"/>
        </w:rPr>
        <w:t>Недостатак људских ресурса у судовима</w:t>
      </w:r>
      <w:bookmarkEnd w:id="95"/>
    </w:p>
    <w:p w14:paraId="17D28D9B" w14:textId="4D6BF083" w:rsidR="009D3A98" w:rsidRPr="003E5020" w:rsidRDefault="009D3A98" w:rsidP="00A23055">
      <w:pPr>
        <w:rPr>
          <w:rFonts w:ascii="Times New Roman" w:hAnsi="Times New Roman" w:cs="Times New Roman"/>
          <w:sz w:val="24"/>
          <w:szCs w:val="24"/>
          <w:lang w:val="sr-Cyrl-RS"/>
        </w:rPr>
      </w:pPr>
    </w:p>
    <w:p w14:paraId="001AAB3E" w14:textId="6F06DDAF" w:rsidR="008D20DE" w:rsidRPr="003E5020" w:rsidRDefault="00866795" w:rsidP="0086679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Недостатак, односно неадекватна искоришћеност људских капацитета у судовима у Србији је приметна</w:t>
      </w:r>
      <w:r w:rsidR="00227A4D"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уколико се у обзир узму постојеће анализе у том домену. </w:t>
      </w:r>
    </w:p>
    <w:p w14:paraId="36D8A5BA" w14:textId="71D8E90B" w:rsidR="00554100" w:rsidRPr="003E5020" w:rsidRDefault="00554100" w:rsidP="00866795">
      <w:pPr>
        <w:ind w:left="851"/>
        <w:jc w:val="both"/>
        <w:rPr>
          <w:rFonts w:ascii="Times New Roman" w:hAnsi="Times New Roman" w:cs="Times New Roman"/>
          <w:sz w:val="24"/>
          <w:szCs w:val="24"/>
          <w:lang w:val="sr-Cyrl-RS"/>
        </w:rPr>
      </w:pPr>
    </w:p>
    <w:p w14:paraId="2CDF11DE" w14:textId="6D69EF32" w:rsidR="005160B3" w:rsidRPr="003E5020" w:rsidRDefault="00554100" w:rsidP="005160B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подацима Врховног касационог суда</w:t>
      </w:r>
      <w:r w:rsidRPr="003E5020">
        <w:rPr>
          <w:rStyle w:val="FootnoteReference"/>
          <w:rFonts w:ascii="Times New Roman" w:hAnsi="Times New Roman" w:cs="Times New Roman"/>
          <w:sz w:val="24"/>
          <w:szCs w:val="24"/>
          <w:lang w:val="sr-Cyrl-RS"/>
        </w:rPr>
        <w:footnoteReference w:id="34"/>
      </w:r>
      <w:r w:rsidR="005160B3" w:rsidRPr="003E5020">
        <w:rPr>
          <w:rFonts w:ascii="Times New Roman" w:hAnsi="Times New Roman" w:cs="Times New Roman"/>
          <w:sz w:val="24"/>
          <w:szCs w:val="24"/>
          <w:lang w:val="sr-Cyrl-RS"/>
        </w:rPr>
        <w:t xml:space="preserve"> које се односе на 20</w:t>
      </w:r>
      <w:r w:rsidR="00C95E87" w:rsidRPr="003E5020">
        <w:rPr>
          <w:rFonts w:ascii="Times New Roman" w:hAnsi="Times New Roman" w:cs="Times New Roman"/>
          <w:sz w:val="24"/>
          <w:szCs w:val="24"/>
          <w:lang w:val="sr-Cyrl-RS"/>
        </w:rPr>
        <w:t>20</w:t>
      </w:r>
      <w:r w:rsidR="005160B3" w:rsidRPr="003E5020">
        <w:rPr>
          <w:rFonts w:ascii="Times New Roman" w:hAnsi="Times New Roman" w:cs="Times New Roman"/>
          <w:sz w:val="24"/>
          <w:szCs w:val="24"/>
          <w:lang w:val="sr-Cyrl-RS"/>
        </w:rPr>
        <w:t>. годину,  од 1. јануара 2014. године, у Републици Србији постоји укупно 159 судова, од којих као првостепени поступају 66 основних судова, 25 виших, 16 привредних, 44 прекршајна суда и Управни суд.</w:t>
      </w:r>
    </w:p>
    <w:p w14:paraId="3DCF08CB" w14:textId="09BD008D" w:rsidR="004174D3" w:rsidRPr="003E5020" w:rsidRDefault="004174D3" w:rsidP="005160B3">
      <w:pPr>
        <w:ind w:left="851"/>
        <w:jc w:val="both"/>
        <w:rPr>
          <w:rFonts w:ascii="Times New Roman" w:hAnsi="Times New Roman" w:cs="Times New Roman"/>
          <w:sz w:val="24"/>
          <w:szCs w:val="24"/>
          <w:lang w:val="sr-Cyrl-RS"/>
        </w:rPr>
      </w:pPr>
    </w:p>
    <w:p w14:paraId="47399720" w14:textId="78DE1F74" w:rsidR="00866795" w:rsidRPr="003E5020" w:rsidRDefault="004174D3" w:rsidP="004174D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подацима Високог савета судства</w:t>
      </w:r>
      <w:r w:rsidR="007B2BB6" w:rsidRPr="003E5020">
        <w:rPr>
          <w:rStyle w:val="FootnoteReference"/>
          <w:rFonts w:ascii="Times New Roman" w:hAnsi="Times New Roman" w:cs="Times New Roman"/>
          <w:sz w:val="24"/>
          <w:szCs w:val="24"/>
          <w:lang w:val="sr-Cyrl-RS"/>
        </w:rPr>
        <w:footnoteReference w:id="35"/>
      </w:r>
      <w:r w:rsidRPr="003E5020">
        <w:rPr>
          <w:rFonts w:ascii="Times New Roman" w:hAnsi="Times New Roman" w:cs="Times New Roman"/>
          <w:sz w:val="24"/>
          <w:szCs w:val="24"/>
          <w:lang w:val="sr-Cyrl-RS"/>
        </w:rPr>
        <w:t xml:space="preserve"> на дан 31.12.2019. године, у свим судовима у Републици Србији, одлуком Високог савета судства било је </w:t>
      </w:r>
      <w:bookmarkStart w:id="96" w:name="_Hlk73284584"/>
      <w:r w:rsidRPr="003E5020">
        <w:rPr>
          <w:rFonts w:ascii="Times New Roman" w:hAnsi="Times New Roman" w:cs="Times New Roman"/>
          <w:sz w:val="24"/>
          <w:szCs w:val="24"/>
          <w:lang w:val="sr-Cyrl-RS"/>
        </w:rPr>
        <w:t xml:space="preserve">одређено </w:t>
      </w:r>
      <w:bookmarkEnd w:id="96"/>
      <w:r w:rsidRPr="003E5020">
        <w:rPr>
          <w:rFonts w:ascii="Times New Roman" w:hAnsi="Times New Roman" w:cs="Times New Roman"/>
          <w:b/>
          <w:sz w:val="24"/>
          <w:szCs w:val="24"/>
          <w:lang w:val="sr-Cyrl-RS"/>
        </w:rPr>
        <w:t>3.0</w:t>
      </w:r>
      <w:r w:rsidR="007B2BB6" w:rsidRPr="003E5020">
        <w:rPr>
          <w:rFonts w:ascii="Times New Roman" w:hAnsi="Times New Roman" w:cs="Times New Roman"/>
          <w:b/>
          <w:sz w:val="24"/>
          <w:szCs w:val="24"/>
          <w:lang w:val="sr-Cyrl-RS"/>
        </w:rPr>
        <w:t>38</w:t>
      </w:r>
      <w:r w:rsidRPr="003E5020">
        <w:rPr>
          <w:rFonts w:ascii="Times New Roman" w:hAnsi="Times New Roman" w:cs="Times New Roman"/>
          <w:sz w:val="24"/>
          <w:szCs w:val="24"/>
          <w:lang w:val="sr-Cyrl-RS"/>
        </w:rPr>
        <w:t xml:space="preserve"> судијских места, од ког броја је било попуњено </w:t>
      </w:r>
      <w:r w:rsidRPr="003E5020">
        <w:rPr>
          <w:rFonts w:ascii="Times New Roman" w:hAnsi="Times New Roman" w:cs="Times New Roman"/>
          <w:b/>
          <w:sz w:val="24"/>
          <w:szCs w:val="24"/>
          <w:lang w:val="sr-Cyrl-RS"/>
        </w:rPr>
        <w:t>2.</w:t>
      </w:r>
      <w:r w:rsidR="007B2BB6" w:rsidRPr="003E5020">
        <w:rPr>
          <w:rFonts w:ascii="Times New Roman" w:hAnsi="Times New Roman" w:cs="Times New Roman"/>
          <w:b/>
          <w:sz w:val="24"/>
          <w:szCs w:val="24"/>
          <w:lang w:val="sr-Cyrl-RS"/>
        </w:rPr>
        <w:t>652</w:t>
      </w:r>
      <w:r w:rsidRPr="003E5020">
        <w:rPr>
          <w:rFonts w:ascii="Times New Roman" w:hAnsi="Times New Roman" w:cs="Times New Roman"/>
          <w:sz w:val="24"/>
          <w:szCs w:val="24"/>
          <w:lang w:val="sr-Cyrl-RS"/>
        </w:rPr>
        <w:t xml:space="preserve">, а ефективно је у судовима поступало </w:t>
      </w:r>
      <w:r w:rsidRPr="003E5020">
        <w:rPr>
          <w:rFonts w:ascii="Times New Roman" w:hAnsi="Times New Roman" w:cs="Times New Roman"/>
          <w:b/>
          <w:sz w:val="24"/>
          <w:szCs w:val="24"/>
          <w:lang w:val="sr-Cyrl-RS"/>
        </w:rPr>
        <w:t>2.5</w:t>
      </w:r>
      <w:r w:rsidR="007B2BB6" w:rsidRPr="003E5020">
        <w:rPr>
          <w:rFonts w:ascii="Times New Roman" w:hAnsi="Times New Roman" w:cs="Times New Roman"/>
          <w:b/>
          <w:sz w:val="24"/>
          <w:szCs w:val="24"/>
          <w:lang w:val="sr-Cyrl-RS"/>
        </w:rPr>
        <w:t>70</w:t>
      </w:r>
      <w:r w:rsidRPr="003E5020">
        <w:rPr>
          <w:rFonts w:ascii="Times New Roman" w:hAnsi="Times New Roman" w:cs="Times New Roman"/>
          <w:sz w:val="24"/>
          <w:szCs w:val="24"/>
          <w:lang w:val="sr-Cyrl-RS"/>
        </w:rPr>
        <w:t xml:space="preserve"> судија. Д</w:t>
      </w:r>
      <w:r w:rsidR="00211543" w:rsidRPr="003E5020">
        <w:rPr>
          <w:rFonts w:ascii="Times New Roman" w:hAnsi="Times New Roman" w:cs="Times New Roman"/>
          <w:sz w:val="24"/>
          <w:szCs w:val="24"/>
          <w:lang w:val="sr-Cyrl-RS"/>
        </w:rPr>
        <w:t>акле, у 20</w:t>
      </w:r>
      <w:r w:rsidR="007B2BB6" w:rsidRPr="003E5020">
        <w:rPr>
          <w:rFonts w:ascii="Times New Roman" w:hAnsi="Times New Roman" w:cs="Times New Roman"/>
          <w:sz w:val="24"/>
          <w:szCs w:val="24"/>
          <w:lang w:val="sr-Cyrl-RS"/>
        </w:rPr>
        <w:t>20</w:t>
      </w:r>
      <w:r w:rsidR="00211543" w:rsidRPr="003E5020">
        <w:rPr>
          <w:rFonts w:ascii="Times New Roman" w:hAnsi="Times New Roman" w:cs="Times New Roman"/>
          <w:sz w:val="24"/>
          <w:szCs w:val="24"/>
          <w:lang w:val="sr-Cyrl-RS"/>
        </w:rPr>
        <w:t>. години је било не</w:t>
      </w:r>
      <w:r w:rsidRPr="003E5020">
        <w:rPr>
          <w:rFonts w:ascii="Times New Roman" w:hAnsi="Times New Roman" w:cs="Times New Roman"/>
          <w:sz w:val="24"/>
          <w:szCs w:val="24"/>
          <w:lang w:val="sr-Cyrl-RS"/>
        </w:rPr>
        <w:t>попуњено укупно 3</w:t>
      </w:r>
      <w:r w:rsidR="007B2BB6" w:rsidRPr="003E5020">
        <w:rPr>
          <w:rFonts w:ascii="Times New Roman" w:hAnsi="Times New Roman" w:cs="Times New Roman"/>
          <w:sz w:val="24"/>
          <w:szCs w:val="24"/>
          <w:lang w:val="sr-Cyrl-RS"/>
        </w:rPr>
        <w:t>86</w:t>
      </w:r>
      <w:r w:rsidRPr="003E5020">
        <w:rPr>
          <w:rFonts w:ascii="Times New Roman" w:hAnsi="Times New Roman" w:cs="Times New Roman"/>
          <w:sz w:val="24"/>
          <w:szCs w:val="24"/>
          <w:lang w:val="sr-Cyrl-RS"/>
        </w:rPr>
        <w:t xml:space="preserve"> судијских места, што је уједно и показатељ континуитета из претходних година: </w:t>
      </w:r>
      <w:r w:rsidR="00D024E7" w:rsidRPr="003E5020">
        <w:rPr>
          <w:rFonts w:ascii="Times New Roman" w:hAnsi="Times New Roman" w:cs="Times New Roman"/>
          <w:sz w:val="24"/>
          <w:szCs w:val="24"/>
          <w:lang w:val="sr-Cyrl-RS"/>
        </w:rPr>
        <w:t xml:space="preserve">у 2019. години, укупан број непопуњених судијских места је био 319, </w:t>
      </w:r>
      <w:r w:rsidRPr="003E5020">
        <w:rPr>
          <w:rFonts w:ascii="Times New Roman" w:hAnsi="Times New Roman" w:cs="Times New Roman"/>
          <w:sz w:val="24"/>
          <w:szCs w:val="24"/>
          <w:lang w:val="sr-Cyrl-RS"/>
        </w:rPr>
        <w:t>у 2018. години</w:t>
      </w:r>
      <w:r w:rsidR="00211543"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укупан број непопуњених судијских места је био 411, док је у 2017. години тај број износио </w:t>
      </w:r>
      <w:r w:rsidR="00564C55" w:rsidRPr="003E5020">
        <w:rPr>
          <w:rFonts w:ascii="Times New Roman" w:hAnsi="Times New Roman" w:cs="Times New Roman"/>
          <w:sz w:val="24"/>
          <w:szCs w:val="24"/>
          <w:lang w:val="sr-Cyrl-RS"/>
        </w:rPr>
        <w:t xml:space="preserve">264. </w:t>
      </w:r>
    </w:p>
    <w:p w14:paraId="537CB67F" w14:textId="58E6CAF8" w:rsidR="00211543" w:rsidRPr="003E5020" w:rsidRDefault="00211543" w:rsidP="004174D3">
      <w:pPr>
        <w:ind w:left="851"/>
        <w:jc w:val="both"/>
        <w:rPr>
          <w:rFonts w:ascii="Times New Roman" w:hAnsi="Times New Roman" w:cs="Times New Roman"/>
          <w:sz w:val="24"/>
          <w:szCs w:val="24"/>
          <w:lang w:val="sr-Cyrl-RS"/>
        </w:rPr>
      </w:pPr>
    </w:p>
    <w:p w14:paraId="671A793B" w14:textId="2253B8AA" w:rsidR="00211543" w:rsidRPr="003E5020" w:rsidRDefault="00211543" w:rsidP="004174D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Када је реч о </w:t>
      </w:r>
      <w:r w:rsidR="00BB2EBB" w:rsidRPr="003E5020">
        <w:rPr>
          <w:rFonts w:ascii="Times New Roman" w:hAnsi="Times New Roman" w:cs="Times New Roman"/>
          <w:sz w:val="24"/>
          <w:szCs w:val="24"/>
          <w:lang w:val="sr-Cyrl-RS"/>
        </w:rPr>
        <w:t>старосној структури</w:t>
      </w:r>
      <w:r w:rsidRPr="003E5020">
        <w:rPr>
          <w:rFonts w:ascii="Times New Roman" w:hAnsi="Times New Roman" w:cs="Times New Roman"/>
          <w:sz w:val="24"/>
          <w:szCs w:val="24"/>
          <w:lang w:val="sr-Cyrl-RS"/>
        </w:rPr>
        <w:t xml:space="preserve"> носилаца судијске функције, према подацима Врховног касационог суда</w:t>
      </w:r>
      <w:r w:rsidRPr="003E5020">
        <w:rPr>
          <w:rStyle w:val="FootnoteReference"/>
          <w:rFonts w:ascii="Times New Roman" w:hAnsi="Times New Roman" w:cs="Times New Roman"/>
          <w:sz w:val="24"/>
          <w:szCs w:val="24"/>
          <w:lang w:val="sr-Cyrl-RS"/>
        </w:rPr>
        <w:footnoteReference w:id="36"/>
      </w:r>
      <w:r w:rsidRPr="003E5020">
        <w:rPr>
          <w:rFonts w:ascii="Times New Roman" w:hAnsi="Times New Roman" w:cs="Times New Roman"/>
          <w:sz w:val="24"/>
          <w:szCs w:val="24"/>
          <w:lang w:val="sr-Cyrl-RS"/>
        </w:rPr>
        <w:t xml:space="preserve">, </w:t>
      </w:r>
      <w:r w:rsidR="00BB2EBB" w:rsidRPr="003E5020">
        <w:rPr>
          <w:rFonts w:ascii="Times New Roman" w:hAnsi="Times New Roman" w:cs="Times New Roman"/>
          <w:sz w:val="24"/>
          <w:szCs w:val="24"/>
          <w:lang w:val="sr-Cyrl-RS"/>
        </w:rPr>
        <w:t xml:space="preserve">она је неповољна и треба је свакако отклонити у будућим системским решењима, редовним и благовременим попуњавањем упражњених судијских места, како би се обезбедио стручни и искуствени континуитет у обављању судијске функције. Наиме, тренутна </w:t>
      </w:r>
      <w:r w:rsidRPr="003E5020">
        <w:rPr>
          <w:rFonts w:ascii="Times New Roman" w:hAnsi="Times New Roman" w:cs="Times New Roman"/>
          <w:sz w:val="24"/>
          <w:szCs w:val="24"/>
          <w:lang w:val="sr-Cyrl-RS"/>
        </w:rPr>
        <w:t>просечна старост судија у Републици Србији је 52 године. Функцију судије вршило је 7</w:t>
      </w:r>
      <w:r w:rsidR="00C521CA" w:rsidRPr="003E5020">
        <w:rPr>
          <w:rFonts w:ascii="Times New Roman" w:hAnsi="Times New Roman" w:cs="Times New Roman"/>
          <w:sz w:val="24"/>
          <w:szCs w:val="24"/>
          <w:lang w:val="sr-Cyrl-RS"/>
        </w:rPr>
        <w:t>43</w:t>
      </w:r>
      <w:r w:rsidRPr="003E5020">
        <w:rPr>
          <w:rFonts w:ascii="Times New Roman" w:hAnsi="Times New Roman" w:cs="Times New Roman"/>
          <w:sz w:val="24"/>
          <w:szCs w:val="24"/>
          <w:lang w:val="sr-Cyrl-RS"/>
        </w:rPr>
        <w:t xml:space="preserve"> мушкараца и 1.9</w:t>
      </w:r>
      <w:r w:rsidR="00C521CA" w:rsidRPr="003E5020">
        <w:rPr>
          <w:rFonts w:ascii="Times New Roman" w:hAnsi="Times New Roman" w:cs="Times New Roman"/>
          <w:sz w:val="24"/>
          <w:szCs w:val="24"/>
          <w:lang w:val="sr-Cyrl-RS"/>
        </w:rPr>
        <w:t>09</w:t>
      </w:r>
      <w:r w:rsidRPr="003E5020">
        <w:rPr>
          <w:rFonts w:ascii="Times New Roman" w:hAnsi="Times New Roman" w:cs="Times New Roman"/>
          <w:sz w:val="24"/>
          <w:szCs w:val="24"/>
          <w:lang w:val="sr-Cyrl-RS"/>
        </w:rPr>
        <w:t xml:space="preserve"> жена. </w:t>
      </w:r>
      <w:r w:rsidR="00E3415F" w:rsidRPr="003E5020">
        <w:rPr>
          <w:rFonts w:ascii="Times New Roman" w:hAnsi="Times New Roman" w:cs="Times New Roman"/>
          <w:sz w:val="24"/>
          <w:szCs w:val="24"/>
          <w:lang w:val="sr-Cyrl-RS"/>
        </w:rPr>
        <w:t>Дакле, п</w:t>
      </w:r>
      <w:r w:rsidR="004E5A9F" w:rsidRPr="003E5020">
        <w:rPr>
          <w:rFonts w:ascii="Times New Roman" w:hAnsi="Times New Roman" w:cs="Times New Roman"/>
          <w:sz w:val="24"/>
          <w:szCs w:val="24"/>
          <w:lang w:val="sr-Cyrl-RS"/>
        </w:rPr>
        <w:t>рема критеријуму</w:t>
      </w:r>
      <w:r w:rsidR="00E3415F" w:rsidRPr="003E5020">
        <w:rPr>
          <w:rFonts w:ascii="Times New Roman" w:hAnsi="Times New Roman" w:cs="Times New Roman"/>
          <w:sz w:val="24"/>
          <w:szCs w:val="24"/>
          <w:lang w:val="sr-Cyrl-RS"/>
        </w:rPr>
        <w:t xml:space="preserve"> родне равноправности</w:t>
      </w:r>
      <w:r w:rsidR="004E5A9F" w:rsidRPr="003E5020">
        <w:rPr>
          <w:rFonts w:ascii="Times New Roman" w:hAnsi="Times New Roman" w:cs="Times New Roman"/>
          <w:sz w:val="24"/>
          <w:szCs w:val="24"/>
          <w:lang w:val="sr-Cyrl-RS"/>
        </w:rPr>
        <w:t xml:space="preserve">, Република Србија је </w:t>
      </w:r>
      <w:r w:rsidR="00E3415F" w:rsidRPr="003E5020">
        <w:rPr>
          <w:rFonts w:ascii="Times New Roman" w:hAnsi="Times New Roman" w:cs="Times New Roman"/>
          <w:sz w:val="24"/>
          <w:szCs w:val="24"/>
          <w:lang w:val="sr-Cyrl-RS"/>
        </w:rPr>
        <w:t xml:space="preserve">у самом европском врху. </w:t>
      </w:r>
      <w:r w:rsidRPr="003E5020">
        <w:rPr>
          <w:rFonts w:ascii="Times New Roman" w:hAnsi="Times New Roman" w:cs="Times New Roman"/>
          <w:sz w:val="24"/>
          <w:szCs w:val="24"/>
          <w:lang w:val="sr-Cyrl-RS"/>
        </w:rPr>
        <w:t>До 40 година било је 3</w:t>
      </w:r>
      <w:r w:rsidR="00C521CA" w:rsidRPr="003E5020">
        <w:rPr>
          <w:rFonts w:ascii="Times New Roman" w:hAnsi="Times New Roman" w:cs="Times New Roman"/>
          <w:sz w:val="24"/>
          <w:szCs w:val="24"/>
          <w:lang w:val="sr-Cyrl-RS"/>
        </w:rPr>
        <w:t>00</w:t>
      </w:r>
      <w:r w:rsidRPr="003E5020">
        <w:rPr>
          <w:rFonts w:ascii="Times New Roman" w:hAnsi="Times New Roman" w:cs="Times New Roman"/>
          <w:sz w:val="24"/>
          <w:szCs w:val="24"/>
          <w:lang w:val="sr-Cyrl-RS"/>
        </w:rPr>
        <w:t xml:space="preserve"> судија, од 40 до 50 година - 7</w:t>
      </w:r>
      <w:r w:rsidR="00C521CA" w:rsidRPr="003E5020">
        <w:rPr>
          <w:rFonts w:ascii="Times New Roman" w:hAnsi="Times New Roman" w:cs="Times New Roman"/>
          <w:sz w:val="24"/>
          <w:szCs w:val="24"/>
          <w:lang w:val="sr-Cyrl-RS"/>
        </w:rPr>
        <w:t>36</w:t>
      </w:r>
      <w:r w:rsidRPr="003E5020">
        <w:rPr>
          <w:rFonts w:ascii="Times New Roman" w:hAnsi="Times New Roman" w:cs="Times New Roman"/>
          <w:sz w:val="24"/>
          <w:szCs w:val="24"/>
          <w:lang w:val="sr-Cyrl-RS"/>
        </w:rPr>
        <w:t xml:space="preserve"> судија, од 50 до 60 година – 1.</w:t>
      </w:r>
      <w:r w:rsidR="00C521CA" w:rsidRPr="003E5020">
        <w:rPr>
          <w:rFonts w:ascii="Times New Roman" w:hAnsi="Times New Roman" w:cs="Times New Roman"/>
          <w:sz w:val="24"/>
          <w:szCs w:val="24"/>
          <w:lang w:val="sr-Cyrl-RS"/>
        </w:rPr>
        <w:t>080</w:t>
      </w:r>
      <w:r w:rsidRPr="003E5020">
        <w:rPr>
          <w:rFonts w:ascii="Times New Roman" w:hAnsi="Times New Roman" w:cs="Times New Roman"/>
          <w:sz w:val="24"/>
          <w:szCs w:val="24"/>
          <w:lang w:val="sr-Cyrl-RS"/>
        </w:rPr>
        <w:t xml:space="preserve"> судија, а преко 60 година </w:t>
      </w:r>
      <w:r w:rsidR="00C521CA" w:rsidRPr="003E5020">
        <w:rPr>
          <w:rFonts w:ascii="Times New Roman" w:hAnsi="Times New Roman" w:cs="Times New Roman"/>
          <w:sz w:val="24"/>
          <w:szCs w:val="24"/>
          <w:lang w:val="sr-Cyrl-RS"/>
        </w:rPr>
        <w:t>536</w:t>
      </w:r>
      <w:r w:rsidRPr="003E5020">
        <w:rPr>
          <w:rFonts w:ascii="Times New Roman" w:hAnsi="Times New Roman" w:cs="Times New Roman"/>
          <w:sz w:val="24"/>
          <w:szCs w:val="24"/>
          <w:lang w:val="sr-Cyrl-RS"/>
        </w:rPr>
        <w:t xml:space="preserve"> судиј</w:t>
      </w:r>
      <w:r w:rsidR="009A7AED" w:rsidRPr="003E5020">
        <w:rPr>
          <w:rFonts w:ascii="Times New Roman" w:hAnsi="Times New Roman" w:cs="Times New Roman"/>
          <w:sz w:val="24"/>
          <w:szCs w:val="24"/>
          <w:lang w:val="sr-Cyrl-RS"/>
        </w:rPr>
        <w:t>а</w:t>
      </w:r>
      <w:r w:rsidR="00BB2EBB" w:rsidRPr="003E5020">
        <w:rPr>
          <w:rFonts w:ascii="Times New Roman" w:hAnsi="Times New Roman" w:cs="Times New Roman"/>
          <w:sz w:val="24"/>
          <w:szCs w:val="24"/>
          <w:lang w:val="sr-Cyrl-RS"/>
        </w:rPr>
        <w:t>.</w:t>
      </w:r>
    </w:p>
    <w:p w14:paraId="0C11AB3A" w14:textId="2376E201" w:rsidR="00BB2EBB" w:rsidRPr="003E5020" w:rsidRDefault="00BB2EBB" w:rsidP="004174D3">
      <w:pPr>
        <w:ind w:left="851"/>
        <w:jc w:val="both"/>
        <w:rPr>
          <w:rFonts w:ascii="Times New Roman" w:hAnsi="Times New Roman" w:cs="Times New Roman"/>
          <w:sz w:val="24"/>
          <w:szCs w:val="24"/>
          <w:lang w:val="sr-Cyrl-RS"/>
        </w:rPr>
      </w:pPr>
    </w:p>
    <w:p w14:paraId="24ECB39E" w14:textId="7D3CC77A" w:rsidR="001C2FF4" w:rsidRPr="003E5020" w:rsidRDefault="001C2FF4" w:rsidP="00C1324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судском систему било је, према подацима Високог савета судства</w:t>
      </w:r>
      <w:r w:rsidR="00A4716D" w:rsidRPr="003E5020">
        <w:rPr>
          <w:rStyle w:val="FootnoteReference"/>
          <w:rFonts w:ascii="Times New Roman" w:hAnsi="Times New Roman" w:cs="Times New Roman"/>
          <w:sz w:val="24"/>
          <w:szCs w:val="24"/>
          <w:lang w:val="sr-Cyrl-RS"/>
        </w:rPr>
        <w:footnoteReference w:id="37"/>
      </w:r>
      <w:r w:rsidRPr="003E5020">
        <w:rPr>
          <w:rFonts w:ascii="Times New Roman" w:hAnsi="Times New Roman" w:cs="Times New Roman"/>
          <w:sz w:val="24"/>
          <w:szCs w:val="24"/>
          <w:lang w:val="sr-Cyrl-RS"/>
        </w:rPr>
        <w:t>, ангажовано и 10.</w:t>
      </w:r>
      <w:r w:rsidR="00A4716D" w:rsidRPr="003E5020">
        <w:rPr>
          <w:rFonts w:ascii="Times New Roman" w:hAnsi="Times New Roman" w:cs="Times New Roman"/>
          <w:sz w:val="24"/>
          <w:szCs w:val="24"/>
          <w:lang w:val="sr-Cyrl-RS"/>
        </w:rPr>
        <w:t>795</w:t>
      </w:r>
      <w:r w:rsidRPr="003E5020">
        <w:rPr>
          <w:rFonts w:ascii="Times New Roman" w:hAnsi="Times New Roman" w:cs="Times New Roman"/>
          <w:sz w:val="24"/>
          <w:szCs w:val="24"/>
          <w:lang w:val="sr-Cyrl-RS"/>
        </w:rPr>
        <w:t xml:space="preserve"> судског особља, просечне старости 4</w:t>
      </w:r>
      <w:r w:rsidR="00A4716D" w:rsidRPr="003E5020">
        <w:rPr>
          <w:rFonts w:ascii="Times New Roman" w:hAnsi="Times New Roman" w:cs="Times New Roman"/>
          <w:sz w:val="24"/>
          <w:szCs w:val="24"/>
          <w:lang w:val="sr-Cyrl-RS"/>
        </w:rPr>
        <w:t>6</w:t>
      </w:r>
      <w:r w:rsidRPr="003E5020">
        <w:rPr>
          <w:rFonts w:ascii="Times New Roman" w:hAnsi="Times New Roman" w:cs="Times New Roman"/>
          <w:sz w:val="24"/>
          <w:szCs w:val="24"/>
          <w:lang w:val="sr-Cyrl-RS"/>
        </w:rPr>
        <w:t xml:space="preserve"> годин</w:t>
      </w:r>
      <w:r w:rsidR="00A4716D"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Од тога је било: 1.</w:t>
      </w:r>
      <w:r w:rsidR="00A4716D" w:rsidRPr="003E5020">
        <w:rPr>
          <w:rFonts w:ascii="Times New Roman" w:hAnsi="Times New Roman" w:cs="Times New Roman"/>
          <w:sz w:val="24"/>
          <w:szCs w:val="24"/>
          <w:lang w:val="sr-Cyrl-RS"/>
        </w:rPr>
        <w:t>704</w:t>
      </w:r>
      <w:r w:rsidRPr="003E5020">
        <w:rPr>
          <w:rFonts w:ascii="Times New Roman" w:hAnsi="Times New Roman" w:cs="Times New Roman"/>
          <w:sz w:val="24"/>
          <w:szCs w:val="24"/>
          <w:lang w:val="sr-Cyrl-RS"/>
        </w:rPr>
        <w:t xml:space="preserve"> судијских помоћника (просечне старости </w:t>
      </w:r>
      <w:r w:rsidR="00A4716D" w:rsidRPr="003E5020">
        <w:rPr>
          <w:rFonts w:ascii="Times New Roman" w:hAnsi="Times New Roman" w:cs="Times New Roman"/>
          <w:sz w:val="24"/>
          <w:szCs w:val="24"/>
          <w:lang w:val="sr-Cyrl-RS"/>
        </w:rPr>
        <w:t>41</w:t>
      </w:r>
      <w:r w:rsidRPr="003E5020">
        <w:rPr>
          <w:rFonts w:ascii="Times New Roman" w:hAnsi="Times New Roman" w:cs="Times New Roman"/>
          <w:sz w:val="24"/>
          <w:szCs w:val="24"/>
          <w:lang w:val="sr-Cyrl-RS"/>
        </w:rPr>
        <w:t xml:space="preserve"> годин</w:t>
      </w:r>
      <w:r w:rsidR="00A4716D"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Cyrl-RS"/>
        </w:rPr>
        <w:t>), 6.</w:t>
      </w:r>
      <w:r w:rsidR="00A4716D" w:rsidRPr="003E5020">
        <w:rPr>
          <w:rFonts w:ascii="Times New Roman" w:hAnsi="Times New Roman" w:cs="Times New Roman"/>
          <w:sz w:val="24"/>
          <w:szCs w:val="24"/>
          <w:lang w:val="sr-Cyrl-RS"/>
        </w:rPr>
        <w:t>152</w:t>
      </w:r>
      <w:r w:rsidRPr="003E5020">
        <w:rPr>
          <w:rFonts w:ascii="Times New Roman" w:hAnsi="Times New Roman" w:cs="Times New Roman"/>
          <w:sz w:val="24"/>
          <w:szCs w:val="24"/>
          <w:lang w:val="sr-Cyrl-RS"/>
        </w:rPr>
        <w:t xml:space="preserve"> државних службеника (просечне старости 4</w:t>
      </w:r>
      <w:r w:rsidR="00A4716D" w:rsidRPr="003E5020">
        <w:rPr>
          <w:rFonts w:ascii="Times New Roman" w:hAnsi="Times New Roman" w:cs="Times New Roman"/>
          <w:sz w:val="24"/>
          <w:szCs w:val="24"/>
          <w:lang w:val="sr-Cyrl-RS"/>
        </w:rPr>
        <w:t>6</w:t>
      </w:r>
      <w:r w:rsidRPr="003E5020">
        <w:rPr>
          <w:rFonts w:ascii="Times New Roman" w:hAnsi="Times New Roman" w:cs="Times New Roman"/>
          <w:sz w:val="24"/>
          <w:szCs w:val="24"/>
          <w:lang w:val="sr-Cyrl-RS"/>
        </w:rPr>
        <w:t xml:space="preserve"> година) и 2.9</w:t>
      </w:r>
      <w:r w:rsidR="00A4716D" w:rsidRPr="003E5020">
        <w:rPr>
          <w:rFonts w:ascii="Times New Roman" w:hAnsi="Times New Roman" w:cs="Times New Roman"/>
          <w:sz w:val="24"/>
          <w:szCs w:val="24"/>
          <w:lang w:val="sr-Cyrl-RS"/>
        </w:rPr>
        <w:t>38</w:t>
      </w:r>
      <w:r w:rsidRPr="003E5020">
        <w:rPr>
          <w:rFonts w:ascii="Times New Roman" w:hAnsi="Times New Roman" w:cs="Times New Roman"/>
          <w:sz w:val="24"/>
          <w:szCs w:val="24"/>
          <w:lang w:val="sr-Cyrl-RS"/>
        </w:rPr>
        <w:t xml:space="preserve"> намештеника (просечне старости 4</w:t>
      </w:r>
      <w:r w:rsidR="00A4716D" w:rsidRPr="003E5020">
        <w:rPr>
          <w:rFonts w:ascii="Times New Roman" w:hAnsi="Times New Roman" w:cs="Times New Roman"/>
          <w:sz w:val="24"/>
          <w:szCs w:val="24"/>
          <w:lang w:val="sr-Cyrl-RS"/>
        </w:rPr>
        <w:t>9</w:t>
      </w:r>
      <w:r w:rsidRPr="003E5020">
        <w:rPr>
          <w:rFonts w:ascii="Times New Roman" w:hAnsi="Times New Roman" w:cs="Times New Roman"/>
          <w:sz w:val="24"/>
          <w:szCs w:val="24"/>
          <w:lang w:val="sr-Cyrl-RS"/>
        </w:rPr>
        <w:t xml:space="preserve"> година).</w:t>
      </w:r>
      <w:r w:rsidR="008A2A09" w:rsidRPr="003E5020">
        <w:rPr>
          <w:rFonts w:ascii="Times New Roman" w:hAnsi="Times New Roman" w:cs="Times New Roman"/>
          <w:sz w:val="24"/>
          <w:szCs w:val="24"/>
          <w:lang w:val="sr-Cyrl-RS"/>
        </w:rPr>
        <w:t xml:space="preserve"> С</w:t>
      </w:r>
      <w:r w:rsidRPr="003E5020">
        <w:rPr>
          <w:rFonts w:ascii="Times New Roman" w:hAnsi="Times New Roman" w:cs="Times New Roman"/>
          <w:sz w:val="24"/>
          <w:szCs w:val="24"/>
          <w:lang w:val="sr-Cyrl-RS"/>
        </w:rPr>
        <w:t>мањење броја запослених у судовима резултат је вишегодишње забране запошљавањ</w:t>
      </w:r>
      <w:r w:rsidR="008A2A09" w:rsidRPr="003E5020">
        <w:rPr>
          <w:rFonts w:ascii="Times New Roman" w:hAnsi="Times New Roman" w:cs="Times New Roman"/>
          <w:sz w:val="24"/>
          <w:szCs w:val="24"/>
          <w:lang w:val="sr-Cyrl-RS"/>
        </w:rPr>
        <w:t>а</w:t>
      </w:r>
      <w:r w:rsidR="00A309FE" w:rsidRPr="003E5020">
        <w:rPr>
          <w:rStyle w:val="FootnoteReference"/>
          <w:rFonts w:ascii="Times New Roman" w:hAnsi="Times New Roman" w:cs="Times New Roman"/>
          <w:sz w:val="24"/>
          <w:szCs w:val="24"/>
          <w:lang w:val="sr-Cyrl-RS"/>
        </w:rPr>
        <w:footnoteReference w:id="38"/>
      </w:r>
      <w:r w:rsidR="00AF2607"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и споријег попуњавања упражњених радних места по важећим систематизацијама</w:t>
      </w:r>
      <w:r w:rsidR="005B21F2" w:rsidRPr="003E5020">
        <w:rPr>
          <w:rFonts w:ascii="Times New Roman" w:hAnsi="Times New Roman" w:cs="Times New Roman"/>
          <w:sz w:val="24"/>
          <w:szCs w:val="24"/>
          <w:lang w:val="sr-Cyrl-RS"/>
        </w:rPr>
        <w:t xml:space="preserve"> и поступку који је прописао Високи савет судства</w:t>
      </w:r>
      <w:r w:rsidR="005B21F2" w:rsidRPr="003E5020">
        <w:rPr>
          <w:rStyle w:val="FootnoteReference"/>
          <w:rFonts w:ascii="Times New Roman" w:hAnsi="Times New Roman" w:cs="Times New Roman"/>
          <w:sz w:val="24"/>
          <w:szCs w:val="24"/>
          <w:lang w:val="sr-Cyrl-RS"/>
        </w:rPr>
        <w:footnoteReference w:id="39"/>
      </w:r>
      <w:r w:rsidR="00253E25" w:rsidRPr="003E5020">
        <w:rPr>
          <w:rFonts w:ascii="Times New Roman" w:hAnsi="Times New Roman" w:cs="Times New Roman"/>
          <w:sz w:val="24"/>
          <w:szCs w:val="24"/>
          <w:lang w:val="sr-Cyrl-RS"/>
        </w:rPr>
        <w:t xml:space="preserve"> (који подразумева формирање </w:t>
      </w:r>
      <w:r w:rsidR="003D4609" w:rsidRPr="003E5020">
        <w:rPr>
          <w:rFonts w:ascii="Times New Roman" w:hAnsi="Times New Roman" w:cs="Times New Roman"/>
          <w:sz w:val="24"/>
          <w:szCs w:val="24"/>
          <w:lang w:val="sr-Cyrl-RS"/>
        </w:rPr>
        <w:t xml:space="preserve">посебне </w:t>
      </w:r>
      <w:r w:rsidR="00253E25" w:rsidRPr="003E5020">
        <w:rPr>
          <w:rFonts w:ascii="Times New Roman" w:hAnsi="Times New Roman" w:cs="Times New Roman"/>
          <w:sz w:val="24"/>
          <w:szCs w:val="24"/>
          <w:lang w:val="sr-Cyrl-RS"/>
        </w:rPr>
        <w:t>комисије</w:t>
      </w:r>
      <w:r w:rsidR="003D4609" w:rsidRPr="003E5020">
        <w:rPr>
          <w:rFonts w:ascii="Times New Roman" w:hAnsi="Times New Roman" w:cs="Times New Roman"/>
          <w:sz w:val="24"/>
          <w:szCs w:val="24"/>
          <w:lang w:val="sr-Cyrl-RS"/>
        </w:rPr>
        <w:t>(а)</w:t>
      </w:r>
      <w:r w:rsidR="00253E25" w:rsidRPr="003E5020">
        <w:rPr>
          <w:rFonts w:ascii="Times New Roman" w:hAnsi="Times New Roman" w:cs="Times New Roman"/>
          <w:sz w:val="24"/>
          <w:szCs w:val="24"/>
          <w:lang w:val="sr-Cyrl-RS"/>
        </w:rPr>
        <w:t>, заказивање и полагање испита кандидата, итд.)</w:t>
      </w:r>
      <w:r w:rsidRPr="003E5020">
        <w:rPr>
          <w:rFonts w:ascii="Times New Roman" w:hAnsi="Times New Roman" w:cs="Times New Roman"/>
          <w:sz w:val="24"/>
          <w:szCs w:val="24"/>
          <w:lang w:val="sr-Cyrl-RS"/>
        </w:rPr>
        <w:t>, што додатно увећава обим послова која обављају запослени који се налазе у систему правосуђа.</w:t>
      </w:r>
      <w:r w:rsidR="0001172C" w:rsidRPr="003E5020">
        <w:rPr>
          <w:rFonts w:ascii="Times New Roman" w:hAnsi="Times New Roman" w:cs="Times New Roman"/>
          <w:sz w:val="24"/>
          <w:szCs w:val="24"/>
          <w:lang w:val="sr-Cyrl-RS"/>
        </w:rPr>
        <w:t xml:space="preserve"> </w:t>
      </w:r>
    </w:p>
    <w:p w14:paraId="37AEC301" w14:textId="1B5B7BD3" w:rsidR="004753FD" w:rsidRPr="003E5020" w:rsidRDefault="004753FD" w:rsidP="001C2FF4">
      <w:pPr>
        <w:ind w:left="851"/>
        <w:jc w:val="both"/>
        <w:rPr>
          <w:rFonts w:ascii="Times New Roman" w:hAnsi="Times New Roman" w:cs="Times New Roman"/>
          <w:sz w:val="24"/>
          <w:szCs w:val="24"/>
          <w:lang w:val="sr-Cyrl-RS"/>
        </w:rPr>
      </w:pPr>
    </w:p>
    <w:p w14:paraId="168E2EA6" w14:textId="033C8756" w:rsidR="004753FD" w:rsidRPr="003E5020" w:rsidRDefault="00C63602" w:rsidP="0041191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w:t>
      </w:r>
      <w:r w:rsidR="004753FD" w:rsidRPr="003E5020">
        <w:rPr>
          <w:rFonts w:ascii="Times New Roman" w:hAnsi="Times New Roman" w:cs="Times New Roman"/>
          <w:sz w:val="24"/>
          <w:szCs w:val="24"/>
          <w:lang w:val="sr-Cyrl-RS"/>
        </w:rPr>
        <w:t>днос примљених, решених и нерешених предмета по врсти суда на крају 20</w:t>
      </w:r>
      <w:r w:rsidR="008A2A09" w:rsidRPr="003E5020">
        <w:rPr>
          <w:rFonts w:ascii="Times New Roman" w:hAnsi="Times New Roman" w:cs="Times New Roman"/>
          <w:sz w:val="24"/>
          <w:szCs w:val="24"/>
          <w:lang w:val="sr-Cyrl-RS"/>
        </w:rPr>
        <w:t>20</w:t>
      </w:r>
      <w:r w:rsidR="004753FD" w:rsidRPr="003E5020">
        <w:rPr>
          <w:rFonts w:ascii="Times New Roman" w:hAnsi="Times New Roman" w:cs="Times New Roman"/>
          <w:sz w:val="24"/>
          <w:szCs w:val="24"/>
          <w:lang w:val="sr-Cyrl-RS"/>
        </w:rPr>
        <w:t>. године указује на проблем оптерећености Управног суда, виших, основних, као и привредних судова</w:t>
      </w:r>
      <w:r w:rsidR="008E7D3C" w:rsidRPr="003E5020">
        <w:rPr>
          <w:rFonts w:ascii="Times New Roman" w:hAnsi="Times New Roman" w:cs="Times New Roman"/>
          <w:sz w:val="24"/>
          <w:szCs w:val="24"/>
          <w:lang w:val="sr-Cyrl-RS"/>
        </w:rPr>
        <w:t>,</w:t>
      </w:r>
      <w:r w:rsidR="004753FD" w:rsidRPr="003E5020">
        <w:rPr>
          <w:rFonts w:ascii="Times New Roman" w:hAnsi="Times New Roman" w:cs="Times New Roman"/>
          <w:sz w:val="24"/>
          <w:szCs w:val="24"/>
          <w:lang w:val="sr-Cyrl-RS"/>
        </w:rPr>
        <w:t xml:space="preserve"> будући да због повећаног прилива број нерешених предмета у Управном суду и привредним судовима расте, а основни и виши судови, иако савладавају прилив не могу решити проблем дугог трајања поступка, </w:t>
      </w:r>
      <w:r w:rsidR="001B5B88" w:rsidRPr="003E5020">
        <w:rPr>
          <w:rFonts w:ascii="Times New Roman" w:hAnsi="Times New Roman" w:cs="Times New Roman"/>
          <w:sz w:val="24"/>
          <w:szCs w:val="24"/>
          <w:lang w:val="sr-Cyrl-RS"/>
        </w:rPr>
        <w:t xml:space="preserve">с </w:t>
      </w:r>
      <w:r w:rsidR="004753FD" w:rsidRPr="003E5020">
        <w:rPr>
          <w:rFonts w:ascii="Times New Roman" w:hAnsi="Times New Roman" w:cs="Times New Roman"/>
          <w:sz w:val="24"/>
          <w:szCs w:val="24"/>
          <w:lang w:val="sr-Cyrl-RS"/>
        </w:rPr>
        <w:t>обзиром на непопуњеност слободних судијских места</w:t>
      </w:r>
      <w:r w:rsidR="00B856D6" w:rsidRPr="003E5020">
        <w:rPr>
          <w:rStyle w:val="FootnoteReference"/>
          <w:rFonts w:ascii="Times New Roman" w:hAnsi="Times New Roman" w:cs="Times New Roman"/>
          <w:sz w:val="24"/>
          <w:szCs w:val="24"/>
          <w:lang w:val="sr-Cyrl-RS"/>
        </w:rPr>
        <w:footnoteReference w:id="40"/>
      </w:r>
      <w:r w:rsidR="00B856D6" w:rsidRPr="003E5020">
        <w:rPr>
          <w:rFonts w:ascii="Times New Roman" w:hAnsi="Times New Roman" w:cs="Times New Roman"/>
          <w:sz w:val="24"/>
          <w:szCs w:val="24"/>
          <w:lang w:val="sr-Cyrl-RS"/>
        </w:rPr>
        <w:t>.</w:t>
      </w:r>
      <w:r w:rsidR="00411919" w:rsidRPr="003E5020">
        <w:rPr>
          <w:rFonts w:ascii="Times New Roman" w:hAnsi="Times New Roman" w:cs="Times New Roman"/>
          <w:sz w:val="24"/>
          <w:szCs w:val="24"/>
          <w:lang w:val="sr-Cyrl-RS"/>
        </w:rPr>
        <w:t xml:space="preserve"> Сличан проблем се јавља и код Управног</w:t>
      </w:r>
      <w:r w:rsidR="004753FD" w:rsidRPr="003E5020">
        <w:rPr>
          <w:rFonts w:ascii="Times New Roman" w:hAnsi="Times New Roman" w:cs="Times New Roman"/>
          <w:sz w:val="24"/>
          <w:szCs w:val="24"/>
          <w:lang w:val="sr-Cyrl-RS"/>
        </w:rPr>
        <w:t xml:space="preserve"> суд</w:t>
      </w:r>
      <w:r w:rsidR="00411919" w:rsidRPr="003E5020">
        <w:rPr>
          <w:rFonts w:ascii="Times New Roman" w:hAnsi="Times New Roman" w:cs="Times New Roman"/>
          <w:sz w:val="24"/>
          <w:szCs w:val="24"/>
          <w:lang w:val="sr-Cyrl-RS"/>
        </w:rPr>
        <w:t>а, који</w:t>
      </w:r>
      <w:r w:rsidR="004753FD" w:rsidRPr="003E5020">
        <w:rPr>
          <w:rFonts w:ascii="Times New Roman" w:hAnsi="Times New Roman" w:cs="Times New Roman"/>
          <w:sz w:val="24"/>
          <w:szCs w:val="24"/>
          <w:lang w:val="sr-Cyrl-RS"/>
        </w:rPr>
        <w:t xml:space="preserve"> због константног проширења надлежности новим прописима, који захтевају хитно и нарочито хитно поступање, посебно у време изборних процеса, не функционише ажурно, будући да се тренд повећања прилива и броја нерешених предмета наставља континуирано</w:t>
      </w:r>
      <w:r w:rsidR="00411919" w:rsidRPr="003E5020">
        <w:rPr>
          <w:rFonts w:ascii="Times New Roman" w:hAnsi="Times New Roman" w:cs="Times New Roman"/>
          <w:sz w:val="24"/>
          <w:szCs w:val="24"/>
          <w:lang w:val="sr-Cyrl-RS"/>
        </w:rPr>
        <w:t xml:space="preserve">. Самим тим и у случају Управног суда је </w:t>
      </w:r>
      <w:r w:rsidR="004753FD" w:rsidRPr="003E5020">
        <w:rPr>
          <w:rFonts w:ascii="Times New Roman" w:hAnsi="Times New Roman" w:cs="Times New Roman"/>
          <w:sz w:val="24"/>
          <w:szCs w:val="24"/>
          <w:lang w:val="sr-Cyrl-RS"/>
        </w:rPr>
        <w:t>неопходно предузети системске организационе мере з</w:t>
      </w:r>
      <w:r w:rsidR="00411919" w:rsidRPr="003E5020">
        <w:rPr>
          <w:rFonts w:ascii="Times New Roman" w:hAnsi="Times New Roman" w:cs="Times New Roman"/>
          <w:sz w:val="24"/>
          <w:szCs w:val="24"/>
          <w:lang w:val="sr-Cyrl-RS"/>
        </w:rPr>
        <w:t xml:space="preserve">а уређење надлежности овог суда, укључујући </w:t>
      </w:r>
      <w:r w:rsidR="00FC54EC" w:rsidRPr="003E5020">
        <w:rPr>
          <w:rFonts w:ascii="Times New Roman" w:hAnsi="Times New Roman" w:cs="Times New Roman"/>
          <w:sz w:val="24"/>
          <w:szCs w:val="24"/>
          <w:lang w:val="sr-Cyrl-RS"/>
        </w:rPr>
        <w:t>двостепеност,</w:t>
      </w:r>
      <w:r w:rsidR="00411919" w:rsidRPr="003E5020">
        <w:rPr>
          <w:rFonts w:ascii="Times New Roman" w:hAnsi="Times New Roman" w:cs="Times New Roman"/>
          <w:sz w:val="24"/>
          <w:szCs w:val="24"/>
          <w:lang w:val="sr-Cyrl-RS"/>
        </w:rPr>
        <w:t xml:space="preserve"> повећање броја судија, као и п</w:t>
      </w:r>
      <w:r w:rsidR="004753FD" w:rsidRPr="003E5020">
        <w:rPr>
          <w:rFonts w:ascii="Times New Roman" w:hAnsi="Times New Roman" w:cs="Times New Roman"/>
          <w:sz w:val="24"/>
          <w:szCs w:val="24"/>
          <w:lang w:val="sr-Cyrl-RS"/>
        </w:rPr>
        <w:t>овећање броја судског особља</w:t>
      </w:r>
      <w:r w:rsidR="00FC54EC" w:rsidRPr="003E5020">
        <w:rPr>
          <w:rFonts w:ascii="Times New Roman" w:hAnsi="Times New Roman" w:cs="Times New Roman"/>
          <w:sz w:val="24"/>
          <w:szCs w:val="24"/>
          <w:lang w:val="sr-Cyrl-RS"/>
        </w:rPr>
        <w:t>, као и преиспитивање надлежности овог суда по важећим прописима</w:t>
      </w:r>
      <w:r w:rsidR="00344C0F" w:rsidRPr="003E5020">
        <w:rPr>
          <w:rStyle w:val="FootnoteReference"/>
          <w:rFonts w:ascii="Times New Roman" w:hAnsi="Times New Roman" w:cs="Times New Roman"/>
          <w:sz w:val="24"/>
          <w:szCs w:val="24"/>
          <w:lang w:val="sr-Cyrl-RS"/>
        </w:rPr>
        <w:footnoteReference w:id="41"/>
      </w:r>
      <w:r w:rsidR="004753FD" w:rsidRPr="003E5020">
        <w:rPr>
          <w:rFonts w:ascii="Times New Roman" w:hAnsi="Times New Roman" w:cs="Times New Roman"/>
          <w:sz w:val="24"/>
          <w:szCs w:val="24"/>
          <w:lang w:val="sr-Cyrl-RS"/>
        </w:rPr>
        <w:t>.</w:t>
      </w:r>
    </w:p>
    <w:p w14:paraId="30832A46" w14:textId="3FCC25D4" w:rsidR="008F48F1" w:rsidRPr="003E5020" w:rsidRDefault="008F48F1" w:rsidP="00411919">
      <w:pPr>
        <w:ind w:left="851"/>
        <w:jc w:val="both"/>
        <w:rPr>
          <w:rFonts w:ascii="Times New Roman" w:hAnsi="Times New Roman" w:cs="Times New Roman"/>
          <w:sz w:val="24"/>
          <w:szCs w:val="24"/>
          <w:lang w:val="sr-Cyrl-RS"/>
        </w:rPr>
      </w:pPr>
    </w:p>
    <w:p w14:paraId="7E16AE9F" w14:textId="125386F2" w:rsidR="00D630C2" w:rsidRPr="003E5020" w:rsidRDefault="008F48F1" w:rsidP="0041191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Што се само</w:t>
      </w:r>
      <w:r w:rsidR="00270997" w:rsidRPr="003E5020">
        <w:rPr>
          <w:rFonts w:ascii="Times New Roman" w:hAnsi="Times New Roman" w:cs="Times New Roman"/>
          <w:sz w:val="24"/>
          <w:szCs w:val="24"/>
          <w:lang w:val="sr-Cyrl-RS"/>
        </w:rPr>
        <w:t>г</w:t>
      </w:r>
      <w:r w:rsidRPr="003E5020">
        <w:rPr>
          <w:rFonts w:ascii="Times New Roman" w:hAnsi="Times New Roman" w:cs="Times New Roman"/>
          <w:sz w:val="24"/>
          <w:szCs w:val="24"/>
          <w:lang w:val="sr-Cyrl-RS"/>
        </w:rPr>
        <w:t xml:space="preserve"> Врховног касационог суда тиче, према подацима тог суда</w:t>
      </w:r>
      <w:r w:rsidRPr="003E5020">
        <w:rPr>
          <w:rStyle w:val="FootnoteReference"/>
          <w:rFonts w:ascii="Times New Roman" w:hAnsi="Times New Roman" w:cs="Times New Roman"/>
          <w:sz w:val="24"/>
          <w:szCs w:val="24"/>
          <w:lang w:val="sr-Cyrl-RS"/>
        </w:rPr>
        <w:footnoteReference w:id="42"/>
      </w:r>
      <w:r w:rsidRPr="003E5020">
        <w:rPr>
          <w:rFonts w:ascii="Times New Roman" w:hAnsi="Times New Roman" w:cs="Times New Roman"/>
          <w:sz w:val="24"/>
          <w:szCs w:val="24"/>
          <w:lang w:val="sr-Cyrl-RS"/>
        </w:rPr>
        <w:t>,</w:t>
      </w:r>
      <w:r w:rsidR="00270997" w:rsidRPr="003E5020">
        <w:rPr>
          <w:rFonts w:ascii="Times New Roman" w:hAnsi="Times New Roman" w:cs="Times New Roman"/>
          <w:sz w:val="24"/>
          <w:szCs w:val="24"/>
          <w:lang w:val="sr-Cyrl-RS"/>
        </w:rPr>
        <w:t xml:space="preserve"> највећи притисак прилива предмета трпи Грађанско одељење тог суда</w:t>
      </w:r>
      <w:r w:rsidR="00F54BBC" w:rsidRPr="003E5020">
        <w:rPr>
          <w:rFonts w:ascii="Times New Roman" w:hAnsi="Times New Roman" w:cs="Times New Roman"/>
          <w:sz w:val="24"/>
          <w:szCs w:val="24"/>
          <w:lang w:val="sr-Cyrl-RS"/>
        </w:rPr>
        <w:t>, где је уједно и највеће повећање прилива</w:t>
      </w:r>
      <w:r w:rsidR="00270997" w:rsidRPr="003E5020">
        <w:rPr>
          <w:rFonts w:ascii="Times New Roman" w:hAnsi="Times New Roman" w:cs="Times New Roman"/>
          <w:sz w:val="24"/>
          <w:szCs w:val="24"/>
          <w:lang w:val="sr-Cyrl-RS"/>
        </w:rPr>
        <w:t xml:space="preserve">. </w:t>
      </w:r>
      <w:r w:rsidR="00547D85" w:rsidRPr="003E5020">
        <w:rPr>
          <w:rFonts w:ascii="Times New Roman" w:hAnsi="Times New Roman" w:cs="Times New Roman"/>
          <w:sz w:val="24"/>
          <w:szCs w:val="24"/>
          <w:lang w:val="sr-Cyrl-RS"/>
        </w:rPr>
        <w:t>С</w:t>
      </w:r>
      <w:r w:rsidR="00270997" w:rsidRPr="003E5020">
        <w:rPr>
          <w:rFonts w:ascii="Times New Roman" w:hAnsi="Times New Roman" w:cs="Times New Roman"/>
          <w:sz w:val="24"/>
          <w:szCs w:val="24"/>
          <w:lang w:val="sr-Cyrl-RS"/>
        </w:rPr>
        <w:t xml:space="preserve">а постојећим бројем судија и судијских помоћника који су распоређени у ово одељење, </w:t>
      </w:r>
      <w:r w:rsidR="00547D85" w:rsidRPr="003E5020">
        <w:rPr>
          <w:rFonts w:ascii="Times New Roman" w:hAnsi="Times New Roman" w:cs="Times New Roman"/>
          <w:sz w:val="24"/>
          <w:szCs w:val="24"/>
          <w:lang w:val="sr-Cyrl-RS"/>
        </w:rPr>
        <w:t xml:space="preserve">исто </w:t>
      </w:r>
      <w:r w:rsidR="00270997" w:rsidRPr="003E5020">
        <w:rPr>
          <w:rFonts w:ascii="Times New Roman" w:hAnsi="Times New Roman" w:cs="Times New Roman"/>
          <w:sz w:val="24"/>
          <w:szCs w:val="24"/>
          <w:lang w:val="sr-Cyrl-RS"/>
        </w:rPr>
        <w:t>није било у стању да апсорбује прилив предмета који је забележен у последње четири године, што је резултат смањења ревизијског цензуса, нових основа за изјављивање ревизије и нових правних лекова о којима Врховни касацио</w:t>
      </w:r>
      <w:r w:rsidR="00547D85" w:rsidRPr="003E5020">
        <w:rPr>
          <w:rFonts w:ascii="Times New Roman" w:hAnsi="Times New Roman" w:cs="Times New Roman"/>
          <w:sz w:val="24"/>
          <w:szCs w:val="24"/>
          <w:lang w:val="sr-Cyrl-RS"/>
        </w:rPr>
        <w:t xml:space="preserve">ни суд одлучује у овој материји. </w:t>
      </w:r>
    </w:p>
    <w:p w14:paraId="296CBEB8" w14:textId="77777777" w:rsidR="00086B86" w:rsidRPr="003E5020" w:rsidRDefault="00086B86" w:rsidP="00411919">
      <w:pPr>
        <w:ind w:left="851"/>
        <w:jc w:val="both"/>
        <w:rPr>
          <w:rFonts w:ascii="Times New Roman" w:hAnsi="Times New Roman" w:cs="Times New Roman"/>
          <w:sz w:val="24"/>
          <w:szCs w:val="24"/>
          <w:lang w:val="sr-Cyrl-RS"/>
        </w:rPr>
      </w:pPr>
    </w:p>
    <w:p w14:paraId="67A9D81E" w14:textId="28A74E58" w:rsidR="00D630C2" w:rsidRPr="003E5020" w:rsidRDefault="00D630C2" w:rsidP="0041191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Када је реч о привредним судовима, уочен је и даље проблем старих нерешених премета у којима поступак траје дуже од 10 година (укупно </w:t>
      </w:r>
      <w:r w:rsidR="00165D8B" w:rsidRPr="003E5020">
        <w:rPr>
          <w:rFonts w:ascii="Times New Roman" w:hAnsi="Times New Roman" w:cs="Times New Roman"/>
          <w:sz w:val="24"/>
          <w:szCs w:val="24"/>
          <w:lang w:val="sr-Cyrl-RS"/>
        </w:rPr>
        <w:t>445 – рачунајући и предмете стечаја</w:t>
      </w:r>
      <w:r w:rsidRPr="003E5020">
        <w:rPr>
          <w:rFonts w:ascii="Times New Roman" w:hAnsi="Times New Roman" w:cs="Times New Roman"/>
          <w:sz w:val="24"/>
          <w:szCs w:val="24"/>
          <w:lang w:val="sr-Cyrl-RS"/>
        </w:rPr>
        <w:t xml:space="preserve">). </w:t>
      </w:r>
      <w:r w:rsidR="00854341" w:rsidRPr="003E5020">
        <w:rPr>
          <w:rFonts w:ascii="Times New Roman" w:hAnsi="Times New Roman" w:cs="Times New Roman"/>
          <w:sz w:val="24"/>
          <w:szCs w:val="24"/>
          <w:lang w:val="sr-Cyrl-RS"/>
        </w:rPr>
        <w:t>Имајући у виду значај „привредних</w:t>
      </w:r>
      <w:r w:rsidR="00701BFF">
        <w:rPr>
          <w:rFonts w:ascii="Times New Roman" w:hAnsi="Times New Roman" w:cs="Times New Roman"/>
          <w:sz w:val="24"/>
          <w:szCs w:val="24"/>
          <w:lang w:val="sr-Cyrl-RS"/>
        </w:rPr>
        <w:t>ˮ</w:t>
      </w:r>
      <w:r w:rsidR="00854341" w:rsidRPr="003E5020">
        <w:rPr>
          <w:rFonts w:ascii="Times New Roman" w:hAnsi="Times New Roman" w:cs="Times New Roman"/>
          <w:sz w:val="24"/>
          <w:szCs w:val="24"/>
          <w:lang w:val="sr-Cyrl-RS"/>
        </w:rPr>
        <w:t xml:space="preserve"> спорова и утицај на привреду и њен целокупни амбијент, неопходно је преиспитати организацију привредних судова, као и број судија у њима.</w:t>
      </w:r>
    </w:p>
    <w:p w14:paraId="1AA20C0C" w14:textId="55B4DD68" w:rsidR="00386F01" w:rsidRPr="003E5020" w:rsidRDefault="00386F01" w:rsidP="00CC2390">
      <w:pPr>
        <w:ind w:left="851"/>
        <w:jc w:val="both"/>
        <w:rPr>
          <w:rFonts w:ascii="Times New Roman" w:hAnsi="Times New Roman" w:cs="Times New Roman"/>
          <w:sz w:val="24"/>
          <w:szCs w:val="24"/>
          <w:lang w:val="sr-Cyrl-RS"/>
        </w:rPr>
      </w:pPr>
    </w:p>
    <w:p w14:paraId="4D194B0A" w14:textId="7031B92A" w:rsidR="00386F01" w:rsidRPr="003E5020" w:rsidRDefault="002548D8" w:rsidP="007303C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Без обзира на горе наведене недостатке</w:t>
      </w:r>
      <w:r w:rsidR="00386F01" w:rsidRPr="003E5020">
        <w:rPr>
          <w:rFonts w:ascii="Times New Roman" w:hAnsi="Times New Roman" w:cs="Times New Roman"/>
          <w:sz w:val="24"/>
          <w:szCs w:val="24"/>
          <w:lang w:val="sr-Cyrl-RS"/>
        </w:rPr>
        <w:t xml:space="preserve">, према расположивим подацима, </w:t>
      </w:r>
      <w:r w:rsidR="00DC2D0F" w:rsidRPr="003E5020">
        <w:rPr>
          <w:rFonts w:ascii="Times New Roman" w:hAnsi="Times New Roman" w:cs="Times New Roman"/>
          <w:sz w:val="24"/>
          <w:szCs w:val="24"/>
          <w:lang w:val="sr-Cyrl-RS"/>
        </w:rPr>
        <w:t xml:space="preserve">укупно гледано, </w:t>
      </w:r>
      <w:r w:rsidR="00386F01" w:rsidRPr="003E5020">
        <w:rPr>
          <w:rFonts w:ascii="Times New Roman" w:hAnsi="Times New Roman" w:cs="Times New Roman"/>
          <w:sz w:val="24"/>
          <w:szCs w:val="24"/>
          <w:lang w:val="sr-Cyrl-RS"/>
        </w:rPr>
        <w:t>Република Србија има готово двоструко више попуњених судијских места у односу на ЕУ</w:t>
      </w:r>
      <w:r w:rsidR="009657AF" w:rsidRPr="003E5020">
        <w:rPr>
          <w:rStyle w:val="FootnoteReference"/>
          <w:rFonts w:ascii="Times New Roman" w:hAnsi="Times New Roman" w:cs="Times New Roman"/>
          <w:sz w:val="24"/>
          <w:szCs w:val="24"/>
          <w:lang w:val="sr-Cyrl-RS"/>
        </w:rPr>
        <w:footnoteReference w:id="43"/>
      </w:r>
      <w:r w:rsidR="00386F01" w:rsidRPr="003E5020">
        <w:rPr>
          <w:rFonts w:ascii="Times New Roman" w:hAnsi="Times New Roman" w:cs="Times New Roman"/>
          <w:sz w:val="24"/>
          <w:szCs w:val="24"/>
          <w:lang w:val="sr-Cyrl-RS"/>
        </w:rPr>
        <w:t>. Према извештају из 2020. године коју је урадила институција при Савету Европе под називом: „Европски правосудни системи – ефикасност и квалитет правосуђа</w:t>
      </w:r>
      <w:r w:rsidR="00701BFF">
        <w:rPr>
          <w:rFonts w:ascii="Times New Roman" w:hAnsi="Times New Roman" w:cs="Times New Roman"/>
          <w:sz w:val="24"/>
          <w:szCs w:val="24"/>
          <w:lang w:val="sr-Cyrl-RS"/>
        </w:rPr>
        <w:t>ˮ</w:t>
      </w:r>
      <w:r w:rsidR="00386F01" w:rsidRPr="003E5020">
        <w:rPr>
          <w:rFonts w:ascii="Times New Roman" w:hAnsi="Times New Roman" w:cs="Times New Roman"/>
          <w:sz w:val="24"/>
          <w:szCs w:val="24"/>
          <w:lang w:val="sr-Cyrl-RS"/>
        </w:rPr>
        <w:t xml:space="preserve"> (CEPEJ), Република Србија има 37 судија на 100.000 становника, при чему је просек ЕУ 20, док је просек у замљама Западног </w:t>
      </w:r>
      <w:r w:rsidR="00633F9F" w:rsidRPr="003E5020">
        <w:rPr>
          <w:rFonts w:ascii="Times New Roman" w:hAnsi="Times New Roman" w:cs="Times New Roman"/>
          <w:sz w:val="24"/>
          <w:szCs w:val="24"/>
          <w:lang w:val="sr-Cyrl-RS"/>
        </w:rPr>
        <w:t>Б</w:t>
      </w:r>
      <w:r w:rsidR="00386F01" w:rsidRPr="003E5020">
        <w:rPr>
          <w:rFonts w:ascii="Times New Roman" w:hAnsi="Times New Roman" w:cs="Times New Roman"/>
          <w:sz w:val="24"/>
          <w:szCs w:val="24"/>
          <w:lang w:val="sr-Cyrl-RS"/>
        </w:rPr>
        <w:t>алкана 31</w:t>
      </w:r>
      <w:r w:rsidR="00612C58" w:rsidRPr="003E5020">
        <w:rPr>
          <w:rStyle w:val="FootnoteReference"/>
          <w:rFonts w:ascii="Times New Roman" w:hAnsi="Times New Roman" w:cs="Times New Roman"/>
          <w:sz w:val="24"/>
          <w:szCs w:val="24"/>
          <w:lang w:val="sr-Cyrl-RS"/>
        </w:rPr>
        <w:footnoteReference w:id="44"/>
      </w:r>
      <w:r w:rsidR="007303C8" w:rsidRPr="003E5020">
        <w:rPr>
          <w:rFonts w:ascii="Times New Roman" w:hAnsi="Times New Roman" w:cs="Times New Roman"/>
          <w:sz w:val="24"/>
          <w:szCs w:val="24"/>
          <w:lang w:val="sr-Cyrl-RS"/>
        </w:rPr>
        <w:t>.</w:t>
      </w:r>
      <w:r w:rsidR="007E6F2D" w:rsidRPr="003E5020">
        <w:rPr>
          <w:rFonts w:ascii="Times New Roman" w:hAnsi="Times New Roman" w:cs="Times New Roman"/>
          <w:sz w:val="24"/>
          <w:szCs w:val="24"/>
          <w:lang w:val="sr-Cyrl-RS"/>
        </w:rPr>
        <w:t xml:space="preserve"> Следствено, произлази закључак да </w:t>
      </w:r>
      <w:r w:rsidR="007303C8" w:rsidRPr="003E5020">
        <w:rPr>
          <w:rFonts w:ascii="Times New Roman" w:hAnsi="Times New Roman" w:cs="Times New Roman"/>
          <w:sz w:val="24"/>
          <w:szCs w:val="24"/>
          <w:lang w:val="sr-Cyrl-RS"/>
        </w:rPr>
        <w:t xml:space="preserve">проблем недостатка људских ресурса у судовима није директна последица мањка броја утврђених судијских места, чак ни њихове (не)попуњености, </w:t>
      </w:r>
      <w:r w:rsidR="007E6F2D" w:rsidRPr="003E5020">
        <w:rPr>
          <w:rFonts w:ascii="Times New Roman" w:hAnsi="Times New Roman" w:cs="Times New Roman"/>
          <w:sz w:val="24"/>
          <w:szCs w:val="24"/>
          <w:lang w:val="sr-Cyrl-RS"/>
        </w:rPr>
        <w:t xml:space="preserve">већ </w:t>
      </w:r>
      <w:r w:rsidR="007303C8" w:rsidRPr="003E5020">
        <w:rPr>
          <w:rFonts w:ascii="Times New Roman" w:hAnsi="Times New Roman" w:cs="Times New Roman"/>
          <w:sz w:val="24"/>
          <w:szCs w:val="24"/>
          <w:lang w:val="sr-Cyrl-RS"/>
        </w:rPr>
        <w:t>не</w:t>
      </w:r>
      <w:r w:rsidR="007E6F2D" w:rsidRPr="003E5020">
        <w:rPr>
          <w:rFonts w:ascii="Times New Roman" w:hAnsi="Times New Roman" w:cs="Times New Roman"/>
          <w:sz w:val="24"/>
          <w:szCs w:val="24"/>
          <w:lang w:val="sr-Cyrl-RS"/>
        </w:rPr>
        <w:t>ефикасност</w:t>
      </w:r>
      <w:r w:rsidR="007303C8" w:rsidRPr="003E5020">
        <w:rPr>
          <w:rFonts w:ascii="Times New Roman" w:hAnsi="Times New Roman" w:cs="Times New Roman"/>
          <w:sz w:val="24"/>
          <w:szCs w:val="24"/>
          <w:lang w:val="sr-Cyrl-RS"/>
        </w:rPr>
        <w:t>и</w:t>
      </w:r>
      <w:r w:rsidR="007E6F2D" w:rsidRPr="003E5020">
        <w:rPr>
          <w:rFonts w:ascii="Times New Roman" w:hAnsi="Times New Roman" w:cs="Times New Roman"/>
          <w:sz w:val="24"/>
          <w:szCs w:val="24"/>
          <w:lang w:val="sr-Cyrl-RS"/>
        </w:rPr>
        <w:t xml:space="preserve"> постојећег </w:t>
      </w:r>
      <w:r w:rsidR="008E7D3C" w:rsidRPr="003E5020">
        <w:rPr>
          <w:rFonts w:ascii="Times New Roman" w:hAnsi="Times New Roman" w:cs="Times New Roman"/>
          <w:sz w:val="24"/>
          <w:szCs w:val="24"/>
          <w:lang w:val="sr-Cyrl-RS"/>
        </w:rPr>
        <w:t>система правосуђа</w:t>
      </w:r>
      <w:r w:rsidR="0056560C" w:rsidRPr="003E5020">
        <w:rPr>
          <w:rFonts w:ascii="Times New Roman" w:hAnsi="Times New Roman" w:cs="Times New Roman"/>
          <w:sz w:val="24"/>
          <w:szCs w:val="24"/>
          <w:lang w:val="sr-Cyrl-RS"/>
        </w:rPr>
        <w:t>. Ипак, мора се констатовати да п</w:t>
      </w:r>
      <w:r w:rsidR="007303C8" w:rsidRPr="003E5020">
        <w:rPr>
          <w:rFonts w:ascii="Times New Roman" w:hAnsi="Times New Roman" w:cs="Times New Roman"/>
          <w:sz w:val="24"/>
          <w:szCs w:val="24"/>
          <w:lang w:val="sr-Cyrl-RS"/>
        </w:rPr>
        <w:t xml:space="preserve">остојећи број судијских места свакако </w:t>
      </w:r>
      <w:r w:rsidR="009A6CD3" w:rsidRPr="003E5020">
        <w:rPr>
          <w:rFonts w:ascii="Times New Roman" w:hAnsi="Times New Roman" w:cs="Times New Roman"/>
          <w:sz w:val="24"/>
          <w:szCs w:val="24"/>
          <w:lang w:val="sr-Cyrl-RS"/>
        </w:rPr>
        <w:t xml:space="preserve">представља </w:t>
      </w:r>
      <w:r w:rsidR="007303C8" w:rsidRPr="003E5020">
        <w:rPr>
          <w:rFonts w:ascii="Times New Roman" w:hAnsi="Times New Roman" w:cs="Times New Roman"/>
          <w:sz w:val="24"/>
          <w:szCs w:val="24"/>
          <w:lang w:val="sr-Cyrl-RS"/>
        </w:rPr>
        <w:t>предност коју, уз одређене промене</w:t>
      </w:r>
      <w:r w:rsidR="0056560C" w:rsidRPr="003E5020">
        <w:rPr>
          <w:rFonts w:ascii="Times New Roman" w:hAnsi="Times New Roman" w:cs="Times New Roman"/>
          <w:sz w:val="24"/>
          <w:szCs w:val="24"/>
          <w:lang w:val="sr-Cyrl-RS"/>
        </w:rPr>
        <w:t xml:space="preserve"> (организационе структуре, расподеле предмета у односу на њихову комплексност),</w:t>
      </w:r>
      <w:r w:rsidR="007303C8" w:rsidRPr="003E5020">
        <w:rPr>
          <w:rFonts w:ascii="Times New Roman" w:hAnsi="Times New Roman" w:cs="Times New Roman"/>
          <w:sz w:val="24"/>
          <w:szCs w:val="24"/>
          <w:lang w:val="sr-Cyrl-RS"/>
        </w:rPr>
        <w:t xml:space="preserve"> треба адектавно искористити.</w:t>
      </w:r>
    </w:p>
    <w:p w14:paraId="053368D5" w14:textId="20495C84" w:rsidR="00843C52" w:rsidRPr="003E5020" w:rsidRDefault="00843C52" w:rsidP="00843C52">
      <w:pPr>
        <w:ind w:left="851"/>
        <w:jc w:val="both"/>
        <w:rPr>
          <w:rFonts w:ascii="Times New Roman" w:hAnsi="Times New Roman" w:cs="Times New Roman"/>
          <w:sz w:val="24"/>
          <w:szCs w:val="24"/>
          <w:lang w:val="sr-Cyrl-RS"/>
        </w:rPr>
      </w:pPr>
    </w:p>
    <w:p w14:paraId="6AC5163B" w14:textId="4ACE654F" w:rsidR="00BA5EB3" w:rsidRPr="003E5020" w:rsidRDefault="00001194">
      <w:pPr>
        <w:ind w:left="851"/>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С</w:t>
      </w:r>
      <w:r w:rsidR="00BC6C8B" w:rsidRPr="003E5020">
        <w:rPr>
          <w:rFonts w:ascii="Times New Roman" w:hAnsi="Times New Roman" w:cs="Times New Roman"/>
          <w:bCs/>
          <w:sz w:val="24"/>
          <w:szCs w:val="24"/>
          <w:lang w:val="sr-Cyrl-RS"/>
        </w:rPr>
        <w:t>тратешки приступ едукацији судија и њихово</w:t>
      </w:r>
      <w:r w:rsidR="00D646EE" w:rsidRPr="003E5020">
        <w:rPr>
          <w:rFonts w:ascii="Times New Roman" w:hAnsi="Times New Roman" w:cs="Times New Roman"/>
          <w:bCs/>
          <w:sz w:val="24"/>
          <w:szCs w:val="24"/>
          <w:lang w:val="sr-Cyrl-RS"/>
        </w:rPr>
        <w:t>м</w:t>
      </w:r>
      <w:r w:rsidR="00BC6C8B" w:rsidRPr="003E5020">
        <w:rPr>
          <w:rFonts w:ascii="Times New Roman" w:hAnsi="Times New Roman" w:cs="Times New Roman"/>
          <w:bCs/>
          <w:sz w:val="24"/>
          <w:szCs w:val="24"/>
          <w:lang w:val="sr-Cyrl-RS"/>
        </w:rPr>
        <w:t xml:space="preserve"> каријерно</w:t>
      </w:r>
      <w:r w:rsidR="00D646EE" w:rsidRPr="003E5020">
        <w:rPr>
          <w:rFonts w:ascii="Times New Roman" w:hAnsi="Times New Roman" w:cs="Times New Roman"/>
          <w:bCs/>
          <w:sz w:val="24"/>
          <w:szCs w:val="24"/>
          <w:lang w:val="sr-Cyrl-RS"/>
        </w:rPr>
        <w:t xml:space="preserve">м </w:t>
      </w:r>
      <w:r w:rsidR="00BC6C8B" w:rsidRPr="003E5020">
        <w:rPr>
          <w:rFonts w:ascii="Times New Roman" w:hAnsi="Times New Roman" w:cs="Times New Roman"/>
          <w:bCs/>
          <w:sz w:val="24"/>
          <w:szCs w:val="24"/>
          <w:lang w:val="sr-Cyrl-RS"/>
        </w:rPr>
        <w:t>развој</w:t>
      </w:r>
      <w:r w:rsidR="00D646EE" w:rsidRPr="003E5020">
        <w:rPr>
          <w:rFonts w:ascii="Times New Roman" w:hAnsi="Times New Roman" w:cs="Times New Roman"/>
          <w:bCs/>
          <w:sz w:val="24"/>
          <w:szCs w:val="24"/>
          <w:lang w:val="sr-Cyrl-RS"/>
        </w:rPr>
        <w:t>у</w:t>
      </w:r>
      <w:r w:rsidRPr="003E5020">
        <w:rPr>
          <w:rFonts w:ascii="Times New Roman" w:hAnsi="Times New Roman" w:cs="Times New Roman"/>
          <w:bCs/>
          <w:sz w:val="24"/>
          <w:szCs w:val="24"/>
          <w:lang w:val="sr-Cyrl-RS"/>
        </w:rPr>
        <w:t xml:space="preserve"> би свакако могао да буде унапређен</w:t>
      </w:r>
      <w:r w:rsidR="00BC6C8B" w:rsidRPr="003E5020">
        <w:rPr>
          <w:rFonts w:ascii="Times New Roman" w:hAnsi="Times New Roman" w:cs="Times New Roman"/>
          <w:bCs/>
          <w:sz w:val="24"/>
          <w:szCs w:val="24"/>
          <w:lang w:val="sr-Cyrl-RS"/>
        </w:rPr>
        <w:t xml:space="preserve">. </w:t>
      </w:r>
      <w:r w:rsidRPr="003E5020">
        <w:rPr>
          <w:rFonts w:ascii="Times New Roman" w:hAnsi="Times New Roman" w:cs="Times New Roman"/>
          <w:bCs/>
          <w:sz w:val="24"/>
          <w:szCs w:val="24"/>
          <w:lang w:val="sr-Cyrl-RS"/>
        </w:rPr>
        <w:t>Ово укључује и саму процену</w:t>
      </w:r>
      <w:r w:rsidR="00BC6C8B" w:rsidRPr="003E5020">
        <w:rPr>
          <w:rFonts w:ascii="Times New Roman" w:hAnsi="Times New Roman" w:cs="Times New Roman"/>
          <w:bCs/>
          <w:sz w:val="24"/>
          <w:szCs w:val="24"/>
          <w:lang w:val="sr-Cyrl-RS"/>
        </w:rPr>
        <w:t xml:space="preserve"> радног учинка</w:t>
      </w:r>
      <w:r w:rsidR="00EF493B" w:rsidRPr="003E5020">
        <w:rPr>
          <w:rFonts w:ascii="Times New Roman" w:hAnsi="Times New Roman" w:cs="Times New Roman"/>
          <w:bCs/>
          <w:sz w:val="24"/>
          <w:szCs w:val="24"/>
          <w:lang w:val="sr-Cyrl-RS"/>
        </w:rPr>
        <w:t>, која се свакако може учинити ефикаснијом</w:t>
      </w:r>
      <w:r w:rsidR="00BC6C8B" w:rsidRPr="003E5020">
        <w:rPr>
          <w:rFonts w:ascii="Times New Roman" w:hAnsi="Times New Roman" w:cs="Times New Roman"/>
          <w:bCs/>
          <w:sz w:val="24"/>
          <w:szCs w:val="24"/>
          <w:lang w:val="sr-Cyrl-RS"/>
        </w:rPr>
        <w:t xml:space="preserve">, са </w:t>
      </w:r>
      <w:r w:rsidR="00EF493B" w:rsidRPr="003E5020">
        <w:rPr>
          <w:rFonts w:ascii="Times New Roman" w:hAnsi="Times New Roman" w:cs="Times New Roman"/>
          <w:bCs/>
          <w:sz w:val="24"/>
          <w:szCs w:val="24"/>
          <w:lang w:val="sr-Cyrl-RS"/>
        </w:rPr>
        <w:t xml:space="preserve">више </w:t>
      </w:r>
      <w:r w:rsidR="00BC6C8B" w:rsidRPr="003E5020">
        <w:rPr>
          <w:rFonts w:ascii="Times New Roman" w:hAnsi="Times New Roman" w:cs="Times New Roman"/>
          <w:bCs/>
          <w:sz w:val="24"/>
          <w:szCs w:val="24"/>
          <w:lang w:val="sr-Cyrl-RS"/>
        </w:rPr>
        <w:t xml:space="preserve">јасних и објективних критеријума, </w:t>
      </w:r>
      <w:r w:rsidR="00EF493B" w:rsidRPr="003E5020">
        <w:rPr>
          <w:rFonts w:ascii="Times New Roman" w:hAnsi="Times New Roman" w:cs="Times New Roman"/>
          <w:bCs/>
          <w:sz w:val="24"/>
          <w:szCs w:val="24"/>
          <w:lang w:val="sr-Cyrl-RS"/>
        </w:rPr>
        <w:t>те је још више повезати</w:t>
      </w:r>
      <w:r w:rsidR="00BC6C8B" w:rsidRPr="003E5020">
        <w:rPr>
          <w:rFonts w:ascii="Times New Roman" w:hAnsi="Times New Roman" w:cs="Times New Roman"/>
          <w:bCs/>
          <w:sz w:val="24"/>
          <w:szCs w:val="24"/>
          <w:lang w:val="sr-Cyrl-RS"/>
        </w:rPr>
        <w:t xml:space="preserve"> са даљим каријерним развојем судија.</w:t>
      </w:r>
      <w:r w:rsidR="008D11C8" w:rsidRPr="003E5020">
        <w:rPr>
          <w:rFonts w:ascii="Times New Roman" w:hAnsi="Times New Roman" w:cs="Times New Roman"/>
          <w:bCs/>
          <w:sz w:val="24"/>
          <w:szCs w:val="24"/>
          <w:lang w:val="sr-Latn-RS"/>
        </w:rPr>
        <w:t xml:space="preserve"> </w:t>
      </w:r>
      <w:r w:rsidR="00BA5EB3" w:rsidRPr="003E5020">
        <w:rPr>
          <w:rFonts w:ascii="Times New Roman" w:hAnsi="Times New Roman" w:cs="Times New Roman"/>
          <w:bCs/>
          <w:sz w:val="24"/>
          <w:szCs w:val="24"/>
          <w:lang w:val="sr-Cyrl-RS"/>
        </w:rPr>
        <w:t>Уређена процена учинка</w:t>
      </w:r>
      <w:r w:rsidR="00D646EE" w:rsidRPr="003E5020">
        <w:rPr>
          <w:rFonts w:ascii="Times New Roman" w:hAnsi="Times New Roman" w:cs="Times New Roman"/>
          <w:bCs/>
          <w:sz w:val="24"/>
          <w:szCs w:val="24"/>
          <w:lang w:val="sr-Cyrl-RS"/>
        </w:rPr>
        <w:t>,</w:t>
      </w:r>
      <w:r w:rsidR="00BA5EB3" w:rsidRPr="003E5020">
        <w:rPr>
          <w:rFonts w:ascii="Times New Roman" w:hAnsi="Times New Roman" w:cs="Times New Roman"/>
          <w:bCs/>
          <w:sz w:val="24"/>
          <w:szCs w:val="24"/>
          <w:lang w:val="sr-Cyrl-RS"/>
        </w:rPr>
        <w:t xml:space="preserve"> уз јасно утврђене </w:t>
      </w:r>
      <w:r w:rsidR="00C00D28" w:rsidRPr="003E5020">
        <w:rPr>
          <w:rFonts w:ascii="Times New Roman" w:hAnsi="Times New Roman" w:cs="Times New Roman"/>
          <w:bCs/>
          <w:sz w:val="24"/>
          <w:szCs w:val="24"/>
          <w:lang w:val="sr-Cyrl-RS"/>
        </w:rPr>
        <w:t xml:space="preserve">критеријуме за </w:t>
      </w:r>
      <w:r w:rsidR="00BA5EB3" w:rsidRPr="003E5020">
        <w:rPr>
          <w:rFonts w:ascii="Times New Roman" w:hAnsi="Times New Roman" w:cs="Times New Roman"/>
          <w:bCs/>
          <w:sz w:val="24"/>
          <w:szCs w:val="24"/>
          <w:lang w:val="sr-Cyrl-RS"/>
        </w:rPr>
        <w:t>оцен</w:t>
      </w:r>
      <w:r w:rsidR="00C00D28" w:rsidRPr="003E5020">
        <w:rPr>
          <w:rFonts w:ascii="Times New Roman" w:hAnsi="Times New Roman" w:cs="Times New Roman"/>
          <w:bCs/>
          <w:sz w:val="24"/>
          <w:szCs w:val="24"/>
          <w:lang w:val="sr-Cyrl-RS"/>
        </w:rPr>
        <w:t>у</w:t>
      </w:r>
      <w:r w:rsidR="00BA5EB3" w:rsidRPr="003E5020">
        <w:rPr>
          <w:rFonts w:ascii="Times New Roman" w:hAnsi="Times New Roman" w:cs="Times New Roman"/>
          <w:bCs/>
          <w:sz w:val="24"/>
          <w:szCs w:val="24"/>
          <w:lang w:val="sr-Cyrl-RS"/>
        </w:rPr>
        <w:t xml:space="preserve"> учинка</w:t>
      </w:r>
      <w:r w:rsidR="00C00D28" w:rsidRPr="003E5020">
        <w:rPr>
          <w:rFonts w:ascii="Times New Roman" w:hAnsi="Times New Roman" w:cs="Times New Roman"/>
          <w:bCs/>
          <w:sz w:val="24"/>
          <w:szCs w:val="24"/>
          <w:lang w:val="sr-Cyrl-RS"/>
        </w:rPr>
        <w:t>,</w:t>
      </w:r>
      <w:r w:rsidR="00BA5EB3" w:rsidRPr="003E5020">
        <w:rPr>
          <w:rFonts w:ascii="Times New Roman" w:hAnsi="Times New Roman" w:cs="Times New Roman"/>
          <w:bCs/>
          <w:sz w:val="24"/>
          <w:szCs w:val="24"/>
          <w:lang w:val="sr-Cyrl-RS"/>
        </w:rPr>
        <w:t xml:space="preserve"> допринела би одржању квалитета и квант</w:t>
      </w:r>
      <w:r w:rsidR="00800B89" w:rsidRPr="003E5020">
        <w:rPr>
          <w:rFonts w:ascii="Times New Roman" w:hAnsi="Times New Roman" w:cs="Times New Roman"/>
          <w:bCs/>
          <w:sz w:val="24"/>
          <w:szCs w:val="24"/>
          <w:lang w:val="sr-Cyrl-RS"/>
        </w:rPr>
        <w:t>ит</w:t>
      </w:r>
      <w:r w:rsidR="00BA5EB3" w:rsidRPr="003E5020">
        <w:rPr>
          <w:rFonts w:ascii="Times New Roman" w:hAnsi="Times New Roman" w:cs="Times New Roman"/>
          <w:bCs/>
          <w:sz w:val="24"/>
          <w:szCs w:val="24"/>
          <w:lang w:val="sr-Cyrl-RS"/>
        </w:rPr>
        <w:t>ета послова који обављају судије и служила би као коректив у случају недостизања очекиваних резултата рада.</w:t>
      </w:r>
      <w:r w:rsidR="00BA5EB3" w:rsidRPr="003E5020">
        <w:rPr>
          <w:rStyle w:val="FootnoteReference"/>
          <w:rFonts w:ascii="Times New Roman" w:hAnsi="Times New Roman" w:cs="Times New Roman"/>
          <w:bCs/>
          <w:sz w:val="24"/>
          <w:szCs w:val="24"/>
          <w:lang w:val="sr-Cyrl-RS"/>
        </w:rPr>
        <w:footnoteReference w:id="45"/>
      </w:r>
    </w:p>
    <w:p w14:paraId="514DF8CE" w14:textId="2856BACD" w:rsidR="00CE0353" w:rsidRPr="003E5020" w:rsidRDefault="00CE0353" w:rsidP="007303C8">
      <w:pPr>
        <w:ind w:left="851"/>
        <w:jc w:val="both"/>
        <w:rPr>
          <w:rFonts w:ascii="Times New Roman" w:hAnsi="Times New Roman" w:cs="Times New Roman"/>
          <w:sz w:val="24"/>
          <w:szCs w:val="24"/>
          <w:lang w:val="sr-Cyrl-RS"/>
        </w:rPr>
      </w:pPr>
    </w:p>
    <w:p w14:paraId="22491DF2" w14:textId="46AA82DB" w:rsidR="00FE450C" w:rsidRPr="003E5020" w:rsidRDefault="00FE450C" w:rsidP="007303C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Што се тиче судског особља, </w:t>
      </w:r>
      <w:r w:rsidR="00D646EE" w:rsidRPr="003E5020">
        <w:rPr>
          <w:rFonts w:ascii="Times New Roman" w:hAnsi="Times New Roman" w:cs="Times New Roman"/>
          <w:sz w:val="24"/>
          <w:szCs w:val="24"/>
          <w:lang w:val="sr-Cyrl-RS"/>
        </w:rPr>
        <w:t xml:space="preserve">према </w:t>
      </w:r>
      <w:r w:rsidRPr="003E5020">
        <w:rPr>
          <w:rFonts w:ascii="Times New Roman" w:hAnsi="Times New Roman" w:cs="Times New Roman"/>
          <w:sz w:val="24"/>
          <w:szCs w:val="24"/>
          <w:lang w:val="sr-Cyrl-RS"/>
        </w:rPr>
        <w:t xml:space="preserve">извештају </w:t>
      </w:r>
      <w:r w:rsidRPr="003E5020">
        <w:rPr>
          <w:rFonts w:ascii="Times New Roman" w:hAnsi="Times New Roman" w:cs="Times New Roman"/>
          <w:sz w:val="24"/>
          <w:szCs w:val="24"/>
          <w:lang w:val="de-DE"/>
        </w:rPr>
        <w:t>CEPEJ</w:t>
      </w:r>
      <w:r w:rsidRPr="003E5020">
        <w:rPr>
          <w:rFonts w:ascii="Times New Roman" w:hAnsi="Times New Roman" w:cs="Times New Roman"/>
          <w:sz w:val="24"/>
          <w:szCs w:val="24"/>
          <w:lang w:val="sr-Cyrl-RS"/>
        </w:rPr>
        <w:t xml:space="preserve"> из 2020. године</w:t>
      </w:r>
      <w:r w:rsidRPr="003E5020">
        <w:rPr>
          <w:rStyle w:val="FootnoteReference"/>
          <w:rFonts w:ascii="Times New Roman" w:hAnsi="Times New Roman" w:cs="Times New Roman"/>
          <w:sz w:val="24"/>
          <w:szCs w:val="24"/>
          <w:lang w:val="sr-Cyrl-RS"/>
        </w:rPr>
        <w:footnoteReference w:id="46"/>
      </w:r>
      <w:r w:rsidRPr="003E5020">
        <w:rPr>
          <w:rFonts w:ascii="Times New Roman" w:hAnsi="Times New Roman" w:cs="Times New Roman"/>
          <w:sz w:val="24"/>
          <w:szCs w:val="24"/>
          <w:lang w:val="sr-Cyrl-RS"/>
        </w:rPr>
        <w:t>, Република Србија је у 2018. години имала у просеку 3.4 лица на једног судију</w:t>
      </w:r>
      <w:r w:rsidRPr="003E5020">
        <w:rPr>
          <w:rStyle w:val="FootnoteReference"/>
          <w:rFonts w:ascii="Times New Roman" w:hAnsi="Times New Roman" w:cs="Times New Roman"/>
          <w:sz w:val="24"/>
          <w:szCs w:val="24"/>
          <w:lang w:val="sr-Cyrl-RS"/>
        </w:rPr>
        <w:footnoteReference w:id="47"/>
      </w:r>
      <w:r w:rsidR="00FA35C5" w:rsidRPr="003E5020">
        <w:rPr>
          <w:rFonts w:ascii="Times New Roman" w:hAnsi="Times New Roman" w:cs="Times New Roman"/>
          <w:sz w:val="24"/>
          <w:szCs w:val="24"/>
          <w:lang w:val="sr-Cyrl-RS"/>
        </w:rPr>
        <w:t xml:space="preserve">, што је на средњем нивоу у односу на податке које су доставиле земље чланице ЕУ, при чему је забележен пад броја од 0.3 поена у односу на 2014. годину. Без обзира </w:t>
      </w:r>
      <w:r w:rsidR="00DE274E" w:rsidRPr="003E5020">
        <w:rPr>
          <w:rFonts w:ascii="Times New Roman" w:hAnsi="Times New Roman" w:cs="Times New Roman"/>
          <w:sz w:val="24"/>
          <w:szCs w:val="24"/>
          <w:lang w:val="sr-Cyrl-RS"/>
        </w:rPr>
        <w:t xml:space="preserve">на то </w:t>
      </w:r>
      <w:r w:rsidR="00FA35C5" w:rsidRPr="003E5020">
        <w:rPr>
          <w:rFonts w:ascii="Times New Roman" w:hAnsi="Times New Roman" w:cs="Times New Roman"/>
          <w:sz w:val="24"/>
          <w:szCs w:val="24"/>
          <w:lang w:val="sr-Cyrl-RS"/>
        </w:rPr>
        <w:t>што крит</w:t>
      </w:r>
      <w:r w:rsidR="00D646EE" w:rsidRPr="003E5020">
        <w:rPr>
          <w:rFonts w:ascii="Times New Roman" w:hAnsi="Times New Roman" w:cs="Times New Roman"/>
          <w:sz w:val="24"/>
          <w:szCs w:val="24"/>
          <w:lang w:val="sr-Cyrl-RS"/>
        </w:rPr>
        <w:t>е</w:t>
      </w:r>
      <w:r w:rsidR="00FA35C5" w:rsidRPr="003E5020">
        <w:rPr>
          <w:rFonts w:ascii="Times New Roman" w:hAnsi="Times New Roman" w:cs="Times New Roman"/>
          <w:sz w:val="24"/>
          <w:szCs w:val="24"/>
          <w:lang w:val="sr-Cyrl-RS"/>
        </w:rPr>
        <w:t>ријуми за одређивање броја судског особља постоје, исти се не примењују у пракси. Уочљива је разлика у броју судског особља у судовима исте врсте</w:t>
      </w:r>
      <w:r w:rsidR="00D108B4" w:rsidRPr="003E5020">
        <w:rPr>
          <w:rFonts w:ascii="Times New Roman" w:hAnsi="Times New Roman" w:cs="Times New Roman"/>
          <w:sz w:val="24"/>
          <w:szCs w:val="24"/>
          <w:lang w:val="sr-Cyrl-RS"/>
        </w:rPr>
        <w:t xml:space="preserve"> (н</w:t>
      </w:r>
      <w:r w:rsidR="00DE274E" w:rsidRPr="003E5020">
        <w:rPr>
          <w:rFonts w:ascii="Times New Roman" w:hAnsi="Times New Roman" w:cs="Times New Roman"/>
          <w:sz w:val="24"/>
          <w:szCs w:val="24"/>
          <w:lang w:val="sr-Cyrl-RS"/>
        </w:rPr>
        <w:t>п</w:t>
      </w:r>
      <w:r w:rsidR="00D108B4" w:rsidRPr="003E5020">
        <w:rPr>
          <w:rFonts w:ascii="Times New Roman" w:hAnsi="Times New Roman" w:cs="Times New Roman"/>
          <w:sz w:val="24"/>
          <w:szCs w:val="24"/>
          <w:lang w:val="sr-Cyrl-RS"/>
        </w:rPr>
        <w:t>р.</w:t>
      </w:r>
      <w:r w:rsidR="00DE274E" w:rsidRPr="003E5020">
        <w:rPr>
          <w:rFonts w:ascii="Times New Roman" w:hAnsi="Times New Roman" w:cs="Times New Roman"/>
          <w:sz w:val="24"/>
          <w:szCs w:val="24"/>
          <w:lang w:val="sr-Cyrl-RS"/>
        </w:rPr>
        <w:t>,</w:t>
      </w:r>
      <w:r w:rsidR="00D108B4" w:rsidRPr="003E5020">
        <w:rPr>
          <w:rFonts w:ascii="Times New Roman" w:hAnsi="Times New Roman" w:cs="Times New Roman"/>
          <w:sz w:val="24"/>
          <w:szCs w:val="24"/>
          <w:lang w:val="sr-Cyrl-RS"/>
        </w:rPr>
        <w:t xml:space="preserve"> у оквиру основних судова, виших судова, привредних судова или прекршајних судова)</w:t>
      </w:r>
      <w:r w:rsidR="00D108B4" w:rsidRPr="003E5020">
        <w:rPr>
          <w:rStyle w:val="FootnoteReference"/>
          <w:rFonts w:ascii="Times New Roman" w:hAnsi="Times New Roman" w:cs="Times New Roman"/>
          <w:sz w:val="24"/>
          <w:szCs w:val="24"/>
          <w:lang w:val="sr-Cyrl-RS"/>
        </w:rPr>
        <w:footnoteReference w:id="48"/>
      </w:r>
      <w:r w:rsidR="00FA35C5" w:rsidRPr="003E5020">
        <w:rPr>
          <w:rFonts w:ascii="Times New Roman" w:hAnsi="Times New Roman" w:cs="Times New Roman"/>
          <w:sz w:val="24"/>
          <w:szCs w:val="24"/>
          <w:lang w:val="sr-Cyrl-RS"/>
        </w:rPr>
        <w:t>, што је јасан показатељ да се одређивање броја суд</w:t>
      </w:r>
      <w:r w:rsidR="00DE274E" w:rsidRPr="003E5020">
        <w:rPr>
          <w:rFonts w:ascii="Times New Roman" w:hAnsi="Times New Roman" w:cs="Times New Roman"/>
          <w:sz w:val="24"/>
          <w:szCs w:val="24"/>
          <w:lang w:val="sr-Cyrl-RS"/>
        </w:rPr>
        <w:t>с</w:t>
      </w:r>
      <w:r w:rsidR="00FA35C5" w:rsidRPr="003E5020">
        <w:rPr>
          <w:rFonts w:ascii="Times New Roman" w:hAnsi="Times New Roman" w:cs="Times New Roman"/>
          <w:sz w:val="24"/>
          <w:szCs w:val="24"/>
          <w:lang w:val="sr-Cyrl-RS"/>
        </w:rPr>
        <w:t>ког особља не врши у односу на стварне потребе судова</w:t>
      </w:r>
      <w:r w:rsidR="00D108B4" w:rsidRPr="003E5020">
        <w:rPr>
          <w:rFonts w:ascii="Times New Roman" w:hAnsi="Times New Roman" w:cs="Times New Roman"/>
          <w:sz w:val="24"/>
          <w:szCs w:val="24"/>
          <w:lang w:val="sr-Cyrl-RS"/>
        </w:rPr>
        <w:t xml:space="preserve"> нити на на основу претходно спроведене анализе. </w:t>
      </w:r>
      <w:r w:rsidR="00FA35C5" w:rsidRPr="003E5020">
        <w:rPr>
          <w:rFonts w:ascii="Times New Roman" w:hAnsi="Times New Roman" w:cs="Times New Roman"/>
          <w:sz w:val="24"/>
          <w:szCs w:val="24"/>
          <w:lang w:val="sr-Cyrl-RS"/>
        </w:rPr>
        <w:t xml:space="preserve"> </w:t>
      </w:r>
      <w:r w:rsidR="00CE44D3" w:rsidRPr="003E5020">
        <w:rPr>
          <w:rFonts w:ascii="Times New Roman" w:hAnsi="Times New Roman" w:cs="Times New Roman"/>
          <w:sz w:val="24"/>
          <w:szCs w:val="24"/>
          <w:lang w:val="sr-Cyrl-RS"/>
        </w:rPr>
        <w:t>Слично је и по питању регионалне покривености, при чему</w:t>
      </w:r>
      <w:r w:rsidR="00D646EE" w:rsidRPr="003E5020">
        <w:rPr>
          <w:rFonts w:ascii="Times New Roman" w:hAnsi="Times New Roman" w:cs="Times New Roman"/>
          <w:sz w:val="24"/>
          <w:szCs w:val="24"/>
          <w:lang w:val="sr-Cyrl-RS"/>
        </w:rPr>
        <w:t>,</w:t>
      </w:r>
      <w:r w:rsidR="00CE44D3" w:rsidRPr="003E5020">
        <w:rPr>
          <w:rFonts w:ascii="Times New Roman" w:hAnsi="Times New Roman" w:cs="Times New Roman"/>
          <w:sz w:val="24"/>
          <w:szCs w:val="24"/>
          <w:lang w:val="sr-Cyrl-RS"/>
        </w:rPr>
        <w:t xml:space="preserve"> на пример</w:t>
      </w:r>
      <w:r w:rsidR="00D646EE" w:rsidRPr="003E5020">
        <w:rPr>
          <w:rFonts w:ascii="Times New Roman" w:hAnsi="Times New Roman" w:cs="Times New Roman"/>
          <w:sz w:val="24"/>
          <w:szCs w:val="24"/>
          <w:lang w:val="sr-Cyrl-RS"/>
        </w:rPr>
        <w:t>,</w:t>
      </w:r>
      <w:r w:rsidR="00CE44D3" w:rsidRPr="003E5020">
        <w:rPr>
          <w:rFonts w:ascii="Times New Roman" w:hAnsi="Times New Roman" w:cs="Times New Roman"/>
          <w:sz w:val="24"/>
          <w:szCs w:val="24"/>
          <w:lang w:val="sr-Cyrl-RS"/>
        </w:rPr>
        <w:t xml:space="preserve"> основни и виши судови у Београду и Новом Саду имају значајно више судског особља по судијском месту него </w:t>
      </w:r>
      <w:r w:rsidR="00DE274E" w:rsidRPr="003E5020">
        <w:rPr>
          <w:rFonts w:ascii="Times New Roman" w:hAnsi="Times New Roman" w:cs="Times New Roman"/>
          <w:sz w:val="24"/>
          <w:szCs w:val="24"/>
          <w:lang w:val="sr-Cyrl-RS"/>
        </w:rPr>
        <w:t xml:space="preserve">основни и виши судови </w:t>
      </w:r>
      <w:r w:rsidR="00CE44D3" w:rsidRPr="003E5020">
        <w:rPr>
          <w:rFonts w:ascii="Times New Roman" w:hAnsi="Times New Roman" w:cs="Times New Roman"/>
          <w:sz w:val="24"/>
          <w:szCs w:val="24"/>
          <w:lang w:val="sr-Cyrl-RS"/>
        </w:rPr>
        <w:t>у Нишу или Крагујевцу.</w:t>
      </w:r>
    </w:p>
    <w:p w14:paraId="507A51E6" w14:textId="7FA4BA1F" w:rsidR="00F34CB3" w:rsidRPr="003E5020" w:rsidRDefault="00F34CB3" w:rsidP="007303C8">
      <w:pPr>
        <w:ind w:left="851"/>
        <w:jc w:val="both"/>
        <w:rPr>
          <w:rFonts w:ascii="Times New Roman" w:hAnsi="Times New Roman" w:cs="Times New Roman"/>
          <w:sz w:val="24"/>
          <w:szCs w:val="24"/>
          <w:lang w:val="sr-Cyrl-RS"/>
        </w:rPr>
      </w:pPr>
    </w:p>
    <w:p w14:paraId="7AF29B7E" w14:textId="2CE44EB8" w:rsidR="002D3F1C" w:rsidRPr="003E5020" w:rsidRDefault="00F34CB3">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Такође, карактер и структура судског особља се ни</w:t>
      </w:r>
      <w:r w:rsidR="00DE274E" w:rsidRPr="003E5020">
        <w:rPr>
          <w:rFonts w:ascii="Times New Roman" w:hAnsi="Times New Roman" w:cs="Times New Roman"/>
          <w:sz w:val="24"/>
          <w:szCs w:val="24"/>
          <w:lang w:val="sr-Cyrl-RS"/>
        </w:rPr>
        <w:t>су</w:t>
      </w:r>
      <w:r w:rsidRPr="003E5020">
        <w:rPr>
          <w:rFonts w:ascii="Times New Roman" w:hAnsi="Times New Roman" w:cs="Times New Roman"/>
          <w:sz w:val="24"/>
          <w:szCs w:val="24"/>
          <w:lang w:val="sr-Cyrl-RS"/>
        </w:rPr>
        <w:t xml:space="preserve"> променил</w:t>
      </w:r>
      <w:r w:rsidR="00DE274E"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w:t>
      </w:r>
      <w:r w:rsidR="00DE274E" w:rsidRPr="003E5020">
        <w:rPr>
          <w:rFonts w:ascii="Times New Roman" w:hAnsi="Times New Roman" w:cs="Times New Roman"/>
          <w:sz w:val="24"/>
          <w:szCs w:val="24"/>
          <w:lang w:val="sr-Cyrl-RS"/>
        </w:rPr>
        <w:t>н</w:t>
      </w:r>
      <w:r w:rsidR="002D3F1C" w:rsidRPr="003E5020">
        <w:rPr>
          <w:rFonts w:ascii="Times New Roman" w:hAnsi="Times New Roman" w:cs="Times New Roman"/>
          <w:sz w:val="24"/>
          <w:szCs w:val="24"/>
          <w:lang w:val="sr-Cyrl-RS"/>
        </w:rPr>
        <w:t>и након наступања значајних промена које су од судова деволуцијом одвојиле одређене, значајне, послове</w:t>
      </w:r>
      <w:r w:rsidR="00DE274E" w:rsidRPr="003E5020">
        <w:rPr>
          <w:rFonts w:ascii="Times New Roman" w:hAnsi="Times New Roman" w:cs="Times New Roman"/>
          <w:sz w:val="24"/>
          <w:szCs w:val="24"/>
          <w:lang w:val="sr-Cyrl-RS"/>
        </w:rPr>
        <w:t xml:space="preserve">, </w:t>
      </w:r>
      <w:r w:rsidR="002D3F1C" w:rsidRPr="003E5020">
        <w:rPr>
          <w:rFonts w:ascii="Times New Roman" w:hAnsi="Times New Roman" w:cs="Times New Roman"/>
          <w:sz w:val="24"/>
          <w:szCs w:val="24"/>
          <w:lang w:val="sr-Cyrl-RS"/>
        </w:rPr>
        <w:t xml:space="preserve"> као што је </w:t>
      </w:r>
      <w:r w:rsidR="00DE274E" w:rsidRPr="003E5020">
        <w:rPr>
          <w:rFonts w:ascii="Times New Roman" w:hAnsi="Times New Roman" w:cs="Times New Roman"/>
          <w:sz w:val="24"/>
          <w:szCs w:val="24"/>
          <w:lang w:val="sr-Cyrl-RS"/>
        </w:rPr>
        <w:t xml:space="preserve">био случај са преношењем неких судских надлежности на </w:t>
      </w:r>
      <w:r w:rsidR="002D3F1C" w:rsidRPr="003E5020">
        <w:rPr>
          <w:rFonts w:ascii="Times New Roman" w:hAnsi="Times New Roman" w:cs="Times New Roman"/>
          <w:sz w:val="24"/>
          <w:szCs w:val="24"/>
          <w:lang w:val="sr-Cyrl-RS"/>
        </w:rPr>
        <w:t>јавн</w:t>
      </w:r>
      <w:r w:rsidR="00DE274E" w:rsidRPr="003E5020">
        <w:rPr>
          <w:rFonts w:ascii="Times New Roman" w:hAnsi="Times New Roman" w:cs="Times New Roman"/>
          <w:sz w:val="24"/>
          <w:szCs w:val="24"/>
          <w:lang w:val="sr-Cyrl-RS"/>
        </w:rPr>
        <w:t xml:space="preserve">е </w:t>
      </w:r>
      <w:r w:rsidR="002D3F1C" w:rsidRPr="003E5020">
        <w:rPr>
          <w:rFonts w:ascii="Times New Roman" w:hAnsi="Times New Roman" w:cs="Times New Roman"/>
          <w:sz w:val="24"/>
          <w:szCs w:val="24"/>
          <w:lang w:val="sr-Cyrl-RS"/>
        </w:rPr>
        <w:t>извршитељ</w:t>
      </w:r>
      <w:r w:rsidR="00DE274E" w:rsidRPr="003E5020">
        <w:rPr>
          <w:rFonts w:ascii="Times New Roman" w:hAnsi="Times New Roman" w:cs="Times New Roman"/>
          <w:sz w:val="24"/>
          <w:szCs w:val="24"/>
          <w:lang w:val="sr-Cyrl-RS"/>
        </w:rPr>
        <w:t>е</w:t>
      </w:r>
      <w:r w:rsidR="002D3F1C" w:rsidRPr="003E5020">
        <w:rPr>
          <w:rFonts w:ascii="Times New Roman" w:hAnsi="Times New Roman" w:cs="Times New Roman"/>
          <w:sz w:val="24"/>
          <w:szCs w:val="24"/>
          <w:lang w:val="sr-Cyrl-RS"/>
        </w:rPr>
        <w:t xml:space="preserve"> и јавн</w:t>
      </w:r>
      <w:r w:rsidR="00DE274E" w:rsidRPr="003E5020">
        <w:rPr>
          <w:rFonts w:ascii="Times New Roman" w:hAnsi="Times New Roman" w:cs="Times New Roman"/>
          <w:sz w:val="24"/>
          <w:szCs w:val="24"/>
          <w:lang w:val="sr-Cyrl-RS"/>
        </w:rPr>
        <w:t>е</w:t>
      </w:r>
      <w:r w:rsidR="002D3F1C" w:rsidRPr="003E5020">
        <w:rPr>
          <w:rFonts w:ascii="Times New Roman" w:hAnsi="Times New Roman" w:cs="Times New Roman"/>
          <w:sz w:val="24"/>
          <w:szCs w:val="24"/>
          <w:lang w:val="sr-Cyrl-RS"/>
        </w:rPr>
        <w:t xml:space="preserve"> бележник</w:t>
      </w:r>
      <w:r w:rsidR="00DE274E" w:rsidRPr="003E5020">
        <w:rPr>
          <w:rFonts w:ascii="Times New Roman" w:hAnsi="Times New Roman" w:cs="Times New Roman"/>
          <w:sz w:val="24"/>
          <w:szCs w:val="24"/>
          <w:lang w:val="sr-Cyrl-RS"/>
        </w:rPr>
        <w:t>е</w:t>
      </w:r>
      <w:r w:rsidR="002D3F1C" w:rsidRPr="003E5020">
        <w:rPr>
          <w:rFonts w:ascii="Times New Roman" w:hAnsi="Times New Roman" w:cs="Times New Roman"/>
          <w:sz w:val="24"/>
          <w:szCs w:val="24"/>
          <w:lang w:val="sr-Cyrl-RS"/>
        </w:rPr>
        <w:t>. Наиме, и поред преноса надлежности, број и структура судског особља ни</w:t>
      </w:r>
      <w:r w:rsidR="00DE274E" w:rsidRPr="003E5020">
        <w:rPr>
          <w:rFonts w:ascii="Times New Roman" w:hAnsi="Times New Roman" w:cs="Times New Roman"/>
          <w:sz w:val="24"/>
          <w:szCs w:val="24"/>
          <w:lang w:val="sr-Cyrl-RS"/>
        </w:rPr>
        <w:t xml:space="preserve">су </w:t>
      </w:r>
      <w:r w:rsidR="002D3F1C" w:rsidRPr="003E5020">
        <w:rPr>
          <w:rFonts w:ascii="Times New Roman" w:hAnsi="Times New Roman" w:cs="Times New Roman"/>
          <w:sz w:val="24"/>
          <w:szCs w:val="24"/>
          <w:lang w:val="sr-Cyrl-RS"/>
        </w:rPr>
        <w:t>доживел</w:t>
      </w:r>
      <w:r w:rsidR="00DE274E" w:rsidRPr="003E5020">
        <w:rPr>
          <w:rFonts w:ascii="Times New Roman" w:hAnsi="Times New Roman" w:cs="Times New Roman"/>
          <w:sz w:val="24"/>
          <w:szCs w:val="24"/>
          <w:lang w:val="sr-Cyrl-RS"/>
        </w:rPr>
        <w:t>и</w:t>
      </w:r>
      <w:r w:rsidR="002D3F1C" w:rsidRPr="003E5020">
        <w:rPr>
          <w:rFonts w:ascii="Times New Roman" w:hAnsi="Times New Roman" w:cs="Times New Roman"/>
          <w:sz w:val="24"/>
          <w:szCs w:val="24"/>
          <w:lang w:val="sr-Cyrl-RS"/>
        </w:rPr>
        <w:t xml:space="preserve"> значајне промене, што би логично морао да буде случај. Самим тим, неопходно је да се изврши де</w:t>
      </w:r>
      <w:r w:rsidR="00F57BEE" w:rsidRPr="003E5020">
        <w:rPr>
          <w:rFonts w:ascii="Times New Roman" w:hAnsi="Times New Roman" w:cs="Times New Roman"/>
          <w:sz w:val="24"/>
          <w:szCs w:val="24"/>
          <w:lang w:val="sr-Cyrl-RS"/>
        </w:rPr>
        <w:t>та</w:t>
      </w:r>
      <w:r w:rsidR="002D3F1C" w:rsidRPr="003E5020">
        <w:rPr>
          <w:rFonts w:ascii="Times New Roman" w:hAnsi="Times New Roman" w:cs="Times New Roman"/>
          <w:sz w:val="24"/>
          <w:szCs w:val="24"/>
          <w:lang w:val="sr-Cyrl-RS"/>
        </w:rPr>
        <w:t>љан преглед структуре и описа сваке од позиција</w:t>
      </w:r>
      <w:r w:rsidR="00F57BEE" w:rsidRPr="003E5020">
        <w:rPr>
          <w:rFonts w:ascii="Times New Roman" w:hAnsi="Times New Roman" w:cs="Times New Roman"/>
          <w:sz w:val="24"/>
          <w:szCs w:val="24"/>
          <w:lang w:val="sr-Cyrl-RS"/>
        </w:rPr>
        <w:t xml:space="preserve"> у оквиру каталога радних места</w:t>
      </w:r>
      <w:r w:rsidR="002D3F1C" w:rsidRPr="003E5020">
        <w:rPr>
          <w:rFonts w:ascii="Times New Roman" w:hAnsi="Times New Roman" w:cs="Times New Roman"/>
          <w:sz w:val="24"/>
          <w:szCs w:val="24"/>
          <w:lang w:val="sr-Cyrl-RS"/>
        </w:rPr>
        <w:t xml:space="preserve">, те да се позиције које су очигледно дуплиране и за којима не постоји </w:t>
      </w:r>
      <w:r w:rsidR="003641F2" w:rsidRPr="003E5020">
        <w:rPr>
          <w:rFonts w:ascii="Times New Roman" w:hAnsi="Times New Roman" w:cs="Times New Roman"/>
          <w:sz w:val="24"/>
          <w:szCs w:val="24"/>
          <w:lang w:val="sr-Cyrl-RS"/>
        </w:rPr>
        <w:t>реална</w:t>
      </w:r>
      <w:r w:rsidR="002D3F1C" w:rsidRPr="003E5020">
        <w:rPr>
          <w:rFonts w:ascii="Times New Roman" w:hAnsi="Times New Roman" w:cs="Times New Roman"/>
          <w:sz w:val="24"/>
          <w:szCs w:val="24"/>
          <w:lang w:val="sr-Cyrl-RS"/>
        </w:rPr>
        <w:t xml:space="preserve"> потреба укину, а вишак особља </w:t>
      </w:r>
      <w:r w:rsidR="00CE44D3" w:rsidRPr="003E5020">
        <w:rPr>
          <w:rFonts w:ascii="Times New Roman" w:hAnsi="Times New Roman" w:cs="Times New Roman"/>
          <w:sz w:val="24"/>
          <w:szCs w:val="24"/>
          <w:lang w:val="sr-Cyrl-RS"/>
        </w:rPr>
        <w:t>ослободи или премести не нека друга радна места (уколико за тим профилом има потребе у оквиру правосуђа).</w:t>
      </w:r>
    </w:p>
    <w:p w14:paraId="62BF00D2" w14:textId="548F60AA" w:rsidR="00425DFA" w:rsidRPr="003E5020" w:rsidRDefault="00425DFA" w:rsidP="00854341">
      <w:pPr>
        <w:jc w:val="both"/>
        <w:rPr>
          <w:rFonts w:ascii="Times New Roman" w:hAnsi="Times New Roman" w:cs="Times New Roman"/>
          <w:sz w:val="24"/>
          <w:szCs w:val="24"/>
          <w:lang w:val="sr-Cyrl-RS"/>
        </w:rPr>
      </w:pPr>
    </w:p>
    <w:p w14:paraId="1B7C3493" w14:textId="6C83AB62" w:rsidR="00425DFA" w:rsidRPr="003E5020" w:rsidRDefault="00696925" w:rsidP="00314237">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непосредно третира најпре кроз реализацију посебног </w:t>
      </w:r>
      <w:hyperlink w:anchor="_Циљ_1._–" w:history="1">
        <w:r w:rsidRPr="003E5020">
          <w:rPr>
            <w:rStyle w:val="Hyperlink"/>
            <w:rFonts w:ascii="Times New Roman" w:hAnsi="Times New Roman" w:cs="Times New Roman"/>
            <w:color w:val="auto"/>
            <w:sz w:val="24"/>
            <w:szCs w:val="24"/>
            <w:lang w:val="sr-Cyrl-RS"/>
          </w:rPr>
          <w:t>циља 1</w:t>
        </w:r>
      </w:hyperlink>
      <w:r w:rsidR="00EF493B" w:rsidRPr="003E5020">
        <w:rPr>
          <w:rFonts w:ascii="Times New Roman" w:hAnsi="Times New Roman" w:cs="Times New Roman"/>
          <w:sz w:val="24"/>
          <w:szCs w:val="24"/>
          <w:lang w:val="sr-Cyrl-RS"/>
        </w:rPr>
        <w:t xml:space="preserve"> </w:t>
      </w:r>
      <w:r w:rsidR="001A790F" w:rsidRPr="003E5020">
        <w:rPr>
          <w:rFonts w:ascii="Times New Roman" w:hAnsi="Times New Roman" w:cs="Times New Roman"/>
          <w:sz w:val="24"/>
          <w:szCs w:val="24"/>
          <w:lang w:val="sr-Cyrl-RS"/>
        </w:rPr>
        <w:t>Стратегије.</w:t>
      </w:r>
    </w:p>
    <w:p w14:paraId="2BA15D50" w14:textId="408600BB" w:rsidR="0001701B" w:rsidRPr="003E5020" w:rsidRDefault="0001701B" w:rsidP="00314237">
      <w:pPr>
        <w:ind w:left="851"/>
        <w:jc w:val="both"/>
        <w:rPr>
          <w:rFonts w:ascii="Times New Roman" w:hAnsi="Times New Roman" w:cs="Times New Roman"/>
          <w:sz w:val="24"/>
          <w:szCs w:val="24"/>
          <w:lang w:val="sr-Cyrl-RS"/>
        </w:rPr>
      </w:pPr>
    </w:p>
    <w:p w14:paraId="2D4B9C27" w14:textId="2ACB644A" w:rsidR="007222BE" w:rsidRPr="003E5020" w:rsidRDefault="007222BE" w:rsidP="007222BE">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99" w:name="_Toc80125037"/>
      <w:bookmarkStart w:id="100" w:name="_Toc84778627"/>
      <w:r w:rsidRPr="003E5020">
        <w:rPr>
          <w:rFonts w:ascii="Times New Roman" w:hAnsi="Times New Roman" w:cs="Times New Roman"/>
          <w:color w:val="auto"/>
          <w:sz w:val="24"/>
          <w:szCs w:val="24"/>
          <w:lang w:val="sr-Cyrl-RS"/>
        </w:rPr>
        <w:t xml:space="preserve">Неадекватан </w:t>
      </w:r>
      <w:r w:rsidR="007A7619" w:rsidRPr="003E5020">
        <w:rPr>
          <w:rFonts w:ascii="Times New Roman" w:hAnsi="Times New Roman" w:cs="Times New Roman"/>
          <w:color w:val="auto"/>
          <w:sz w:val="24"/>
          <w:szCs w:val="24"/>
          <w:lang w:val="sr-Cyrl-RS"/>
        </w:rPr>
        <w:t xml:space="preserve">статус и </w:t>
      </w:r>
      <w:r w:rsidRPr="003E5020">
        <w:rPr>
          <w:rFonts w:ascii="Times New Roman" w:hAnsi="Times New Roman" w:cs="Times New Roman"/>
          <w:color w:val="auto"/>
          <w:sz w:val="24"/>
          <w:szCs w:val="24"/>
          <w:lang w:val="sr-Cyrl-RS"/>
        </w:rPr>
        <w:t>положај судијских помоћника</w:t>
      </w:r>
      <w:bookmarkEnd w:id="99"/>
      <w:bookmarkEnd w:id="100"/>
      <w:r w:rsidRPr="003E5020">
        <w:rPr>
          <w:rFonts w:ascii="Times New Roman" w:hAnsi="Times New Roman" w:cs="Times New Roman"/>
          <w:color w:val="auto"/>
          <w:sz w:val="24"/>
          <w:szCs w:val="24"/>
          <w:lang w:val="sr-Cyrl-RS"/>
        </w:rPr>
        <w:t xml:space="preserve"> </w:t>
      </w:r>
    </w:p>
    <w:p w14:paraId="48B24C79" w14:textId="77777777" w:rsidR="007222BE" w:rsidRPr="003E5020" w:rsidRDefault="007222BE" w:rsidP="007222BE">
      <w:pPr>
        <w:rPr>
          <w:rFonts w:ascii="Times New Roman" w:hAnsi="Times New Roman" w:cs="Times New Roman"/>
          <w:sz w:val="24"/>
          <w:szCs w:val="24"/>
          <w:lang w:val="sr-Cyrl-RS"/>
        </w:rPr>
      </w:pPr>
    </w:p>
    <w:p w14:paraId="7B2CA2A8" w14:textId="77777777" w:rsidR="007222BE" w:rsidRPr="003E5020" w:rsidRDefault="007222BE" w:rsidP="007222B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Неспорно је да ова категорија правосудног кадра представља кичму судске функције, јер судијски помоћници дају велики допринос учинку целокупног сектора правосуђа</w:t>
      </w:r>
      <w:r w:rsidRPr="003E5020">
        <w:rPr>
          <w:rFonts w:ascii="Times New Roman" w:hAnsi="Times New Roman" w:cs="Times New Roman"/>
          <w:sz w:val="24"/>
          <w:szCs w:val="24"/>
          <w:lang w:val="sr-Latn-RS"/>
        </w:rPr>
        <w:t xml:space="preserve">. </w:t>
      </w:r>
      <w:r w:rsidRPr="003E5020">
        <w:rPr>
          <w:rFonts w:ascii="Times New Roman" w:hAnsi="Times New Roman" w:cs="Times New Roman"/>
          <w:sz w:val="24"/>
          <w:szCs w:val="24"/>
          <w:lang w:val="sr-Cyrl-RS"/>
        </w:rPr>
        <w:t>То је више него јасно констатовано у Мишљењу број 22 (2019) о улози судијских помоћника, које је донето од стране Консултативног већа европских судија (КВЕС)</w:t>
      </w:r>
      <w:r w:rsidRPr="003E5020">
        <w:rPr>
          <w:rStyle w:val="FootnoteReference"/>
          <w:rFonts w:ascii="Times New Roman" w:hAnsi="Times New Roman" w:cs="Times New Roman"/>
          <w:sz w:val="24"/>
          <w:szCs w:val="24"/>
          <w:lang w:val="sr-Cyrl-RS"/>
        </w:rPr>
        <w:footnoteReference w:id="49"/>
      </w:r>
      <w:r w:rsidRPr="003E5020">
        <w:rPr>
          <w:rFonts w:ascii="Times New Roman" w:hAnsi="Times New Roman" w:cs="Times New Roman"/>
          <w:sz w:val="24"/>
          <w:szCs w:val="24"/>
          <w:lang w:val="sr-Cyrl-RS"/>
        </w:rPr>
        <w:t>. Предметно мишљење полази од претпоставке да правовремено и економично одлучивање у предметима представља важан циљ сваког правосуђа. Самим тим, квалитет судске одлуке након правичног разматрања представља кључни аспект ефикасног правосуђа, док судијски промоћници могу бити снажан инструмент који ће судије ослободити терета несудијских обавеза, чиме би се убрзао рад судова и смањио број предмета, али и припремиле квалитетније одлуке.  Стога статус судијских помоћника треба да има нарочито место у будућој реформи људских ресурса у правосуђу.</w:t>
      </w:r>
    </w:p>
    <w:p w14:paraId="6A592C01" w14:textId="77777777" w:rsidR="00731DA8" w:rsidRPr="003E5020" w:rsidRDefault="00731DA8" w:rsidP="007222BE">
      <w:pPr>
        <w:jc w:val="both"/>
        <w:rPr>
          <w:rFonts w:ascii="Times New Roman" w:hAnsi="Times New Roman" w:cs="Times New Roman"/>
          <w:sz w:val="24"/>
          <w:szCs w:val="24"/>
          <w:lang w:val="sr-Cyrl-RS"/>
        </w:rPr>
      </w:pPr>
    </w:p>
    <w:p w14:paraId="2AFF5245" w14:textId="77777777" w:rsidR="007222BE" w:rsidRPr="003E5020" w:rsidRDefault="007222BE"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Правни статус</w:t>
      </w:r>
    </w:p>
    <w:p w14:paraId="2003DFEF" w14:textId="77777777" w:rsidR="007222BE" w:rsidRPr="003E5020" w:rsidRDefault="007222BE" w:rsidP="007222BE">
      <w:pPr>
        <w:ind w:left="851"/>
        <w:jc w:val="both"/>
        <w:rPr>
          <w:rFonts w:ascii="Times New Roman" w:hAnsi="Times New Roman" w:cs="Times New Roman"/>
          <w:sz w:val="24"/>
          <w:szCs w:val="24"/>
          <w:lang w:val="sr-Cyrl-RS"/>
        </w:rPr>
      </w:pPr>
    </w:p>
    <w:p w14:paraId="4FB29683" w14:textId="77777777" w:rsidR="007222BE" w:rsidRPr="003E5020" w:rsidRDefault="007222BE" w:rsidP="007222B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правном систему Републике Србије, судијски помоћници, као део судског особља, имају статус државних службеника, при чему се на права на заснивање радног односа, као и права и обавезе стручног усавршавања, оцењивање у раду и одговорност, примењују прописи који уређују положај државних службеника и намештеника</w:t>
      </w:r>
      <w:r w:rsidRPr="003E5020">
        <w:rPr>
          <w:rStyle w:val="FootnoteReference"/>
          <w:rFonts w:ascii="Times New Roman" w:hAnsi="Times New Roman" w:cs="Times New Roman"/>
          <w:sz w:val="24"/>
          <w:szCs w:val="24"/>
          <w:lang w:val="sr-Cyrl-RS"/>
        </w:rPr>
        <w:footnoteReference w:id="50"/>
      </w:r>
      <w:r w:rsidRPr="003E5020">
        <w:rPr>
          <w:rFonts w:ascii="Times New Roman" w:hAnsi="Times New Roman" w:cs="Times New Roman"/>
          <w:sz w:val="24"/>
          <w:szCs w:val="24"/>
          <w:lang w:val="sr-Cyrl-RS"/>
        </w:rPr>
        <w:t xml:space="preserve">. Дакле, апсолутно је јасно да постојећи правни систем не препознаје специфичности посла и одговорности које судијски помоћници обављају у правосудном систему, а који по својој природи превазилазе обим посла и одговорности државних службеника, као ни додатне компетенције које се траже за обављање ових послова у односу на упоредива звања унутар система државних службеника. </w:t>
      </w:r>
    </w:p>
    <w:p w14:paraId="1144EC65" w14:textId="77777777" w:rsidR="007222BE" w:rsidRPr="003E5020" w:rsidRDefault="007222BE" w:rsidP="007222BE">
      <w:pPr>
        <w:ind w:left="851"/>
        <w:jc w:val="both"/>
        <w:rPr>
          <w:rFonts w:ascii="Times New Roman" w:hAnsi="Times New Roman" w:cs="Times New Roman"/>
          <w:sz w:val="24"/>
          <w:szCs w:val="24"/>
          <w:lang w:val="sr-Cyrl-RS"/>
        </w:rPr>
      </w:pPr>
    </w:p>
    <w:p w14:paraId="1C2D9923" w14:textId="77777777" w:rsidR="007222BE" w:rsidRPr="003E5020" w:rsidRDefault="007222BE" w:rsidP="007222B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Овакав статус судијских помоћника се директно одражава на висину зарада, које су усклађене са зарадама државних службеника. То свакако не представља стимуланс лицима која обављају предметне послове да се додатно залажу у свом раду и тиме допринесу већој ефикасности правосудног система. Сличан проблем се јавља и по питању неизвесности каријерног напредовања и преласка у виши платни разред или избора на судијску функцију, те је евидентно да све већи број судијских помоћника напушта рад у судовима и одлази на друга, боље плаћена радна места. </w:t>
      </w:r>
    </w:p>
    <w:p w14:paraId="1C58A145" w14:textId="77777777" w:rsidR="007222BE" w:rsidRPr="003E5020" w:rsidRDefault="007222BE" w:rsidP="007222BE">
      <w:pPr>
        <w:ind w:left="851"/>
        <w:jc w:val="both"/>
        <w:rPr>
          <w:rFonts w:ascii="Times New Roman" w:hAnsi="Times New Roman" w:cs="Times New Roman"/>
          <w:sz w:val="24"/>
          <w:szCs w:val="24"/>
          <w:lang w:val="sr-Cyrl-RS"/>
        </w:rPr>
      </w:pPr>
    </w:p>
    <w:p w14:paraId="0F2F8778" w14:textId="21CB01A7" w:rsidR="007222BE" w:rsidRPr="003E5020" w:rsidRDefault="007222BE" w:rsidP="007222B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карактер и важност посла који обављају, потребно је размотрити могућност „измештања</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правног статуса судијских помоћника из положаја државних службеника и, слично у случају судија, успоставити директну надлежност над овом категоријом запослених у правосуђу од стране Високог савета судства, који би онда доносио мерила за распоређивање судијских помоћника у складу са потребама. Такође, потребно је размотрити да се, у оквиру новодефинисаног статуса судијских помоћника, јасно и прецизно уреди опис послова које ће судијски помоћници обављати (за почетак, изврши детаљна ревизија постојећих описа послова у односу на врсту суда и њихова законом утврђена звања), а који ће бити јасно увезан са системом плата и награђивања за радни учинак и испољено залагање. Затим, да се у односу на то креира јасан, правичан и предвидив систем каријерног развоја, у коме ће сваком судијском помоћнику унапред бити јасно које критеријуме и вештине мора да испуни, односно стекне, како би напредовао унутар правосудног система, а чије испуњење и оцена мора да зависе искључиво од објективних (и у највећој мери мерљивих) показатеља напретка. Као основно средство које ће судијским помоћницима служити на том путу каријерног развоја, потребно је креирати и имплементирати свеобухватни систем обука и стручног усавршавања, који ће у највећој мери бити обавезан и, што је кључно, у потпуности усаглашен са стварним потребама за вештинама и знањем судијских помоћника у односу на конкретно звање и посао који обављају. Самим тим, систем обука мора бити прилагодљив и довољно флескибилан да у кратком року одговори на све потребе за стручним усавршавањем ове категорије судског особља (ово превасходно имајући у виду врло динамичне промене унутар правног система, његову хармонизацију са правом ЕУ и увођење потпуно нових правних института).</w:t>
      </w:r>
    </w:p>
    <w:p w14:paraId="2D6CD14C" w14:textId="77777777" w:rsidR="007222BE" w:rsidRPr="003E5020" w:rsidRDefault="007222BE" w:rsidP="007222BE">
      <w:pPr>
        <w:ind w:left="851"/>
        <w:jc w:val="both"/>
        <w:rPr>
          <w:rFonts w:ascii="Times New Roman" w:hAnsi="Times New Roman" w:cs="Times New Roman"/>
          <w:sz w:val="24"/>
          <w:szCs w:val="24"/>
          <w:lang w:val="sr-Cyrl-RS"/>
        </w:rPr>
      </w:pPr>
    </w:p>
    <w:p w14:paraId="5DEA0CCF" w14:textId="5744D83B" w:rsidR="007222BE" w:rsidRPr="003E5020" w:rsidRDefault="007222BE" w:rsidP="007222BE">
      <w:pPr>
        <w:pStyle w:val="ListParagraph"/>
        <w:numPr>
          <w:ilvl w:val="2"/>
          <w:numId w:val="2"/>
        </w:numPr>
        <w:ind w:left="851" w:hanging="851"/>
        <w:rPr>
          <w:rFonts w:ascii="Times New Roman" w:eastAsiaTheme="majorEastAsia" w:hAnsi="Times New Roman" w:cs="Times New Roman"/>
          <w:i/>
          <w:sz w:val="24"/>
          <w:szCs w:val="24"/>
          <w:lang w:val="sr-Cyrl-RS"/>
        </w:rPr>
      </w:pPr>
      <w:r w:rsidRPr="003E5020">
        <w:rPr>
          <w:rFonts w:ascii="Times New Roman" w:eastAsiaTheme="majorEastAsia" w:hAnsi="Times New Roman" w:cs="Times New Roman"/>
          <w:iCs/>
          <w:sz w:val="24"/>
          <w:szCs w:val="24"/>
          <w:lang w:val="sr-Cyrl-RS"/>
        </w:rPr>
        <w:t>Критеријуми</w:t>
      </w:r>
      <w:r w:rsidRPr="003E5020">
        <w:rPr>
          <w:rFonts w:ascii="Times New Roman" w:eastAsiaTheme="majorEastAsia" w:hAnsi="Times New Roman" w:cs="Times New Roman"/>
          <w:i/>
          <w:sz w:val="24"/>
          <w:szCs w:val="24"/>
          <w:lang w:val="sr-Cyrl-RS"/>
        </w:rPr>
        <w:t xml:space="preserve"> са пријем у радни однос и напредовање</w:t>
      </w:r>
    </w:p>
    <w:p w14:paraId="76FA41EE" w14:textId="77777777" w:rsidR="007222BE" w:rsidRPr="003E5020" w:rsidRDefault="007222BE" w:rsidP="007222BE">
      <w:pPr>
        <w:pStyle w:val="ListParagraph"/>
        <w:ind w:left="851"/>
        <w:jc w:val="both"/>
        <w:rPr>
          <w:rFonts w:ascii="Times New Roman" w:eastAsiaTheme="majorEastAsia" w:hAnsi="Times New Roman" w:cs="Times New Roman"/>
          <w:i/>
          <w:sz w:val="24"/>
          <w:szCs w:val="24"/>
          <w:lang w:val="sr-Cyrl-RS"/>
        </w:rPr>
      </w:pPr>
    </w:p>
    <w:p w14:paraId="79C03467"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Судијски помоћници могу стећи следећа звања:</w:t>
      </w:r>
    </w:p>
    <w:p w14:paraId="5DA757D1"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77E0C543" w14:textId="77777777" w:rsidR="007222BE" w:rsidRPr="003E5020" w:rsidRDefault="007222BE" w:rsidP="007222BE">
      <w:pPr>
        <w:pStyle w:val="ListParagraph"/>
        <w:numPr>
          <w:ilvl w:val="0"/>
          <w:numId w:val="20"/>
        </w:numPr>
        <w:jc w:val="both"/>
        <w:rPr>
          <w:rFonts w:ascii="Times New Roman" w:eastAsiaTheme="majorEastAsia" w:hAnsi="Times New Roman" w:cs="Times New Roman"/>
          <w:i/>
          <w:sz w:val="24"/>
          <w:szCs w:val="24"/>
          <w:lang w:val="sr-Cyrl-RS"/>
        </w:rPr>
      </w:pPr>
      <w:r w:rsidRPr="003E5020">
        <w:rPr>
          <w:rFonts w:ascii="Times New Roman" w:hAnsi="Times New Roman" w:cs="Times New Roman"/>
          <w:b/>
          <w:sz w:val="24"/>
          <w:szCs w:val="24"/>
          <w:lang w:val="sr-Cyrl-RS"/>
        </w:rPr>
        <w:t>судијског сарадника</w:t>
      </w:r>
      <w:r w:rsidRPr="003E5020">
        <w:rPr>
          <w:rFonts w:ascii="Times New Roman" w:hAnsi="Times New Roman" w:cs="Times New Roman"/>
          <w:sz w:val="24"/>
          <w:szCs w:val="24"/>
          <w:lang w:val="sr-Cyrl-RS"/>
        </w:rPr>
        <w:t>, које може стећи лице које има положени правосудни испит,</w:t>
      </w:r>
    </w:p>
    <w:p w14:paraId="04FCA177" w14:textId="77777777" w:rsidR="007222BE" w:rsidRPr="003E5020" w:rsidRDefault="007222BE" w:rsidP="007222BE">
      <w:pPr>
        <w:pStyle w:val="ListParagraph"/>
        <w:numPr>
          <w:ilvl w:val="0"/>
          <w:numId w:val="20"/>
        </w:numPr>
        <w:jc w:val="both"/>
        <w:rPr>
          <w:rFonts w:ascii="Times New Roman" w:eastAsiaTheme="majorEastAsia" w:hAnsi="Times New Roman" w:cs="Times New Roman"/>
          <w:i/>
          <w:sz w:val="24"/>
          <w:szCs w:val="24"/>
          <w:lang w:val="sr-Cyrl-RS"/>
        </w:rPr>
      </w:pPr>
      <w:r w:rsidRPr="003E5020">
        <w:rPr>
          <w:rFonts w:ascii="Times New Roman" w:hAnsi="Times New Roman" w:cs="Times New Roman"/>
          <w:b/>
          <w:sz w:val="24"/>
          <w:szCs w:val="24"/>
          <w:lang w:val="sr-Cyrl-RS"/>
        </w:rPr>
        <w:t>вишег судијског сарадника</w:t>
      </w:r>
      <w:r w:rsidRPr="003E5020">
        <w:rPr>
          <w:rFonts w:ascii="Times New Roman" w:hAnsi="Times New Roman" w:cs="Times New Roman"/>
          <w:sz w:val="24"/>
          <w:szCs w:val="24"/>
          <w:lang w:val="sr-Cyrl-RS"/>
        </w:rPr>
        <w:t>, које може стећи лице које поред положеног правосудног испита има најмање две (2) године радног искуства у правној струци,</w:t>
      </w:r>
    </w:p>
    <w:p w14:paraId="6ACB0B19" w14:textId="38AED62D" w:rsidR="007222BE" w:rsidRPr="003E5020" w:rsidRDefault="007222BE" w:rsidP="007222BE">
      <w:pPr>
        <w:pStyle w:val="ListParagraph"/>
        <w:numPr>
          <w:ilvl w:val="0"/>
          <w:numId w:val="20"/>
        </w:numPr>
        <w:jc w:val="both"/>
        <w:rPr>
          <w:rFonts w:ascii="Times New Roman" w:eastAsiaTheme="majorEastAsia" w:hAnsi="Times New Roman" w:cs="Times New Roman"/>
          <w:i/>
          <w:sz w:val="24"/>
          <w:szCs w:val="24"/>
          <w:lang w:val="sr-Cyrl-RS"/>
        </w:rPr>
      </w:pPr>
      <w:r w:rsidRPr="003E5020">
        <w:rPr>
          <w:rFonts w:ascii="Times New Roman" w:hAnsi="Times New Roman" w:cs="Times New Roman"/>
          <w:b/>
          <w:sz w:val="24"/>
          <w:szCs w:val="24"/>
          <w:lang w:val="sr-Cyrl-RS"/>
        </w:rPr>
        <w:t>судског саветника</w:t>
      </w:r>
      <w:r w:rsidRPr="003E5020">
        <w:rPr>
          <w:rFonts w:ascii="Times New Roman" w:hAnsi="Times New Roman" w:cs="Times New Roman"/>
          <w:sz w:val="24"/>
          <w:szCs w:val="24"/>
          <w:lang w:val="sr-Cyrl-RS"/>
        </w:rPr>
        <w:t>, које може стећи лице које испуњава услове за судију вишег суда или које је најмање две (2) године узастопно оцењено са „нарочито се истиче</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w:t>
      </w:r>
    </w:p>
    <w:p w14:paraId="0A75B91E" w14:textId="77777777" w:rsidR="007222BE" w:rsidRPr="003E5020" w:rsidRDefault="007222BE" w:rsidP="007222BE">
      <w:pPr>
        <w:pStyle w:val="ListParagraph"/>
        <w:ind w:left="1571"/>
        <w:jc w:val="both"/>
        <w:rPr>
          <w:rFonts w:ascii="Times New Roman" w:eastAsiaTheme="majorEastAsia" w:hAnsi="Times New Roman" w:cs="Times New Roman"/>
          <w:i/>
          <w:sz w:val="24"/>
          <w:szCs w:val="24"/>
          <w:lang w:val="sr-Cyrl-RS"/>
        </w:rPr>
      </w:pPr>
    </w:p>
    <w:p w14:paraId="614B7143"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при чему звање судског саветника постоји у судовима на републичком нивоу и апелационим судовима. Самим тим, судијски сарадници у судовима нижег ранга имају могућност напредовања искључиво до нивоа вишег судијског сарадника. </w:t>
      </w:r>
    </w:p>
    <w:p w14:paraId="26450E7A"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424930D1"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њихов правни статус (видети тачку 3.7.1), мерила и критеријуме за пријем и напредовање у каријери, као и сам поступак избора, прописује Влада РС, посредством Министарства правде. С тим у вези, а у циљу успостављања принципа меритократије, потребно је размотрити могућност ближег дефинисања услова за пријем у радни однос и напредовања у каријери, као што су, на пример, годишње оцене, академске титуле, похађање обука, стручних семинара и конференција, објављени научни чланци, итд. </w:t>
      </w:r>
    </w:p>
    <w:p w14:paraId="0CE29B3E" w14:textId="77777777" w:rsidR="007222BE" w:rsidRPr="003E5020" w:rsidRDefault="007222BE" w:rsidP="007222BE">
      <w:pPr>
        <w:pStyle w:val="ListParagraph"/>
        <w:ind w:left="851"/>
        <w:jc w:val="both"/>
        <w:rPr>
          <w:rFonts w:ascii="Times New Roman" w:eastAsiaTheme="majorEastAsia" w:hAnsi="Times New Roman" w:cs="Times New Roman"/>
          <w:sz w:val="24"/>
          <w:szCs w:val="24"/>
          <w:lang w:val="sr-Cyrl-RS"/>
        </w:rPr>
      </w:pPr>
    </w:p>
    <w:p w14:paraId="6C6A60C7" w14:textId="47E7B00B" w:rsidR="007222BE" w:rsidRPr="003E5020" w:rsidRDefault="007222BE"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Број судијских помоћника</w:t>
      </w:r>
    </w:p>
    <w:p w14:paraId="480FA888" w14:textId="77777777" w:rsidR="007222BE" w:rsidRPr="003E5020" w:rsidRDefault="007222BE" w:rsidP="007222BE">
      <w:pPr>
        <w:pStyle w:val="ListParagraph"/>
        <w:ind w:left="851"/>
        <w:jc w:val="both"/>
        <w:rPr>
          <w:rFonts w:ascii="Times New Roman" w:eastAsiaTheme="majorEastAsia" w:hAnsi="Times New Roman" w:cs="Times New Roman"/>
          <w:i/>
          <w:sz w:val="24"/>
          <w:szCs w:val="24"/>
          <w:lang w:val="sr-Cyrl-RS"/>
        </w:rPr>
      </w:pPr>
    </w:p>
    <w:p w14:paraId="1BC13529"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складу са постојећом регулативом</w:t>
      </w:r>
      <w:r w:rsidRPr="003E5020">
        <w:rPr>
          <w:rStyle w:val="FootnoteReference"/>
          <w:rFonts w:ascii="Times New Roman" w:hAnsi="Times New Roman" w:cs="Times New Roman"/>
          <w:sz w:val="24"/>
          <w:szCs w:val="24"/>
          <w:lang w:val="sr-Cyrl-RS"/>
        </w:rPr>
        <w:footnoteReference w:id="51"/>
      </w:r>
      <w:r w:rsidRPr="003E5020">
        <w:rPr>
          <w:rFonts w:ascii="Times New Roman" w:hAnsi="Times New Roman" w:cs="Times New Roman"/>
          <w:sz w:val="24"/>
          <w:szCs w:val="24"/>
          <w:lang w:val="sr-Cyrl-RS"/>
        </w:rPr>
        <w:t>, број судијских помоћника и судијских приправника за основни, виши и привредни суд одређује се тако што на једног судију долази по један судијски помоћник или по један судијски приправник, с тим да укупан број судијских помоћника не буде већи од 2/3, а број судијских приправника од 1/3 у односу на њихов укупан број. За прекршајни суд одређује се тако што на три судије долази по један судијски помоћник или по један судијски приправник, с тим да укупан број судијских помоћника не буде већи од 2/3, а број судијских приправника од 1/3 у односу на њихов укупан број.  Додатно, број судијских помоћника за Апелациони суд, Привредни апелациони суд, Виши прекршајни суд и Управни суд одређује се према броју судија, тако да на једног судију долази по један судијски помоћник. Број судских саветника у Врховном касационом суду одређује се према броју судија, тако да на једног судију долази по један судски саветник, док се број судских саветника у припремном одељењу Врховног касационог суда одређује се тако да на једно веће долазе по два судска саветника. У одељењу судске праксе одређује се тако да у сваком одељењу судске праксе буде најмање један, а највише три судска саветника.</w:t>
      </w:r>
    </w:p>
    <w:p w14:paraId="5E2131DF"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3A8318E5"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последњем извештају Врховног касационог суда о раду судова за 2020. годину,  у Републици Србији, просечна старост судија у Републици је 52 године. Функцију судије вршило је 743 мушкараца и 1.909 жена. У судском систему било је, према подацима Високог савета судства, ангажовано и 10.795 судског особља, просечне старости 46 године. Од тога је било: </w:t>
      </w:r>
      <w:r w:rsidRPr="003E5020">
        <w:rPr>
          <w:rFonts w:ascii="Times New Roman" w:hAnsi="Times New Roman" w:cs="Times New Roman"/>
          <w:b/>
          <w:sz w:val="24"/>
          <w:szCs w:val="24"/>
          <w:lang w:val="sr-Cyrl-RS"/>
        </w:rPr>
        <w:t>1.704 судијских помоћника (просечне старости 41 година)</w:t>
      </w:r>
      <w:r w:rsidRPr="003E5020">
        <w:rPr>
          <w:rFonts w:ascii="Times New Roman" w:hAnsi="Times New Roman" w:cs="Times New Roman"/>
          <w:sz w:val="24"/>
          <w:szCs w:val="24"/>
          <w:lang w:val="sr-Cyrl-RS"/>
        </w:rPr>
        <w:t>, 6.153 државних службеника и 2.938 намештеника.</w:t>
      </w:r>
    </w:p>
    <w:p w14:paraId="525EDDB6"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1C6C64C3" w14:textId="53B29A68"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циљу равномерне оптерећености свих носилаца правосудних функција, потребно је размотрити могућност да се изједначи број судија са бројем судијских помоћника, односно да се на једног судију запосли најмање један судијски помоћник, те у складу са тиме изменити постојећи правни оквир који то регулише. Надаље, потребно је размотрити могућност да судови који имају повећан прилив предмета, у односу на национални просек, имају могућност запослења два или више судијска помоћника, како би се лакше савладали велики број предмета.</w:t>
      </w:r>
    </w:p>
    <w:p w14:paraId="05DA62D3" w14:textId="77777777" w:rsidR="00A7655C" w:rsidRPr="003E5020" w:rsidRDefault="00A7655C" w:rsidP="007222BE">
      <w:pPr>
        <w:pStyle w:val="ListParagraph"/>
        <w:ind w:left="851"/>
        <w:jc w:val="both"/>
        <w:rPr>
          <w:rFonts w:ascii="Times New Roman" w:hAnsi="Times New Roman" w:cs="Times New Roman"/>
          <w:sz w:val="24"/>
          <w:szCs w:val="24"/>
          <w:lang w:val="sr-Cyrl-RS"/>
        </w:rPr>
      </w:pPr>
    </w:p>
    <w:p w14:paraId="056257EC" w14:textId="41882EEB" w:rsidR="007222BE" w:rsidRPr="003E5020" w:rsidRDefault="007222BE" w:rsidP="00A7655C">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Зараде судијских помоћника</w:t>
      </w:r>
    </w:p>
    <w:p w14:paraId="28D3AC5D"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5B882507"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Неадекватан материјални положај једна је од главних одлика судијских помоћника. У складу са правним статусом који је изједначен са положајем државних службеника (видети тачку 3.3.1 горе), примања судијских помоћника су регулисана прописима који се односе на државне службенике</w:t>
      </w:r>
      <w:r w:rsidRPr="003E5020">
        <w:rPr>
          <w:rStyle w:val="FootnoteReference"/>
          <w:rFonts w:ascii="Times New Roman" w:hAnsi="Times New Roman" w:cs="Times New Roman"/>
          <w:sz w:val="24"/>
          <w:szCs w:val="24"/>
          <w:lang w:val="sr-Cyrl-RS"/>
        </w:rPr>
        <w:footnoteReference w:id="52"/>
      </w:r>
      <w:r w:rsidRPr="003E5020">
        <w:rPr>
          <w:rFonts w:ascii="Times New Roman" w:hAnsi="Times New Roman" w:cs="Times New Roman"/>
          <w:sz w:val="24"/>
          <w:szCs w:val="24"/>
          <w:lang w:val="sr-Cyrl-RS"/>
        </w:rPr>
        <w:t xml:space="preserve">, па тиме и висина њихових зарада. Самим тим зараде судијских помоћника нису дефинисане процентуално у односу на зараде судије суда у коме помоћници раде, нити је повећање зараде предвидиво. </w:t>
      </w:r>
    </w:p>
    <w:p w14:paraId="1101750F" w14:textId="77777777" w:rsidR="007222BE" w:rsidRPr="003E5020" w:rsidRDefault="007222BE" w:rsidP="007222BE">
      <w:pPr>
        <w:pStyle w:val="ListParagraph"/>
        <w:ind w:left="851"/>
        <w:jc w:val="both"/>
        <w:rPr>
          <w:rFonts w:ascii="Times New Roman" w:eastAsiaTheme="majorEastAsia" w:hAnsi="Times New Roman" w:cs="Times New Roman"/>
          <w:i/>
          <w:sz w:val="24"/>
          <w:szCs w:val="24"/>
          <w:lang w:val="sr-Cyrl-RS"/>
        </w:rPr>
      </w:pPr>
    </w:p>
    <w:p w14:paraId="7FF4690F"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Последично, а имајући у виду значај посла који обављају, као и одговорност коју тај посао носи, постоји велики одлив стручног кадра са позиција судијских помоћника, те све слабија заинтересованост свршених студената права да конкуришу на слободна радна места, а камоли да своју професионалну каријеру у целости вежу за рад у правосуђу. С друге стране, код лица која већ раде на позицијама судијских помоћника, услед лошег материјалног положаја и непредвидивости напредовања и каријери, значајно опада мотивисаност за рад и иновативност, па самим тим и свеукупни квалитет њиховог рада.</w:t>
      </w:r>
    </w:p>
    <w:p w14:paraId="5E6F4F85" w14:textId="77777777" w:rsidR="007222BE" w:rsidRPr="003E5020" w:rsidRDefault="007222BE" w:rsidP="007222BE">
      <w:pPr>
        <w:pStyle w:val="ListParagraph"/>
        <w:ind w:left="851"/>
        <w:jc w:val="both"/>
        <w:rPr>
          <w:rFonts w:ascii="Times New Roman" w:eastAsiaTheme="majorEastAsia" w:hAnsi="Times New Roman" w:cs="Times New Roman"/>
          <w:i/>
          <w:sz w:val="24"/>
          <w:szCs w:val="24"/>
          <w:lang w:val="sr-Cyrl-RS"/>
        </w:rPr>
      </w:pPr>
    </w:p>
    <w:p w14:paraId="6F4A90E2" w14:textId="106CC7FE" w:rsidR="007222BE" w:rsidRPr="003E5020" w:rsidRDefault="007222BE" w:rsidP="00A7655C">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Опис послова и оцењивање рада судијских помоћника</w:t>
      </w:r>
    </w:p>
    <w:p w14:paraId="1AA519B4" w14:textId="77777777" w:rsidR="007222BE" w:rsidRPr="003E5020" w:rsidRDefault="007222BE" w:rsidP="007222BE">
      <w:pPr>
        <w:pStyle w:val="ListParagraph"/>
        <w:ind w:left="792"/>
        <w:jc w:val="both"/>
        <w:rPr>
          <w:rFonts w:ascii="Times New Roman" w:eastAsiaTheme="majorEastAsia" w:hAnsi="Times New Roman" w:cs="Times New Roman"/>
          <w:i/>
          <w:sz w:val="24"/>
          <w:szCs w:val="24"/>
          <w:lang w:val="sr-Cyrl-RS"/>
        </w:rPr>
      </w:pPr>
    </w:p>
    <w:p w14:paraId="4AD7BB92"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Судијски помоћник помаже судији, израђује нацрте судских одлука, проучава правна питања, судску праксу и правну литературу, израђује нацрте правних схватања, усвојена правна схватања припрема за објављивање и самостално или уз надзор и упутства судије врши послове одређене законом и Судским пословником</w:t>
      </w:r>
      <w:r w:rsidRPr="003E5020">
        <w:rPr>
          <w:rStyle w:val="FootnoteReference"/>
          <w:rFonts w:ascii="Times New Roman" w:hAnsi="Times New Roman" w:cs="Times New Roman"/>
          <w:sz w:val="24"/>
          <w:szCs w:val="24"/>
          <w:lang w:val="sr-Cyrl-RS"/>
        </w:rPr>
        <w:footnoteReference w:id="53"/>
      </w:r>
      <w:r w:rsidRPr="003E5020">
        <w:rPr>
          <w:rFonts w:ascii="Times New Roman" w:hAnsi="Times New Roman" w:cs="Times New Roman"/>
          <w:sz w:val="24"/>
          <w:szCs w:val="24"/>
          <w:lang w:val="sr-Cyrl-RS"/>
        </w:rPr>
        <w:t>. У складу са наведеним пословником, судијски помоћник проучава предмете које му додели судија и припрема их за суђења, обавља поверене послове у припремном одељењу, сачињава записник о састанцима, седницама већа и одељења, припрема стручне извештаје, анализе и обавештења по налогу судије, узима изјаве странака на записник обрађује притужбе грађана и обавља друге послове утврђене годишњим распоредом послова и актом о унутрашњој организацији и систематизацији радних места у суду</w:t>
      </w:r>
      <w:r w:rsidRPr="003E5020">
        <w:rPr>
          <w:rStyle w:val="FootnoteReference"/>
          <w:rFonts w:ascii="Times New Roman" w:hAnsi="Times New Roman" w:cs="Times New Roman"/>
          <w:sz w:val="24"/>
          <w:szCs w:val="24"/>
          <w:lang w:val="sr-Cyrl-RS"/>
        </w:rPr>
        <w:footnoteReference w:id="54"/>
      </w:r>
      <w:r w:rsidRPr="003E5020">
        <w:rPr>
          <w:rFonts w:ascii="Times New Roman" w:hAnsi="Times New Roman" w:cs="Times New Roman"/>
          <w:sz w:val="24"/>
          <w:szCs w:val="24"/>
          <w:lang w:val="sr-Cyrl-RS"/>
        </w:rPr>
        <w:t>. Судијском помоћнику може се поверити и обављање других послова под надзором судије, као што су: израда нацрта одлуке која се односи на испитивање процесних претпоставки за вођење поступка, нацрт судске одлуке, нацрт одлуке о дозвољености правног лека, припремање реферата за судију известиоца, одређивање висине судске таксе, разврставање предмета и сл.</w:t>
      </w:r>
      <w:r w:rsidRPr="003E5020">
        <w:rPr>
          <w:rStyle w:val="FootnoteReference"/>
          <w:rFonts w:ascii="Times New Roman" w:hAnsi="Times New Roman" w:cs="Times New Roman"/>
          <w:sz w:val="24"/>
          <w:szCs w:val="24"/>
          <w:lang w:val="sr-Cyrl-RS"/>
        </w:rPr>
        <w:footnoteReference w:id="55"/>
      </w:r>
    </w:p>
    <w:p w14:paraId="5143BE2F"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2EE3EB5D"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Ипак, и поред тога што је постојећи опис послова судијских помоћника у највећој мери фокусиран на стручне послове, према тврдњама судија основних судова</w:t>
      </w:r>
      <w:r w:rsidRPr="003E5020">
        <w:rPr>
          <w:rStyle w:val="FootnoteReference"/>
          <w:rFonts w:ascii="Times New Roman" w:hAnsi="Times New Roman" w:cs="Times New Roman"/>
          <w:sz w:val="24"/>
          <w:szCs w:val="24"/>
          <w:lang w:val="sr-Cyrl-RS"/>
        </w:rPr>
        <w:footnoteReference w:id="56"/>
      </w:r>
      <w:r w:rsidRPr="003E5020">
        <w:rPr>
          <w:rFonts w:ascii="Times New Roman" w:hAnsi="Times New Roman" w:cs="Times New Roman"/>
          <w:sz w:val="24"/>
          <w:szCs w:val="24"/>
          <w:lang w:val="sr-Cyrl-RS"/>
        </w:rPr>
        <w:t xml:space="preserve">, однос утрошеног радног времена на бављење уско стручним пословима, као што је на пример суштина предмета спора и чисто административних послова, па чак и послова који се тичи питања управљања људским ресурсима у појединим судовима (видети </w:t>
      </w:r>
      <w:hyperlink w:anchor="_Недостатак_стратешког_планирања" w:history="1">
        <w:r w:rsidRPr="003E5020">
          <w:rPr>
            <w:rStyle w:val="Hyperlink"/>
            <w:rFonts w:ascii="Times New Roman" w:hAnsi="Times New Roman" w:cs="Times New Roman"/>
            <w:color w:val="auto"/>
            <w:sz w:val="24"/>
            <w:szCs w:val="24"/>
            <w:lang w:val="sr-Cyrl-RS"/>
          </w:rPr>
          <w:t>тачку 3.1</w:t>
        </w:r>
      </w:hyperlink>
      <w:r w:rsidRPr="003E5020">
        <w:rPr>
          <w:rFonts w:ascii="Times New Roman" w:hAnsi="Times New Roman" w:cs="Times New Roman"/>
          <w:sz w:val="24"/>
          <w:szCs w:val="24"/>
          <w:lang w:val="sr-Cyrl-RS"/>
        </w:rPr>
        <w:t xml:space="preserve"> – </w:t>
      </w:r>
      <w:r w:rsidRPr="003E5020">
        <w:rPr>
          <w:rFonts w:ascii="Times New Roman" w:hAnsi="Times New Roman" w:cs="Times New Roman"/>
          <w:i/>
          <w:sz w:val="24"/>
          <w:szCs w:val="24"/>
          <w:lang w:val="sr-Cyrl-RS"/>
        </w:rPr>
        <w:t>Недостатак стратешког планирања у управљању људским ресурсима</w:t>
      </w:r>
      <w:r w:rsidRPr="003E5020">
        <w:rPr>
          <w:rFonts w:ascii="Times New Roman" w:hAnsi="Times New Roman" w:cs="Times New Roman"/>
          <w:sz w:val="24"/>
          <w:szCs w:val="24"/>
          <w:lang w:val="sr-Cyrl-RS"/>
        </w:rPr>
        <w:t xml:space="preserve"> горе) је 50-50%. Наведени податак говори о нерационалној искоришћености знања које поседују судијски помоћници па, следствено томе и неефикасном коришћењу средстава намењених овој категорији правосудног кадра, што свеукупно доводи до незадовољавајућег нивоа ефикасности целокупног правосудног система.</w:t>
      </w:r>
    </w:p>
    <w:p w14:paraId="78C923E7" w14:textId="177105ED" w:rsidR="007222BE" w:rsidRDefault="007222BE" w:rsidP="007222BE">
      <w:pPr>
        <w:pStyle w:val="ListParagraph"/>
        <w:ind w:left="792"/>
        <w:jc w:val="both"/>
        <w:rPr>
          <w:rFonts w:ascii="Times New Roman" w:eastAsiaTheme="majorEastAsia" w:hAnsi="Times New Roman" w:cs="Times New Roman"/>
          <w:i/>
          <w:sz w:val="24"/>
          <w:szCs w:val="24"/>
          <w:lang w:val="sr-Cyrl-RS"/>
        </w:rPr>
      </w:pPr>
    </w:p>
    <w:p w14:paraId="65FD0294" w14:textId="77777777" w:rsidR="00DC7F5A" w:rsidRPr="003E5020" w:rsidRDefault="00DC7F5A" w:rsidP="007222BE">
      <w:pPr>
        <w:pStyle w:val="ListParagraph"/>
        <w:ind w:left="792"/>
        <w:jc w:val="both"/>
        <w:rPr>
          <w:rFonts w:ascii="Times New Roman" w:eastAsiaTheme="majorEastAsia" w:hAnsi="Times New Roman" w:cs="Times New Roman"/>
          <w:i/>
          <w:sz w:val="24"/>
          <w:szCs w:val="24"/>
          <w:lang w:val="sr-Cyrl-RS"/>
        </w:rPr>
      </w:pPr>
    </w:p>
    <w:p w14:paraId="57733BF1" w14:textId="77777777" w:rsidR="007222BE" w:rsidRPr="003E5020" w:rsidRDefault="007222BE" w:rsidP="007222BE">
      <w:pPr>
        <w:pStyle w:val="ListParagraph"/>
        <w:ind w:left="90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Посебан проблем у случају судијских помоћника је одсуство јасне категоризације и поделе посла по радним местима. Тако, у пракси се често јављају случајеви у којима високо квалификовани запослени обављају послове радних места које захтевају ниже степене стручне спреме. Такође, велики број радних места помоћника имају сличне описе радних дужности и обавеза, те постоји преклапање радних задатака између тих радних места. </w:t>
      </w:r>
    </w:p>
    <w:p w14:paraId="7ACF8375" w14:textId="77777777" w:rsidR="007222BE" w:rsidRPr="003E5020" w:rsidRDefault="007222BE" w:rsidP="007222BE">
      <w:pPr>
        <w:pStyle w:val="ListParagraph"/>
        <w:ind w:left="900"/>
        <w:jc w:val="both"/>
        <w:rPr>
          <w:rFonts w:ascii="Times New Roman" w:hAnsi="Times New Roman" w:cs="Times New Roman"/>
          <w:sz w:val="24"/>
          <w:szCs w:val="24"/>
          <w:lang w:val="sr-Cyrl-RS"/>
        </w:rPr>
      </w:pPr>
    </w:p>
    <w:p w14:paraId="05F329D3" w14:textId="77777777" w:rsidR="007222BE" w:rsidRPr="003E5020" w:rsidRDefault="007222BE" w:rsidP="007222BE">
      <w:pPr>
        <w:pStyle w:val="ListParagraph"/>
        <w:ind w:left="90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Како би се превазишао већ наведени проблем нерационалног искоришћености знања који поседују судијски помоћници, потребно је пре свега сврсисходно применити прописе који се баве овим питањем. Међутим како проста примена постојећих прописа није довољна, потребно је</w:t>
      </w:r>
      <w:r w:rsidRPr="003E5020">
        <w:rPr>
          <w:rFonts w:ascii="Times New Roman" w:hAnsi="Times New Roman" w:cs="Times New Roman"/>
          <w:sz w:val="24"/>
          <w:szCs w:val="24"/>
          <w:lang w:val="sr-Latn-RS"/>
        </w:rPr>
        <w:t xml:space="preserve"> </w:t>
      </w:r>
      <w:r w:rsidRPr="003E5020">
        <w:rPr>
          <w:rFonts w:ascii="Times New Roman" w:hAnsi="Times New Roman" w:cs="Times New Roman"/>
          <w:sz w:val="24"/>
          <w:szCs w:val="24"/>
          <w:lang w:val="sr-Cyrl-RS"/>
        </w:rPr>
        <w:t>изнова преиспитати класификацију позиција помоћника у правосуђу и донети свеобухватни каталог (листу) која ће уредити позицију помоћника у правосуђу, заједно са описом радних дужности и обавеза, са неопходно захтевним способностима и вештинама.</w:t>
      </w:r>
      <w:r w:rsidRPr="003E5020">
        <w:rPr>
          <w:rStyle w:val="FootnoteReference"/>
          <w:rFonts w:ascii="Times New Roman" w:hAnsi="Times New Roman" w:cs="Times New Roman"/>
          <w:sz w:val="24"/>
          <w:szCs w:val="24"/>
          <w:lang w:val="sr-Cyrl-RS"/>
        </w:rPr>
        <w:footnoteReference w:id="57"/>
      </w:r>
    </w:p>
    <w:p w14:paraId="5C98431D" w14:textId="77777777" w:rsidR="007222BE" w:rsidRPr="003E5020" w:rsidRDefault="007222BE" w:rsidP="007222BE">
      <w:pPr>
        <w:pStyle w:val="ListParagraph"/>
        <w:ind w:left="792"/>
        <w:jc w:val="both"/>
        <w:rPr>
          <w:rFonts w:ascii="Times New Roman" w:eastAsiaTheme="majorEastAsia" w:hAnsi="Times New Roman" w:cs="Times New Roman"/>
          <w:i/>
          <w:sz w:val="24"/>
          <w:szCs w:val="24"/>
          <w:lang w:val="sr-Cyrl-RS"/>
        </w:rPr>
      </w:pPr>
    </w:p>
    <w:p w14:paraId="5853A9F8" w14:textId="77777777" w:rsidR="007222BE" w:rsidRPr="003E5020" w:rsidRDefault="007222BE" w:rsidP="007222BE">
      <w:pPr>
        <w:pStyle w:val="ListParagraph"/>
        <w:ind w:left="90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Слична ситуација је и по питању оцењивања у раду. Иако постоје јасна правила за  спровођење оцењивања, која се базирају на  објективним критеријумима као што су успех у раду, продуктивност, квалитет, поузданост, у пракси је ситуација потпуно другачија због објективних околности на терену.</w:t>
      </w:r>
    </w:p>
    <w:p w14:paraId="1CAC614B" w14:textId="77777777" w:rsidR="007222BE" w:rsidRPr="003E5020" w:rsidRDefault="007222BE" w:rsidP="007222BE">
      <w:pPr>
        <w:pStyle w:val="ListParagraph"/>
        <w:ind w:left="900"/>
        <w:jc w:val="both"/>
        <w:rPr>
          <w:rFonts w:ascii="Times New Roman" w:hAnsi="Times New Roman" w:cs="Times New Roman"/>
          <w:sz w:val="24"/>
          <w:szCs w:val="24"/>
          <w:lang w:val="sr-Cyrl-RS"/>
        </w:rPr>
      </w:pPr>
    </w:p>
    <w:p w14:paraId="1C1D37B1" w14:textId="15714A5E" w:rsidR="007222BE" w:rsidRPr="003E5020" w:rsidRDefault="007222BE" w:rsidP="007222BE">
      <w:pPr>
        <w:pStyle w:val="ListParagraph"/>
        <w:ind w:left="90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Наиме, према важећем правном оквиру</w:t>
      </w:r>
      <w:r w:rsidRPr="003E5020">
        <w:rPr>
          <w:rFonts w:ascii="Times New Roman" w:hAnsi="Times New Roman" w:cs="Times New Roman"/>
          <w:sz w:val="24"/>
          <w:szCs w:val="24"/>
          <w:vertAlign w:val="superscript"/>
          <w:lang w:val="sr-Cyrl-RS"/>
        </w:rPr>
        <w:footnoteReference w:id="58"/>
      </w:r>
      <w:r w:rsidRPr="003E5020">
        <w:rPr>
          <w:rFonts w:ascii="Times New Roman" w:hAnsi="Times New Roman" w:cs="Times New Roman"/>
          <w:sz w:val="24"/>
          <w:szCs w:val="24"/>
          <w:lang w:val="sr-Cyrl-RS"/>
        </w:rPr>
        <w:t>,</w:t>
      </w:r>
      <w:r w:rsidRPr="003E5020">
        <w:rPr>
          <w:rFonts w:ascii="Times New Roman" w:hAnsi="Times New Roman" w:cs="Times New Roman"/>
          <w:sz w:val="24"/>
          <w:szCs w:val="24"/>
          <w:vertAlign w:val="superscript"/>
          <w:lang w:val="sr-Cyrl-RS"/>
        </w:rPr>
        <w:t xml:space="preserve"> </w:t>
      </w:r>
      <w:r w:rsidRPr="003E5020">
        <w:rPr>
          <w:rFonts w:ascii="Times New Roman" w:hAnsi="Times New Roman" w:cs="Times New Roman"/>
          <w:sz w:val="24"/>
          <w:szCs w:val="24"/>
          <w:lang w:val="sr-Cyrl-RS"/>
        </w:rPr>
        <w:t>рад судијског помоћника оцењује председник суда, по прибављеном мишљењу седнице одељења у које је судијски помоћник распоређен. Кад судијски помоћник није распоређен у одељење суда, мишљење се прибавља од судије или већа с којим судијски помоћник ради. Међутим, иако према цитираној одредби о оцени одлучује председник суда по прибављеном мишљењу седнице одељења, у пракси је тa оцена дата на основу мишљења судије са којом помоћник непосредно сарађује. Веома често судијски помоћници годинама раде за истог судију, па њихов међусобни однос постане врло близак и често обострано зависан. Самим тим, а из страха да не изгуби помоћника на чији рад се навикао, судија ће врло ретко рад судијског помоћника оценити лошом оценом или лошијом од „нарочито се истиче</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Ово за последицу има директно одсуство меритократије у раду судијских помоћника, те ствара немогућност успостављања објективног система награђивања или повећања плате, односно напредовања по платним разредима за оне који се заиста нарочито истичу у свом раду, а из разлога ограничености буџетских средстава (апсолутно је немогућа ситуација у којој би скоро 100% број судијских помоћника био платно награђен или унапређен у виши ранг). </w:t>
      </w:r>
    </w:p>
    <w:p w14:paraId="27EE32AE" w14:textId="77777777" w:rsidR="007222BE" w:rsidRPr="003E5020" w:rsidRDefault="007222BE" w:rsidP="007222BE">
      <w:pPr>
        <w:pStyle w:val="ListParagraph"/>
        <w:ind w:left="792"/>
        <w:jc w:val="both"/>
        <w:rPr>
          <w:rFonts w:ascii="Times New Roman" w:hAnsi="Times New Roman" w:cs="Times New Roman"/>
          <w:sz w:val="24"/>
          <w:szCs w:val="24"/>
          <w:lang w:val="sr-Cyrl-RS"/>
        </w:rPr>
      </w:pPr>
    </w:p>
    <w:p w14:paraId="781B0B95" w14:textId="77777777" w:rsidR="007222BE" w:rsidRPr="003E5020" w:rsidRDefault="007222BE" w:rsidP="007222BE">
      <w:pPr>
        <w:pStyle w:val="ListParagraph"/>
        <w:ind w:left="792"/>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Поред индивидуалног вредновања рада судијских помоћника, неопходно је извршити и оцену доприноса судијских помоћника, као посебне категорије у оквиру правосуђа, ефикасности правосудног система у целини. Јер, како се оцењује у Мишљењу број 22 (2019) о улози судијских помоћнике, које је донето од стране Консултативног већа европских судија (КВЕС), иако се све државе чланице које ангажују судијске помоћнике слажу да они пружају драгоцену помоћ и штеде време судијама, свега неколико њих прикупља податке о тиме колики су они, заправо, корисни</w:t>
      </w:r>
      <w:r w:rsidRPr="003E5020">
        <w:rPr>
          <w:rStyle w:val="FootnoteReference"/>
          <w:rFonts w:ascii="Times New Roman" w:hAnsi="Times New Roman" w:cs="Times New Roman"/>
          <w:sz w:val="24"/>
          <w:szCs w:val="24"/>
          <w:lang w:val="sr-Cyrl-RS"/>
        </w:rPr>
        <w:footnoteReference w:id="59"/>
      </w:r>
      <w:r w:rsidRPr="003E5020">
        <w:rPr>
          <w:rFonts w:ascii="Times New Roman" w:hAnsi="Times New Roman" w:cs="Times New Roman"/>
          <w:sz w:val="24"/>
          <w:szCs w:val="24"/>
          <w:lang w:val="sr-Cyrl-RS"/>
        </w:rPr>
        <w:t xml:space="preserve">. </w:t>
      </w:r>
    </w:p>
    <w:p w14:paraId="2EBBF5E3" w14:textId="77777777" w:rsidR="007222BE" w:rsidRPr="003E5020" w:rsidRDefault="007222BE" w:rsidP="007222BE">
      <w:pPr>
        <w:pStyle w:val="ListParagraph"/>
        <w:ind w:left="792"/>
        <w:jc w:val="both"/>
        <w:rPr>
          <w:rFonts w:ascii="Times New Roman" w:eastAsiaTheme="majorEastAsia" w:hAnsi="Times New Roman" w:cs="Times New Roman"/>
          <w:sz w:val="24"/>
          <w:szCs w:val="24"/>
          <w:lang w:val="sr-Cyrl-RS"/>
        </w:rPr>
      </w:pPr>
    </w:p>
    <w:p w14:paraId="7BD4C7B3" w14:textId="3F0AA587" w:rsidR="007222BE" w:rsidRPr="003E5020" w:rsidRDefault="007222BE" w:rsidP="00A7655C">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Обуке судијских помоћника</w:t>
      </w:r>
    </w:p>
    <w:p w14:paraId="2CFE0DBF" w14:textId="77777777" w:rsidR="007222BE" w:rsidRPr="003E5020" w:rsidRDefault="007222BE" w:rsidP="007222BE">
      <w:pPr>
        <w:ind w:left="851"/>
        <w:jc w:val="both"/>
        <w:rPr>
          <w:rFonts w:ascii="Times New Roman" w:hAnsi="Times New Roman" w:cs="Times New Roman"/>
          <w:sz w:val="24"/>
          <w:szCs w:val="24"/>
          <w:lang w:val="sr-Cyrl-RS"/>
        </w:rPr>
      </w:pPr>
    </w:p>
    <w:p w14:paraId="29622BA2"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Иако законски оквир предвиђа обавезну обуку судијских помоћника, пре свега кроз програме обуке које организује Правосудна академија, велики проценат анкетираних судијских помоћника сматра да тренутно не постоји адекватна обука са циљем унапређења њиховог теоријског знања и практичних вештина</w:t>
      </w:r>
      <w:r w:rsidRPr="003E5020">
        <w:rPr>
          <w:rStyle w:val="FootnoteReference"/>
          <w:rFonts w:ascii="Times New Roman" w:hAnsi="Times New Roman" w:cs="Times New Roman"/>
          <w:sz w:val="24"/>
          <w:szCs w:val="24"/>
          <w:lang w:val="sr-Cyrl-RS"/>
        </w:rPr>
        <w:footnoteReference w:id="60"/>
      </w:r>
      <w:r w:rsidRPr="003E5020">
        <w:rPr>
          <w:rFonts w:ascii="Times New Roman" w:hAnsi="Times New Roman" w:cs="Times New Roman"/>
          <w:sz w:val="24"/>
          <w:szCs w:val="24"/>
          <w:lang w:val="sr-Cyrl-RS"/>
        </w:rPr>
        <w:t>. Такође, добијени подаци указују на очигледно постојање потребе за адекватнијом и редовнијом обуком која би унапредила знања и вештине судијских помоћника у обављању послова, те да тренутна обука није редовног или обавезујућег карактера</w:t>
      </w:r>
      <w:r w:rsidRPr="003E5020">
        <w:rPr>
          <w:rStyle w:val="FootnoteReference"/>
          <w:rFonts w:ascii="Times New Roman" w:hAnsi="Times New Roman" w:cs="Times New Roman"/>
          <w:sz w:val="24"/>
          <w:szCs w:val="24"/>
          <w:lang w:val="sr-Cyrl-RS"/>
        </w:rPr>
        <w:footnoteReference w:id="61"/>
      </w:r>
      <w:r w:rsidRPr="003E5020">
        <w:rPr>
          <w:rFonts w:ascii="Times New Roman" w:hAnsi="Times New Roman" w:cs="Times New Roman"/>
          <w:sz w:val="24"/>
          <w:szCs w:val="24"/>
          <w:lang w:val="sr-Cyrl-RS"/>
        </w:rPr>
        <w:t>. Очигледно је одсуство систематског приступа осмишљавању и организацији обука, најпре одсуства адекватне анализе потреба за стручним усавршавањем, које би у обзир узело опис радних места запослених као и њихове стварне потребе (имајући у виду да опис радних места у великом броју случајева не значи да помоћници не обављају и друге послове услед недостатка другог одговарајућег кадра). Такође, потребно је унапредити и систем евидентирања спроведених обука.</w:t>
      </w:r>
    </w:p>
    <w:p w14:paraId="3630B820" w14:textId="77777777" w:rsidR="007222BE" w:rsidRPr="003E5020" w:rsidRDefault="007222BE" w:rsidP="007222BE">
      <w:pPr>
        <w:rPr>
          <w:rFonts w:ascii="Times New Roman" w:hAnsi="Times New Roman" w:cs="Times New Roman"/>
          <w:sz w:val="24"/>
          <w:szCs w:val="24"/>
          <w:lang w:val="sr-Cyrl-RS"/>
        </w:rPr>
      </w:pPr>
    </w:p>
    <w:p w14:paraId="0614680A" w14:textId="1195B8C5" w:rsidR="007222BE" w:rsidRPr="003E5020" w:rsidRDefault="007222BE" w:rsidP="00A7655C">
      <w:pPr>
        <w:pStyle w:val="ListParagraph"/>
        <w:numPr>
          <w:ilvl w:val="2"/>
          <w:numId w:val="2"/>
        </w:numPr>
        <w:ind w:left="851" w:hanging="851"/>
        <w:rPr>
          <w:rFonts w:ascii="Times New Roman" w:eastAsiaTheme="majorEastAsia" w:hAnsi="Times New Roman" w:cs="Times New Roman"/>
          <w:i/>
          <w:sz w:val="24"/>
          <w:szCs w:val="24"/>
          <w:lang w:val="sr-Cyrl-RS"/>
        </w:rPr>
      </w:pPr>
      <w:r w:rsidRPr="003E5020">
        <w:rPr>
          <w:rFonts w:ascii="Times New Roman" w:eastAsiaTheme="majorEastAsia" w:hAnsi="Times New Roman" w:cs="Times New Roman"/>
          <w:iCs/>
          <w:sz w:val="24"/>
          <w:szCs w:val="24"/>
          <w:lang w:val="sr-Cyrl-RS"/>
        </w:rPr>
        <w:t>Дисциплинска одговорност</w:t>
      </w:r>
    </w:p>
    <w:p w14:paraId="57E7F4E3" w14:textId="77777777" w:rsidR="007222BE" w:rsidRPr="003E5020" w:rsidRDefault="007222BE" w:rsidP="007222BE">
      <w:pPr>
        <w:ind w:left="851"/>
        <w:jc w:val="both"/>
        <w:rPr>
          <w:rFonts w:ascii="Times New Roman" w:hAnsi="Times New Roman" w:cs="Times New Roman"/>
          <w:sz w:val="24"/>
          <w:szCs w:val="24"/>
          <w:lang w:val="sr-Cyrl-RS"/>
        </w:rPr>
      </w:pPr>
    </w:p>
    <w:p w14:paraId="78AA9D93"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сложеност послова које обављају, као и могуће негативне ефекте на права и обавезе странака у поступку у случају да неадекватно обављају своје дужности, важност постојања дисциплинске одговорности, као и њене примене у пракси, је од изузетне важности за рад судијских помоћника.</w:t>
      </w:r>
    </w:p>
    <w:p w14:paraId="446C0CEF" w14:textId="77777777" w:rsidR="007222BE" w:rsidRPr="003E5020" w:rsidRDefault="007222BE" w:rsidP="007222BE">
      <w:pPr>
        <w:pStyle w:val="ListParagraph"/>
        <w:ind w:left="851"/>
        <w:jc w:val="both"/>
        <w:rPr>
          <w:rFonts w:ascii="Times New Roman" w:hAnsi="Times New Roman" w:cs="Times New Roman"/>
          <w:sz w:val="24"/>
          <w:szCs w:val="24"/>
          <w:lang w:val="sr-Cyrl-RS"/>
        </w:rPr>
      </w:pPr>
    </w:p>
    <w:p w14:paraId="00390279" w14:textId="77777777" w:rsidR="007222BE" w:rsidRPr="003E5020" w:rsidRDefault="007222BE" w:rsidP="007222BE">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Како је правни положај судијских помоћника изједначен са положајем државних службеника, на њих се примењују идентична правила и по питању дисциплинске одговорности. Још већи проблем је у чињеници да се та правила у праски готово не примењују, те је примена законом прописаних дисциплинских мера, укључујући и сам отказ уговора о раду, јако ретка појава</w:t>
      </w:r>
      <w:r w:rsidRPr="003E5020">
        <w:rPr>
          <w:rStyle w:val="FootnoteReference"/>
          <w:rFonts w:ascii="Times New Roman" w:hAnsi="Times New Roman" w:cs="Times New Roman"/>
          <w:sz w:val="24"/>
          <w:szCs w:val="24"/>
          <w:lang w:val="sr-Cyrl-RS"/>
        </w:rPr>
        <w:footnoteReference w:id="62"/>
      </w:r>
      <w:r w:rsidRPr="003E5020">
        <w:rPr>
          <w:rFonts w:ascii="Times New Roman" w:hAnsi="Times New Roman" w:cs="Times New Roman"/>
          <w:sz w:val="24"/>
          <w:szCs w:val="24"/>
          <w:lang w:val="sr-Cyrl-RS"/>
        </w:rPr>
        <w:t>. Ово је свакако нешто што би се морало променити, односно бити обухваћено будућом реформом људских ресурса у правосуђу.</w:t>
      </w:r>
    </w:p>
    <w:p w14:paraId="262080AC" w14:textId="77777777" w:rsidR="007222BE" w:rsidRPr="003E5020" w:rsidRDefault="007222BE" w:rsidP="007222BE">
      <w:pPr>
        <w:ind w:left="851"/>
        <w:jc w:val="both"/>
        <w:rPr>
          <w:rFonts w:ascii="Times New Roman" w:eastAsiaTheme="majorEastAsia" w:hAnsi="Times New Roman" w:cs="Times New Roman"/>
          <w:sz w:val="24"/>
          <w:szCs w:val="24"/>
          <w:lang w:val="sr-Cyrl-RS"/>
        </w:rPr>
      </w:pPr>
    </w:p>
    <w:p w14:paraId="4EA25EEB" w14:textId="77777777" w:rsidR="00E80E0B" w:rsidRPr="003E5020" w:rsidRDefault="00E80E0B" w:rsidP="007222BE">
      <w:pPr>
        <w:ind w:left="851"/>
        <w:jc w:val="both"/>
        <w:rPr>
          <w:rFonts w:ascii="Times New Roman" w:eastAsiaTheme="majorEastAsia" w:hAnsi="Times New Roman" w:cs="Times New Roman"/>
          <w:sz w:val="24"/>
          <w:szCs w:val="24"/>
          <w:lang w:val="sr-Cyrl-RS"/>
        </w:rPr>
      </w:pPr>
    </w:p>
    <w:p w14:paraId="47F52079" w14:textId="3C81883B" w:rsidR="007222BE" w:rsidRPr="003E5020" w:rsidRDefault="007222BE" w:rsidP="007222BE">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Стратегија наведени проблем непосредно третира кроз реализацију посебног</w:t>
      </w:r>
      <w:r w:rsidR="00BE043D" w:rsidRPr="003E5020">
        <w:rPr>
          <w:rFonts w:ascii="Times New Roman" w:hAnsi="Times New Roman" w:cs="Times New Roman"/>
          <w:sz w:val="24"/>
          <w:szCs w:val="24"/>
          <w:lang w:val="sr-Cyrl-RS"/>
        </w:rPr>
        <w:t xml:space="preserve"> </w:t>
      </w:r>
      <w:hyperlink w:anchor="_Циљ_2._-" w:history="1">
        <w:r w:rsidRPr="003E5020">
          <w:rPr>
            <w:rStyle w:val="Hyperlink"/>
            <w:rFonts w:ascii="Times New Roman" w:hAnsi="Times New Roman" w:cs="Times New Roman"/>
            <w:color w:val="auto"/>
            <w:sz w:val="24"/>
            <w:szCs w:val="24"/>
            <w:lang w:val="sr-Cyrl-RS"/>
          </w:rPr>
          <w:t>циља 2</w:t>
        </w:r>
      </w:hyperlink>
      <w:r w:rsidRPr="003E5020">
        <w:rPr>
          <w:rFonts w:ascii="Times New Roman" w:hAnsi="Times New Roman" w:cs="Times New Roman"/>
          <w:sz w:val="24"/>
          <w:szCs w:val="24"/>
          <w:lang w:val="sr-Cyrl-RS"/>
        </w:rPr>
        <w:t xml:space="preserve">, </w:t>
      </w:r>
      <w:r w:rsidR="00EF493B" w:rsidRPr="003E5020">
        <w:rPr>
          <w:rFonts w:ascii="Times New Roman" w:hAnsi="Times New Roman" w:cs="Times New Roman"/>
          <w:sz w:val="24"/>
          <w:szCs w:val="24"/>
          <w:lang w:val="sr-Cyrl-RS"/>
        </w:rPr>
        <w:t xml:space="preserve">док посредно кроз реализацију </w:t>
      </w:r>
      <w:hyperlink w:anchor="_Циљ_1._–" w:history="1">
        <w:r w:rsidR="00EF493B" w:rsidRPr="003E5020">
          <w:rPr>
            <w:rStyle w:val="Hyperlink"/>
            <w:rFonts w:ascii="Times New Roman" w:hAnsi="Times New Roman" w:cs="Times New Roman"/>
            <w:color w:val="auto"/>
            <w:sz w:val="24"/>
            <w:szCs w:val="24"/>
            <w:lang w:val="sr-Cyrl-RS"/>
          </w:rPr>
          <w:t>циља 1</w:t>
        </w:r>
      </w:hyperlink>
      <w:r w:rsidR="00EF493B" w:rsidRPr="003E5020">
        <w:rPr>
          <w:rFonts w:ascii="Times New Roman" w:hAnsi="Times New Roman" w:cs="Times New Roman"/>
          <w:sz w:val="24"/>
          <w:szCs w:val="24"/>
          <w:lang w:val="sr-Cyrl-RS"/>
        </w:rPr>
        <w:t xml:space="preserve"> и </w:t>
      </w:r>
      <w:hyperlink w:anchor="_Циљ_3._–" w:history="1">
        <w:r w:rsidR="00EF493B" w:rsidRPr="003E5020">
          <w:rPr>
            <w:rStyle w:val="Hyperlink"/>
            <w:rFonts w:ascii="Times New Roman" w:hAnsi="Times New Roman" w:cs="Times New Roman"/>
            <w:color w:val="auto"/>
            <w:sz w:val="24"/>
            <w:szCs w:val="24"/>
            <w:lang w:val="sr-Cyrl-RS"/>
          </w:rPr>
          <w:t>циља 3</w:t>
        </w:r>
      </w:hyperlink>
      <w:r w:rsidR="00E91AFA" w:rsidRPr="003E5020">
        <w:rPr>
          <w:rStyle w:val="Hyperlink"/>
          <w:rFonts w:ascii="Times New Roman" w:hAnsi="Times New Roman" w:cs="Times New Roman"/>
          <w:color w:val="auto"/>
          <w:sz w:val="24"/>
          <w:szCs w:val="24"/>
          <w:lang w:val="sr-Cyrl-RS"/>
        </w:rPr>
        <w:t xml:space="preserve"> </w:t>
      </w:r>
      <w:r w:rsidRPr="003E5020">
        <w:rPr>
          <w:rFonts w:ascii="Times New Roman" w:hAnsi="Times New Roman" w:cs="Times New Roman"/>
          <w:sz w:val="24"/>
          <w:szCs w:val="24"/>
          <w:lang w:val="sr-Cyrl-RS"/>
        </w:rPr>
        <w:t>Стратегије.</w:t>
      </w:r>
    </w:p>
    <w:p w14:paraId="69C9EFFE" w14:textId="4E9CE2DB" w:rsidR="007222BE" w:rsidRDefault="007222BE" w:rsidP="007222BE">
      <w:pPr>
        <w:ind w:left="851"/>
        <w:jc w:val="both"/>
        <w:rPr>
          <w:rFonts w:ascii="Times New Roman" w:hAnsi="Times New Roman" w:cs="Times New Roman"/>
          <w:sz w:val="24"/>
          <w:szCs w:val="24"/>
          <w:lang w:val="sr-Cyrl-RS"/>
        </w:rPr>
      </w:pPr>
    </w:p>
    <w:p w14:paraId="73B7C1CC" w14:textId="77777777" w:rsidR="00DC7F5A" w:rsidRPr="003E5020" w:rsidRDefault="00DC7F5A" w:rsidP="007222BE">
      <w:pPr>
        <w:ind w:left="851"/>
        <w:jc w:val="both"/>
        <w:rPr>
          <w:rFonts w:ascii="Times New Roman" w:hAnsi="Times New Roman" w:cs="Times New Roman"/>
          <w:sz w:val="24"/>
          <w:szCs w:val="24"/>
          <w:lang w:val="sr-Cyrl-RS"/>
        </w:rPr>
      </w:pPr>
    </w:p>
    <w:p w14:paraId="06DC605F" w14:textId="2A8646B1" w:rsidR="00563D1E" w:rsidRPr="003E5020" w:rsidRDefault="00125F0E" w:rsidP="008609AC">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1" w:name="_Toc84778628"/>
      <w:r w:rsidRPr="003E5020">
        <w:rPr>
          <w:rFonts w:ascii="Times New Roman" w:hAnsi="Times New Roman" w:cs="Times New Roman"/>
          <w:color w:val="auto"/>
          <w:sz w:val="24"/>
          <w:szCs w:val="24"/>
          <w:lang w:val="sr-Cyrl-RS"/>
        </w:rPr>
        <w:t>Недостатак</w:t>
      </w:r>
      <w:r w:rsidR="00A6269E" w:rsidRPr="003E5020">
        <w:rPr>
          <w:rFonts w:ascii="Times New Roman" w:hAnsi="Times New Roman" w:cs="Times New Roman"/>
          <w:color w:val="auto"/>
          <w:sz w:val="24"/>
          <w:szCs w:val="24"/>
          <w:lang w:val="sr-Cyrl-RS"/>
        </w:rPr>
        <w:t xml:space="preserve"> </w:t>
      </w:r>
      <w:r w:rsidRPr="003E5020">
        <w:rPr>
          <w:rFonts w:ascii="Times New Roman" w:hAnsi="Times New Roman" w:cs="Times New Roman"/>
          <w:color w:val="auto"/>
          <w:sz w:val="24"/>
          <w:szCs w:val="24"/>
          <w:lang w:val="sr-Cyrl-RS"/>
        </w:rPr>
        <w:t>људски</w:t>
      </w:r>
      <w:r w:rsidR="005A3A91" w:rsidRPr="003E5020">
        <w:rPr>
          <w:rFonts w:ascii="Times New Roman" w:hAnsi="Times New Roman" w:cs="Times New Roman"/>
          <w:color w:val="auto"/>
          <w:sz w:val="24"/>
          <w:szCs w:val="24"/>
          <w:lang w:val="sr-Cyrl-RS"/>
        </w:rPr>
        <w:t>х</w:t>
      </w:r>
      <w:r w:rsidRPr="003E5020">
        <w:rPr>
          <w:rFonts w:ascii="Times New Roman" w:hAnsi="Times New Roman" w:cs="Times New Roman"/>
          <w:color w:val="auto"/>
          <w:sz w:val="24"/>
          <w:szCs w:val="24"/>
          <w:lang w:val="sr-Cyrl-RS"/>
        </w:rPr>
        <w:t xml:space="preserve"> ресурс</w:t>
      </w:r>
      <w:r w:rsidR="00A6269E" w:rsidRPr="003E5020">
        <w:rPr>
          <w:rFonts w:ascii="Times New Roman" w:hAnsi="Times New Roman" w:cs="Times New Roman"/>
          <w:color w:val="auto"/>
          <w:sz w:val="24"/>
          <w:szCs w:val="24"/>
          <w:lang w:val="sr-Cyrl-RS"/>
        </w:rPr>
        <w:t>а</w:t>
      </w:r>
      <w:r w:rsidRPr="003E5020">
        <w:rPr>
          <w:rFonts w:ascii="Times New Roman" w:hAnsi="Times New Roman" w:cs="Times New Roman"/>
          <w:color w:val="auto"/>
          <w:sz w:val="24"/>
          <w:szCs w:val="24"/>
          <w:lang w:val="sr-Cyrl-RS"/>
        </w:rPr>
        <w:t xml:space="preserve"> у јавним тужилаштвима</w:t>
      </w:r>
      <w:bookmarkEnd w:id="101"/>
    </w:p>
    <w:p w14:paraId="46FBC4B4" w14:textId="77777777" w:rsidR="006B3EF6" w:rsidRPr="003E5020" w:rsidRDefault="006B3EF6" w:rsidP="008D20DE">
      <w:pPr>
        <w:ind w:left="851"/>
        <w:jc w:val="both"/>
        <w:rPr>
          <w:rFonts w:ascii="Times New Roman" w:hAnsi="Times New Roman" w:cs="Times New Roman"/>
          <w:sz w:val="24"/>
          <w:szCs w:val="24"/>
          <w:highlight w:val="yellow"/>
          <w:lang w:val="sr-Cyrl-RS"/>
        </w:rPr>
      </w:pPr>
    </w:p>
    <w:p w14:paraId="2255D7CB" w14:textId="2BD69C5A"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Стање на пољу људских ресурса и његовог управљања у јавним тужилаштвима у Републици Србије је, слично као и у случају судова, неадекватно, при чему је овде приметан значајан мањак кадра у неким категоријама људских ресурса (заменици јавног тужиоца, тужилачки помоћници, записничари), </w:t>
      </w:r>
      <w:r w:rsidR="00D40F8F" w:rsidRPr="003E5020">
        <w:rPr>
          <w:rFonts w:ascii="Times New Roman" w:hAnsi="Times New Roman" w:cs="Times New Roman"/>
          <w:sz w:val="24"/>
          <w:szCs w:val="24"/>
          <w:lang w:val="sr-Cyrl-RS"/>
        </w:rPr>
        <w:t xml:space="preserve">као </w:t>
      </w:r>
      <w:r w:rsidRPr="003E5020">
        <w:rPr>
          <w:rFonts w:ascii="Times New Roman" w:hAnsi="Times New Roman" w:cs="Times New Roman"/>
          <w:sz w:val="24"/>
          <w:szCs w:val="24"/>
          <w:lang w:val="sr-Cyrl-RS"/>
        </w:rPr>
        <w:t xml:space="preserve">и неодговарајућа распоређеност постојећег кадра у односу на обим посла, тачније број предмета у обради. </w:t>
      </w:r>
    </w:p>
    <w:p w14:paraId="52443C8B" w14:textId="77777777" w:rsidR="001D035F" w:rsidRPr="003E5020" w:rsidRDefault="001D035F" w:rsidP="001D035F">
      <w:pPr>
        <w:ind w:left="851"/>
        <w:jc w:val="both"/>
        <w:rPr>
          <w:rFonts w:ascii="Times New Roman" w:hAnsi="Times New Roman" w:cs="Times New Roman"/>
          <w:sz w:val="24"/>
          <w:szCs w:val="24"/>
          <w:lang w:val="sr-Cyrl-RS"/>
        </w:rPr>
      </w:pPr>
    </w:p>
    <w:p w14:paraId="1ED38A5F" w14:textId="0068A04B"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општем ставу струке, као и анализама које су на ту тему рађене, горе описано стање је у великој мери директна последица увођења тзв. „тужилачке истраге</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односно почетка примене новог Законика о кривичном поступку из 2011. године</w:t>
      </w:r>
      <w:r w:rsidR="00D40F8F" w:rsidRPr="003E5020">
        <w:rPr>
          <w:rFonts w:ascii="Times New Roman" w:hAnsi="Times New Roman" w:cs="Times New Roman"/>
          <w:sz w:val="24"/>
          <w:szCs w:val="24"/>
          <w:lang w:val="sr-Cyrl-RS"/>
        </w:rPr>
        <w:t xml:space="preserve"> у октобру 2013. године</w:t>
      </w:r>
      <w:r w:rsidRPr="003E5020">
        <w:rPr>
          <w:rFonts w:ascii="Times New Roman" w:hAnsi="Times New Roman" w:cs="Times New Roman"/>
          <w:sz w:val="24"/>
          <w:szCs w:val="24"/>
          <w:lang w:val="sr-Cyrl-RS"/>
        </w:rPr>
        <w:t>, од стране правосудних органа опште надлежности. Наведеном променом значајно су повећани улога и овлашћења јавног тужиоца у кривичном поступку, односно број радњи које јавни тужилац предузима</w:t>
      </w:r>
      <w:r w:rsidRPr="003E5020">
        <w:rPr>
          <w:rStyle w:val="FootnoteReference"/>
          <w:rFonts w:ascii="Times New Roman" w:hAnsi="Times New Roman" w:cs="Times New Roman"/>
          <w:sz w:val="24"/>
          <w:szCs w:val="24"/>
          <w:lang w:val="sr-Cyrl-RS"/>
        </w:rPr>
        <w:footnoteReference w:id="63"/>
      </w:r>
      <w:r w:rsidRPr="003E5020">
        <w:rPr>
          <w:rFonts w:ascii="Times New Roman" w:hAnsi="Times New Roman" w:cs="Times New Roman"/>
          <w:sz w:val="24"/>
          <w:szCs w:val="24"/>
          <w:lang w:val="sr-Cyrl-RS"/>
        </w:rPr>
        <w:t>.  Такође, у врло кратком року, велики број истражних предмета из судова (у којима су поступале истражне судије) премештен је у јавна тужилаштва</w:t>
      </w:r>
      <w:r w:rsidR="00D40F8F"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која за тако тектонску промену нису</w:t>
      </w:r>
      <w:r w:rsidR="00D40F8F"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имала адекватне ресурсе – како у погледу броја потребног кадра</w:t>
      </w:r>
      <w:r w:rsidR="00D40F8F"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тако и погледу</w:t>
      </w:r>
      <w:r w:rsidR="00D40F8F"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просторних, материјалних и техничких услова. Анализе које су до сада на том пољу спроведене показују да се само у основна тужилаштва из судова „слило</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преко 38.000 предмета</w:t>
      </w:r>
      <w:r w:rsidRPr="003E5020">
        <w:rPr>
          <w:rStyle w:val="FootnoteReference"/>
          <w:rFonts w:ascii="Times New Roman" w:hAnsi="Times New Roman" w:cs="Times New Roman"/>
          <w:sz w:val="24"/>
          <w:szCs w:val="24"/>
          <w:lang w:val="sr-Cyrl-RS"/>
        </w:rPr>
        <w:footnoteReference w:id="64"/>
      </w:r>
      <w:r w:rsidRPr="003E5020">
        <w:rPr>
          <w:rFonts w:ascii="Times New Roman" w:hAnsi="Times New Roman" w:cs="Times New Roman"/>
          <w:sz w:val="24"/>
          <w:szCs w:val="24"/>
          <w:lang w:val="sr-Cyrl-RS"/>
        </w:rPr>
        <w:t xml:space="preserve">, што није праћено адекватним изменама и допунама систематизације радних места у тужилаштвима у Србији, како би се додатно оснажили људски капацитети. </w:t>
      </w:r>
    </w:p>
    <w:p w14:paraId="34702B3D" w14:textId="77777777" w:rsidR="001D035F" w:rsidRPr="003E5020" w:rsidRDefault="001D035F" w:rsidP="001D035F">
      <w:pPr>
        <w:ind w:left="851"/>
        <w:jc w:val="both"/>
        <w:rPr>
          <w:rFonts w:ascii="Times New Roman" w:hAnsi="Times New Roman" w:cs="Times New Roman"/>
          <w:sz w:val="24"/>
          <w:szCs w:val="24"/>
          <w:lang w:val="sr-Cyrl-RS"/>
        </w:rPr>
      </w:pPr>
    </w:p>
    <w:p w14:paraId="4E379D00" w14:textId="09A3424A"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Одлуком о броју заменика јавних тужилаца</w:t>
      </w:r>
      <w:r w:rsidRPr="003E5020">
        <w:rPr>
          <w:rStyle w:val="FootnoteReference"/>
          <w:rFonts w:ascii="Times New Roman" w:hAnsi="Times New Roman" w:cs="Times New Roman"/>
          <w:sz w:val="24"/>
          <w:szCs w:val="24"/>
          <w:lang w:val="sr-Cyrl-RS"/>
        </w:rPr>
        <w:footnoteReference w:id="65"/>
      </w:r>
      <w:r w:rsidRPr="003E5020">
        <w:rPr>
          <w:rFonts w:ascii="Times New Roman" w:hAnsi="Times New Roman" w:cs="Times New Roman"/>
          <w:sz w:val="24"/>
          <w:szCs w:val="24"/>
          <w:lang w:val="sr-Cyrl-RS"/>
        </w:rPr>
        <w:t xml:space="preserve"> у Републичком јавном тужилаштву је систематизовано 15 заменика, од чега је 11 места попуњено. У тужилаштву за организовани криминал је систематизовано 25 места заменика, а попуњено је само 10. Систематизација Тужилаштва за ратне злочине предвиђа 12 места заменика од чега је 9 попуњено. Што се тиче апелационих јавних тужилаштава, као и виших и основних јавних тужилаштава систематизовано је укупно </w:t>
      </w:r>
      <w:r w:rsidR="000367CB" w:rsidRPr="003E5020">
        <w:rPr>
          <w:rFonts w:ascii="Times New Roman" w:hAnsi="Times New Roman" w:cs="Times New Roman"/>
          <w:sz w:val="24"/>
          <w:szCs w:val="24"/>
          <w:lang w:val="sr-Cyrl-RS"/>
        </w:rPr>
        <w:t xml:space="preserve">753 </w:t>
      </w:r>
      <w:r w:rsidRPr="003E5020">
        <w:rPr>
          <w:rFonts w:ascii="Times New Roman" w:hAnsi="Times New Roman" w:cs="Times New Roman"/>
          <w:sz w:val="24"/>
          <w:szCs w:val="24"/>
          <w:lang w:val="sr-Cyrl-RS"/>
        </w:rPr>
        <w:t xml:space="preserve">заменичких места, а попуњено је </w:t>
      </w:r>
      <w:r w:rsidR="000367CB" w:rsidRPr="003E5020">
        <w:rPr>
          <w:rFonts w:ascii="Times New Roman" w:hAnsi="Times New Roman" w:cs="Times New Roman"/>
          <w:sz w:val="24"/>
          <w:szCs w:val="24"/>
          <w:lang w:val="sr-Cyrl-RS"/>
        </w:rPr>
        <w:t>685</w:t>
      </w:r>
      <w:r w:rsidRPr="003E5020">
        <w:rPr>
          <w:rFonts w:ascii="Times New Roman" w:hAnsi="Times New Roman" w:cs="Times New Roman"/>
          <w:sz w:val="24"/>
          <w:szCs w:val="24"/>
          <w:lang w:val="sr-Cyrl-RS"/>
        </w:rPr>
        <w:t xml:space="preserve">. Дакле, у ове три категорије тужилаштава није попуњено чак </w:t>
      </w:r>
      <w:r w:rsidR="000367CB" w:rsidRPr="003E5020">
        <w:rPr>
          <w:rFonts w:ascii="Times New Roman" w:hAnsi="Times New Roman" w:cs="Times New Roman"/>
          <w:sz w:val="24"/>
          <w:szCs w:val="24"/>
          <w:lang w:val="sr-Cyrl-RS"/>
        </w:rPr>
        <w:t xml:space="preserve">69 места </w:t>
      </w:r>
      <w:r w:rsidRPr="003E5020">
        <w:rPr>
          <w:rFonts w:ascii="Times New Roman" w:hAnsi="Times New Roman" w:cs="Times New Roman"/>
          <w:sz w:val="24"/>
          <w:szCs w:val="24"/>
          <w:lang w:val="sr-Cyrl-RS"/>
        </w:rPr>
        <w:t xml:space="preserve">заменика. </w:t>
      </w:r>
    </w:p>
    <w:p w14:paraId="468EDAAC" w14:textId="77777777" w:rsidR="001D035F" w:rsidRPr="003E5020" w:rsidRDefault="001D035F" w:rsidP="001D035F">
      <w:pPr>
        <w:ind w:left="851"/>
        <w:jc w:val="both"/>
        <w:rPr>
          <w:rFonts w:ascii="Times New Roman" w:hAnsi="Times New Roman" w:cs="Times New Roman"/>
          <w:sz w:val="24"/>
          <w:szCs w:val="24"/>
          <w:lang w:val="sr-Cyrl-RS"/>
        </w:rPr>
      </w:pPr>
    </w:p>
    <w:p w14:paraId="7167D1DF" w14:textId="77777777"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подацима Министарства правде у погледу особља у јавним тужилаштвима (стање на дан 20.05.2021. године) укупно је систематизовано 1367 радних места, од чега је попуњено 1190. </w:t>
      </w:r>
    </w:p>
    <w:p w14:paraId="5767648F" w14:textId="77777777" w:rsidR="0085739E" w:rsidRPr="003E5020" w:rsidRDefault="0085739E" w:rsidP="00E66D81">
      <w:pPr>
        <w:jc w:val="both"/>
        <w:rPr>
          <w:rFonts w:ascii="Times New Roman" w:hAnsi="Times New Roman" w:cs="Times New Roman"/>
          <w:sz w:val="24"/>
          <w:szCs w:val="24"/>
          <w:lang w:val="sr-Cyrl-RS"/>
        </w:rPr>
      </w:pPr>
    </w:p>
    <w:p w14:paraId="4F8063B7" w14:textId="5732C3C2" w:rsidR="001D035F" w:rsidRPr="003E5020" w:rsidRDefault="001D035F"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hAnsi="Times New Roman" w:cs="Times New Roman"/>
          <w:iCs/>
          <w:sz w:val="24"/>
          <w:szCs w:val="24"/>
          <w:lang w:val="sr-Cyrl-RS"/>
        </w:rPr>
        <w:t>Однос стопе јавних тужилаца у односу на европски просек</w:t>
      </w:r>
    </w:p>
    <w:p w14:paraId="19AB90FA" w14:textId="77777777" w:rsidR="00F11EA4" w:rsidRPr="003E5020" w:rsidRDefault="00F11EA4" w:rsidP="00E66D81">
      <w:pPr>
        <w:jc w:val="both"/>
        <w:rPr>
          <w:rFonts w:ascii="Times New Roman" w:hAnsi="Times New Roman" w:cs="Times New Roman"/>
          <w:iCs/>
          <w:sz w:val="24"/>
          <w:szCs w:val="24"/>
          <w:lang w:val="sr-Cyrl-RS"/>
        </w:rPr>
      </w:pPr>
    </w:p>
    <w:p w14:paraId="35DEFA52" w14:textId="756D477E" w:rsidR="001D035F" w:rsidRPr="003E5020" w:rsidRDefault="00E66D81" w:rsidP="001D035F">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w:t>
      </w:r>
      <w:r w:rsidR="001D035F" w:rsidRPr="003E5020">
        <w:rPr>
          <w:rFonts w:ascii="Times New Roman" w:hAnsi="Times New Roman" w:cs="Times New Roman"/>
          <w:sz w:val="24"/>
          <w:szCs w:val="24"/>
          <w:lang w:val="sr-Cyrl-RS"/>
        </w:rPr>
        <w:t xml:space="preserve">рема подацима Државног већа тужилаца систематизовано је 805 места заменика </w:t>
      </w:r>
      <w:r w:rsidR="00175825" w:rsidRPr="003E5020">
        <w:rPr>
          <w:rFonts w:ascii="Times New Roman" w:hAnsi="Times New Roman" w:cs="Times New Roman"/>
          <w:sz w:val="24"/>
          <w:szCs w:val="24"/>
          <w:lang w:val="sr-Cyrl-RS"/>
        </w:rPr>
        <w:t xml:space="preserve">јавних </w:t>
      </w:r>
      <w:r w:rsidR="001D035F" w:rsidRPr="003E5020">
        <w:rPr>
          <w:rFonts w:ascii="Times New Roman" w:hAnsi="Times New Roman" w:cs="Times New Roman"/>
          <w:sz w:val="24"/>
          <w:szCs w:val="24"/>
          <w:lang w:val="sr-Cyrl-RS"/>
        </w:rPr>
        <w:t>тужи</w:t>
      </w:r>
      <w:r w:rsidR="00175825" w:rsidRPr="003E5020">
        <w:rPr>
          <w:rFonts w:ascii="Times New Roman" w:hAnsi="Times New Roman" w:cs="Times New Roman"/>
          <w:sz w:val="24"/>
          <w:szCs w:val="24"/>
          <w:lang w:val="sr-Cyrl-RS"/>
        </w:rPr>
        <w:t>ла</w:t>
      </w:r>
      <w:r w:rsidR="001D035F" w:rsidRPr="003E5020">
        <w:rPr>
          <w:rFonts w:ascii="Times New Roman" w:hAnsi="Times New Roman" w:cs="Times New Roman"/>
          <w:sz w:val="24"/>
          <w:szCs w:val="24"/>
          <w:lang w:val="sr-Cyrl-RS"/>
        </w:rPr>
        <w:t>ца у основним, вишим и апелационим тужилаштвима, а попуњено је 71</w:t>
      </w:r>
      <w:r w:rsidR="001D035F" w:rsidRPr="003E5020">
        <w:rPr>
          <w:rFonts w:ascii="Times New Roman" w:hAnsi="Times New Roman" w:cs="Times New Roman"/>
          <w:sz w:val="24"/>
          <w:szCs w:val="24"/>
          <w:lang w:val="sr-Latn-RS"/>
        </w:rPr>
        <w:t>4</w:t>
      </w:r>
      <w:r w:rsidR="001D035F" w:rsidRPr="003E5020">
        <w:rPr>
          <w:rFonts w:ascii="Times New Roman" w:hAnsi="Times New Roman" w:cs="Times New Roman"/>
          <w:sz w:val="24"/>
          <w:szCs w:val="24"/>
          <w:lang w:val="sr-Cyrl-RS"/>
        </w:rPr>
        <w:t xml:space="preserve">. Процена Републичког завода за статистику је да Србија у 2020. години има 6.926.705 становника, што доводи до закључка да је систематизовано 11.6 заменика </w:t>
      </w:r>
      <w:r w:rsidR="00175825" w:rsidRPr="003E5020">
        <w:rPr>
          <w:rFonts w:ascii="Times New Roman" w:hAnsi="Times New Roman" w:cs="Times New Roman"/>
          <w:sz w:val="24"/>
          <w:szCs w:val="24"/>
          <w:lang w:val="sr-Cyrl-RS"/>
        </w:rPr>
        <w:t xml:space="preserve">јавних </w:t>
      </w:r>
      <w:r w:rsidR="001D035F" w:rsidRPr="003E5020">
        <w:rPr>
          <w:rFonts w:ascii="Times New Roman" w:hAnsi="Times New Roman" w:cs="Times New Roman"/>
          <w:sz w:val="24"/>
          <w:szCs w:val="24"/>
          <w:lang w:val="sr-Cyrl-RS"/>
        </w:rPr>
        <w:t xml:space="preserve">тужилаца на 100.000 становника односно да на 100.000 становника има 10.4 заменика </w:t>
      </w:r>
      <w:r w:rsidR="00175825" w:rsidRPr="003E5020">
        <w:rPr>
          <w:rFonts w:ascii="Times New Roman" w:hAnsi="Times New Roman" w:cs="Times New Roman"/>
          <w:sz w:val="24"/>
          <w:szCs w:val="24"/>
          <w:lang w:val="sr-Cyrl-RS"/>
        </w:rPr>
        <w:t xml:space="preserve">јавних </w:t>
      </w:r>
      <w:r w:rsidR="001D035F" w:rsidRPr="003E5020">
        <w:rPr>
          <w:rFonts w:ascii="Times New Roman" w:hAnsi="Times New Roman" w:cs="Times New Roman"/>
          <w:sz w:val="24"/>
          <w:szCs w:val="24"/>
          <w:lang w:val="sr-Cyrl-RS"/>
        </w:rPr>
        <w:t xml:space="preserve">тужилаца (попуњена радна места). </w:t>
      </w:r>
      <w:r w:rsidRPr="003E5020">
        <w:rPr>
          <w:rFonts w:ascii="Times New Roman" w:hAnsi="Times New Roman" w:cs="Times New Roman"/>
          <w:sz w:val="24"/>
          <w:szCs w:val="24"/>
          <w:lang w:val="sr-Cyrl-RS"/>
        </w:rPr>
        <w:t>У</w:t>
      </w:r>
      <w:r w:rsidR="001D035F" w:rsidRPr="003E5020">
        <w:rPr>
          <w:rFonts w:ascii="Times New Roman" w:hAnsi="Times New Roman" w:cs="Times New Roman"/>
          <w:sz w:val="24"/>
          <w:szCs w:val="24"/>
          <w:lang w:val="sr-Cyrl-RS"/>
        </w:rPr>
        <w:t xml:space="preserve"> ЕУ</w:t>
      </w:r>
      <w:r w:rsidRPr="003E5020">
        <w:rPr>
          <w:rFonts w:ascii="Times New Roman" w:hAnsi="Times New Roman" w:cs="Times New Roman"/>
          <w:sz w:val="24"/>
          <w:szCs w:val="24"/>
          <w:lang w:val="sr-Cyrl-RS"/>
        </w:rPr>
        <w:t xml:space="preserve"> </w:t>
      </w:r>
      <w:r w:rsidR="001D035F" w:rsidRPr="003E5020">
        <w:rPr>
          <w:rFonts w:ascii="Times New Roman" w:hAnsi="Times New Roman" w:cs="Times New Roman"/>
          <w:sz w:val="24"/>
          <w:szCs w:val="24"/>
          <w:lang w:val="sr-Cyrl-RS"/>
        </w:rPr>
        <w:t>број тужилаца на 100.000 становника износи 10.9, а у земљама Западног балкана тај број је 12.5.</w:t>
      </w:r>
      <w:r w:rsidRPr="003E5020">
        <w:rPr>
          <w:rStyle w:val="FootnoteReference"/>
          <w:rFonts w:ascii="Times New Roman" w:hAnsi="Times New Roman" w:cs="Times New Roman"/>
          <w:sz w:val="24"/>
          <w:szCs w:val="24"/>
          <w:lang w:val="sr-Cyrl-RS"/>
        </w:rPr>
        <w:footnoteReference w:id="66"/>
      </w:r>
    </w:p>
    <w:p w14:paraId="7C5CB2AB" w14:textId="77777777" w:rsidR="00347EE9" w:rsidRPr="003E5020" w:rsidRDefault="00347EE9" w:rsidP="001D035F">
      <w:pPr>
        <w:pStyle w:val="ListParagraph"/>
        <w:ind w:left="851"/>
        <w:jc w:val="both"/>
        <w:rPr>
          <w:rFonts w:ascii="Times New Roman" w:hAnsi="Times New Roman" w:cs="Times New Roman"/>
          <w:sz w:val="24"/>
          <w:szCs w:val="24"/>
          <w:lang w:val="sr-Cyrl-RS"/>
        </w:rPr>
      </w:pPr>
    </w:p>
    <w:p w14:paraId="0E368CE2" w14:textId="221955FC" w:rsidR="001D035F" w:rsidRPr="003E5020" w:rsidRDefault="001D035F"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Недостатак заменика јавних тужи</w:t>
      </w:r>
      <w:r w:rsidR="000420D8" w:rsidRPr="003E5020">
        <w:rPr>
          <w:rFonts w:ascii="Times New Roman" w:hAnsi="Times New Roman" w:cs="Times New Roman"/>
          <w:iCs/>
          <w:sz w:val="24"/>
          <w:szCs w:val="24"/>
          <w:lang w:val="sr-Cyrl-RS"/>
        </w:rPr>
        <w:t>лаца</w:t>
      </w:r>
    </w:p>
    <w:p w14:paraId="29A0AF9E" w14:textId="77777777" w:rsidR="00F11EA4" w:rsidRPr="003E5020" w:rsidRDefault="00F11EA4" w:rsidP="00F11EA4">
      <w:pPr>
        <w:pStyle w:val="ListParagraph"/>
        <w:ind w:left="851"/>
        <w:jc w:val="both"/>
        <w:rPr>
          <w:rFonts w:ascii="Times New Roman" w:hAnsi="Times New Roman" w:cs="Times New Roman"/>
          <w:sz w:val="24"/>
          <w:szCs w:val="24"/>
          <w:highlight w:val="yellow"/>
          <w:lang w:val="sr-Cyrl-RS"/>
        </w:rPr>
      </w:pPr>
    </w:p>
    <w:p w14:paraId="4C1766F2" w14:textId="77777777"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Анализирајући тренутне људске капацитете у јавним тужилаштвима, може се закључити да чак ни постојећа систематизација није у целости попуњена. Када је реч о позицији заменика јавног тужиоца, у овом тренутку у Републици Србији недостаје укупно</w:t>
      </w:r>
      <w:r w:rsidRPr="003E5020">
        <w:rPr>
          <w:rFonts w:ascii="Times New Roman" w:hAnsi="Times New Roman" w:cs="Times New Roman"/>
          <w:sz w:val="24"/>
          <w:szCs w:val="24"/>
          <w:lang w:val="sr-Latn-RS"/>
        </w:rPr>
        <w:t xml:space="preserve"> 91</w:t>
      </w:r>
      <w:r w:rsidRPr="003E5020">
        <w:rPr>
          <w:rFonts w:ascii="Times New Roman" w:hAnsi="Times New Roman" w:cs="Times New Roman"/>
          <w:sz w:val="24"/>
          <w:szCs w:val="24"/>
          <w:lang w:val="sr-Cyrl-RS"/>
        </w:rPr>
        <w:t xml:space="preserve"> заменик јавних тужилаца</w:t>
      </w:r>
      <w:r w:rsidRPr="003E5020">
        <w:rPr>
          <w:rStyle w:val="FootnoteReference"/>
          <w:rFonts w:ascii="Times New Roman" w:hAnsi="Times New Roman" w:cs="Times New Roman"/>
          <w:sz w:val="24"/>
          <w:szCs w:val="24"/>
          <w:lang w:val="sr-Cyrl-RS"/>
        </w:rPr>
        <w:footnoteReference w:id="67"/>
      </w:r>
      <w:r w:rsidRPr="003E5020">
        <w:rPr>
          <w:rFonts w:ascii="Times New Roman" w:hAnsi="Times New Roman" w:cs="Times New Roman"/>
          <w:sz w:val="24"/>
          <w:szCs w:val="24"/>
          <w:lang w:val="sr-Cyrl-RS"/>
        </w:rPr>
        <w:t>, од чега:</w:t>
      </w:r>
    </w:p>
    <w:p w14:paraId="38D53CD6" w14:textId="77777777" w:rsidR="001D035F" w:rsidRPr="003E5020" w:rsidRDefault="001D035F" w:rsidP="001D035F">
      <w:pPr>
        <w:ind w:left="851"/>
        <w:jc w:val="both"/>
        <w:rPr>
          <w:rFonts w:ascii="Times New Roman" w:hAnsi="Times New Roman" w:cs="Times New Roman"/>
          <w:sz w:val="24"/>
          <w:szCs w:val="24"/>
          <w:lang w:val="sr-Cyrl-RS"/>
        </w:rPr>
      </w:pPr>
    </w:p>
    <w:p w14:paraId="678BBF4C" w14:textId="77777777" w:rsidR="001D035F" w:rsidRPr="003E5020" w:rsidRDefault="001D035F"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Републичком јавном тужилаштву су упражњена 4 места заменика јавног тужиоца;</w:t>
      </w:r>
    </w:p>
    <w:p w14:paraId="7736B37A" w14:textId="77777777" w:rsidR="001D035F" w:rsidRPr="003E5020" w:rsidRDefault="001D035F"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Тужилаштву за организовани криминал је упражњено 15 места заменика јавног тужиоца;</w:t>
      </w:r>
    </w:p>
    <w:p w14:paraId="08904C9B" w14:textId="77777777" w:rsidR="001D035F" w:rsidRPr="003E5020" w:rsidRDefault="001D035F"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Тужилаштву за ратне злочине су упражњена 3 места заменика јавног тужиоца;</w:t>
      </w:r>
    </w:p>
    <w:p w14:paraId="22D77E66" w14:textId="77777777" w:rsidR="001D035F" w:rsidRPr="003E5020" w:rsidRDefault="001D035F"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апелационим тужилаштвима је упражњено 10 места заменика јавног тужиоца;</w:t>
      </w:r>
    </w:p>
    <w:p w14:paraId="4018C959" w14:textId="169BC721" w:rsidR="001D035F" w:rsidRPr="003E5020" w:rsidRDefault="001D035F"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вишим јавним тужилаштвима је упражњено укупно 19 места заменика јавног тужиоца; </w:t>
      </w:r>
    </w:p>
    <w:p w14:paraId="11F14150" w14:textId="49EC7AA7" w:rsidR="001D035F" w:rsidRPr="003E5020" w:rsidRDefault="005C57E4" w:rsidP="001D035F">
      <w:pPr>
        <w:pStyle w:val="ListParagraph"/>
        <w:numPr>
          <w:ilvl w:val="0"/>
          <w:numId w:val="42"/>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w:t>
      </w:r>
      <w:r w:rsidR="001D035F" w:rsidRPr="003E5020">
        <w:rPr>
          <w:rFonts w:ascii="Times New Roman" w:hAnsi="Times New Roman" w:cs="Times New Roman"/>
          <w:sz w:val="24"/>
          <w:szCs w:val="24"/>
          <w:lang w:val="sr-Cyrl-RS"/>
        </w:rPr>
        <w:t xml:space="preserve"> основним јавним тужилаштвима су упражњена укупно </w:t>
      </w:r>
      <w:r w:rsidR="001D035F" w:rsidRPr="003E5020">
        <w:rPr>
          <w:rFonts w:ascii="Times New Roman" w:hAnsi="Times New Roman" w:cs="Times New Roman"/>
          <w:sz w:val="24"/>
          <w:szCs w:val="24"/>
          <w:lang w:val="sr-Latn-RS"/>
        </w:rPr>
        <w:t>40</w:t>
      </w:r>
      <w:r w:rsidR="001D035F" w:rsidRPr="003E5020">
        <w:rPr>
          <w:rFonts w:ascii="Times New Roman" w:hAnsi="Times New Roman" w:cs="Times New Roman"/>
          <w:sz w:val="24"/>
          <w:szCs w:val="24"/>
          <w:lang w:val="sr-Cyrl-RS"/>
        </w:rPr>
        <w:t xml:space="preserve"> места заменика јавног тужиоца.</w:t>
      </w:r>
    </w:p>
    <w:p w14:paraId="50DBCAB5" w14:textId="102A368E" w:rsidR="001D035F" w:rsidRPr="003E5020" w:rsidRDefault="001D035F" w:rsidP="00E66D81">
      <w:pPr>
        <w:jc w:val="both"/>
        <w:rPr>
          <w:rFonts w:ascii="Times New Roman" w:hAnsi="Times New Roman" w:cs="Times New Roman"/>
          <w:sz w:val="24"/>
          <w:szCs w:val="24"/>
          <w:lang w:val="sr-Cyrl-RS"/>
        </w:rPr>
      </w:pPr>
    </w:p>
    <w:p w14:paraId="1AFC6663" w14:textId="60B35FD3" w:rsidR="001D035F" w:rsidRPr="003E5020" w:rsidRDefault="001D035F" w:rsidP="001D03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Недостатак стратешког приступа људским ресурсима у правосуђу је посебно видљив на примеру јавних тужилаштва. Наиме, тренутно не постоје објективна мерила за утврђивање потребног броја заменика јавних тужилаца у сваком јавном тужилаштву појединачно, мада је 2016. године била израђена Анализа потребног броја заменика јавних тужилаца у јавним тужилаштвима у Републици Србији, на основу броја предмета по заменику јавног тужиоца у појединачним јавним тужилаштвима. С тим у вези, Стратегија је препознала потребу креирања одговарајуће методологије по којој би се вршила процена оптималног броја места у јавним тужилаштвима, те редовно (нпр.</w:t>
      </w:r>
      <w:r w:rsidR="00094F77"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 једном годишње) вршиле анализе стања и доносиле одговарајуће одлуке о попуњавању упражњених места, односно одлуке о смањењу броја места заменика јавних тужиоца, у зависности од процене ситуације. С друге стране, редовна анализа реалних потреба је неопходна и ради правилног и прецизног планирања буџета и благовременог обезбеђења новчаних средстава. </w:t>
      </w:r>
    </w:p>
    <w:p w14:paraId="3F7D447C" w14:textId="32EDCB09" w:rsidR="00F11EA4" w:rsidRDefault="00F11EA4" w:rsidP="00F11EA4">
      <w:pPr>
        <w:ind w:left="851"/>
        <w:jc w:val="both"/>
        <w:rPr>
          <w:rFonts w:ascii="Times New Roman" w:hAnsi="Times New Roman" w:cs="Times New Roman"/>
          <w:sz w:val="24"/>
          <w:szCs w:val="24"/>
          <w:highlight w:val="yellow"/>
          <w:lang w:val="sr-Cyrl-RS"/>
        </w:rPr>
      </w:pPr>
    </w:p>
    <w:p w14:paraId="6792F674" w14:textId="77777777" w:rsidR="00DC7F5A" w:rsidRPr="003E5020" w:rsidRDefault="00DC7F5A" w:rsidP="00F11EA4">
      <w:pPr>
        <w:ind w:left="851"/>
        <w:jc w:val="both"/>
        <w:rPr>
          <w:rFonts w:ascii="Times New Roman" w:hAnsi="Times New Roman" w:cs="Times New Roman"/>
          <w:sz w:val="24"/>
          <w:szCs w:val="24"/>
          <w:highlight w:val="yellow"/>
          <w:lang w:val="sr-Cyrl-RS"/>
        </w:rPr>
      </w:pPr>
    </w:p>
    <w:p w14:paraId="69170876" w14:textId="2DF42771" w:rsidR="000420D8" w:rsidRPr="003E5020" w:rsidRDefault="000420D8"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hAnsi="Times New Roman" w:cs="Times New Roman"/>
          <w:iCs/>
          <w:sz w:val="24"/>
          <w:szCs w:val="24"/>
          <w:lang w:val="sr-Cyrl-RS"/>
        </w:rPr>
        <w:t>Неуједначеност у расподели предмета</w:t>
      </w:r>
    </w:p>
    <w:p w14:paraId="329B77B2" w14:textId="77777777" w:rsidR="00F11EA4" w:rsidRPr="003E5020" w:rsidRDefault="00F11EA4" w:rsidP="00F11EA4">
      <w:pPr>
        <w:ind w:left="851"/>
        <w:jc w:val="both"/>
        <w:rPr>
          <w:rFonts w:ascii="Times New Roman" w:hAnsi="Times New Roman" w:cs="Times New Roman"/>
          <w:sz w:val="24"/>
          <w:szCs w:val="24"/>
          <w:highlight w:val="yellow"/>
          <w:lang w:val="sr-Cyrl-RS"/>
        </w:rPr>
      </w:pPr>
    </w:p>
    <w:p w14:paraId="61966008" w14:textId="6240E6DA" w:rsidR="000420D8" w:rsidRPr="003E5020" w:rsidRDefault="000420D8" w:rsidP="00E80E0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Поред општег недостатка у броју заменика јавних тужилаца, као посебан проблем се издваја и неуједначеност у укупном броју предмета у раду </w:t>
      </w:r>
      <w:r w:rsidR="00094F77" w:rsidRPr="003E5020">
        <w:rPr>
          <w:rFonts w:ascii="Times New Roman" w:hAnsi="Times New Roman" w:cs="Times New Roman"/>
          <w:sz w:val="24"/>
          <w:szCs w:val="24"/>
          <w:lang w:val="sr-Cyrl-RS"/>
        </w:rPr>
        <w:t xml:space="preserve">по </w:t>
      </w:r>
      <w:r w:rsidRPr="003E5020">
        <w:rPr>
          <w:rFonts w:ascii="Times New Roman" w:hAnsi="Times New Roman" w:cs="Times New Roman"/>
          <w:sz w:val="24"/>
          <w:szCs w:val="24"/>
          <w:lang w:val="sr-Cyrl-RS"/>
        </w:rPr>
        <w:t>заменик</w:t>
      </w:r>
      <w:r w:rsidR="00094F77"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Cyrl-RS"/>
        </w:rPr>
        <w:t xml:space="preserve"> јавног тужиоца, </w:t>
      </w:r>
      <w:r w:rsidR="00094F77" w:rsidRPr="003E5020">
        <w:rPr>
          <w:rFonts w:ascii="Times New Roman" w:hAnsi="Times New Roman" w:cs="Times New Roman"/>
          <w:sz w:val="24"/>
          <w:szCs w:val="24"/>
          <w:lang w:val="sr-Cyrl-RS"/>
        </w:rPr>
        <w:t xml:space="preserve">у оквиру </w:t>
      </w:r>
      <w:r w:rsidRPr="003E5020">
        <w:rPr>
          <w:rFonts w:ascii="Times New Roman" w:hAnsi="Times New Roman" w:cs="Times New Roman"/>
          <w:sz w:val="24"/>
          <w:szCs w:val="24"/>
          <w:lang w:val="sr-Cyrl-RS"/>
        </w:rPr>
        <w:t>ист</w:t>
      </w:r>
      <w:r w:rsidR="00094F77"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врст</w:t>
      </w:r>
      <w:r w:rsidR="00094F77"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јавног тужилаштва (превасходно је изражено у погледу основних јавних тужилаштава). Анализом</w:t>
      </w:r>
      <w:r w:rsidRPr="003E5020">
        <w:rPr>
          <w:rStyle w:val="FootnoteReference"/>
          <w:rFonts w:ascii="Times New Roman" w:hAnsi="Times New Roman" w:cs="Times New Roman"/>
          <w:sz w:val="24"/>
          <w:szCs w:val="24"/>
          <w:lang w:val="sr-Cyrl-RS"/>
        </w:rPr>
        <w:footnoteReference w:id="68"/>
      </w:r>
      <w:r w:rsidRPr="003E5020">
        <w:rPr>
          <w:rFonts w:ascii="Times New Roman" w:hAnsi="Times New Roman" w:cs="Times New Roman"/>
          <w:sz w:val="24"/>
          <w:szCs w:val="24"/>
          <w:lang w:val="sr-Cyrl-RS"/>
        </w:rPr>
        <w:t xml:space="preserve"> је утврђено да поједини заменици </w:t>
      </w:r>
      <w:r w:rsidR="00175825" w:rsidRPr="003E5020">
        <w:rPr>
          <w:rFonts w:ascii="Times New Roman" w:hAnsi="Times New Roman" w:cs="Times New Roman"/>
          <w:sz w:val="24"/>
          <w:szCs w:val="24"/>
          <w:lang w:val="sr-Cyrl-RS"/>
        </w:rPr>
        <w:t xml:space="preserve">јавних </w:t>
      </w:r>
      <w:r w:rsidRPr="003E5020">
        <w:rPr>
          <w:rFonts w:ascii="Times New Roman" w:hAnsi="Times New Roman" w:cs="Times New Roman"/>
          <w:sz w:val="24"/>
          <w:szCs w:val="24"/>
          <w:lang w:val="sr-Cyrl-RS"/>
        </w:rPr>
        <w:t>тужи</w:t>
      </w:r>
      <w:r w:rsidR="00175825" w:rsidRPr="003E5020">
        <w:rPr>
          <w:rFonts w:ascii="Times New Roman" w:hAnsi="Times New Roman" w:cs="Times New Roman"/>
          <w:sz w:val="24"/>
          <w:szCs w:val="24"/>
          <w:lang w:val="sr-Cyrl-RS"/>
        </w:rPr>
        <w:t>ла</w:t>
      </w:r>
      <w:r w:rsidRPr="003E5020">
        <w:rPr>
          <w:rFonts w:ascii="Times New Roman" w:hAnsi="Times New Roman" w:cs="Times New Roman"/>
          <w:sz w:val="24"/>
          <w:szCs w:val="24"/>
          <w:lang w:val="sr-Cyrl-RS"/>
        </w:rPr>
        <w:t>ца, пре свега из јавних тужилаштава у Београду, где је највећи прилив предмета, раде и до десет пута више предмета од других, што свакако утиче на квалитет рада. Поред тога, овакав систем изразито неравномерне расподеле, директно утиче и на негативну селекцију приликом оцењивања рада заменика јавног тужиоца, будући да се према постојећим правилима квалитет рада мери бројем урађених одлука у односу на број примљених предмета у процентима</w:t>
      </w:r>
      <w:r w:rsidR="00F83CBF" w:rsidRPr="003E5020">
        <w:rPr>
          <w:rFonts w:ascii="Times New Roman" w:hAnsi="Times New Roman" w:cs="Times New Roman"/>
          <w:sz w:val="24"/>
          <w:szCs w:val="24"/>
          <w:lang w:val="sr-Cyrl-RS"/>
        </w:rPr>
        <w:t xml:space="preserve"> (видети дет</w:t>
      </w:r>
      <w:r w:rsidR="009876AB" w:rsidRPr="003E5020">
        <w:rPr>
          <w:rFonts w:ascii="Times New Roman" w:hAnsi="Times New Roman" w:cs="Times New Roman"/>
          <w:sz w:val="24"/>
          <w:szCs w:val="24"/>
          <w:lang w:val="sr-Cyrl-RS"/>
        </w:rPr>
        <w:t>а</w:t>
      </w:r>
      <w:r w:rsidR="00F83CBF" w:rsidRPr="003E5020">
        <w:rPr>
          <w:rFonts w:ascii="Times New Roman" w:hAnsi="Times New Roman" w:cs="Times New Roman"/>
          <w:sz w:val="24"/>
          <w:szCs w:val="24"/>
          <w:lang w:val="sr-Cyrl-RS"/>
        </w:rPr>
        <w:t xml:space="preserve">љније о овоме под </w:t>
      </w:r>
      <w:r w:rsidR="00F83CBF" w:rsidRPr="003E5020">
        <w:rPr>
          <w:rFonts w:ascii="Times New Roman" w:eastAsiaTheme="majorEastAsia" w:hAnsi="Times New Roman" w:cs="Times New Roman"/>
          <w:i/>
          <w:iCs/>
          <w:sz w:val="24"/>
          <w:szCs w:val="24"/>
          <w:lang w:val="sr-Cyrl-RS"/>
        </w:rPr>
        <w:t>3.4.8.</w:t>
      </w:r>
      <w:r w:rsidR="00F83CBF" w:rsidRPr="003E5020">
        <w:rPr>
          <w:rFonts w:ascii="Times New Roman" w:hAnsi="Times New Roman" w:cs="Times New Roman"/>
          <w:i/>
          <w:sz w:val="24"/>
          <w:szCs w:val="24"/>
          <w:lang w:val="sr-Cyrl-RS"/>
        </w:rPr>
        <w:t xml:space="preserve"> </w:t>
      </w:r>
      <w:r w:rsidR="00F83CBF" w:rsidRPr="003E5020">
        <w:rPr>
          <w:rFonts w:ascii="Times New Roman" w:eastAsiaTheme="majorEastAsia" w:hAnsi="Times New Roman" w:cs="Times New Roman"/>
          <w:i/>
          <w:iCs/>
          <w:sz w:val="24"/>
          <w:szCs w:val="24"/>
          <w:lang w:val="sr-Cyrl-RS"/>
        </w:rPr>
        <w:t>Неадекватан поступак процене радног учинка</w:t>
      </w:r>
      <w:r w:rsidR="00F83CBF" w:rsidRPr="003E5020">
        <w:rPr>
          <w:rFonts w:ascii="Times New Roman" w:eastAsiaTheme="majorEastAsia" w:hAnsi="Times New Roman" w:cs="Times New Roman"/>
          <w:iCs/>
          <w:sz w:val="24"/>
          <w:szCs w:val="24"/>
          <w:lang w:val="sr-Cyrl-RS"/>
        </w:rPr>
        <w:t>)</w:t>
      </w:r>
      <w:r w:rsidR="009769EB" w:rsidRPr="003E5020">
        <w:rPr>
          <w:rFonts w:ascii="Times New Roman" w:eastAsiaTheme="majorEastAsia" w:hAnsi="Times New Roman" w:cs="Times New Roman"/>
          <w:iCs/>
          <w:sz w:val="24"/>
          <w:szCs w:val="24"/>
          <w:lang w:val="sr-Latn-RS"/>
        </w:rPr>
        <w:t>.</w:t>
      </w:r>
      <w:r w:rsidRPr="003E5020">
        <w:rPr>
          <w:rFonts w:ascii="Times New Roman" w:hAnsi="Times New Roman" w:cs="Times New Roman"/>
          <w:sz w:val="24"/>
          <w:szCs w:val="24"/>
          <w:highlight w:val="yellow"/>
          <w:lang w:val="sr-Cyrl-RS"/>
        </w:rPr>
        <w:t xml:space="preserve"> </w:t>
      </w:r>
    </w:p>
    <w:p w14:paraId="207C785C" w14:textId="1A386885" w:rsidR="00F11EA4" w:rsidRPr="003E5020" w:rsidRDefault="00F11EA4" w:rsidP="00F11EA4">
      <w:pPr>
        <w:rPr>
          <w:rFonts w:ascii="Times New Roman" w:hAnsi="Times New Roman" w:cs="Times New Roman"/>
          <w:sz w:val="24"/>
          <w:szCs w:val="24"/>
          <w:highlight w:val="yellow"/>
          <w:lang w:val="sr-Cyrl-RS"/>
        </w:rPr>
      </w:pPr>
    </w:p>
    <w:p w14:paraId="08708388" w14:textId="7D66A5AB" w:rsidR="000420D8" w:rsidRPr="003E5020" w:rsidRDefault="000420D8"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Недовољан број тужилачких помоћника</w:t>
      </w:r>
    </w:p>
    <w:p w14:paraId="52295A79" w14:textId="77777777" w:rsidR="00F11EA4" w:rsidRPr="003E5020" w:rsidRDefault="00F11EA4" w:rsidP="00F11EA4">
      <w:pPr>
        <w:ind w:left="851"/>
        <w:jc w:val="both"/>
        <w:rPr>
          <w:rFonts w:ascii="Times New Roman" w:hAnsi="Times New Roman" w:cs="Times New Roman"/>
          <w:sz w:val="24"/>
          <w:szCs w:val="24"/>
          <w:highlight w:val="yellow"/>
          <w:lang w:val="sr-Cyrl-RS"/>
        </w:rPr>
      </w:pPr>
    </w:p>
    <w:p w14:paraId="0F1A6EDD" w14:textId="59D1BC93"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Иако у систему тужилаштва позиција заменика јавног тужиоца представља</w:t>
      </w:r>
      <w:r w:rsidRPr="003E5020">
        <w:rPr>
          <w:rFonts w:ascii="Times New Roman" w:hAnsi="Times New Roman" w:cs="Times New Roman"/>
          <w:sz w:val="24"/>
          <w:szCs w:val="24"/>
          <w:lang w:val="sr-Latn-RS"/>
        </w:rPr>
        <w:t>,</w:t>
      </w:r>
      <w:r w:rsidRPr="003E5020">
        <w:rPr>
          <w:rFonts w:ascii="Times New Roman" w:hAnsi="Times New Roman" w:cs="Times New Roman"/>
          <w:sz w:val="24"/>
          <w:szCs w:val="24"/>
          <w:lang w:val="sr-Cyrl-RS"/>
        </w:rPr>
        <w:t xml:space="preserve"> у извесном смислу</w:t>
      </w:r>
      <w:r w:rsidRPr="003E5020">
        <w:rPr>
          <w:rFonts w:ascii="Times New Roman" w:hAnsi="Times New Roman" w:cs="Times New Roman"/>
          <w:sz w:val="24"/>
          <w:szCs w:val="24"/>
          <w:lang w:val="sr-Latn-RS"/>
        </w:rPr>
        <w:t>,</w:t>
      </w:r>
      <w:r w:rsidRPr="003E5020">
        <w:rPr>
          <w:rFonts w:ascii="Times New Roman" w:hAnsi="Times New Roman" w:cs="Times New Roman"/>
          <w:sz w:val="24"/>
          <w:szCs w:val="24"/>
          <w:lang w:val="sr-Cyrl-RS"/>
        </w:rPr>
        <w:t xml:space="preserve"> кичму јавнотужилачке функције, процена је да се постојећа преоптерећеност јавних тужилаштва не може решити само попуњавањем упражњених места на наведеној позицији. Ово посебно у оним јавним тужилаштвима која имају изразито велики број старих предмета у решавању. Како је у циљу коначног решавања тих предмета неопходно да се достигне ефикасност у раду која </w:t>
      </w:r>
      <w:r w:rsidRPr="003E5020">
        <w:rPr>
          <w:rFonts w:ascii="Times New Roman" w:hAnsi="Times New Roman" w:cs="Times New Roman"/>
          <w:i/>
          <w:iCs/>
          <w:sz w:val="24"/>
          <w:szCs w:val="24"/>
          <w:lang w:val="de-DE"/>
        </w:rPr>
        <w:t>de</w:t>
      </w:r>
      <w:r w:rsidRPr="003E5020">
        <w:rPr>
          <w:rFonts w:ascii="Times New Roman" w:hAnsi="Times New Roman" w:cs="Times New Roman"/>
          <w:i/>
          <w:iCs/>
          <w:sz w:val="24"/>
          <w:szCs w:val="24"/>
          <w:lang w:val="sr-Cyrl-RS"/>
        </w:rPr>
        <w:t xml:space="preserve"> </w:t>
      </w:r>
      <w:r w:rsidRPr="003E5020">
        <w:rPr>
          <w:rFonts w:ascii="Times New Roman" w:hAnsi="Times New Roman" w:cs="Times New Roman"/>
          <w:i/>
          <w:iCs/>
          <w:sz w:val="24"/>
          <w:szCs w:val="24"/>
          <w:lang w:val="de-DE"/>
        </w:rPr>
        <w:t>facto</w:t>
      </w:r>
      <w:r w:rsidRPr="003E5020">
        <w:rPr>
          <w:rFonts w:ascii="Times New Roman" w:hAnsi="Times New Roman" w:cs="Times New Roman"/>
          <w:sz w:val="24"/>
          <w:szCs w:val="24"/>
          <w:lang w:val="sr-Cyrl-RS"/>
        </w:rPr>
        <w:t xml:space="preserve"> премашује 100% (тзв. стопа решавања предмета </w:t>
      </w:r>
      <w:r w:rsidR="00094F77" w:rsidRPr="003E5020">
        <w:rPr>
          <w:rFonts w:ascii="Times New Roman" w:hAnsi="Times New Roman" w:cs="Times New Roman"/>
          <w:sz w:val="24"/>
          <w:szCs w:val="24"/>
          <w:lang w:val="sr-Cyrl-RS"/>
        </w:rPr>
        <w:t xml:space="preserve">- </w:t>
      </w:r>
      <w:r w:rsidRPr="003E5020">
        <w:rPr>
          <w:rFonts w:ascii="Times New Roman" w:hAnsi="Times New Roman" w:cs="Times New Roman"/>
          <w:i/>
          <w:iCs/>
          <w:sz w:val="24"/>
          <w:szCs w:val="24"/>
        </w:rPr>
        <w:t>Clearance</w:t>
      </w:r>
      <w:r w:rsidRPr="003E5020">
        <w:rPr>
          <w:rFonts w:ascii="Times New Roman" w:hAnsi="Times New Roman" w:cs="Times New Roman"/>
          <w:i/>
          <w:iCs/>
          <w:sz w:val="24"/>
          <w:szCs w:val="24"/>
          <w:lang w:val="sr-Cyrl-RS"/>
        </w:rPr>
        <w:t xml:space="preserve"> </w:t>
      </w:r>
      <w:r w:rsidRPr="003E5020">
        <w:rPr>
          <w:rFonts w:ascii="Times New Roman" w:hAnsi="Times New Roman" w:cs="Times New Roman"/>
          <w:i/>
          <w:iCs/>
          <w:sz w:val="24"/>
          <w:szCs w:val="24"/>
        </w:rPr>
        <w:t>Rate</w:t>
      </w:r>
      <w:r w:rsidRPr="003E5020">
        <w:rPr>
          <w:rFonts w:ascii="Times New Roman" w:hAnsi="Times New Roman" w:cs="Times New Roman"/>
          <w:sz w:val="24"/>
          <w:szCs w:val="24"/>
          <w:lang w:val="sr-Cyrl-RS"/>
        </w:rPr>
        <w:t>), наведено је тешко остварљиво, чак и ако се повећа број заменика јавних тужи</w:t>
      </w:r>
      <w:r w:rsidR="00094F77" w:rsidRPr="003E5020">
        <w:rPr>
          <w:rFonts w:ascii="Times New Roman" w:hAnsi="Times New Roman" w:cs="Times New Roman"/>
          <w:sz w:val="24"/>
          <w:szCs w:val="24"/>
          <w:lang w:val="sr-Cyrl-RS"/>
        </w:rPr>
        <w:t>ла</w:t>
      </w:r>
      <w:r w:rsidRPr="003E5020">
        <w:rPr>
          <w:rFonts w:ascii="Times New Roman" w:hAnsi="Times New Roman" w:cs="Times New Roman"/>
          <w:sz w:val="24"/>
          <w:szCs w:val="24"/>
          <w:lang w:val="sr-Cyrl-RS"/>
        </w:rPr>
        <w:t>ца. Из тог разлога, потребно је размотрити да се додатно бројчано оснажи позиција помоћника у оквиру јавних тужилаштва (или бар оних која предњаче по питању преоптерећености у предметима) трајно или на одређен</w:t>
      </w:r>
      <w:r w:rsidR="00094F77" w:rsidRPr="003E5020">
        <w:rPr>
          <w:rFonts w:ascii="Times New Roman" w:hAnsi="Times New Roman" w:cs="Times New Roman"/>
          <w:sz w:val="24"/>
          <w:szCs w:val="24"/>
          <w:lang w:val="sr-Cyrl-RS"/>
        </w:rPr>
        <w:t>о време</w:t>
      </w:r>
      <w:r w:rsidRPr="003E5020">
        <w:rPr>
          <w:rFonts w:ascii="Times New Roman" w:hAnsi="Times New Roman" w:cs="Times New Roman"/>
          <w:sz w:val="24"/>
          <w:szCs w:val="24"/>
          <w:lang w:val="sr-Cyrl-RS"/>
        </w:rPr>
        <w:t xml:space="preserve">, с обзиром </w:t>
      </w:r>
      <w:r w:rsidR="00094F77" w:rsidRPr="003E5020">
        <w:rPr>
          <w:rFonts w:ascii="Times New Roman" w:hAnsi="Times New Roman" w:cs="Times New Roman"/>
          <w:sz w:val="24"/>
          <w:szCs w:val="24"/>
          <w:lang w:val="sr-Cyrl-RS"/>
        </w:rPr>
        <w:t xml:space="preserve">на то </w:t>
      </w:r>
      <w:r w:rsidRPr="003E5020">
        <w:rPr>
          <w:rFonts w:ascii="Times New Roman" w:hAnsi="Times New Roman" w:cs="Times New Roman"/>
          <w:sz w:val="24"/>
          <w:szCs w:val="24"/>
          <w:lang w:val="sr-Cyrl-RS"/>
        </w:rPr>
        <w:t xml:space="preserve">да тужилачки сарадници непосредно поступају у поступцима за кривично дело за које је прописана казна затвора до пет година, док виши тужилачки сарадници непосредно поступају у поступцима за кривично дело за које је прописана казна затвора до осам година, док у осталим поступцима пружају значајну </w:t>
      </w:r>
      <w:r w:rsidR="00094F77" w:rsidRPr="003E5020">
        <w:rPr>
          <w:rFonts w:ascii="Times New Roman" w:hAnsi="Times New Roman" w:cs="Times New Roman"/>
          <w:sz w:val="24"/>
          <w:szCs w:val="24"/>
          <w:lang w:val="sr-Cyrl-RS"/>
        </w:rPr>
        <w:t xml:space="preserve">стручну </w:t>
      </w:r>
      <w:r w:rsidRPr="003E5020">
        <w:rPr>
          <w:rFonts w:ascii="Times New Roman" w:hAnsi="Times New Roman" w:cs="Times New Roman"/>
          <w:sz w:val="24"/>
          <w:szCs w:val="24"/>
          <w:lang w:val="sr-Cyrl-RS"/>
        </w:rPr>
        <w:t>помоћ заменицима јавног тужиоца</w:t>
      </w:r>
      <w:r w:rsidR="00094F77" w:rsidRPr="003E5020">
        <w:rPr>
          <w:rFonts w:ascii="Times New Roman" w:hAnsi="Times New Roman" w:cs="Times New Roman"/>
          <w:sz w:val="24"/>
          <w:szCs w:val="24"/>
          <w:lang w:val="sr-Cyrl-RS"/>
        </w:rPr>
        <w:t>.</w:t>
      </w:r>
    </w:p>
    <w:p w14:paraId="041BD5C7" w14:textId="77777777" w:rsidR="000420D8" w:rsidRPr="003E5020" w:rsidRDefault="000420D8" w:rsidP="000420D8">
      <w:pPr>
        <w:ind w:left="851"/>
        <w:jc w:val="both"/>
        <w:rPr>
          <w:rFonts w:ascii="Times New Roman" w:hAnsi="Times New Roman" w:cs="Times New Roman"/>
          <w:sz w:val="24"/>
          <w:szCs w:val="24"/>
          <w:lang w:val="sr-Cyrl-RS"/>
        </w:rPr>
      </w:pPr>
    </w:p>
    <w:p w14:paraId="3AE4DD54" w14:textId="0F221DD2" w:rsidR="000420D8" w:rsidRPr="003E5020" w:rsidRDefault="000420D8" w:rsidP="000420D8">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 основу података Министарства правде, број тужилачких помоћника на дан 25. мај 2021. износи 356. Укупно је систематизовано 270 места тужилачких помоћника на неодређено време, од којих је попуњено 194. Наведено значи да је 76 </w:t>
      </w:r>
      <w:r w:rsidR="00094F77" w:rsidRPr="003E5020">
        <w:rPr>
          <w:rFonts w:ascii="Times New Roman" w:hAnsi="Times New Roman" w:cs="Times New Roman"/>
          <w:sz w:val="24"/>
          <w:szCs w:val="24"/>
          <w:lang w:val="sr-Cyrl-RS"/>
        </w:rPr>
        <w:t xml:space="preserve">радних </w:t>
      </w:r>
      <w:r w:rsidRPr="003E5020">
        <w:rPr>
          <w:rFonts w:ascii="Times New Roman" w:hAnsi="Times New Roman" w:cs="Times New Roman"/>
          <w:sz w:val="24"/>
          <w:szCs w:val="24"/>
          <w:lang w:val="sr-Cyrl-RS"/>
        </w:rPr>
        <w:t xml:space="preserve">места тужилачких помоћника на неодређено време  упражњено. </w:t>
      </w:r>
    </w:p>
    <w:p w14:paraId="790BB588" w14:textId="77777777" w:rsidR="000420D8" w:rsidRPr="003E5020" w:rsidRDefault="000420D8" w:rsidP="000420D8">
      <w:pPr>
        <w:jc w:val="both"/>
        <w:rPr>
          <w:rFonts w:ascii="Times New Roman" w:hAnsi="Times New Roman" w:cs="Times New Roman"/>
          <w:sz w:val="24"/>
          <w:szCs w:val="24"/>
          <w:lang w:val="sr-Cyrl-RS"/>
        </w:rPr>
      </w:pPr>
    </w:p>
    <w:p w14:paraId="03AA6C4D" w14:textId="3D3545A5" w:rsidR="000420D8" w:rsidRPr="003E5020" w:rsidRDefault="000420D8"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Недовољан број записничара и административног особља</w:t>
      </w:r>
    </w:p>
    <w:p w14:paraId="380FD020" w14:textId="77777777" w:rsidR="00F11EA4" w:rsidRPr="003E5020" w:rsidRDefault="00F11EA4" w:rsidP="00F11EA4">
      <w:pPr>
        <w:ind w:left="851"/>
        <w:jc w:val="both"/>
        <w:rPr>
          <w:rFonts w:ascii="Times New Roman" w:hAnsi="Times New Roman" w:cs="Times New Roman"/>
          <w:sz w:val="24"/>
          <w:szCs w:val="24"/>
          <w:highlight w:val="yellow"/>
          <w:lang w:val="sr-Cyrl-RS"/>
        </w:rPr>
      </w:pPr>
    </w:p>
    <w:p w14:paraId="5A0E3D4B" w14:textId="6E7E94DF"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Промене Закона о кривичном поступку из 2013. године и увођењ</w:t>
      </w:r>
      <w:r w:rsidR="00094F77"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„тужилачке истраге</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нису само негативно погодиле основни стручни кадар у јавним тужилаштвима (тужиоце, заменике и помоћнике). Драстично повећање броја предмета директно се одразило и на тзв. помоћно особље, а пре свега записничаре и особље на административним пословима у основним и вишим јавним тужилаштвима. Анализа је показала да се број тужилачког особља у периоду 2014-2016. године смањио за 9%, иако се број тужилачких позиција није мењао у наведеном периоду</w:t>
      </w:r>
      <w:r w:rsidRPr="003E5020">
        <w:rPr>
          <w:rStyle w:val="FootnoteReference"/>
          <w:rFonts w:ascii="Times New Roman" w:hAnsi="Times New Roman" w:cs="Times New Roman"/>
          <w:sz w:val="24"/>
          <w:szCs w:val="24"/>
          <w:lang w:val="sr-Cyrl-RS"/>
        </w:rPr>
        <w:footnoteReference w:id="69"/>
      </w:r>
      <w:r w:rsidRPr="003E5020">
        <w:rPr>
          <w:rFonts w:ascii="Times New Roman" w:hAnsi="Times New Roman" w:cs="Times New Roman"/>
          <w:sz w:val="24"/>
          <w:szCs w:val="24"/>
          <w:lang w:val="sr-Cyrl-RS"/>
        </w:rPr>
        <w:t xml:space="preserve">.  Садашњи њихов број је унеколико усаглашен са потребама раније процесне надлежности тужилаца, која није подразумевала свакодневна саслушања. Међутим, увођењем тужилачке истраге драматично </w:t>
      </w:r>
      <w:r w:rsidR="00094F77" w:rsidRPr="003E5020">
        <w:rPr>
          <w:rFonts w:ascii="Times New Roman" w:hAnsi="Times New Roman" w:cs="Times New Roman"/>
          <w:sz w:val="24"/>
          <w:szCs w:val="24"/>
          <w:lang w:val="sr-Cyrl-RS"/>
        </w:rPr>
        <w:t xml:space="preserve">је </w:t>
      </w:r>
      <w:r w:rsidRPr="003E5020">
        <w:rPr>
          <w:rFonts w:ascii="Times New Roman" w:hAnsi="Times New Roman" w:cs="Times New Roman"/>
          <w:sz w:val="24"/>
          <w:szCs w:val="24"/>
          <w:lang w:val="sr-Cyrl-RS"/>
        </w:rPr>
        <w:t>повећа</w:t>
      </w:r>
      <w:r w:rsidR="00094F77" w:rsidRPr="003E5020">
        <w:rPr>
          <w:rFonts w:ascii="Times New Roman" w:hAnsi="Times New Roman" w:cs="Times New Roman"/>
          <w:sz w:val="24"/>
          <w:szCs w:val="24"/>
          <w:lang w:val="sr-Cyrl-RS"/>
        </w:rPr>
        <w:t>н</w:t>
      </w:r>
      <w:r w:rsidRPr="003E5020">
        <w:rPr>
          <w:rFonts w:ascii="Times New Roman" w:hAnsi="Times New Roman" w:cs="Times New Roman"/>
          <w:sz w:val="24"/>
          <w:szCs w:val="24"/>
          <w:lang w:val="sr-Cyrl-RS"/>
        </w:rPr>
        <w:t xml:space="preserve">а потреба за записничарима због </w:t>
      </w:r>
      <w:r w:rsidR="00094F77" w:rsidRPr="003E5020">
        <w:rPr>
          <w:rFonts w:ascii="Times New Roman" w:hAnsi="Times New Roman" w:cs="Times New Roman"/>
          <w:sz w:val="24"/>
          <w:szCs w:val="24"/>
          <w:lang w:val="sr-Cyrl-RS"/>
        </w:rPr>
        <w:t xml:space="preserve">нове </w:t>
      </w:r>
      <w:r w:rsidRPr="003E5020">
        <w:rPr>
          <w:rFonts w:ascii="Times New Roman" w:hAnsi="Times New Roman" w:cs="Times New Roman"/>
          <w:sz w:val="24"/>
          <w:szCs w:val="24"/>
          <w:lang w:val="sr-Cyrl-RS"/>
        </w:rPr>
        <w:t xml:space="preserve">процесне надлежности саслушања. </w:t>
      </w:r>
    </w:p>
    <w:p w14:paraId="6F525896" w14:textId="77777777" w:rsidR="000420D8" w:rsidRPr="003E5020" w:rsidRDefault="000420D8" w:rsidP="000420D8">
      <w:pPr>
        <w:ind w:left="851"/>
        <w:jc w:val="both"/>
        <w:rPr>
          <w:rFonts w:ascii="Times New Roman" w:hAnsi="Times New Roman" w:cs="Times New Roman"/>
          <w:sz w:val="24"/>
          <w:szCs w:val="24"/>
          <w:lang w:val="sr-Cyrl-RS"/>
        </w:rPr>
      </w:pPr>
    </w:p>
    <w:p w14:paraId="451D5360" w14:textId="77777777"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Такође, али у мањем обиму, повећала се потреба за особљем на административним пословима, имајући у виду повећану укупну количину предмета (старих и новопримљених). </w:t>
      </w:r>
    </w:p>
    <w:p w14:paraId="11145E79" w14:textId="77777777" w:rsidR="000420D8" w:rsidRPr="003E5020" w:rsidRDefault="000420D8" w:rsidP="000420D8">
      <w:pPr>
        <w:ind w:left="851"/>
        <w:jc w:val="both"/>
        <w:rPr>
          <w:rFonts w:ascii="Times New Roman" w:hAnsi="Times New Roman" w:cs="Times New Roman"/>
          <w:sz w:val="24"/>
          <w:szCs w:val="24"/>
          <w:lang w:val="sr-Cyrl-RS"/>
        </w:rPr>
      </w:pPr>
    </w:p>
    <w:p w14:paraId="5578FE34" w14:textId="63D4C0B1" w:rsidR="000420D8" w:rsidRPr="003E5020" w:rsidRDefault="000C27D1" w:rsidP="004809D6">
      <w:pPr>
        <w:ind w:left="81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Број особља у основном и вишем тужилаштву утврђен је </w:t>
      </w:r>
      <w:r w:rsidR="000420D8" w:rsidRPr="003E5020">
        <w:rPr>
          <w:rFonts w:ascii="Times New Roman" w:hAnsi="Times New Roman" w:cs="Times New Roman"/>
          <w:sz w:val="24"/>
          <w:szCs w:val="24"/>
          <w:lang w:val="sr-Cyrl-RS"/>
        </w:rPr>
        <w:t>Правилником о мерилима за одређивање броја особља у основном и вишем јавном тужилаштву</w:t>
      </w:r>
      <w:r w:rsidR="000420D8" w:rsidRPr="003E5020">
        <w:rPr>
          <w:rStyle w:val="FootnoteReference"/>
          <w:rFonts w:ascii="Times New Roman" w:hAnsi="Times New Roman" w:cs="Times New Roman"/>
          <w:sz w:val="24"/>
          <w:szCs w:val="24"/>
          <w:lang w:val="sr-Cyrl-RS"/>
        </w:rPr>
        <w:footnoteReference w:id="70"/>
      </w:r>
      <w:r w:rsidRPr="003E5020">
        <w:rPr>
          <w:rFonts w:ascii="Times New Roman" w:hAnsi="Times New Roman" w:cs="Times New Roman"/>
          <w:sz w:val="24"/>
          <w:szCs w:val="24"/>
          <w:lang w:val="sr-Cyrl-RS"/>
        </w:rPr>
        <w:t>.</w:t>
      </w:r>
      <w:r w:rsidR="000420D8" w:rsidRPr="003E5020">
        <w:rPr>
          <w:rFonts w:ascii="Times New Roman" w:hAnsi="Times New Roman" w:cs="Times New Roman"/>
          <w:sz w:val="24"/>
          <w:szCs w:val="24"/>
          <w:lang w:val="sr-Cyrl-RS"/>
        </w:rPr>
        <w:t xml:space="preserve"> </w:t>
      </w:r>
    </w:p>
    <w:p w14:paraId="1DBCFE37" w14:textId="77777777" w:rsidR="000420D8" w:rsidRPr="003E5020" w:rsidRDefault="000420D8" w:rsidP="000420D8">
      <w:pPr>
        <w:ind w:left="851"/>
        <w:jc w:val="both"/>
        <w:rPr>
          <w:rFonts w:ascii="Times New Roman" w:hAnsi="Times New Roman" w:cs="Times New Roman"/>
          <w:sz w:val="24"/>
          <w:szCs w:val="24"/>
          <w:lang w:val="sr-Cyrl-RS"/>
        </w:rPr>
      </w:pPr>
    </w:p>
    <w:p w14:paraId="5C34D744" w14:textId="77777777" w:rsidR="000420D8" w:rsidRPr="003E5020" w:rsidRDefault="000420D8" w:rsidP="000420D8">
      <w:pPr>
        <w:ind w:left="851"/>
        <w:jc w:val="both"/>
        <w:rPr>
          <w:rFonts w:ascii="Times New Roman" w:hAnsi="Times New Roman" w:cs="Times New Roman"/>
          <w:sz w:val="24"/>
          <w:szCs w:val="24"/>
          <w:lang w:val="sr-Cyrl-RS"/>
        </w:rPr>
      </w:pPr>
    </w:p>
    <w:p w14:paraId="0126250C" w14:textId="0743C11F" w:rsidR="00905F79"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подацима Министарства правде, са стањем на дан 20.05.2021. године, у </w:t>
      </w:r>
      <w:r w:rsidR="00A50676" w:rsidRPr="003E5020">
        <w:rPr>
          <w:rFonts w:ascii="Times New Roman" w:hAnsi="Times New Roman" w:cs="Times New Roman"/>
          <w:sz w:val="24"/>
          <w:szCs w:val="24"/>
          <w:lang w:val="sr-Cyrl-RS"/>
        </w:rPr>
        <w:t xml:space="preserve">јавним </w:t>
      </w:r>
      <w:r w:rsidRPr="003E5020">
        <w:rPr>
          <w:rFonts w:ascii="Times New Roman" w:hAnsi="Times New Roman" w:cs="Times New Roman"/>
          <w:sz w:val="24"/>
          <w:szCs w:val="24"/>
          <w:lang w:val="sr-Cyrl-RS"/>
        </w:rPr>
        <w:t>тужилаштвима је систематизовано</w:t>
      </w:r>
      <w:r w:rsidR="00A50676" w:rsidRPr="003E5020">
        <w:rPr>
          <w:rFonts w:ascii="Times New Roman" w:hAnsi="Times New Roman" w:cs="Times New Roman"/>
          <w:sz w:val="24"/>
          <w:szCs w:val="24"/>
          <w:lang w:val="sr-Cyrl-RS"/>
        </w:rPr>
        <w:t xml:space="preserve"> укупно</w:t>
      </w:r>
      <w:r w:rsidRPr="003E5020">
        <w:rPr>
          <w:rFonts w:ascii="Times New Roman" w:hAnsi="Times New Roman" w:cs="Times New Roman"/>
          <w:sz w:val="24"/>
          <w:szCs w:val="24"/>
          <w:lang w:val="sr-Cyrl-RS"/>
        </w:rPr>
        <w:t xml:space="preserve"> 219 радних места записничар</w:t>
      </w:r>
      <w:r w:rsidR="00954491"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а попуњено 196. </w:t>
      </w:r>
      <w:r w:rsidR="00FF10CF" w:rsidRPr="003E5020">
        <w:rPr>
          <w:rFonts w:ascii="Times New Roman" w:hAnsi="Times New Roman" w:cs="Times New Roman"/>
          <w:sz w:val="24"/>
          <w:szCs w:val="24"/>
          <w:lang w:val="sr-Cyrl-RS"/>
        </w:rPr>
        <w:t xml:space="preserve">Ипак, </w:t>
      </w:r>
      <w:r w:rsidRPr="003E5020">
        <w:rPr>
          <w:rFonts w:ascii="Times New Roman" w:hAnsi="Times New Roman" w:cs="Times New Roman"/>
          <w:sz w:val="24"/>
          <w:szCs w:val="24"/>
          <w:lang w:val="sr-Cyrl-RS"/>
        </w:rPr>
        <w:t xml:space="preserve"> због повећаног обима посла</w:t>
      </w:r>
      <w:r w:rsidR="00FF10CF" w:rsidRPr="003E5020">
        <w:rPr>
          <w:rFonts w:ascii="Times New Roman" w:hAnsi="Times New Roman" w:cs="Times New Roman"/>
          <w:sz w:val="24"/>
          <w:szCs w:val="24"/>
          <w:lang w:val="sr-Cyrl-RS"/>
        </w:rPr>
        <w:t>, ван постојеће систематизације радних места, додатно (по различитим основама)</w:t>
      </w:r>
      <w:r w:rsidR="00905F79"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ангажовано</w:t>
      </w:r>
      <w:r w:rsidR="00905F79" w:rsidRPr="003E5020">
        <w:rPr>
          <w:rFonts w:ascii="Times New Roman" w:hAnsi="Times New Roman" w:cs="Times New Roman"/>
          <w:sz w:val="24"/>
          <w:szCs w:val="24"/>
          <w:lang w:val="sr-Cyrl-RS"/>
        </w:rPr>
        <w:t xml:space="preserve"> је</w:t>
      </w:r>
      <w:r w:rsidRPr="003E5020">
        <w:rPr>
          <w:rFonts w:ascii="Times New Roman" w:hAnsi="Times New Roman" w:cs="Times New Roman"/>
          <w:sz w:val="24"/>
          <w:szCs w:val="24"/>
          <w:lang w:val="sr-Cyrl-RS"/>
        </w:rPr>
        <w:t xml:space="preserve"> чак 115 лица на пословима записничара. </w:t>
      </w:r>
      <w:r w:rsidR="00896605" w:rsidRPr="003E5020">
        <w:rPr>
          <w:rFonts w:ascii="Times New Roman" w:hAnsi="Times New Roman" w:cs="Times New Roman"/>
          <w:sz w:val="24"/>
          <w:szCs w:val="24"/>
          <w:lang w:val="sr-Cyrl-RS"/>
        </w:rPr>
        <w:t xml:space="preserve">Дакле, </w:t>
      </w:r>
      <w:r w:rsidR="00FF10CF" w:rsidRPr="003E5020">
        <w:rPr>
          <w:rFonts w:ascii="Times New Roman" w:hAnsi="Times New Roman" w:cs="Times New Roman"/>
          <w:sz w:val="24"/>
          <w:szCs w:val="24"/>
          <w:lang w:val="sr-Cyrl-RS"/>
        </w:rPr>
        <w:t xml:space="preserve">иако већ </w:t>
      </w:r>
      <w:r w:rsidR="00905F79" w:rsidRPr="003E5020">
        <w:rPr>
          <w:rFonts w:ascii="Times New Roman" w:hAnsi="Times New Roman" w:cs="Times New Roman"/>
          <w:sz w:val="24"/>
          <w:szCs w:val="24"/>
          <w:lang w:val="sr-Cyrl-RS"/>
        </w:rPr>
        <w:t xml:space="preserve">постојећа </w:t>
      </w:r>
      <w:r w:rsidR="00896605" w:rsidRPr="003E5020">
        <w:rPr>
          <w:rFonts w:ascii="Times New Roman" w:hAnsi="Times New Roman" w:cs="Times New Roman"/>
          <w:sz w:val="24"/>
          <w:szCs w:val="24"/>
          <w:lang w:val="sr-Cyrl-RS"/>
        </w:rPr>
        <w:t>систематизована места нису попуњена</w:t>
      </w:r>
      <w:r w:rsidR="00A50676" w:rsidRPr="003E5020">
        <w:rPr>
          <w:rFonts w:ascii="Times New Roman" w:hAnsi="Times New Roman" w:cs="Times New Roman"/>
          <w:sz w:val="24"/>
          <w:szCs w:val="24"/>
          <w:lang w:val="sr-Cyrl-RS"/>
        </w:rPr>
        <w:t xml:space="preserve"> (и даље </w:t>
      </w:r>
      <w:r w:rsidR="00954491" w:rsidRPr="003E5020">
        <w:rPr>
          <w:rFonts w:ascii="Times New Roman" w:hAnsi="Times New Roman" w:cs="Times New Roman"/>
          <w:sz w:val="24"/>
          <w:szCs w:val="24"/>
          <w:lang w:val="sr-Cyrl-RS"/>
        </w:rPr>
        <w:t>су</w:t>
      </w:r>
      <w:r w:rsidR="00A50676" w:rsidRPr="003E5020">
        <w:rPr>
          <w:rFonts w:ascii="Times New Roman" w:hAnsi="Times New Roman" w:cs="Times New Roman"/>
          <w:sz w:val="24"/>
          <w:szCs w:val="24"/>
          <w:lang w:val="sr-Cyrl-RS"/>
        </w:rPr>
        <w:t xml:space="preserve"> упражњен</w:t>
      </w:r>
      <w:r w:rsidR="00954491" w:rsidRPr="003E5020">
        <w:rPr>
          <w:rFonts w:ascii="Times New Roman" w:hAnsi="Times New Roman" w:cs="Times New Roman"/>
          <w:sz w:val="24"/>
          <w:szCs w:val="24"/>
          <w:lang w:val="sr-Cyrl-RS"/>
        </w:rPr>
        <w:t>а</w:t>
      </w:r>
      <w:r w:rsidR="00A50676" w:rsidRPr="003E5020">
        <w:rPr>
          <w:rFonts w:ascii="Times New Roman" w:hAnsi="Times New Roman" w:cs="Times New Roman"/>
          <w:sz w:val="24"/>
          <w:szCs w:val="24"/>
          <w:lang w:val="sr-Cyrl-RS"/>
        </w:rPr>
        <w:t xml:space="preserve"> 23 радн</w:t>
      </w:r>
      <w:r w:rsidR="00905F79" w:rsidRPr="003E5020">
        <w:rPr>
          <w:rFonts w:ascii="Times New Roman" w:hAnsi="Times New Roman" w:cs="Times New Roman"/>
          <w:sz w:val="24"/>
          <w:szCs w:val="24"/>
          <w:lang w:val="sr-Cyrl-RS"/>
        </w:rPr>
        <w:t>а</w:t>
      </w:r>
      <w:r w:rsidR="00A50676" w:rsidRPr="003E5020">
        <w:rPr>
          <w:rFonts w:ascii="Times New Roman" w:hAnsi="Times New Roman" w:cs="Times New Roman"/>
          <w:sz w:val="24"/>
          <w:szCs w:val="24"/>
          <w:lang w:val="sr-Cyrl-RS"/>
        </w:rPr>
        <w:t xml:space="preserve"> места)</w:t>
      </w:r>
      <w:r w:rsidR="00896605" w:rsidRPr="003E5020">
        <w:rPr>
          <w:rFonts w:ascii="Times New Roman" w:hAnsi="Times New Roman" w:cs="Times New Roman"/>
          <w:sz w:val="24"/>
          <w:szCs w:val="24"/>
          <w:lang w:val="sr-Cyrl-RS"/>
        </w:rPr>
        <w:t>, д</w:t>
      </w:r>
      <w:r w:rsidR="000C7D1F" w:rsidRPr="003E5020">
        <w:rPr>
          <w:rFonts w:ascii="Times New Roman" w:hAnsi="Times New Roman" w:cs="Times New Roman"/>
          <w:sz w:val="24"/>
          <w:szCs w:val="24"/>
          <w:lang w:val="sr-Cyrl-RS"/>
        </w:rPr>
        <w:t>одатно</w:t>
      </w:r>
      <w:r w:rsidR="00482BDF" w:rsidRPr="003E5020">
        <w:rPr>
          <w:rFonts w:ascii="Times New Roman" w:hAnsi="Times New Roman" w:cs="Times New Roman"/>
          <w:sz w:val="24"/>
          <w:szCs w:val="24"/>
          <w:lang w:val="sr-Latn-RS"/>
        </w:rPr>
        <w:t xml:space="preserve"> </w:t>
      </w:r>
      <w:r w:rsidR="00482BDF" w:rsidRPr="003E5020">
        <w:rPr>
          <w:rFonts w:ascii="Times New Roman" w:hAnsi="Times New Roman" w:cs="Times New Roman"/>
          <w:sz w:val="24"/>
          <w:szCs w:val="24"/>
          <w:lang w:val="sr-Cyrl-RS"/>
        </w:rPr>
        <w:t>се</w:t>
      </w:r>
      <w:r w:rsidR="000C7D1F" w:rsidRPr="003E5020">
        <w:rPr>
          <w:rFonts w:ascii="Times New Roman" w:hAnsi="Times New Roman" w:cs="Times New Roman"/>
          <w:sz w:val="24"/>
          <w:szCs w:val="24"/>
          <w:lang w:val="sr-Cyrl-RS"/>
        </w:rPr>
        <w:t xml:space="preserve"> ангажује</w:t>
      </w:r>
      <w:r w:rsidR="00A50676" w:rsidRPr="003E5020">
        <w:rPr>
          <w:rFonts w:ascii="Times New Roman" w:hAnsi="Times New Roman" w:cs="Times New Roman"/>
          <w:sz w:val="24"/>
          <w:szCs w:val="24"/>
          <w:lang w:val="sr-Cyrl-RS"/>
        </w:rPr>
        <w:t>, по другим основама,</w:t>
      </w:r>
      <w:r w:rsidR="000C7D1F" w:rsidRPr="003E5020">
        <w:rPr>
          <w:rFonts w:ascii="Times New Roman" w:hAnsi="Times New Roman" w:cs="Times New Roman"/>
          <w:sz w:val="24"/>
          <w:szCs w:val="24"/>
          <w:lang w:val="sr-Cyrl-RS"/>
        </w:rPr>
        <w:t xml:space="preserve"> већи број особљ</w:t>
      </w:r>
      <w:r w:rsidR="00896605" w:rsidRPr="003E5020">
        <w:rPr>
          <w:rFonts w:ascii="Times New Roman" w:hAnsi="Times New Roman" w:cs="Times New Roman"/>
          <w:sz w:val="24"/>
          <w:szCs w:val="24"/>
          <w:lang w:val="sr-Cyrl-RS"/>
        </w:rPr>
        <w:t>а</w:t>
      </w:r>
      <w:r w:rsidR="00FF10CF" w:rsidRPr="003E5020">
        <w:rPr>
          <w:rFonts w:ascii="Times New Roman" w:hAnsi="Times New Roman" w:cs="Times New Roman"/>
          <w:sz w:val="24"/>
          <w:szCs w:val="24"/>
          <w:lang w:val="sr-Cyrl-RS"/>
        </w:rPr>
        <w:t xml:space="preserve"> кој</w:t>
      </w:r>
      <w:r w:rsidR="002E3988" w:rsidRPr="003E5020">
        <w:rPr>
          <w:rFonts w:ascii="Times New Roman" w:hAnsi="Times New Roman" w:cs="Times New Roman"/>
          <w:sz w:val="24"/>
          <w:szCs w:val="24"/>
          <w:lang w:val="sr-Cyrl-RS"/>
        </w:rPr>
        <w:t>е</w:t>
      </w:r>
      <w:r w:rsidR="00FF10CF" w:rsidRPr="003E5020">
        <w:rPr>
          <w:rFonts w:ascii="Times New Roman" w:hAnsi="Times New Roman" w:cs="Times New Roman"/>
          <w:sz w:val="24"/>
          <w:szCs w:val="24"/>
          <w:lang w:val="sr-Cyrl-RS"/>
        </w:rPr>
        <w:t xml:space="preserve"> обавља послове записничара, а </w:t>
      </w:r>
      <w:r w:rsidR="002E3988" w:rsidRPr="003E5020">
        <w:rPr>
          <w:rFonts w:ascii="Times New Roman" w:hAnsi="Times New Roman" w:cs="Times New Roman"/>
          <w:sz w:val="24"/>
          <w:szCs w:val="24"/>
          <w:lang w:val="sr-Cyrl-RS"/>
        </w:rPr>
        <w:t xml:space="preserve">тај </w:t>
      </w:r>
      <w:r w:rsidR="00896605" w:rsidRPr="003E5020">
        <w:rPr>
          <w:rFonts w:ascii="Times New Roman" w:hAnsi="Times New Roman" w:cs="Times New Roman"/>
          <w:sz w:val="24"/>
          <w:szCs w:val="24"/>
          <w:lang w:val="sr-Cyrl-RS"/>
        </w:rPr>
        <w:t xml:space="preserve">број лица значајно премашује </w:t>
      </w:r>
      <w:r w:rsidR="000C7D1F" w:rsidRPr="003E5020">
        <w:rPr>
          <w:rFonts w:ascii="Times New Roman" w:hAnsi="Times New Roman" w:cs="Times New Roman"/>
          <w:sz w:val="24"/>
          <w:szCs w:val="24"/>
          <w:lang w:val="sr-Cyrl-RS"/>
        </w:rPr>
        <w:t xml:space="preserve">број </w:t>
      </w:r>
      <w:r w:rsidR="00905F79" w:rsidRPr="003E5020">
        <w:rPr>
          <w:rFonts w:ascii="Times New Roman" w:hAnsi="Times New Roman" w:cs="Times New Roman"/>
          <w:sz w:val="24"/>
          <w:szCs w:val="24"/>
          <w:lang w:val="sr-Cyrl-RS"/>
        </w:rPr>
        <w:t xml:space="preserve">укупно </w:t>
      </w:r>
      <w:r w:rsidR="000C7D1F" w:rsidRPr="003E5020">
        <w:rPr>
          <w:rFonts w:ascii="Times New Roman" w:hAnsi="Times New Roman" w:cs="Times New Roman"/>
          <w:sz w:val="24"/>
          <w:szCs w:val="24"/>
          <w:lang w:val="sr-Cyrl-RS"/>
        </w:rPr>
        <w:t>систематизованих</w:t>
      </w:r>
      <w:r w:rsidR="00FF10CF" w:rsidRPr="003E5020">
        <w:rPr>
          <w:rFonts w:ascii="Times New Roman" w:hAnsi="Times New Roman" w:cs="Times New Roman"/>
          <w:sz w:val="24"/>
          <w:szCs w:val="24"/>
          <w:lang w:val="sr-Cyrl-RS"/>
        </w:rPr>
        <w:t xml:space="preserve"> </w:t>
      </w:r>
      <w:r w:rsidR="000C7D1F" w:rsidRPr="003E5020">
        <w:rPr>
          <w:rFonts w:ascii="Times New Roman" w:hAnsi="Times New Roman" w:cs="Times New Roman"/>
          <w:sz w:val="24"/>
          <w:szCs w:val="24"/>
          <w:lang w:val="sr-Cyrl-RS"/>
        </w:rPr>
        <w:t xml:space="preserve">радних места. </w:t>
      </w:r>
    </w:p>
    <w:p w14:paraId="40334310" w14:textId="77777777" w:rsidR="00905F79" w:rsidRPr="003E5020" w:rsidRDefault="00905F79" w:rsidP="000420D8">
      <w:pPr>
        <w:ind w:left="851"/>
        <w:jc w:val="both"/>
        <w:rPr>
          <w:rFonts w:ascii="Times New Roman" w:hAnsi="Times New Roman" w:cs="Times New Roman"/>
          <w:sz w:val="24"/>
          <w:szCs w:val="24"/>
          <w:lang w:val="sr-Cyrl-RS"/>
        </w:rPr>
      </w:pPr>
    </w:p>
    <w:p w14:paraId="72332670" w14:textId="1D460B57"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истим подацима, </w:t>
      </w:r>
      <w:r w:rsidR="000C7D1F" w:rsidRPr="003E5020">
        <w:rPr>
          <w:rFonts w:ascii="Times New Roman" w:hAnsi="Times New Roman" w:cs="Times New Roman"/>
          <w:sz w:val="24"/>
          <w:szCs w:val="24"/>
          <w:lang w:val="sr-Cyrl-RS"/>
        </w:rPr>
        <w:t xml:space="preserve">слична је ситуација и код дактилографа: </w:t>
      </w:r>
      <w:r w:rsidRPr="003E5020">
        <w:rPr>
          <w:rFonts w:ascii="Times New Roman" w:hAnsi="Times New Roman" w:cs="Times New Roman"/>
          <w:sz w:val="24"/>
          <w:szCs w:val="24"/>
          <w:lang w:val="sr-Cyrl-RS"/>
        </w:rPr>
        <w:t xml:space="preserve">ситематизовано је 115 места за обављање послова дактилографа, од чега је попуњено 106, а због повећаног посла су ангажована још 32 дактилографа. Наведено указује </w:t>
      </w:r>
      <w:r w:rsidR="00954491" w:rsidRPr="003E5020">
        <w:rPr>
          <w:rFonts w:ascii="Times New Roman" w:hAnsi="Times New Roman" w:cs="Times New Roman"/>
          <w:sz w:val="24"/>
          <w:szCs w:val="24"/>
          <w:lang w:val="sr-Cyrl-RS"/>
        </w:rPr>
        <w:t xml:space="preserve">на то </w:t>
      </w:r>
      <w:r w:rsidRPr="003E5020">
        <w:rPr>
          <w:rFonts w:ascii="Times New Roman" w:hAnsi="Times New Roman" w:cs="Times New Roman"/>
          <w:sz w:val="24"/>
          <w:szCs w:val="24"/>
          <w:lang w:val="sr-Cyrl-RS"/>
        </w:rPr>
        <w:t xml:space="preserve">да је потребно </w:t>
      </w:r>
      <w:r w:rsidR="00A92E06" w:rsidRPr="003E5020">
        <w:rPr>
          <w:rFonts w:ascii="Times New Roman" w:hAnsi="Times New Roman" w:cs="Times New Roman"/>
          <w:sz w:val="24"/>
          <w:szCs w:val="24"/>
          <w:lang w:val="sr-Cyrl-RS"/>
        </w:rPr>
        <w:t xml:space="preserve">повећати број систематизованих места за вршење послова записничара и дактилографа, односно ускладити их са стварним потребама. </w:t>
      </w:r>
    </w:p>
    <w:p w14:paraId="2F56959E" w14:textId="77777777" w:rsidR="000420D8" w:rsidRPr="003E5020" w:rsidRDefault="000420D8" w:rsidP="000420D8">
      <w:pPr>
        <w:ind w:left="851"/>
        <w:jc w:val="both"/>
        <w:rPr>
          <w:rFonts w:ascii="Times New Roman" w:hAnsi="Times New Roman" w:cs="Times New Roman"/>
          <w:sz w:val="24"/>
          <w:szCs w:val="24"/>
          <w:lang w:val="sr-Cyrl-RS"/>
        </w:rPr>
      </w:pPr>
    </w:p>
    <w:p w14:paraId="27B69CDA" w14:textId="77777777"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Процена</w:t>
      </w:r>
      <w:r w:rsidRPr="003E5020">
        <w:rPr>
          <w:rStyle w:val="FootnoteReference"/>
          <w:rFonts w:ascii="Times New Roman" w:hAnsi="Times New Roman" w:cs="Times New Roman"/>
          <w:sz w:val="24"/>
          <w:szCs w:val="24"/>
          <w:lang w:val="sr-Cyrl-RS"/>
        </w:rPr>
        <w:footnoteReference w:id="71"/>
      </w:r>
      <w:r w:rsidRPr="003E5020">
        <w:rPr>
          <w:rFonts w:ascii="Times New Roman" w:hAnsi="Times New Roman" w:cs="Times New Roman"/>
          <w:sz w:val="24"/>
          <w:szCs w:val="24"/>
          <w:lang w:val="sr-Cyrl-RS"/>
        </w:rPr>
        <w:t xml:space="preserve"> је да би, уколико би сваки заменик јавног тужиоца имао свог записничара (као што сваки судија има свог записничара) или уколико би на два заменика јавног тужиоца био запослен по један записничар, било могуће ефикасније обављати саслушања. Овде свакако треба размотрити и развој алтернативних решења вођења записника, путем примене нових технологија. Према тренутном стању, што због недовољног броја записничара, што због недостатка просторија и других техничких разлога, у највећем број тужилаштава заменик тужиоца има само један или највише два дана недељно за послове саслушања, што све успорава ток истраге и самим тим продужава рок у коме тужилац предмет решава. Такође, велики број заменика се жали на то да највећи део свог радног времена проведу бавећи се административним пословима, што оставља краћи део радног дана за обраду предмета. </w:t>
      </w:r>
    </w:p>
    <w:p w14:paraId="3C0231A4" w14:textId="77777777" w:rsidR="00274376" w:rsidRPr="003E5020" w:rsidRDefault="00274376" w:rsidP="00F11EA4">
      <w:pPr>
        <w:rPr>
          <w:rFonts w:ascii="Times New Roman" w:hAnsi="Times New Roman" w:cs="Times New Roman"/>
          <w:sz w:val="24"/>
          <w:szCs w:val="24"/>
          <w:highlight w:val="yellow"/>
          <w:lang w:val="sr-Cyrl-RS"/>
        </w:rPr>
      </w:pPr>
    </w:p>
    <w:p w14:paraId="146E0C5A" w14:textId="66DADBAF" w:rsidR="000420D8" w:rsidRPr="003E5020" w:rsidRDefault="000420D8"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Одређен број јавних тужилаца и заменика су упућени у друга тужилаштва</w:t>
      </w:r>
    </w:p>
    <w:p w14:paraId="5A11D9BF" w14:textId="77777777" w:rsidR="00F11EA4" w:rsidRPr="003E5020" w:rsidRDefault="00F11EA4" w:rsidP="00F11EA4">
      <w:pPr>
        <w:ind w:left="851"/>
        <w:jc w:val="both"/>
        <w:rPr>
          <w:rFonts w:ascii="Times New Roman" w:hAnsi="Times New Roman" w:cs="Times New Roman"/>
          <w:sz w:val="24"/>
          <w:szCs w:val="24"/>
          <w:highlight w:val="yellow"/>
          <w:lang w:val="sr-Cyrl-RS"/>
        </w:rPr>
      </w:pPr>
    </w:p>
    <w:p w14:paraId="467E239A" w14:textId="4E78DB5C"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Утврђено је да значајан број лица на наведеним позицијама заправо обавља послове у другим јавним тужилаштвима у односу на она у којима су изабрани, затим у Државном већу тужилаца или Министарству правде или се дуг временски период налазе на позицији вршиоца функције јавног тужиоца</w:t>
      </w:r>
      <w:r w:rsidRPr="003E5020">
        <w:rPr>
          <w:rStyle w:val="FootnoteReference"/>
          <w:rFonts w:ascii="Times New Roman" w:hAnsi="Times New Roman" w:cs="Times New Roman"/>
          <w:sz w:val="24"/>
          <w:szCs w:val="24"/>
          <w:lang w:val="sr-Cyrl-RS"/>
        </w:rPr>
        <w:footnoteReference w:id="72"/>
      </w:r>
      <w:r w:rsidRPr="003E5020">
        <w:rPr>
          <w:rFonts w:ascii="Times New Roman" w:hAnsi="Times New Roman" w:cs="Times New Roman"/>
          <w:sz w:val="24"/>
          <w:szCs w:val="24"/>
          <w:lang w:val="sr-Cyrl-RS"/>
        </w:rPr>
        <w:t>.</w:t>
      </w:r>
    </w:p>
    <w:p w14:paraId="7028B438" w14:textId="77777777" w:rsidR="000420D8" w:rsidRPr="003E5020" w:rsidRDefault="000420D8" w:rsidP="000420D8">
      <w:pPr>
        <w:ind w:left="851"/>
        <w:jc w:val="both"/>
        <w:rPr>
          <w:rFonts w:ascii="Times New Roman" w:hAnsi="Times New Roman" w:cs="Times New Roman"/>
          <w:sz w:val="24"/>
          <w:szCs w:val="24"/>
          <w:lang w:val="sr-Cyrl-RS"/>
        </w:rPr>
      </w:pPr>
    </w:p>
    <w:p w14:paraId="6496AA0C" w14:textId="27322DE9"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доступним подацима</w:t>
      </w:r>
      <w:r w:rsidR="009B5708"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у Републичко јавно тужилаштво су упућена четири заменика из основних, виших односно апелационих тужилаштава. У Тужилаштву за организовани криминал тај број износи девет заменика. У Тужилаштво за ратне злочине су упућена три заменика из других тужилаштава. У састав апелационих јавних тужилаштава улази укупно шест упућених заменика. Што се тиче виших јавних тужилаштава тај број износи чак седамнаест. Најзад, списак заменика упућених у посебно одељење за борбу против корупције се исцрпљује са укупно пет заменика. </w:t>
      </w:r>
    </w:p>
    <w:p w14:paraId="0306892C" w14:textId="15A74164" w:rsidR="000420D8"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Наведено стање, свакако, производи одређене нежељене последице, а које се односе на тужилаштва из којих су замени</w:t>
      </w:r>
      <w:r w:rsidR="008F6AA1" w:rsidRPr="003E5020">
        <w:rPr>
          <w:rFonts w:ascii="Times New Roman" w:hAnsi="Times New Roman" w:cs="Times New Roman"/>
          <w:sz w:val="24"/>
          <w:szCs w:val="24"/>
          <w:lang w:val="sr-Cyrl-RS"/>
        </w:rPr>
        <w:t>ци</w:t>
      </w:r>
      <w:r w:rsidRPr="003E5020">
        <w:rPr>
          <w:rFonts w:ascii="Times New Roman" w:hAnsi="Times New Roman" w:cs="Times New Roman"/>
          <w:sz w:val="24"/>
          <w:szCs w:val="24"/>
          <w:lang w:val="sr-Cyrl-RS"/>
        </w:rPr>
        <w:t xml:space="preserve"> упућен</w:t>
      </w:r>
      <w:r w:rsidR="00AD54CB"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w:t>
      </w:r>
    </w:p>
    <w:p w14:paraId="4C8443BD" w14:textId="287104D6" w:rsidR="00DC7F5A" w:rsidRDefault="00DC7F5A" w:rsidP="000420D8">
      <w:pPr>
        <w:ind w:left="851"/>
        <w:jc w:val="both"/>
        <w:rPr>
          <w:rFonts w:ascii="Times New Roman" w:hAnsi="Times New Roman" w:cs="Times New Roman"/>
          <w:sz w:val="24"/>
          <w:szCs w:val="24"/>
          <w:lang w:val="sr-Cyrl-RS"/>
        </w:rPr>
      </w:pPr>
    </w:p>
    <w:p w14:paraId="12D35EAF" w14:textId="5EE33A0D" w:rsidR="00DC7F5A" w:rsidRDefault="00DC7F5A" w:rsidP="000420D8">
      <w:pPr>
        <w:ind w:left="851"/>
        <w:jc w:val="both"/>
        <w:rPr>
          <w:rFonts w:ascii="Times New Roman" w:hAnsi="Times New Roman" w:cs="Times New Roman"/>
          <w:sz w:val="24"/>
          <w:szCs w:val="24"/>
          <w:lang w:val="sr-Cyrl-RS"/>
        </w:rPr>
      </w:pPr>
    </w:p>
    <w:p w14:paraId="4E36E41B" w14:textId="77777777" w:rsidR="00DC7F5A" w:rsidRPr="003E5020" w:rsidRDefault="00DC7F5A" w:rsidP="000420D8">
      <w:pPr>
        <w:ind w:left="851"/>
        <w:jc w:val="both"/>
        <w:rPr>
          <w:rFonts w:ascii="Times New Roman" w:hAnsi="Times New Roman" w:cs="Times New Roman"/>
          <w:sz w:val="24"/>
          <w:szCs w:val="24"/>
          <w:lang w:val="sr-Cyrl-RS"/>
        </w:rPr>
      </w:pPr>
    </w:p>
    <w:p w14:paraId="13BD3ECD" w14:textId="77777777" w:rsidR="00347EE9" w:rsidRPr="003E5020" w:rsidRDefault="00347EE9" w:rsidP="00347EE9">
      <w:pPr>
        <w:jc w:val="both"/>
        <w:rPr>
          <w:rFonts w:ascii="Times New Roman" w:hAnsi="Times New Roman" w:cs="Times New Roman"/>
          <w:sz w:val="24"/>
          <w:szCs w:val="24"/>
          <w:lang w:val="sr-Cyrl-RS"/>
        </w:rPr>
      </w:pPr>
    </w:p>
    <w:p w14:paraId="2F285456" w14:textId="752AB0B9" w:rsidR="000420D8" w:rsidRPr="003E5020" w:rsidRDefault="00DB2836"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 xml:space="preserve">Висока </w:t>
      </w:r>
      <w:r w:rsidR="000420D8" w:rsidRPr="003E5020">
        <w:rPr>
          <w:rFonts w:ascii="Times New Roman" w:hAnsi="Times New Roman" w:cs="Times New Roman"/>
          <w:iCs/>
          <w:sz w:val="24"/>
          <w:szCs w:val="24"/>
          <w:lang w:val="sr-Cyrl-RS"/>
        </w:rPr>
        <w:t>стопа особља у радном односу на одређено време</w:t>
      </w:r>
    </w:p>
    <w:p w14:paraId="2BDD6126" w14:textId="77777777" w:rsidR="00F11EA4" w:rsidRPr="003E5020" w:rsidRDefault="00F11EA4" w:rsidP="00F11EA4">
      <w:pPr>
        <w:ind w:left="851"/>
        <w:jc w:val="both"/>
        <w:rPr>
          <w:rFonts w:ascii="Times New Roman" w:hAnsi="Times New Roman" w:cs="Times New Roman"/>
          <w:sz w:val="24"/>
          <w:szCs w:val="24"/>
          <w:highlight w:val="yellow"/>
          <w:lang w:val="sr-Cyrl-RS"/>
        </w:rPr>
      </w:pPr>
    </w:p>
    <w:p w14:paraId="10A47696" w14:textId="77777777"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Анализа</w:t>
      </w:r>
      <w:r w:rsidRPr="003E5020">
        <w:rPr>
          <w:rStyle w:val="FootnoteReference"/>
          <w:rFonts w:ascii="Times New Roman" w:hAnsi="Times New Roman" w:cs="Times New Roman"/>
          <w:sz w:val="24"/>
          <w:szCs w:val="24"/>
          <w:lang w:val="sr-Cyrl-RS"/>
        </w:rPr>
        <w:footnoteReference w:id="73"/>
      </w:r>
      <w:r w:rsidRPr="003E5020">
        <w:rPr>
          <w:rFonts w:ascii="Times New Roman" w:hAnsi="Times New Roman" w:cs="Times New Roman"/>
          <w:sz w:val="24"/>
          <w:szCs w:val="24"/>
          <w:lang w:val="sr-Cyrl-RS"/>
        </w:rPr>
        <w:t xml:space="preserve"> је показала да је у јавним тужилаштвима приметан велики број лица која су запослена на одређено време. У 2016. години је тај број чинио приближно 20% од укупног броја запослених лица</w:t>
      </w:r>
      <w:r w:rsidRPr="003E5020">
        <w:rPr>
          <w:rStyle w:val="FootnoteReference"/>
          <w:rFonts w:ascii="Times New Roman" w:hAnsi="Times New Roman" w:cs="Times New Roman"/>
          <w:sz w:val="24"/>
          <w:szCs w:val="24"/>
          <w:lang w:val="sr-Cyrl-RS"/>
        </w:rPr>
        <w:footnoteReference w:id="74"/>
      </w:r>
      <w:r w:rsidRPr="003E5020">
        <w:rPr>
          <w:rFonts w:ascii="Times New Roman" w:hAnsi="Times New Roman" w:cs="Times New Roman"/>
          <w:sz w:val="24"/>
          <w:szCs w:val="24"/>
          <w:lang w:val="sr-Cyrl-RS"/>
        </w:rPr>
        <w:t>. Подаци Министарства правде који се односе на 2021. годину указују да је стање  такво да је од 1367 систематизованих радних места попуњено 1190, док је чак</w:t>
      </w:r>
      <w:r w:rsidRPr="003E5020">
        <w:rPr>
          <w:rFonts w:ascii="Times New Roman" w:hAnsi="Times New Roman" w:cs="Times New Roman"/>
          <w:sz w:val="24"/>
          <w:szCs w:val="24"/>
          <w:lang w:val="sr-Latn-RS"/>
        </w:rPr>
        <w:t xml:space="preserve"> 432 </w:t>
      </w:r>
      <w:r w:rsidRPr="003E5020">
        <w:rPr>
          <w:rFonts w:ascii="Times New Roman" w:hAnsi="Times New Roman" w:cs="Times New Roman"/>
          <w:sz w:val="24"/>
          <w:szCs w:val="24"/>
          <w:lang w:val="sr-Cyrl-RS"/>
        </w:rPr>
        <w:t>лица је ангажовано због повећаног обима посла, а њих још 30 замењује одсутне раднике.</w:t>
      </w:r>
      <w:r w:rsidRPr="003E5020">
        <w:rPr>
          <w:rFonts w:ascii="Times New Roman" w:hAnsi="Times New Roman" w:cs="Times New Roman"/>
          <w:sz w:val="24"/>
          <w:szCs w:val="24"/>
          <w:lang w:val="sr-Latn-RS"/>
        </w:rPr>
        <w:t xml:space="preserve"> Значи, проценат запослених на одређено време у односу на укупно запослене </w:t>
      </w:r>
      <w:r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Latn-RS"/>
        </w:rPr>
        <w:t xml:space="preserve"> тужилаштвима се још повећао </w:t>
      </w:r>
      <w:r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Latn-RS"/>
        </w:rPr>
        <w:t xml:space="preserve"> у 2021. години износи око 27%.</w:t>
      </w:r>
    </w:p>
    <w:p w14:paraId="1066126A" w14:textId="77777777" w:rsidR="000420D8" w:rsidRPr="003E5020" w:rsidRDefault="000420D8" w:rsidP="000420D8">
      <w:pPr>
        <w:ind w:left="851"/>
        <w:jc w:val="both"/>
        <w:rPr>
          <w:rFonts w:ascii="Times New Roman" w:hAnsi="Times New Roman" w:cs="Times New Roman"/>
          <w:sz w:val="24"/>
          <w:szCs w:val="24"/>
          <w:lang w:val="sr-Cyrl-RS"/>
        </w:rPr>
      </w:pPr>
    </w:p>
    <w:p w14:paraId="36DD2FA5" w14:textId="24637C2F"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Већина тих лица је запослена на позицијама помоћника, приправника, записничара и осталог особља кој</w:t>
      </w:r>
      <w:r w:rsidR="009B5708" w:rsidRPr="003E5020">
        <w:rPr>
          <w:rFonts w:ascii="Times New Roman" w:hAnsi="Times New Roman" w:cs="Times New Roman"/>
          <w:sz w:val="24"/>
          <w:szCs w:val="24"/>
          <w:lang w:val="sr-Cyrl-RS"/>
        </w:rPr>
        <w:t>е</w:t>
      </w:r>
      <w:r w:rsidRPr="003E5020">
        <w:rPr>
          <w:rFonts w:ascii="Times New Roman" w:hAnsi="Times New Roman" w:cs="Times New Roman"/>
          <w:sz w:val="24"/>
          <w:szCs w:val="24"/>
          <w:lang w:val="sr-Cyrl-RS"/>
        </w:rPr>
        <w:t xml:space="preserve"> </w:t>
      </w:r>
      <w:r w:rsidR="009B5708" w:rsidRPr="003E5020">
        <w:rPr>
          <w:rFonts w:ascii="Times New Roman" w:hAnsi="Times New Roman" w:cs="Times New Roman"/>
          <w:sz w:val="24"/>
          <w:szCs w:val="24"/>
          <w:lang w:val="sr-Cyrl-RS"/>
        </w:rPr>
        <w:t xml:space="preserve">је </w:t>
      </w:r>
      <w:r w:rsidRPr="003E5020">
        <w:rPr>
          <w:rFonts w:ascii="Times New Roman" w:hAnsi="Times New Roman" w:cs="Times New Roman"/>
          <w:sz w:val="24"/>
          <w:szCs w:val="24"/>
          <w:lang w:val="sr-Cyrl-RS"/>
        </w:rPr>
        <w:t>директно укључен</w:t>
      </w:r>
      <w:r w:rsidR="009B5708" w:rsidRPr="003E5020">
        <w:rPr>
          <w:rFonts w:ascii="Times New Roman" w:hAnsi="Times New Roman" w:cs="Times New Roman"/>
          <w:sz w:val="24"/>
          <w:szCs w:val="24"/>
          <w:lang w:val="sr-Cyrl-RS"/>
        </w:rPr>
        <w:t>о</w:t>
      </w:r>
      <w:r w:rsidRPr="003E5020">
        <w:rPr>
          <w:rFonts w:ascii="Times New Roman" w:hAnsi="Times New Roman" w:cs="Times New Roman"/>
          <w:sz w:val="24"/>
          <w:szCs w:val="24"/>
          <w:lang w:val="sr-Cyrl-RS"/>
        </w:rPr>
        <w:t xml:space="preserve"> у рад на предметима. Поред самог броја лица запослених на одређено време, проблем представља и чињеница да не постоје објективни критеријуми на основу којих јавна тужилаштва доносе одлуке о наведеном начину заснивања радног односа. Тако постоје основна јавна тужилаштва која имају висок ниво запослених на одређено време, чиме се фактички замењују она стално запослена лица која су, из одређених разлога, оправдано привремено одсутна с посла, док истовремено друга јавна тужилаштва, са приближно истим процентом привремено одсутних, нису готово уопште ангажовала лица на одређено време и наставила су да обављају свој посао у редовном режиму. Ово представља јасан индикатор да запошљавање на одређено време није вођено реалним потребама за недостајућом радном снагом, а што би свакако требало да буде случај. Из наведеног разлога потребно је увести стандардизовано и редовно извештавање о броју и позицијама запослених на одређено време, као и о трошковима које овај вид радног ангажовања са собом носи, како би могла да се уради одговарајућа анализа ефеката.</w:t>
      </w:r>
    </w:p>
    <w:p w14:paraId="5E799D30" w14:textId="77777777" w:rsidR="000420D8" w:rsidRPr="003E5020" w:rsidRDefault="000420D8" w:rsidP="000420D8">
      <w:pPr>
        <w:ind w:left="851"/>
        <w:jc w:val="both"/>
        <w:rPr>
          <w:rFonts w:ascii="Times New Roman" w:hAnsi="Times New Roman" w:cs="Times New Roman"/>
          <w:sz w:val="24"/>
          <w:szCs w:val="24"/>
          <w:lang w:val="sr-Cyrl-RS"/>
        </w:rPr>
      </w:pPr>
    </w:p>
    <w:p w14:paraId="7A9028E1" w14:textId="031A3C72" w:rsidR="000420D8" w:rsidRPr="003E5020" w:rsidRDefault="000420D8" w:rsidP="000420D8">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Наведено је последица која је, </w:t>
      </w:r>
      <w:r w:rsidR="009B5708" w:rsidRPr="003E5020">
        <w:rPr>
          <w:rFonts w:ascii="Times New Roman" w:hAnsi="Times New Roman" w:cs="Times New Roman"/>
          <w:sz w:val="24"/>
          <w:szCs w:val="24"/>
          <w:lang w:val="sr-Cyrl-RS"/>
        </w:rPr>
        <w:t>углавном</w:t>
      </w:r>
      <w:r w:rsidRPr="003E5020">
        <w:rPr>
          <w:rFonts w:ascii="Times New Roman" w:hAnsi="Times New Roman" w:cs="Times New Roman"/>
          <w:sz w:val="24"/>
          <w:szCs w:val="24"/>
          <w:lang w:val="sr-Cyrl-RS"/>
        </w:rPr>
        <w:t>, настала услед важења одредби Закона о начину одређивања броја мак</w:t>
      </w:r>
      <w:r w:rsidR="009B5708" w:rsidRPr="003E5020">
        <w:rPr>
          <w:rFonts w:ascii="Times New Roman" w:hAnsi="Times New Roman" w:cs="Times New Roman"/>
          <w:sz w:val="24"/>
          <w:szCs w:val="24"/>
          <w:lang w:val="sr-Cyrl-RS"/>
        </w:rPr>
        <w:t>с</w:t>
      </w:r>
      <w:r w:rsidRPr="003E5020">
        <w:rPr>
          <w:rFonts w:ascii="Times New Roman" w:hAnsi="Times New Roman" w:cs="Times New Roman"/>
          <w:sz w:val="24"/>
          <w:szCs w:val="24"/>
          <w:lang w:val="sr-Cyrl-RS"/>
        </w:rPr>
        <w:t>ималног броја запослених у јавном сектору</w:t>
      </w:r>
      <w:r w:rsidRPr="003E5020">
        <w:rPr>
          <w:rStyle w:val="FootnoteReference"/>
          <w:rFonts w:ascii="Times New Roman" w:hAnsi="Times New Roman" w:cs="Times New Roman"/>
          <w:sz w:val="24"/>
          <w:szCs w:val="24"/>
          <w:lang w:val="sr-Cyrl-RS"/>
        </w:rPr>
        <w:footnoteReference w:id="75"/>
      </w:r>
      <w:r w:rsidRPr="003E5020">
        <w:rPr>
          <w:rFonts w:ascii="Times New Roman" w:hAnsi="Times New Roman" w:cs="Times New Roman"/>
          <w:sz w:val="24"/>
          <w:szCs w:val="24"/>
          <w:lang w:val="sr-Cyrl-RS"/>
        </w:rPr>
        <w:t xml:space="preserve">, који </w:t>
      </w:r>
      <w:r w:rsidR="009B5708" w:rsidRPr="003E5020">
        <w:rPr>
          <w:rFonts w:ascii="Times New Roman" w:hAnsi="Times New Roman" w:cs="Times New Roman"/>
          <w:sz w:val="24"/>
          <w:szCs w:val="24"/>
          <w:lang w:val="sr-Cyrl-RS"/>
        </w:rPr>
        <w:t>ј</w:t>
      </w:r>
      <w:r w:rsidRPr="003E5020">
        <w:rPr>
          <w:rFonts w:ascii="Times New Roman" w:hAnsi="Times New Roman" w:cs="Times New Roman"/>
          <w:sz w:val="24"/>
          <w:szCs w:val="24"/>
          <w:lang w:val="sr-Cyrl-RS"/>
        </w:rPr>
        <w:t>е примењива</w:t>
      </w:r>
      <w:r w:rsidR="009B5708" w:rsidRPr="003E5020">
        <w:rPr>
          <w:rFonts w:ascii="Times New Roman" w:hAnsi="Times New Roman" w:cs="Times New Roman"/>
          <w:sz w:val="24"/>
          <w:szCs w:val="24"/>
          <w:lang w:val="sr-Cyrl-RS"/>
        </w:rPr>
        <w:t>н</w:t>
      </w:r>
      <w:r w:rsidRPr="003E5020">
        <w:rPr>
          <w:rFonts w:ascii="Times New Roman" w:hAnsi="Times New Roman" w:cs="Times New Roman"/>
          <w:sz w:val="24"/>
          <w:szCs w:val="24"/>
          <w:lang w:val="sr-Cyrl-RS"/>
        </w:rPr>
        <w:t xml:space="preserve"> до 31. децембра 2019. године, као и одредби члана 27е Закона о буџетском систему</w:t>
      </w:r>
      <w:r w:rsidRPr="003E5020">
        <w:rPr>
          <w:rStyle w:val="FootnoteReference"/>
          <w:rFonts w:ascii="Times New Roman" w:hAnsi="Times New Roman" w:cs="Times New Roman"/>
          <w:sz w:val="24"/>
          <w:szCs w:val="24"/>
          <w:lang w:val="sr-Cyrl-RS"/>
        </w:rPr>
        <w:footnoteReference w:id="76"/>
      </w:r>
      <w:r w:rsidRPr="003E5020">
        <w:rPr>
          <w:rFonts w:ascii="Times New Roman" w:hAnsi="Times New Roman" w:cs="Times New Roman"/>
          <w:sz w:val="24"/>
          <w:szCs w:val="24"/>
          <w:lang w:val="sr-Cyrl-RS"/>
        </w:rPr>
        <w:t>, који је и даље на снази</w:t>
      </w:r>
      <w:r w:rsidRPr="003E5020">
        <w:rPr>
          <w:rFonts w:ascii="Times New Roman" w:hAnsi="Times New Roman" w:cs="Times New Roman"/>
          <w:sz w:val="24"/>
          <w:szCs w:val="24"/>
          <w:lang w:val="sr-Latn-RS"/>
        </w:rPr>
        <w:t xml:space="preserve">. </w:t>
      </w:r>
      <w:r w:rsidRPr="003E5020">
        <w:rPr>
          <w:rFonts w:ascii="Times New Roman" w:hAnsi="Times New Roman" w:cs="Times New Roman"/>
          <w:sz w:val="24"/>
          <w:szCs w:val="24"/>
          <w:lang w:val="sr-Cyrl-RS"/>
        </w:rPr>
        <w:t>Чланом 27е Закона о буџетском систему је прописано да је могуће заснивање радног односа са новим лицима ради попуњавања слободних, односно упражњених радних места само изузетно, уз сагласност тела Владе, на предлог надлежног министарства, односно другог надлежног органа, уз претходно прибављено мишљење Министарства. Истовремено, 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 а изузетно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 Наведено има за последицу да је велики број систематизованих радних места особља у тужилаштвима непопуњен, док је значајан број лица ангажовано на одређено време односно радно ангажовано модалитетима ван радног односа. Овакав статус ствара неизвесност у погледу радно-правног положаја лица која нису у радном односу на неодређено време, њиховог оцењивања и каријерног развоја, као и других елемената, што у суштини утиче на корпус њихових права која проистичу из радног односа. Стога је пожељно да се овакво стање  доведе у оквире попуњености упражњених радних места</w:t>
      </w:r>
      <w:r w:rsidR="009B5708" w:rsidRPr="003E5020">
        <w:rPr>
          <w:rFonts w:ascii="Times New Roman" w:hAnsi="Times New Roman" w:cs="Times New Roman"/>
          <w:sz w:val="24"/>
          <w:szCs w:val="24"/>
          <w:lang w:val="sr-Cyrl-RS"/>
        </w:rPr>
        <w:t xml:space="preserve">, запошљавањем </w:t>
      </w:r>
      <w:r w:rsidRPr="003E5020">
        <w:rPr>
          <w:rFonts w:ascii="Times New Roman" w:hAnsi="Times New Roman" w:cs="Times New Roman"/>
          <w:sz w:val="24"/>
          <w:szCs w:val="24"/>
          <w:lang w:val="sr-Cyrl-RS"/>
        </w:rPr>
        <w:t xml:space="preserve">лица </w:t>
      </w:r>
      <w:r w:rsidR="009B5708" w:rsidRPr="003E5020">
        <w:rPr>
          <w:rFonts w:ascii="Times New Roman" w:hAnsi="Times New Roman" w:cs="Times New Roman"/>
          <w:sz w:val="24"/>
          <w:szCs w:val="24"/>
          <w:lang w:val="sr-Cyrl-RS"/>
        </w:rPr>
        <w:t xml:space="preserve">у </w:t>
      </w:r>
      <w:r w:rsidRPr="003E5020">
        <w:rPr>
          <w:rFonts w:ascii="Times New Roman" w:hAnsi="Times New Roman" w:cs="Times New Roman"/>
          <w:sz w:val="24"/>
          <w:szCs w:val="24"/>
          <w:lang w:val="sr-Cyrl-RS"/>
        </w:rPr>
        <w:t xml:space="preserve"> радни однос на неодређено време, а истовремено треба смањити број запослених односно радно ангажованих лица на одређено време. Наиме, грађење система на основама које подразумевају да значајан кадровски капацитет чине лица која нису у радном односу на неодређено време, на дуже стазе, не представља добар приступ. Неминовна последица оваквог стања је да изостаје вредновање рада по критеријумима залагања, вештина, знањ</w:t>
      </w:r>
      <w:r w:rsidR="00B50D60"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и слично, што се, по природи ствари, негативно одражава на сам тужилачки систем.  </w:t>
      </w:r>
    </w:p>
    <w:p w14:paraId="1FE274A8" w14:textId="4DA226F9" w:rsidR="000420D8" w:rsidRPr="003E5020" w:rsidRDefault="000420D8" w:rsidP="000420D8">
      <w:pPr>
        <w:pStyle w:val="ListParagraph"/>
        <w:ind w:left="851"/>
        <w:jc w:val="both"/>
        <w:rPr>
          <w:rFonts w:ascii="Times New Roman" w:hAnsi="Times New Roman" w:cs="Times New Roman"/>
          <w:sz w:val="24"/>
          <w:szCs w:val="24"/>
          <w:lang w:val="sr-Cyrl-RS"/>
        </w:rPr>
      </w:pPr>
    </w:p>
    <w:p w14:paraId="2DEBADB3" w14:textId="01CA957C" w:rsidR="000420D8" w:rsidRPr="003E5020" w:rsidRDefault="000C3BC4" w:rsidP="007222BE">
      <w:pPr>
        <w:pStyle w:val="ListParagraph"/>
        <w:numPr>
          <w:ilvl w:val="2"/>
          <w:numId w:val="2"/>
        </w:numPr>
        <w:ind w:left="851" w:hanging="851"/>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 xml:space="preserve"> </w:t>
      </w:r>
      <w:r w:rsidR="000420D8" w:rsidRPr="003E5020">
        <w:rPr>
          <w:rFonts w:ascii="Times New Roman" w:hAnsi="Times New Roman" w:cs="Times New Roman"/>
          <w:iCs/>
          <w:sz w:val="24"/>
          <w:szCs w:val="24"/>
          <w:lang w:val="sr-Cyrl-RS"/>
        </w:rPr>
        <w:t>Неадекватан поступак процене радног учинка</w:t>
      </w:r>
    </w:p>
    <w:p w14:paraId="457388A4" w14:textId="77777777" w:rsidR="000420D8" w:rsidRPr="003E5020" w:rsidRDefault="000420D8" w:rsidP="000420D8">
      <w:pPr>
        <w:ind w:left="851"/>
        <w:jc w:val="both"/>
        <w:rPr>
          <w:rFonts w:ascii="Times New Roman" w:hAnsi="Times New Roman" w:cs="Times New Roman"/>
          <w:sz w:val="24"/>
          <w:szCs w:val="24"/>
          <w:lang w:val="sr-Cyrl-RS"/>
        </w:rPr>
      </w:pPr>
    </w:p>
    <w:p w14:paraId="7C4DD989" w14:textId="6B34EB29" w:rsidR="000420D8" w:rsidRPr="003E5020" w:rsidRDefault="000420D8" w:rsidP="002E3988">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Постојећи поступак процене радног учинка је застарео, јер се у највећој мери базира на стопи додељених и решених предмета од стране конкретног носиоца јавнотужилачке функције, без узимања у обзир других елемената за оцену, као што је</w:t>
      </w:r>
      <w:r w:rsidR="00F83CBF"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на пример свеукупан обим предмета који једно тужилаштво има у раду. Тако</w:t>
      </w:r>
      <w:r w:rsidR="00F83CBF" w:rsidRPr="003E5020">
        <w:rPr>
          <w:rFonts w:ascii="Times New Roman" w:hAnsi="Times New Roman" w:cs="Times New Roman"/>
          <w:sz w:val="24"/>
          <w:szCs w:val="24"/>
          <w:lang w:val="sr-Cyrl-RS"/>
        </w:rPr>
        <w:t xml:space="preserve"> ће</w:t>
      </w:r>
      <w:r w:rsidR="00B50D60"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на пример</w:t>
      </w:r>
      <w:r w:rsidR="00B50D60"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F83CBF" w:rsidRPr="003E5020">
        <w:rPr>
          <w:rFonts w:ascii="Times New Roman" w:hAnsi="Times New Roman" w:cs="Times New Roman"/>
          <w:sz w:val="24"/>
          <w:szCs w:val="24"/>
          <w:lang w:val="sr-Cyrl-RS"/>
        </w:rPr>
        <w:t xml:space="preserve">заменик тужиоца који има 500 предмета у раду и који реши 100% предмета добити оцену </w:t>
      </w:r>
      <w:r w:rsidR="00701BFF">
        <w:rPr>
          <w:rFonts w:ascii="Times New Roman" w:hAnsi="Times New Roman" w:cs="Times New Roman"/>
          <w:sz w:val="24"/>
          <w:szCs w:val="24"/>
          <w:lang w:val="sr-Cyrl-RS"/>
        </w:rPr>
        <w:t>ˮ</w:t>
      </w:r>
      <w:r w:rsidR="00F83CBF" w:rsidRPr="003E5020">
        <w:rPr>
          <w:rFonts w:ascii="Times New Roman" w:hAnsi="Times New Roman" w:cs="Times New Roman"/>
          <w:sz w:val="24"/>
          <w:szCs w:val="24"/>
          <w:lang w:val="sr-Cyrl-RS"/>
        </w:rPr>
        <w:t xml:space="preserve">изузетно успешно”, а заменик тужиоца који има 1500 предмета у раду и реши мање од 60% предмета, оцену </w:t>
      </w:r>
      <w:r w:rsidR="00701BFF">
        <w:rPr>
          <w:rFonts w:ascii="Times New Roman" w:hAnsi="Times New Roman" w:cs="Times New Roman"/>
          <w:sz w:val="24"/>
          <w:szCs w:val="24"/>
          <w:lang w:val="sr-Cyrl-RS"/>
        </w:rPr>
        <w:t>ˮ</w:t>
      </w:r>
      <w:r w:rsidR="00F83CBF" w:rsidRPr="003E5020">
        <w:rPr>
          <w:rFonts w:ascii="Times New Roman" w:hAnsi="Times New Roman" w:cs="Times New Roman"/>
          <w:sz w:val="24"/>
          <w:szCs w:val="24"/>
          <w:lang w:val="sr-Cyrl-RS"/>
        </w:rPr>
        <w:t>не задовољава”, при чему ће први фактички решити 500 предмета, а други око 900 предмета</w:t>
      </w:r>
      <w:r w:rsidR="00F83CBF" w:rsidRPr="003E5020">
        <w:rPr>
          <w:rStyle w:val="FootnoteReference"/>
          <w:rFonts w:ascii="Times New Roman" w:hAnsi="Times New Roman" w:cs="Times New Roman"/>
          <w:sz w:val="24"/>
          <w:szCs w:val="24"/>
          <w:lang w:val="sr-Cyrl-RS"/>
        </w:rPr>
        <w:footnoteReference w:id="77"/>
      </w:r>
      <w:r w:rsidR="00F83CBF" w:rsidRPr="003E5020">
        <w:rPr>
          <w:rFonts w:ascii="Times New Roman" w:hAnsi="Times New Roman" w:cs="Times New Roman"/>
          <w:sz w:val="24"/>
          <w:szCs w:val="24"/>
          <w:lang w:val="sr-Cyrl-RS"/>
        </w:rPr>
        <w:t>, односно 400 предмета више од првог. Овим се директно подрива систем меритократије, који најпре у правосуђу мора да постане основни стуб на којем почива управљање људским ресурсима. Н</w:t>
      </w:r>
      <w:r w:rsidRPr="003E5020">
        <w:rPr>
          <w:rFonts w:ascii="Times New Roman" w:hAnsi="Times New Roman" w:cs="Times New Roman"/>
          <w:sz w:val="24"/>
          <w:szCs w:val="24"/>
          <w:lang w:val="sr-Cyrl-RS"/>
        </w:rPr>
        <w:t>осилац јавнотужилачке функције</w:t>
      </w:r>
      <w:r w:rsidR="00F83CBF" w:rsidRPr="003E5020">
        <w:rPr>
          <w:rFonts w:ascii="Times New Roman" w:hAnsi="Times New Roman" w:cs="Times New Roman"/>
          <w:sz w:val="24"/>
          <w:szCs w:val="24"/>
          <w:lang w:val="sr-Cyrl-RS"/>
        </w:rPr>
        <w:t xml:space="preserve"> из првог примера</w:t>
      </w:r>
      <w:r w:rsidRPr="003E5020">
        <w:rPr>
          <w:rFonts w:ascii="Times New Roman" w:hAnsi="Times New Roman" w:cs="Times New Roman"/>
          <w:sz w:val="24"/>
          <w:szCs w:val="24"/>
          <w:lang w:val="sr-Cyrl-RS"/>
        </w:rPr>
        <w:t xml:space="preserve"> има стопу од 100% решених предмета у односу на број додељених</w:t>
      </w:r>
      <w:r w:rsidR="00F83CBF" w:rsidRPr="003E5020">
        <w:rPr>
          <w:rFonts w:ascii="Times New Roman" w:hAnsi="Times New Roman" w:cs="Times New Roman"/>
          <w:sz w:val="24"/>
          <w:szCs w:val="24"/>
          <w:lang w:val="sr-Cyrl-RS"/>
        </w:rPr>
        <w:t xml:space="preserve"> и зато добија </w:t>
      </w:r>
      <w:r w:rsidRPr="003E5020">
        <w:rPr>
          <w:rFonts w:ascii="Times New Roman" w:hAnsi="Times New Roman" w:cs="Times New Roman"/>
          <w:sz w:val="24"/>
          <w:szCs w:val="24"/>
          <w:lang w:val="sr-Cyrl-RS"/>
        </w:rPr>
        <w:t>највиш</w:t>
      </w:r>
      <w:r w:rsidR="00F83CBF"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Cyrl-RS"/>
        </w:rPr>
        <w:t xml:space="preserve"> оцен</w:t>
      </w:r>
      <w:r w:rsidR="00F83CBF"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Cyrl-RS"/>
        </w:rPr>
        <w:t>, док с друге стране, носилац јавнотужилачке функције</w:t>
      </w:r>
      <w:r w:rsidR="00F83CBF" w:rsidRPr="003E5020">
        <w:rPr>
          <w:rFonts w:ascii="Times New Roman" w:hAnsi="Times New Roman" w:cs="Times New Roman"/>
          <w:sz w:val="24"/>
          <w:szCs w:val="24"/>
          <w:lang w:val="sr-Cyrl-RS"/>
        </w:rPr>
        <w:t xml:space="preserve"> из другог примера</w:t>
      </w:r>
      <w:r w:rsidRPr="003E5020">
        <w:rPr>
          <w:rFonts w:ascii="Times New Roman" w:hAnsi="Times New Roman" w:cs="Times New Roman"/>
          <w:sz w:val="24"/>
          <w:szCs w:val="24"/>
          <w:lang w:val="sr-Cyrl-RS"/>
        </w:rPr>
        <w:t xml:space="preserve"> има мању стопу решених предмета</w:t>
      </w:r>
      <w:r w:rsidR="00F83CBF" w:rsidRPr="003E5020">
        <w:rPr>
          <w:rFonts w:ascii="Times New Roman" w:hAnsi="Times New Roman" w:cs="Times New Roman"/>
          <w:sz w:val="24"/>
          <w:szCs w:val="24"/>
          <w:lang w:val="sr-Cyrl-RS"/>
        </w:rPr>
        <w:t>, свега 6</w:t>
      </w:r>
      <w:r w:rsidRPr="003E5020">
        <w:rPr>
          <w:rFonts w:ascii="Times New Roman" w:hAnsi="Times New Roman" w:cs="Times New Roman"/>
          <w:sz w:val="24"/>
          <w:szCs w:val="24"/>
          <w:lang w:val="sr-Cyrl-RS"/>
        </w:rPr>
        <w:t xml:space="preserve">0% од броја додељених предмета, па самим тим о лошију оцену, </w:t>
      </w:r>
      <w:r w:rsidR="00F83CBF" w:rsidRPr="003E5020">
        <w:rPr>
          <w:rFonts w:ascii="Times New Roman" w:hAnsi="Times New Roman" w:cs="Times New Roman"/>
          <w:sz w:val="24"/>
          <w:szCs w:val="24"/>
          <w:lang w:val="sr-Cyrl-RS"/>
        </w:rPr>
        <w:t xml:space="preserve">а </w:t>
      </w:r>
      <w:r w:rsidR="009876AB" w:rsidRPr="003E5020">
        <w:rPr>
          <w:rFonts w:ascii="Times New Roman" w:hAnsi="Times New Roman" w:cs="Times New Roman"/>
          <w:sz w:val="24"/>
          <w:szCs w:val="24"/>
          <w:lang w:val="sr-Cyrl-RS"/>
        </w:rPr>
        <w:t xml:space="preserve">заправо </w:t>
      </w:r>
      <w:r w:rsidR="00F83CBF" w:rsidRPr="003E5020">
        <w:rPr>
          <w:rFonts w:ascii="Times New Roman" w:hAnsi="Times New Roman" w:cs="Times New Roman"/>
          <w:sz w:val="24"/>
          <w:szCs w:val="24"/>
          <w:lang w:val="sr-Cyrl-RS"/>
        </w:rPr>
        <w:t xml:space="preserve">решава </w:t>
      </w:r>
      <w:r w:rsidR="009876AB" w:rsidRPr="003E5020">
        <w:rPr>
          <w:rFonts w:ascii="Times New Roman" w:hAnsi="Times New Roman" w:cs="Times New Roman"/>
          <w:sz w:val="24"/>
          <w:szCs w:val="24"/>
          <w:lang w:val="sr-Cyrl-RS"/>
        </w:rPr>
        <w:t xml:space="preserve">80% </w:t>
      </w:r>
      <w:r w:rsidR="00F83CBF" w:rsidRPr="003E5020">
        <w:rPr>
          <w:rFonts w:ascii="Times New Roman" w:hAnsi="Times New Roman" w:cs="Times New Roman"/>
          <w:sz w:val="24"/>
          <w:szCs w:val="24"/>
          <w:lang w:val="sr-Cyrl-RS"/>
        </w:rPr>
        <w:t xml:space="preserve">предмета више </w:t>
      </w:r>
      <w:r w:rsidRPr="003E5020">
        <w:rPr>
          <w:rFonts w:ascii="Times New Roman" w:hAnsi="Times New Roman" w:cs="Times New Roman"/>
          <w:sz w:val="24"/>
          <w:szCs w:val="24"/>
          <w:lang w:val="sr-Cyrl-RS"/>
        </w:rPr>
        <w:t>од првонаведеног носиоца јавно</w:t>
      </w:r>
      <w:r w:rsidR="00F83CBF" w:rsidRPr="003E5020">
        <w:rPr>
          <w:rFonts w:ascii="Times New Roman" w:hAnsi="Times New Roman" w:cs="Times New Roman"/>
          <w:sz w:val="24"/>
          <w:szCs w:val="24"/>
          <w:lang w:val="sr-Cyrl-RS"/>
        </w:rPr>
        <w:t>т</w:t>
      </w:r>
      <w:r w:rsidRPr="003E5020">
        <w:rPr>
          <w:rFonts w:ascii="Times New Roman" w:hAnsi="Times New Roman" w:cs="Times New Roman"/>
          <w:sz w:val="24"/>
          <w:szCs w:val="24"/>
          <w:lang w:val="sr-Cyrl-RS"/>
        </w:rPr>
        <w:t>ужилачке функције</w:t>
      </w:r>
      <w:r w:rsidR="00F83CBF" w:rsidRPr="003E5020">
        <w:rPr>
          <w:rFonts w:ascii="Times New Roman" w:hAnsi="Times New Roman" w:cs="Times New Roman"/>
          <w:sz w:val="24"/>
          <w:szCs w:val="24"/>
          <w:lang w:val="sr-Cyrl-RS"/>
        </w:rPr>
        <w:t xml:space="preserve"> и</w:t>
      </w:r>
      <w:r w:rsidRPr="003E5020">
        <w:rPr>
          <w:rFonts w:ascii="Times New Roman" w:hAnsi="Times New Roman" w:cs="Times New Roman"/>
          <w:sz w:val="24"/>
          <w:szCs w:val="24"/>
          <w:lang w:val="sr-Cyrl-RS"/>
        </w:rPr>
        <w:t xml:space="preserve"> </w:t>
      </w:r>
      <w:r w:rsidR="009876AB" w:rsidRPr="003E5020">
        <w:rPr>
          <w:rFonts w:ascii="Times New Roman" w:hAnsi="Times New Roman" w:cs="Times New Roman"/>
          <w:sz w:val="24"/>
          <w:szCs w:val="24"/>
          <w:lang w:val="sr-Cyrl-RS"/>
        </w:rPr>
        <w:t xml:space="preserve">он </w:t>
      </w:r>
      <w:r w:rsidR="00F83CBF" w:rsidRPr="003E5020">
        <w:rPr>
          <w:rFonts w:ascii="Times New Roman" w:hAnsi="Times New Roman" w:cs="Times New Roman"/>
          <w:sz w:val="24"/>
          <w:szCs w:val="24"/>
          <w:lang w:val="sr-Cyrl-RS"/>
        </w:rPr>
        <w:t xml:space="preserve">је </w:t>
      </w:r>
      <w:r w:rsidR="009876AB" w:rsidRPr="003E5020">
        <w:rPr>
          <w:rFonts w:ascii="Times New Roman" w:hAnsi="Times New Roman" w:cs="Times New Roman"/>
          <w:sz w:val="24"/>
          <w:szCs w:val="24"/>
          <w:lang w:val="sr-Cyrl-RS"/>
        </w:rPr>
        <w:t xml:space="preserve">знатно </w:t>
      </w:r>
      <w:r w:rsidRPr="003E5020">
        <w:rPr>
          <w:rFonts w:ascii="Times New Roman" w:hAnsi="Times New Roman" w:cs="Times New Roman"/>
          <w:sz w:val="24"/>
          <w:szCs w:val="24"/>
          <w:lang w:val="sr-Cyrl-RS"/>
        </w:rPr>
        <w:t>ефикаснији у раду.</w:t>
      </w:r>
    </w:p>
    <w:p w14:paraId="519F546E" w14:textId="77777777" w:rsidR="000420D8" w:rsidRPr="003E5020" w:rsidRDefault="000420D8" w:rsidP="000420D8">
      <w:pPr>
        <w:ind w:left="851"/>
        <w:jc w:val="both"/>
        <w:rPr>
          <w:rFonts w:ascii="Times New Roman" w:hAnsi="Times New Roman" w:cs="Times New Roman"/>
          <w:sz w:val="24"/>
          <w:szCs w:val="24"/>
          <w:lang w:val="sr-Cyrl-RS"/>
        </w:rPr>
      </w:pPr>
    </w:p>
    <w:p w14:paraId="6876DCF2" w14:textId="77777777" w:rsidR="000420D8" w:rsidRPr="003E5020" w:rsidRDefault="000420D8" w:rsidP="000420D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Из напред наведених разлога, потребно је извршити ревизију постојећег система оцене радног учинка и модернизовати га увођењем савремених елемената за оцењивање, укључујући и могућност конкретног носиоца јавнотужилачке функције да се изјасни о резултатима оцењивања и да своје мишљење кроз накнадно обављен интервју.</w:t>
      </w:r>
    </w:p>
    <w:p w14:paraId="435C7483" w14:textId="77777777" w:rsidR="00544D8C" w:rsidRPr="003E5020" w:rsidRDefault="00544D8C" w:rsidP="000420D8">
      <w:pPr>
        <w:ind w:left="851"/>
        <w:jc w:val="both"/>
        <w:rPr>
          <w:rFonts w:ascii="Times New Roman" w:hAnsi="Times New Roman" w:cs="Times New Roman"/>
          <w:sz w:val="24"/>
          <w:szCs w:val="24"/>
          <w:lang w:val="sr-Cyrl-RS"/>
        </w:rPr>
      </w:pPr>
    </w:p>
    <w:p w14:paraId="4CEE9BE8" w14:textId="53D5554B" w:rsidR="00544D8C" w:rsidRPr="003E5020" w:rsidRDefault="00175825" w:rsidP="007222BE">
      <w:pPr>
        <w:pStyle w:val="ListParagraph"/>
        <w:numPr>
          <w:ilvl w:val="2"/>
          <w:numId w:val="2"/>
        </w:numPr>
        <w:ind w:left="851" w:hanging="851"/>
        <w:rPr>
          <w:rFonts w:ascii="Times New Roman" w:eastAsiaTheme="majorEastAsia" w:hAnsi="Times New Roman" w:cs="Times New Roman"/>
          <w:sz w:val="24"/>
          <w:szCs w:val="24"/>
          <w:lang w:val="sr-Cyrl-RS"/>
        </w:rPr>
      </w:pPr>
      <w:r w:rsidRPr="003E5020">
        <w:rPr>
          <w:rFonts w:ascii="Times New Roman" w:hAnsi="Times New Roman" w:cs="Times New Roman"/>
          <w:iCs/>
          <w:sz w:val="24"/>
          <w:szCs w:val="24"/>
          <w:lang w:val="sr-Cyrl-RS"/>
        </w:rPr>
        <w:t>Унапређење</w:t>
      </w:r>
      <w:r w:rsidRPr="003E5020">
        <w:rPr>
          <w:rFonts w:ascii="Times New Roman" w:eastAsiaTheme="majorEastAsia" w:hAnsi="Times New Roman" w:cs="Times New Roman"/>
          <w:sz w:val="24"/>
          <w:szCs w:val="24"/>
          <w:lang w:val="sr-Cyrl-RS"/>
        </w:rPr>
        <w:t xml:space="preserve"> обуке</w:t>
      </w:r>
      <w:r w:rsidR="00544D8C" w:rsidRPr="003E5020">
        <w:rPr>
          <w:rFonts w:ascii="Times New Roman" w:eastAsiaTheme="majorEastAsia" w:hAnsi="Times New Roman" w:cs="Times New Roman"/>
          <w:sz w:val="24"/>
          <w:szCs w:val="24"/>
          <w:lang w:val="sr-Cyrl-RS"/>
        </w:rPr>
        <w:t xml:space="preserve"> у </w:t>
      </w:r>
      <w:r w:rsidRPr="003E5020">
        <w:rPr>
          <w:rFonts w:ascii="Times New Roman" w:eastAsiaTheme="majorEastAsia" w:hAnsi="Times New Roman" w:cs="Times New Roman"/>
          <w:sz w:val="24"/>
          <w:szCs w:val="24"/>
          <w:lang w:val="sr-Cyrl-RS"/>
        </w:rPr>
        <w:t xml:space="preserve">јавним </w:t>
      </w:r>
      <w:r w:rsidR="00544D8C" w:rsidRPr="003E5020">
        <w:rPr>
          <w:rFonts w:ascii="Times New Roman" w:eastAsiaTheme="majorEastAsia" w:hAnsi="Times New Roman" w:cs="Times New Roman"/>
          <w:sz w:val="24"/>
          <w:szCs w:val="24"/>
          <w:lang w:val="sr-Cyrl-RS"/>
        </w:rPr>
        <w:t>тужилаштвима</w:t>
      </w:r>
    </w:p>
    <w:p w14:paraId="7A995321" w14:textId="77777777" w:rsidR="00544D8C" w:rsidRPr="003E5020" w:rsidRDefault="00544D8C" w:rsidP="000420D8">
      <w:pPr>
        <w:ind w:left="851"/>
        <w:jc w:val="both"/>
        <w:rPr>
          <w:rFonts w:ascii="Times New Roman" w:hAnsi="Times New Roman" w:cs="Times New Roman"/>
          <w:sz w:val="24"/>
          <w:szCs w:val="24"/>
          <w:lang w:val="sr-Cyrl-RS"/>
        </w:rPr>
      </w:pPr>
    </w:p>
    <w:p w14:paraId="3E1FD973" w14:textId="479E5935" w:rsidR="00DA7D5F" w:rsidRPr="003E5020" w:rsidRDefault="00DA7D5F" w:rsidP="00DA7D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Постојећи приступ не истиче у довољној мери повезаност између квалитетне и континуиране обуке </w:t>
      </w:r>
      <w:r w:rsidR="00175825" w:rsidRPr="003E5020">
        <w:rPr>
          <w:rFonts w:ascii="Times New Roman" w:hAnsi="Times New Roman" w:cs="Times New Roman"/>
          <w:sz w:val="24"/>
          <w:szCs w:val="24"/>
          <w:lang w:val="sr-Cyrl-RS"/>
        </w:rPr>
        <w:t xml:space="preserve">јавних </w:t>
      </w:r>
      <w:r w:rsidRPr="003E5020">
        <w:rPr>
          <w:rFonts w:ascii="Times New Roman" w:hAnsi="Times New Roman" w:cs="Times New Roman"/>
          <w:sz w:val="24"/>
          <w:szCs w:val="24"/>
          <w:lang w:val="sr-Cyrl-RS"/>
        </w:rPr>
        <w:t xml:space="preserve">тужилаца и заменика </w:t>
      </w:r>
      <w:r w:rsidR="00175825" w:rsidRPr="003E5020">
        <w:rPr>
          <w:rFonts w:ascii="Times New Roman" w:hAnsi="Times New Roman" w:cs="Times New Roman"/>
          <w:sz w:val="24"/>
          <w:szCs w:val="24"/>
          <w:lang w:val="sr-Cyrl-RS"/>
        </w:rPr>
        <w:t xml:space="preserve">јавних </w:t>
      </w:r>
      <w:r w:rsidRPr="003E5020">
        <w:rPr>
          <w:rFonts w:ascii="Times New Roman" w:hAnsi="Times New Roman" w:cs="Times New Roman"/>
          <w:sz w:val="24"/>
          <w:szCs w:val="24"/>
          <w:lang w:val="sr-Cyrl-RS"/>
        </w:rPr>
        <w:t>тужилаца и успешности у брзом и квалитетном решавању предмета</w:t>
      </w:r>
      <w:r w:rsidR="00175825"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Пожељно би било користити додатна стручна усавршавања и обуке у вези са реформом правосуђа.</w:t>
      </w:r>
    </w:p>
    <w:p w14:paraId="2F040541" w14:textId="77777777" w:rsidR="00DA7D5F" w:rsidRPr="003E5020" w:rsidRDefault="00DA7D5F" w:rsidP="00DA7D5F">
      <w:pPr>
        <w:ind w:left="851"/>
        <w:jc w:val="both"/>
        <w:rPr>
          <w:rFonts w:ascii="Times New Roman" w:hAnsi="Times New Roman" w:cs="Times New Roman"/>
          <w:sz w:val="24"/>
          <w:szCs w:val="24"/>
          <w:lang w:val="sr-Cyrl-RS"/>
        </w:rPr>
      </w:pPr>
    </w:p>
    <w:p w14:paraId="0D654378" w14:textId="12A38091" w:rsidR="00DA7D5F" w:rsidRPr="003E5020" w:rsidRDefault="00DA7D5F" w:rsidP="00DA7D5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Непостојање свеобухватне анализе потреба за обуком </w:t>
      </w:r>
      <w:r w:rsidR="00175825" w:rsidRPr="003E5020">
        <w:rPr>
          <w:rFonts w:ascii="Times New Roman" w:hAnsi="Times New Roman" w:cs="Times New Roman"/>
          <w:sz w:val="24"/>
          <w:szCs w:val="24"/>
          <w:lang w:val="sr-Cyrl-RS"/>
        </w:rPr>
        <w:t xml:space="preserve">јавних </w:t>
      </w:r>
      <w:r w:rsidRPr="003E5020">
        <w:rPr>
          <w:rFonts w:ascii="Times New Roman" w:hAnsi="Times New Roman" w:cs="Times New Roman"/>
          <w:sz w:val="24"/>
          <w:szCs w:val="24"/>
          <w:lang w:val="sr-Cyrl-RS"/>
        </w:rPr>
        <w:t>тужилаца и заменика</w:t>
      </w:r>
      <w:r w:rsidR="00175825" w:rsidRPr="003E5020">
        <w:rPr>
          <w:rFonts w:ascii="Times New Roman" w:hAnsi="Times New Roman" w:cs="Times New Roman"/>
          <w:sz w:val="24"/>
          <w:szCs w:val="24"/>
          <w:lang w:val="sr-Cyrl-RS"/>
        </w:rPr>
        <w:t xml:space="preserve"> јавних</w:t>
      </w:r>
      <w:r w:rsidRPr="003E5020">
        <w:rPr>
          <w:rFonts w:ascii="Times New Roman" w:hAnsi="Times New Roman" w:cs="Times New Roman"/>
          <w:sz w:val="24"/>
          <w:szCs w:val="24"/>
          <w:lang w:val="sr-Cyrl-RS"/>
        </w:rPr>
        <w:t xml:space="preserve"> тужилаца и на њој заснованих релевантних садржаја програма и планова обука.</w:t>
      </w:r>
    </w:p>
    <w:p w14:paraId="79025E4C" w14:textId="77777777" w:rsidR="00F2693B" w:rsidRPr="003E5020" w:rsidRDefault="00F2693B" w:rsidP="000420D8">
      <w:pPr>
        <w:rPr>
          <w:rFonts w:ascii="Times New Roman" w:hAnsi="Times New Roman" w:cs="Times New Roman"/>
          <w:sz w:val="24"/>
          <w:szCs w:val="24"/>
          <w:lang w:val="sr-Cyrl-RS"/>
        </w:rPr>
      </w:pPr>
    </w:p>
    <w:p w14:paraId="5C127667" w14:textId="542FDB9B" w:rsidR="00657A0F" w:rsidRPr="003E5020" w:rsidRDefault="00657A0F" w:rsidP="00657A0F">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iCs/>
          <w:sz w:val="24"/>
          <w:szCs w:val="24"/>
          <w:lang w:val="sr-Cyrl-RS"/>
        </w:rPr>
        <w:t>Веза са посебним циљем</w:t>
      </w:r>
      <w:r w:rsidRPr="003E5020">
        <w:rPr>
          <w:rFonts w:ascii="Times New Roman" w:eastAsiaTheme="majorEastAsia" w:hAnsi="Times New Roman" w:cs="Times New Roman"/>
          <w:sz w:val="24"/>
          <w:szCs w:val="24"/>
          <w:lang w:val="sr-Cyrl-RS"/>
        </w:rPr>
        <w:t xml:space="preserve">: </w:t>
      </w:r>
      <w:r w:rsidRPr="003E5020">
        <w:rPr>
          <w:rFonts w:ascii="Times New Roman" w:hAnsi="Times New Roman" w:cs="Times New Roman"/>
          <w:sz w:val="24"/>
          <w:szCs w:val="24"/>
          <w:lang w:val="sr-Cyrl-RS"/>
        </w:rPr>
        <w:t xml:space="preserve">Стратегија наведени проблем непосредно третира најпре кроз реализацију посебног </w:t>
      </w:r>
      <w:hyperlink w:anchor="_Циљ_1._–" w:history="1">
        <w:r w:rsidRPr="003E5020">
          <w:rPr>
            <w:rStyle w:val="Hyperlink"/>
            <w:rFonts w:ascii="Times New Roman" w:hAnsi="Times New Roman" w:cs="Times New Roman"/>
            <w:color w:val="auto"/>
            <w:sz w:val="24"/>
            <w:szCs w:val="24"/>
            <w:lang w:val="sr-Cyrl-RS"/>
          </w:rPr>
          <w:t>циља 1</w:t>
        </w:r>
      </w:hyperlink>
      <w:r w:rsidRPr="003E5020">
        <w:rPr>
          <w:rFonts w:ascii="Times New Roman" w:hAnsi="Times New Roman" w:cs="Times New Roman"/>
          <w:sz w:val="24"/>
          <w:szCs w:val="24"/>
          <w:lang w:val="sr-Cyrl-RS"/>
        </w:rPr>
        <w:t xml:space="preserve"> и </w:t>
      </w:r>
      <w:hyperlink w:anchor="_Циљ_3._–" w:history="1">
        <w:r w:rsidRPr="003E5020">
          <w:rPr>
            <w:rStyle w:val="Hyperlink"/>
            <w:rFonts w:ascii="Times New Roman" w:hAnsi="Times New Roman" w:cs="Times New Roman"/>
            <w:color w:val="auto"/>
            <w:sz w:val="24"/>
            <w:szCs w:val="24"/>
            <w:lang w:val="sr-Cyrl-RS"/>
          </w:rPr>
          <w:t>циља 3</w:t>
        </w:r>
      </w:hyperlink>
      <w:r w:rsidRPr="003E5020">
        <w:rPr>
          <w:rFonts w:ascii="Times New Roman" w:hAnsi="Times New Roman" w:cs="Times New Roman"/>
          <w:sz w:val="24"/>
          <w:szCs w:val="24"/>
          <w:lang w:val="sr-Cyrl-RS"/>
        </w:rPr>
        <w:t xml:space="preserve">. Посредно на решавање овог проблема треба да утиче реализација посебног </w:t>
      </w:r>
      <w:hyperlink w:anchor="_Циљ_2._-" w:history="1">
        <w:r w:rsidRPr="003E5020">
          <w:rPr>
            <w:rStyle w:val="Hyperlink"/>
            <w:rFonts w:ascii="Times New Roman" w:hAnsi="Times New Roman" w:cs="Times New Roman"/>
            <w:color w:val="auto"/>
            <w:sz w:val="24"/>
            <w:szCs w:val="24"/>
            <w:lang w:val="sr-Cyrl-RS"/>
          </w:rPr>
          <w:t>циља 2</w:t>
        </w:r>
      </w:hyperlink>
      <w:r w:rsidRPr="003E5020">
        <w:rPr>
          <w:rFonts w:ascii="Times New Roman" w:hAnsi="Times New Roman" w:cs="Times New Roman"/>
          <w:sz w:val="24"/>
          <w:szCs w:val="24"/>
          <w:lang w:val="sr-Cyrl-RS"/>
        </w:rPr>
        <w:t xml:space="preserve"> Стратегије.</w:t>
      </w:r>
    </w:p>
    <w:p w14:paraId="63C07A67" w14:textId="6A24B1CF" w:rsidR="00316FD1" w:rsidRPr="003E5020" w:rsidRDefault="00316FD1" w:rsidP="00A23055">
      <w:pPr>
        <w:rPr>
          <w:rFonts w:ascii="Times New Roman" w:hAnsi="Times New Roman" w:cs="Times New Roman"/>
          <w:sz w:val="24"/>
          <w:szCs w:val="24"/>
          <w:lang w:val="sr-Cyrl-RS"/>
        </w:rPr>
      </w:pPr>
    </w:p>
    <w:p w14:paraId="6AD8D5A2" w14:textId="77777777" w:rsidR="004C3A12" w:rsidRPr="003E5020" w:rsidRDefault="004C3A12" w:rsidP="007222BE">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2" w:name="_Toc46400233"/>
      <w:bookmarkStart w:id="103" w:name="_Toc84778629"/>
      <w:r w:rsidRPr="003E5020">
        <w:rPr>
          <w:rFonts w:ascii="Times New Roman" w:hAnsi="Times New Roman" w:cs="Times New Roman"/>
          <w:color w:val="auto"/>
          <w:sz w:val="24"/>
          <w:szCs w:val="24"/>
          <w:lang w:val="sr-Cyrl-RS"/>
        </w:rPr>
        <w:t>Неадекватан статус и положај тужилачких помоћника</w:t>
      </w:r>
      <w:bookmarkEnd w:id="102"/>
      <w:bookmarkEnd w:id="103"/>
      <w:r w:rsidRPr="003E5020">
        <w:rPr>
          <w:rFonts w:ascii="Times New Roman" w:hAnsi="Times New Roman" w:cs="Times New Roman"/>
          <w:color w:val="auto"/>
          <w:sz w:val="24"/>
          <w:szCs w:val="24"/>
          <w:lang w:val="sr-Cyrl-RS"/>
        </w:rPr>
        <w:t xml:space="preserve"> </w:t>
      </w:r>
    </w:p>
    <w:p w14:paraId="1B8892C7" w14:textId="77777777" w:rsidR="004C3A12" w:rsidRPr="003E5020" w:rsidRDefault="004C3A12" w:rsidP="004C3A12">
      <w:pPr>
        <w:rPr>
          <w:rFonts w:ascii="Times New Roman" w:hAnsi="Times New Roman" w:cs="Times New Roman"/>
          <w:sz w:val="24"/>
          <w:szCs w:val="24"/>
          <w:lang w:val="sr-Cyrl-RS"/>
        </w:rPr>
      </w:pPr>
    </w:p>
    <w:p w14:paraId="6173978F"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Положај судијских и тужилачких помоћника је веома сродан, па се из тог разлога могу поставити бројне паралеле и извући исти односно слични закључци. Наиме, тужилачки помоћници имају веома значајан положај у функционисању тужилаштава и њихов статус треба да буде предмет предстојеће реформе људских ресурса у правосуђу. </w:t>
      </w:r>
    </w:p>
    <w:p w14:paraId="2A8A3CCA" w14:textId="77777777" w:rsidR="004C3A12" w:rsidRPr="003E5020" w:rsidRDefault="004C3A12" w:rsidP="004C3A12">
      <w:pPr>
        <w:jc w:val="both"/>
        <w:rPr>
          <w:rFonts w:ascii="Times New Roman" w:hAnsi="Times New Roman" w:cs="Times New Roman"/>
          <w:sz w:val="24"/>
          <w:szCs w:val="24"/>
          <w:lang w:val="sr-Cyrl-RS"/>
        </w:rPr>
      </w:pPr>
    </w:p>
    <w:p w14:paraId="144AE42E" w14:textId="24C93D1F"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hAnsi="Times New Roman" w:cs="Times New Roman"/>
          <w:iCs/>
          <w:sz w:val="24"/>
          <w:szCs w:val="24"/>
          <w:lang w:val="sr-Cyrl-RS"/>
        </w:rPr>
        <w:t>Правни</w:t>
      </w:r>
      <w:r w:rsidRPr="003E5020">
        <w:rPr>
          <w:rFonts w:ascii="Times New Roman" w:eastAsiaTheme="majorEastAsia" w:hAnsi="Times New Roman" w:cs="Times New Roman"/>
          <w:iCs/>
          <w:sz w:val="24"/>
          <w:szCs w:val="24"/>
          <w:lang w:val="sr-Cyrl-RS"/>
        </w:rPr>
        <w:t xml:space="preserve"> статус</w:t>
      </w:r>
    </w:p>
    <w:p w14:paraId="1820878A" w14:textId="77777777" w:rsidR="004C3A12" w:rsidRPr="003E5020" w:rsidRDefault="004C3A12" w:rsidP="004C3A12">
      <w:pPr>
        <w:ind w:left="851"/>
        <w:jc w:val="both"/>
        <w:rPr>
          <w:rFonts w:ascii="Times New Roman" w:hAnsi="Times New Roman" w:cs="Times New Roman"/>
          <w:sz w:val="24"/>
          <w:szCs w:val="24"/>
          <w:lang w:val="sr-Cyrl-RS"/>
        </w:rPr>
      </w:pPr>
    </w:p>
    <w:p w14:paraId="32FC6FE8"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Сходно одредбама члана 117. Закона о јавном тужилаштву</w:t>
      </w:r>
      <w:r w:rsidRPr="003E5020">
        <w:rPr>
          <w:rStyle w:val="FootnoteReference"/>
          <w:rFonts w:ascii="Times New Roman" w:hAnsi="Times New Roman" w:cs="Times New Roman"/>
          <w:sz w:val="24"/>
          <w:szCs w:val="24"/>
          <w:lang w:val="sr-Cyrl-RS"/>
        </w:rPr>
        <w:footnoteReference w:id="78"/>
      </w:r>
      <w:r w:rsidRPr="003E5020">
        <w:rPr>
          <w:rFonts w:ascii="Times New Roman" w:hAnsi="Times New Roman" w:cs="Times New Roman"/>
          <w:sz w:val="24"/>
          <w:szCs w:val="24"/>
          <w:lang w:val="sr-Cyrl-RS"/>
        </w:rPr>
        <w:t xml:space="preserve"> тужилачки помоћници су сврстани у ред особља у јавном тужилаштву, заједно са  тужилачким приправницима и државним службеницима и намештеницима запосленим на административним, техничким, рачуноводственим, информационим и другим пратећим пословима значајним за јавно тужилаштво.</w:t>
      </w:r>
    </w:p>
    <w:p w14:paraId="195DE8A8" w14:textId="77777777" w:rsidR="004C3A12" w:rsidRPr="003E5020" w:rsidRDefault="004C3A12" w:rsidP="004C3A12">
      <w:pPr>
        <w:ind w:left="851"/>
        <w:jc w:val="both"/>
        <w:rPr>
          <w:rFonts w:ascii="Times New Roman" w:hAnsi="Times New Roman" w:cs="Times New Roman"/>
          <w:sz w:val="24"/>
          <w:szCs w:val="24"/>
          <w:lang w:val="sr-Cyrl-RS"/>
        </w:rPr>
      </w:pPr>
    </w:p>
    <w:p w14:paraId="42B3328C"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 заснивање радног односа, права, обавезе, стручно усавршавање, оцењивање и одговорности особља у јавном тужилаштву примењују се прописи који уређују радне односе државних службеника и намештеника.</w:t>
      </w:r>
      <w:r w:rsidRPr="003E5020">
        <w:rPr>
          <w:rStyle w:val="FootnoteReference"/>
          <w:rFonts w:ascii="Times New Roman" w:hAnsi="Times New Roman" w:cs="Times New Roman"/>
          <w:sz w:val="24"/>
          <w:szCs w:val="24"/>
          <w:lang w:val="sr-Cyrl-RS"/>
        </w:rPr>
        <w:footnoteReference w:id="79"/>
      </w:r>
    </w:p>
    <w:p w14:paraId="6FA70391" w14:textId="77777777" w:rsidR="004C3A12" w:rsidRPr="003E5020" w:rsidRDefault="004C3A12" w:rsidP="004C3A12">
      <w:pPr>
        <w:ind w:left="851"/>
        <w:jc w:val="both"/>
        <w:rPr>
          <w:rFonts w:ascii="Times New Roman" w:hAnsi="Times New Roman" w:cs="Times New Roman"/>
          <w:sz w:val="24"/>
          <w:szCs w:val="24"/>
          <w:lang w:val="sr-Cyrl-RS"/>
        </w:rPr>
      </w:pPr>
    </w:p>
    <w:p w14:paraId="7540C24A"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Позитивни прописи не праве динстинкцију између положаја тужилачких помоћника и осталог особља у тужилаштву, а у контексту права, обавеза, оцењивања и слично, упркос томе што суштина и значај посла тужилачких помоћника превазилази оквире осталог особља. </w:t>
      </w:r>
    </w:p>
    <w:p w14:paraId="506A9162" w14:textId="77777777" w:rsidR="004C3A12" w:rsidRPr="003E5020" w:rsidRDefault="004C3A12" w:rsidP="004C3A12">
      <w:pPr>
        <w:jc w:val="both"/>
        <w:rPr>
          <w:rFonts w:ascii="Times New Roman" w:hAnsi="Times New Roman" w:cs="Times New Roman"/>
          <w:sz w:val="24"/>
          <w:szCs w:val="24"/>
          <w:lang w:val="sr-Cyrl-RS"/>
        </w:rPr>
      </w:pPr>
    </w:p>
    <w:p w14:paraId="23584A39"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Сходно наведеном на плате, накнаде и друга примања тужилачких помоћника примењују се одредбе Закона о платама државних службеника и намештеника</w:t>
      </w:r>
      <w:r w:rsidRPr="003E5020">
        <w:rPr>
          <w:rStyle w:val="FootnoteReference"/>
          <w:rFonts w:ascii="Times New Roman" w:hAnsi="Times New Roman" w:cs="Times New Roman"/>
          <w:sz w:val="24"/>
          <w:szCs w:val="24"/>
          <w:lang w:val="sr-Cyrl-RS"/>
        </w:rPr>
        <w:footnoteReference w:id="80"/>
      </w:r>
      <w:r w:rsidRPr="003E5020">
        <w:rPr>
          <w:rFonts w:ascii="Times New Roman" w:hAnsi="Times New Roman" w:cs="Times New Roman"/>
          <w:sz w:val="24"/>
          <w:szCs w:val="24"/>
          <w:lang w:val="sr-Cyrl-RS"/>
        </w:rPr>
        <w:t xml:space="preserve">, а не одредбе Закона о јавном тужилаштву, којим се регулише материјални положај тужилаца и заменика, а што уједно има утицај на висину зараде тужилачких помоћника. Наведено стање је свакако дестимулативно за тужилачке помоћнике и представља један од разлога који их наводи да радни однос заснивају на плаћенијим радним местима. </w:t>
      </w:r>
    </w:p>
    <w:p w14:paraId="0D243C96" w14:textId="77777777" w:rsidR="004C3A12" w:rsidRPr="003E5020" w:rsidRDefault="004C3A12" w:rsidP="004C3A12">
      <w:pPr>
        <w:ind w:left="851"/>
        <w:jc w:val="both"/>
        <w:rPr>
          <w:rFonts w:ascii="Times New Roman" w:hAnsi="Times New Roman" w:cs="Times New Roman"/>
          <w:sz w:val="24"/>
          <w:szCs w:val="24"/>
          <w:lang w:val="sr-Cyrl-RS"/>
        </w:rPr>
      </w:pPr>
    </w:p>
    <w:p w14:paraId="4234EBBB"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Због свега описаног, пожељно је анализирати стање и поставити основе за утврђивање специфичности статуса тужилачких помоћника у односу на остало особље у јавном тужилаштву односно на могућност успостављања директне релације са Државним већем тужилаца. У овом контексту треба указати и на одредбе члана 48 Законика о кривичном поступку</w:t>
      </w:r>
      <w:r w:rsidRPr="003E5020">
        <w:rPr>
          <w:rStyle w:val="FootnoteReference"/>
          <w:rFonts w:ascii="Times New Roman" w:hAnsi="Times New Roman" w:cs="Times New Roman"/>
          <w:sz w:val="24"/>
          <w:szCs w:val="24"/>
          <w:lang w:val="sr-Cyrl-RS"/>
        </w:rPr>
        <w:footnoteReference w:id="81"/>
      </w:r>
      <w:r w:rsidRPr="003E5020">
        <w:rPr>
          <w:rFonts w:ascii="Times New Roman" w:hAnsi="Times New Roman" w:cs="Times New Roman"/>
          <w:sz w:val="24"/>
          <w:szCs w:val="24"/>
          <w:lang w:val="sr-Cyrl-RS"/>
        </w:rPr>
        <w:t>, којим је предвиђено да јавни тужилац предузима радње у поступку непосредно или преко свог заменика, а у поступку за кривично дело за које је прописана казна затвора до пет година и преко тужилачког сарадника, односно у поступку за кривично дело за које је прописана казна затвора до осам година и преко вишег тужилачког сарадника. Наведена одредба додатно указује на посебан значај тужилачких помоћника и њихову одговорност у раду тужилаштва.</w:t>
      </w:r>
    </w:p>
    <w:p w14:paraId="03444957"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6DBE515D"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Поред наведеног, пожељно је да се прецизирају односно ажурирају описи послова тужилачких помоћника, као и да се учине специфичним у односу на врсте тужилаштава. Награђивање</w:t>
      </w:r>
      <w:r w:rsidRPr="003E5020">
        <w:rPr>
          <w:rFonts w:ascii="Times New Roman" w:hAnsi="Times New Roman" w:cs="Times New Roman"/>
          <w:sz w:val="24"/>
          <w:szCs w:val="24"/>
          <w:lang w:val="sr-Latn-RS"/>
        </w:rPr>
        <w:t>,</w:t>
      </w:r>
      <w:r w:rsidRPr="003E5020">
        <w:rPr>
          <w:rFonts w:ascii="Times New Roman" w:hAnsi="Times New Roman" w:cs="Times New Roman"/>
          <w:sz w:val="24"/>
          <w:szCs w:val="24"/>
          <w:lang w:val="sr-Cyrl-RS"/>
        </w:rPr>
        <w:t xml:space="preserve"> оцењивање односно каријерни развој у целини мора стајати у јасној релацији са описима послова, чиме би се обезбедила мерљивност у поступању, ваљано квантификовање резултата и сходно томе напредовање тужилачких помоћника. Предвидивост у овом смислу је потребна како за саме тужилачке помоћнике, тако и за лица која их оцењују, а што у крајњој линији чини систем заокруженим у смислу планирања и утврђивања будућих кадровских капацитета тужилаштава. </w:t>
      </w:r>
    </w:p>
    <w:p w14:paraId="394456EC" w14:textId="77777777" w:rsidR="004C3A12" w:rsidRPr="003E5020" w:rsidRDefault="004C3A12" w:rsidP="004C3A12">
      <w:pPr>
        <w:ind w:left="851"/>
        <w:jc w:val="both"/>
        <w:rPr>
          <w:rFonts w:ascii="Times New Roman" w:hAnsi="Times New Roman" w:cs="Times New Roman"/>
          <w:sz w:val="24"/>
          <w:szCs w:val="24"/>
          <w:lang w:val="sr-Cyrl-RS"/>
        </w:rPr>
      </w:pPr>
    </w:p>
    <w:p w14:paraId="0DC76924" w14:textId="77777777" w:rsidR="004C3A12" w:rsidRPr="003E5020" w:rsidRDefault="004C3A12" w:rsidP="004C3A1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Незаобилазан део каријерног развоја је и стручно усавршавање, па је потребно успоставити односно развити систем обука и стручног усавршавања, који би узимао у обзир све специфичности и пре свега потреба тужилаштава односно тужилачких помоћника у њима. Поред наведене, потребна је још дубља анализа потребе за обукама, како би се унапредио рад тужилачких помоћника, те то представља концепт којем треба да се тежи. </w:t>
      </w:r>
    </w:p>
    <w:p w14:paraId="36192F8B" w14:textId="77777777" w:rsidR="004C3A12" w:rsidRPr="003E5020" w:rsidRDefault="004C3A12" w:rsidP="004C3A12">
      <w:pPr>
        <w:jc w:val="both"/>
        <w:rPr>
          <w:rFonts w:ascii="Times New Roman" w:hAnsi="Times New Roman" w:cs="Times New Roman"/>
          <w:sz w:val="24"/>
          <w:szCs w:val="24"/>
          <w:lang w:val="sr-Cyrl-RS"/>
        </w:rPr>
      </w:pPr>
    </w:p>
    <w:p w14:paraId="7F41BA70" w14:textId="3516B0CF"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Критеријуми са пријем у радни однос и напредовање</w:t>
      </w:r>
    </w:p>
    <w:p w14:paraId="179A5DD1" w14:textId="77777777" w:rsidR="004C3A12" w:rsidRPr="003E5020" w:rsidRDefault="004C3A12" w:rsidP="004C3A12">
      <w:pPr>
        <w:jc w:val="both"/>
        <w:rPr>
          <w:rFonts w:ascii="Times New Roman" w:hAnsi="Times New Roman" w:cs="Times New Roman"/>
          <w:sz w:val="24"/>
          <w:szCs w:val="24"/>
          <w:lang w:val="sr-Cyrl-RS"/>
        </w:rPr>
      </w:pPr>
    </w:p>
    <w:p w14:paraId="180DC99C"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 xml:space="preserve">Тужилачки помоћници могу да стекну следећа звања: </w:t>
      </w:r>
    </w:p>
    <w:p w14:paraId="63FC1F5D"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p>
    <w:p w14:paraId="5A4C2DBE" w14:textId="77777777" w:rsidR="004C3A12" w:rsidRPr="003E5020" w:rsidRDefault="004C3A12" w:rsidP="004C3A12">
      <w:pPr>
        <w:pStyle w:val="ListParagraph"/>
        <w:numPr>
          <w:ilvl w:val="0"/>
          <w:numId w:val="52"/>
        </w:numPr>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 xml:space="preserve">тужилачки сарадник, </w:t>
      </w:r>
    </w:p>
    <w:p w14:paraId="3783AEA3" w14:textId="77777777" w:rsidR="004C3A12" w:rsidRPr="003E5020" w:rsidRDefault="004C3A12" w:rsidP="004C3A12">
      <w:pPr>
        <w:pStyle w:val="ListParagraph"/>
        <w:numPr>
          <w:ilvl w:val="0"/>
          <w:numId w:val="52"/>
        </w:numPr>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 xml:space="preserve">виши тужилачки сарадник, </w:t>
      </w:r>
    </w:p>
    <w:p w14:paraId="51CF6A2C" w14:textId="77777777" w:rsidR="004C3A12" w:rsidRPr="003E5020" w:rsidRDefault="004C3A12" w:rsidP="004C3A12">
      <w:pPr>
        <w:pStyle w:val="ListParagraph"/>
        <w:numPr>
          <w:ilvl w:val="0"/>
          <w:numId w:val="52"/>
        </w:numPr>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 xml:space="preserve">саветник  </w:t>
      </w:r>
    </w:p>
    <w:p w14:paraId="1D28F45A" w14:textId="77777777" w:rsidR="004C3A12" w:rsidRPr="003E5020" w:rsidRDefault="004C3A12" w:rsidP="004C3A12">
      <w:pPr>
        <w:pStyle w:val="ListParagraph"/>
        <w:numPr>
          <w:ilvl w:val="0"/>
          <w:numId w:val="52"/>
        </w:numPr>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виши саветник.</w:t>
      </w:r>
    </w:p>
    <w:p w14:paraId="4732D66B" w14:textId="77777777" w:rsidR="004C3A12" w:rsidRPr="003E5020" w:rsidRDefault="004C3A12" w:rsidP="004C3A12">
      <w:pPr>
        <w:pStyle w:val="ListParagraph"/>
        <w:jc w:val="both"/>
        <w:rPr>
          <w:rFonts w:ascii="Times New Roman" w:hAnsi="Times New Roman" w:cs="Times New Roman"/>
          <w:bCs/>
          <w:sz w:val="24"/>
          <w:szCs w:val="24"/>
          <w:lang w:val="sr-Cyrl-RS"/>
        </w:rPr>
      </w:pPr>
    </w:p>
    <w:p w14:paraId="0458A9C8"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Звање тужилачког сарадника може стећи лице које има положени правосудни испит, а звање вишег тужилачког сарадника лице које после положеног правосудног испита има најмање две године радног искуства у правној струци.</w:t>
      </w:r>
    </w:p>
    <w:p w14:paraId="58760824"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p>
    <w:p w14:paraId="4323268B"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Звање саветника може стећи лице које испуњава услове за заменика вишег јавног тужиоца. Звање саветника постоји у Републичком јавном тужилаштву, јавном тужилаштву посебне надлежности и апелационом јавном тужилаштву.</w:t>
      </w:r>
    </w:p>
    <w:p w14:paraId="368A77B1"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p>
    <w:p w14:paraId="791E88EE"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r w:rsidRPr="003E5020">
        <w:rPr>
          <w:rFonts w:ascii="Times New Roman" w:hAnsi="Times New Roman" w:cs="Times New Roman"/>
          <w:bCs/>
          <w:sz w:val="24"/>
          <w:szCs w:val="24"/>
          <w:lang w:val="sr-Cyrl-RS"/>
        </w:rPr>
        <w:t>Најзад, у Републичком јавном тужилаштву постоји и звање вишег саветника, које се стиче одлуком Колегијума Републичког јавног тужилаштва, а може га стећи лице које има звање саветника.</w:t>
      </w:r>
    </w:p>
    <w:p w14:paraId="2378052E" w14:textId="77777777" w:rsidR="004C3A12" w:rsidRPr="003E5020" w:rsidRDefault="004C3A12" w:rsidP="004C3A12">
      <w:pPr>
        <w:pStyle w:val="ListParagraph"/>
        <w:ind w:left="851"/>
        <w:jc w:val="both"/>
        <w:rPr>
          <w:rFonts w:ascii="Times New Roman" w:hAnsi="Times New Roman" w:cs="Times New Roman"/>
          <w:bCs/>
          <w:sz w:val="24"/>
          <w:szCs w:val="24"/>
          <w:lang w:val="sr-Cyrl-RS"/>
        </w:rPr>
      </w:pPr>
    </w:p>
    <w:p w14:paraId="4E6B6CC8"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Имајући у виду правни статус тужилачких помоћника односно мерила и критеријуме за пријем и напредовање у каријери, а у циљу успостављања принципа меритократије, потребно је размотрити могућност ближег дефинисања услова за пријем у радни однос и детаљније уређивање могућности односно услова за напредовање у каријери, као што су годишње оцене, академска звања, похађање обука, стручних семинара, објављени научни чланци и слично.  </w:t>
      </w:r>
    </w:p>
    <w:p w14:paraId="0A3921E8"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5952D345" w14:textId="17D20508"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Број тужилачких помоћника</w:t>
      </w:r>
    </w:p>
    <w:p w14:paraId="597FE099" w14:textId="77777777" w:rsidR="004C3A12" w:rsidRPr="003E5020" w:rsidRDefault="004C3A12" w:rsidP="004C3A12">
      <w:pPr>
        <w:pStyle w:val="ListParagraph"/>
        <w:ind w:left="851"/>
        <w:jc w:val="both"/>
        <w:rPr>
          <w:rFonts w:ascii="Times New Roman" w:eastAsiaTheme="majorEastAsia" w:hAnsi="Times New Roman" w:cs="Times New Roman"/>
          <w:i/>
          <w:sz w:val="24"/>
          <w:szCs w:val="24"/>
          <w:lang w:val="sr-Cyrl-RS"/>
        </w:rPr>
      </w:pPr>
    </w:p>
    <w:p w14:paraId="19D821F4"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Сходно одредбама Правилника о мерилима за одређивање броја особља у јавном тужилаштву</w:t>
      </w:r>
      <w:r w:rsidRPr="003E5020">
        <w:rPr>
          <w:rStyle w:val="FootnoteReference"/>
          <w:rFonts w:ascii="Times New Roman" w:hAnsi="Times New Roman" w:cs="Times New Roman"/>
          <w:sz w:val="24"/>
          <w:szCs w:val="24"/>
          <w:lang w:val="sr-Cyrl-RS"/>
        </w:rPr>
        <w:footnoteReference w:id="82"/>
      </w:r>
      <w:r w:rsidRPr="003E5020">
        <w:rPr>
          <w:rFonts w:ascii="Times New Roman" w:hAnsi="Times New Roman" w:cs="Times New Roman"/>
          <w:sz w:val="24"/>
          <w:szCs w:val="24"/>
          <w:lang w:val="sr-Cyrl-RS"/>
        </w:rPr>
        <w:t xml:space="preserve"> број тужилачких помоћника и тужилачких приправника за основно и више јавно тужилаштво одређује се тако што на два тужиоца долази по један тужилачки помоћник или по један тужилачки приправник, с тим да укупан број тужилачких помоћника не буде већи од 2/3, а број тужилачких приправника од 1/3 у односу на њихов укупан број.</w:t>
      </w:r>
    </w:p>
    <w:p w14:paraId="139B555A"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49260AA7"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односу на наведено предвиђена је модификација за апелационо јавно тужилаштво, конкретно број тужилачких помоћника за апелационо јавно тужилаштво одређује се тако да на три тужиоца долази један тужилачки помоћник.</w:t>
      </w:r>
    </w:p>
    <w:p w14:paraId="537381E8"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114B87F0"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Што се тиче јавних тужилаштава посебне надлежности, број тужилачких помоћника за Тужилаштво за ратне злочине одређује се тако да на два тужиоца долази по један тужилачки помоћник, док се број тужилачких помоћника за Тужилаштво за организовани криминал одређује тако да на једног тужиоца долази по један тужилачки помоћник.</w:t>
      </w:r>
    </w:p>
    <w:p w14:paraId="19AAAFD2"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4427D684"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Најзад, број саветника у Републичком јавном тужилаштву одређује се према броју јавних тужилаца, тако да један саветник долази на три тужиоца. Број виших саветника у Републичком јавном тужилаштву одређује се тако да буде до пет извршилаца са тим звањем.</w:t>
      </w:r>
    </w:p>
    <w:p w14:paraId="475D6DE1" w14:textId="77777777" w:rsidR="004C3A12" w:rsidRPr="003E5020" w:rsidRDefault="004C3A12" w:rsidP="004C3A12">
      <w:pPr>
        <w:jc w:val="both"/>
        <w:rPr>
          <w:rFonts w:ascii="Times New Roman" w:hAnsi="Times New Roman" w:cs="Times New Roman"/>
          <w:sz w:val="24"/>
          <w:szCs w:val="24"/>
          <w:lang w:val="sr-Cyrl-RS"/>
        </w:rPr>
      </w:pPr>
    </w:p>
    <w:p w14:paraId="664D281A"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подацима Министарства правде у погледу тужилачког особља број тужилачких помоћника на дан 25. мај 2021. износи 356. Посебно је занимљиво што је укупно систематизовано 270 места тужилачких помоћника на неодрешено време, од којих је попуњено 194. Дакле, 76 места тужилачких помоћника на неодређено време је упражњено. Истовремено, будући да очито постоји велика потреба за тужилачким помоћницима, због повећаног обима посла, 161 тужилачки помоћник запослен је на одређено време, као и још 10 ради замене одсутног радника и 1 до окончања конкурса.  </w:t>
      </w:r>
    </w:p>
    <w:p w14:paraId="390865B5" w14:textId="77777777" w:rsidR="004C3A12" w:rsidRPr="003E5020" w:rsidRDefault="004C3A12" w:rsidP="004C3A12">
      <w:pPr>
        <w:jc w:val="both"/>
        <w:rPr>
          <w:rFonts w:ascii="Times New Roman" w:hAnsi="Times New Roman" w:cs="Times New Roman"/>
          <w:sz w:val="24"/>
          <w:szCs w:val="24"/>
          <w:lang w:val="sr-Cyrl-RS"/>
        </w:rPr>
      </w:pPr>
    </w:p>
    <w:p w14:paraId="123298B0"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Како би се постигла равномерна оптерећеност свих носилаца правосудних функција, потребно је размотрити могућност да се измене одредбе Правилника о мерилима за одређивање броја особља у јавном тужилаштву, и то тако што би број тужилачких помоћника за основно и више јавно тужилаштво био повећан. </w:t>
      </w:r>
    </w:p>
    <w:p w14:paraId="3A1859CD"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5339DA59"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Пожељно је предвидети и корективни фактор за тужилаштва која имају повећан прилив предмета, у односу на национални просек, те да им се пружи могућност запослења два или више тужилачких помоћника, на одређено време, како би се лакше превазишао проблем са повећаним бројем предмета. И подаци Министарства правде говоре у прилог повећања систематизације тужилачких помоћника, као и потребе расписивања конкурса за попуњавање упражњених радних места на неодређено време.</w:t>
      </w:r>
    </w:p>
    <w:p w14:paraId="6D7A701B"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0D2BAB9B" w14:textId="5D82C0D9"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Такође би требало предузети кораке у погледу разрешавања ситуације која је настала услед важења одредби Закона о начину одређивања броја маскималног броја запослених у јавном сектору</w:t>
      </w:r>
      <w:r w:rsidRPr="003E5020">
        <w:rPr>
          <w:rStyle w:val="FootnoteReference"/>
          <w:rFonts w:ascii="Times New Roman" w:hAnsi="Times New Roman" w:cs="Times New Roman"/>
          <w:sz w:val="24"/>
          <w:szCs w:val="24"/>
          <w:lang w:val="sr-Cyrl-RS"/>
        </w:rPr>
        <w:footnoteReference w:id="83"/>
      </w:r>
      <w:r w:rsidRPr="003E5020">
        <w:rPr>
          <w:rFonts w:ascii="Times New Roman" w:hAnsi="Times New Roman" w:cs="Times New Roman"/>
          <w:sz w:val="24"/>
          <w:szCs w:val="24"/>
          <w:lang w:val="sr-Cyrl-RS"/>
        </w:rPr>
        <w:t>, који је примењиван до 31. децембра 2019. године, односно одредби члана 27е Закона о буџетском систему</w:t>
      </w:r>
      <w:r w:rsidRPr="003E5020">
        <w:rPr>
          <w:rStyle w:val="FootnoteReference"/>
          <w:rFonts w:ascii="Times New Roman" w:hAnsi="Times New Roman" w:cs="Times New Roman"/>
          <w:sz w:val="24"/>
          <w:szCs w:val="24"/>
          <w:lang w:val="sr-Cyrl-RS"/>
        </w:rPr>
        <w:footnoteReference w:id="84"/>
      </w:r>
      <w:r w:rsidRPr="003E5020">
        <w:rPr>
          <w:rFonts w:ascii="Times New Roman" w:hAnsi="Times New Roman" w:cs="Times New Roman"/>
          <w:sz w:val="24"/>
          <w:szCs w:val="24"/>
          <w:lang w:val="sr-Cyrl-RS"/>
        </w:rPr>
        <w:t>.</w:t>
      </w:r>
      <w:r w:rsidRPr="003E5020">
        <w:rPr>
          <w:rFonts w:ascii="Times New Roman" w:eastAsiaTheme="majorEastAsia" w:hAnsi="Times New Roman" w:cs="Times New Roman"/>
          <w:i/>
          <w:iCs/>
          <w:sz w:val="24"/>
          <w:szCs w:val="24"/>
          <w:lang w:val="sr-Cyrl-RS"/>
        </w:rPr>
        <w:t xml:space="preserve"> </w:t>
      </w:r>
      <w:r w:rsidRPr="003E5020">
        <w:rPr>
          <w:rFonts w:ascii="Times New Roman" w:hAnsi="Times New Roman" w:cs="Times New Roman"/>
          <w:sz w:val="24"/>
          <w:szCs w:val="24"/>
          <w:lang w:val="sr-Cyrl-RS"/>
        </w:rPr>
        <w:t xml:space="preserve">Примена тих прописа, као што је већ речено (видети детаљније </w:t>
      </w:r>
      <w:r w:rsidRPr="003E5020">
        <w:rPr>
          <w:rFonts w:ascii="Times New Roman" w:eastAsiaTheme="majorEastAsia" w:hAnsi="Times New Roman" w:cs="Times New Roman"/>
          <w:sz w:val="24"/>
          <w:szCs w:val="24"/>
          <w:lang w:val="sr-Cyrl-RS"/>
        </w:rPr>
        <w:t>3.</w:t>
      </w:r>
      <w:r w:rsidR="00FE1528" w:rsidRPr="003E5020">
        <w:rPr>
          <w:rFonts w:ascii="Times New Roman" w:eastAsiaTheme="majorEastAsia" w:hAnsi="Times New Roman" w:cs="Times New Roman"/>
          <w:sz w:val="24"/>
          <w:szCs w:val="24"/>
          <w:lang w:val="sr-Cyrl-RS"/>
        </w:rPr>
        <w:t>5</w:t>
      </w:r>
      <w:r w:rsidRPr="003E5020">
        <w:rPr>
          <w:rFonts w:ascii="Times New Roman" w:eastAsiaTheme="majorEastAsia" w:hAnsi="Times New Roman" w:cs="Times New Roman"/>
          <w:sz w:val="24"/>
          <w:szCs w:val="24"/>
          <w:lang w:val="sr-Cyrl-RS"/>
        </w:rPr>
        <w:t>.7. Висока стопа особља у радном односу на одређено време</w:t>
      </w:r>
      <w:r w:rsidRPr="003E5020">
        <w:rPr>
          <w:rFonts w:ascii="Times New Roman" w:eastAsiaTheme="majorEastAsia" w:hAnsi="Times New Roman" w:cs="Times New Roman"/>
          <w:i/>
          <w:iCs/>
          <w:sz w:val="24"/>
          <w:szCs w:val="24"/>
          <w:lang w:val="sr-Cyrl-RS"/>
        </w:rPr>
        <w:t>)</w:t>
      </w:r>
      <w:r w:rsidRPr="003E5020">
        <w:rPr>
          <w:rFonts w:ascii="Times New Roman" w:hAnsi="Times New Roman" w:cs="Times New Roman"/>
          <w:sz w:val="24"/>
          <w:szCs w:val="24"/>
          <w:lang w:val="sr-Cyrl-RS"/>
        </w:rPr>
        <w:t xml:space="preserve">, има за последицу да је велики број систематизованих радних места тужилачких помоћника непопуњен, док је значајан број тужилачких помоћника ангажован на одређено време. Наравно, извесност у погледу радног статуса, каријерног развоја и других елемената није и не може бити иста за лица која имају радни однос на неодређено и лица која имају радни однос на одређено време, а што утиче на њихову мотивисаност и планирање даље каријере у тужилаштву. Стога је пожељно да се описана ситуација доведе у оквире попуњености упражњених радних места кроз запошљавање лица у радни однос на неодређено време, а истовремено треба смањити број запослених односно радно ангажованих помоћника на одређено време, јер наведено треба да буде изузетак у погледу заснивања радног односа односно радног ангажовања. </w:t>
      </w:r>
    </w:p>
    <w:p w14:paraId="5F630D15" w14:textId="77777777" w:rsidR="004C3A12" w:rsidRPr="003E5020" w:rsidRDefault="004C3A12" w:rsidP="004C3A12">
      <w:pPr>
        <w:pStyle w:val="ListParagraph"/>
        <w:ind w:left="851"/>
        <w:jc w:val="both"/>
        <w:rPr>
          <w:rFonts w:ascii="Times New Roman" w:eastAsiaTheme="majorEastAsia" w:hAnsi="Times New Roman" w:cs="Times New Roman"/>
          <w:i/>
          <w:sz w:val="24"/>
          <w:szCs w:val="24"/>
          <w:lang w:val="sr-Cyrl-RS"/>
        </w:rPr>
      </w:pPr>
    </w:p>
    <w:p w14:paraId="75F9CC2C" w14:textId="179CE141"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Зараде тужилачких помоћника</w:t>
      </w:r>
    </w:p>
    <w:p w14:paraId="0B1AA342"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17F5C46A"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Већ је наведено да висина зарада тужилачких помоћника представља дестимулативни моменат и свакако је један од основних разлога због ког долази до одлива кадрова из тужилаштава. С обзиром на то да су плате, накнаде и друга примања тужилачких помоћника предмет регулативе одредби Закона о платама државних службеника и намештеника, а не одредби Закона о јавном тужилаштву, којим се регулише материјални положај тужилаца и заменика, то за последицу има да се плате помоћника не везују за одређени проценат плата тужилаца односно заменика тужилаца. На овај начин изостаје предвидивост раста плата односно увек је присутна могућност повећаног распона у зарадама између тужилачких помоћника и тужилаца. </w:t>
      </w:r>
    </w:p>
    <w:p w14:paraId="4A7CDB24" w14:textId="77777777" w:rsidR="004C3A12" w:rsidRPr="003E5020" w:rsidRDefault="004C3A12" w:rsidP="004C3A12">
      <w:pPr>
        <w:pStyle w:val="ListParagraph"/>
        <w:ind w:left="851"/>
        <w:jc w:val="both"/>
        <w:rPr>
          <w:rFonts w:ascii="Times New Roman" w:eastAsiaTheme="majorEastAsia" w:hAnsi="Times New Roman" w:cs="Times New Roman"/>
          <w:i/>
          <w:sz w:val="24"/>
          <w:szCs w:val="24"/>
          <w:lang w:val="sr-Cyrl-RS"/>
        </w:rPr>
      </w:pPr>
    </w:p>
    <w:p w14:paraId="32EFDC9B" w14:textId="721A8505"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Опис послова и оцењивање рада тужилачких помоћника</w:t>
      </w:r>
    </w:p>
    <w:p w14:paraId="36EEE8B2" w14:textId="77777777" w:rsidR="004C3A12" w:rsidRPr="003E5020" w:rsidRDefault="004C3A12" w:rsidP="004C3A12">
      <w:pPr>
        <w:pStyle w:val="ListParagraph"/>
        <w:ind w:left="792"/>
        <w:jc w:val="both"/>
        <w:rPr>
          <w:rFonts w:ascii="Times New Roman" w:eastAsiaTheme="majorEastAsia" w:hAnsi="Times New Roman" w:cs="Times New Roman"/>
          <w:i/>
          <w:sz w:val="24"/>
          <w:szCs w:val="24"/>
          <w:lang w:val="sr-Cyrl-RS"/>
        </w:rPr>
      </w:pPr>
    </w:p>
    <w:p w14:paraId="0661CBF6"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Тужилачки помоћник</w:t>
      </w:r>
      <w:r w:rsidRPr="003E5020">
        <w:rPr>
          <w:rFonts w:ascii="Times New Roman" w:hAnsi="Times New Roman" w:cs="Times New Roman"/>
          <w:sz w:val="24"/>
          <w:szCs w:val="24"/>
          <w:lang w:val="sr-Latn-RS"/>
        </w:rPr>
        <w:t xml:space="preserve">, </w:t>
      </w:r>
      <w:r w:rsidRPr="003E5020">
        <w:rPr>
          <w:rFonts w:ascii="Times New Roman" w:hAnsi="Times New Roman" w:cs="Times New Roman"/>
          <w:sz w:val="24"/>
          <w:szCs w:val="24"/>
          <w:lang w:val="sr-Cyrl-RS"/>
        </w:rPr>
        <w:t xml:space="preserve">сходно законским одредбама, помаже јавном тужиоцу и заменику јавног тужиоца, израђује нацрте аката, прима на записник пријаве, поднеске и изјаве грађана и самостално или под надзором врши послове предвиђене законом и другим прописима. Као што је раније наведено, тужилачки помоћници могу, по налогу јавног тужиоца, предузимати одређене радње у поступцима за кривично дело за које је прописана казна затвора до пет односно осам година, што указује на то да је њихов опис послова фокусиран на стручне послове. </w:t>
      </w:r>
    </w:p>
    <w:p w14:paraId="70DA40EE" w14:textId="77777777" w:rsidR="004C3A12" w:rsidRPr="003E5020" w:rsidRDefault="004C3A12" w:rsidP="004C3A12">
      <w:pPr>
        <w:jc w:val="both"/>
        <w:rPr>
          <w:rFonts w:ascii="Times New Roman" w:hAnsi="Times New Roman" w:cs="Times New Roman"/>
          <w:sz w:val="24"/>
          <w:szCs w:val="24"/>
          <w:lang w:val="sr-Cyrl-RS"/>
        </w:rPr>
      </w:pPr>
    </w:p>
    <w:p w14:paraId="7FF9DCDF"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Ипак, у пракси тужилачки помоћници се често баве и пословима управљања људским ресурсима, као и административним пословима. Може да се закључи да је оваква ситуација последица недовољног броја другог тужилачког особља, али се не може пренебрегнути чињеница да се овим нерационално користи знање које тужилачки помоћници имају. </w:t>
      </w:r>
    </w:p>
    <w:p w14:paraId="2F9B654D"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778A1269" w14:textId="77777777" w:rsidR="004C3A12" w:rsidRPr="003E5020" w:rsidRDefault="004C3A12" w:rsidP="004C3A12">
      <w:pPr>
        <w:pStyle w:val="ListParagraph"/>
        <w:ind w:left="792"/>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Што се тиче вредновања рада, сходно члану 121 Закона о  јавном тужилаштву, рад тужилачког помоћника вреднује јавни тужилац, по прибављеном мишљењу заменика јавног тужиоца с којим тужилачки помоћник ради.</w:t>
      </w:r>
    </w:p>
    <w:p w14:paraId="06F14560" w14:textId="77777777" w:rsidR="004C3A12" w:rsidRPr="003E5020" w:rsidRDefault="004C3A12" w:rsidP="004C3A12">
      <w:pPr>
        <w:pStyle w:val="ListParagraph"/>
        <w:ind w:left="792"/>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На вредновање и последице вредновања тужилачког помоћника сходно се примењују правила о вредновању судијског помоћника.</w:t>
      </w:r>
    </w:p>
    <w:p w14:paraId="70FF37D5" w14:textId="77777777" w:rsidR="004C3A12" w:rsidRPr="003E5020" w:rsidRDefault="004C3A12" w:rsidP="004C3A12">
      <w:pPr>
        <w:pStyle w:val="ListParagraph"/>
        <w:ind w:left="792"/>
        <w:jc w:val="both"/>
        <w:rPr>
          <w:rFonts w:ascii="Times New Roman" w:eastAsiaTheme="majorEastAsia" w:hAnsi="Times New Roman" w:cs="Times New Roman"/>
          <w:iCs/>
          <w:sz w:val="24"/>
          <w:szCs w:val="24"/>
          <w:lang w:val="sr-Cyrl-RS"/>
        </w:rPr>
      </w:pPr>
    </w:p>
    <w:p w14:paraId="0A0DDCEB" w14:textId="77777777" w:rsidR="004C3A12" w:rsidRPr="003E5020" w:rsidRDefault="004C3A12" w:rsidP="004C3A12">
      <w:pPr>
        <w:pStyle w:val="ListParagraph"/>
        <w:ind w:left="792"/>
        <w:jc w:val="both"/>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Правилником о управи у јавним тужилаштвима</w:t>
      </w:r>
      <w:r w:rsidRPr="003E5020">
        <w:rPr>
          <w:rStyle w:val="FootnoteReference"/>
          <w:rFonts w:ascii="Times New Roman" w:eastAsiaTheme="majorEastAsia" w:hAnsi="Times New Roman" w:cs="Times New Roman"/>
          <w:iCs/>
          <w:sz w:val="24"/>
          <w:szCs w:val="24"/>
          <w:lang w:val="sr-Cyrl-RS"/>
        </w:rPr>
        <w:footnoteReference w:id="85"/>
      </w:r>
      <w:r w:rsidRPr="003E5020">
        <w:rPr>
          <w:rFonts w:ascii="Times New Roman" w:eastAsiaTheme="majorEastAsia" w:hAnsi="Times New Roman" w:cs="Times New Roman"/>
          <w:iCs/>
          <w:sz w:val="24"/>
          <w:szCs w:val="24"/>
          <w:lang w:val="sr-Cyrl-RS"/>
        </w:rPr>
        <w:t xml:space="preserve"> је додатно регулисано да рад тужилачког помоћника оцењује јавни тужилац, по прибављеном мишљењу заменика јавног тужиоца са којим тужилачки помоћник ради, колегијума или других државних органа уколико је тужилачки помоћник био упућен на обуку, а у складу са прописом који уређује оцењивање државних службеника.</w:t>
      </w:r>
    </w:p>
    <w:p w14:paraId="50E0E4A2" w14:textId="77777777" w:rsidR="004C3A12" w:rsidRPr="003E5020" w:rsidRDefault="004C3A12" w:rsidP="004C3A12">
      <w:pPr>
        <w:pStyle w:val="ListParagraph"/>
        <w:ind w:left="792"/>
        <w:jc w:val="both"/>
        <w:rPr>
          <w:rFonts w:ascii="Times New Roman" w:hAnsi="Times New Roman" w:cs="Times New Roman"/>
          <w:sz w:val="24"/>
          <w:szCs w:val="24"/>
          <w:lang w:val="sr-Cyrl-RS"/>
        </w:rPr>
      </w:pPr>
    </w:p>
    <w:p w14:paraId="5EAFFCB5" w14:textId="77777777" w:rsidR="004C3A12" w:rsidRPr="003E5020" w:rsidRDefault="004C3A12" w:rsidP="004C3A12">
      <w:pPr>
        <w:pStyle w:val="ListParagraph"/>
        <w:ind w:left="792"/>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Ипак, поставља се питање објективности приликом вредновања односно оцењивања, услед недостатка критеријума који би били мерљивији. Тужилац ће врло ретко дати ниску оцену тужилачком помоћнику односно заменик ће врло ретко дати лоше мишљење о тужилачком помоћнику са којим ради и са којим се временом, углавном, развије близак и обострано завистан однос. Последица је изостанак меритократије односно изостанак објективног система награђивања, повећања плате, односно напредовања по платним разредима за оне који се заиста нарочито истичу у свом раду. </w:t>
      </w:r>
    </w:p>
    <w:p w14:paraId="207E8E23" w14:textId="17563B3C" w:rsidR="004C3A12" w:rsidRDefault="004C3A12" w:rsidP="004C3A12">
      <w:pPr>
        <w:pStyle w:val="ListParagraph"/>
        <w:ind w:left="792"/>
        <w:jc w:val="both"/>
        <w:rPr>
          <w:rFonts w:ascii="Times New Roman" w:eastAsiaTheme="majorEastAsia" w:hAnsi="Times New Roman" w:cs="Times New Roman"/>
          <w:sz w:val="24"/>
          <w:szCs w:val="24"/>
          <w:lang w:val="sr-Cyrl-RS"/>
        </w:rPr>
      </w:pPr>
    </w:p>
    <w:p w14:paraId="622B2F42" w14:textId="1A460627" w:rsidR="00DC7F5A" w:rsidRDefault="00DC7F5A" w:rsidP="004C3A12">
      <w:pPr>
        <w:pStyle w:val="ListParagraph"/>
        <w:ind w:left="792"/>
        <w:jc w:val="both"/>
        <w:rPr>
          <w:rFonts w:ascii="Times New Roman" w:eastAsiaTheme="majorEastAsia" w:hAnsi="Times New Roman" w:cs="Times New Roman"/>
          <w:sz w:val="24"/>
          <w:szCs w:val="24"/>
          <w:lang w:val="sr-Cyrl-RS"/>
        </w:rPr>
      </w:pPr>
    </w:p>
    <w:p w14:paraId="0B66D752" w14:textId="547C74FB" w:rsidR="00DC7F5A" w:rsidRDefault="00DC7F5A" w:rsidP="004C3A12">
      <w:pPr>
        <w:pStyle w:val="ListParagraph"/>
        <w:ind w:left="792"/>
        <w:jc w:val="both"/>
        <w:rPr>
          <w:rFonts w:ascii="Times New Roman" w:eastAsiaTheme="majorEastAsia" w:hAnsi="Times New Roman" w:cs="Times New Roman"/>
          <w:sz w:val="24"/>
          <w:szCs w:val="24"/>
          <w:lang w:val="sr-Cyrl-RS"/>
        </w:rPr>
      </w:pPr>
    </w:p>
    <w:p w14:paraId="45A09C5F" w14:textId="77777777" w:rsidR="00DC7F5A" w:rsidRPr="003E5020" w:rsidRDefault="00DC7F5A" w:rsidP="004C3A12">
      <w:pPr>
        <w:pStyle w:val="ListParagraph"/>
        <w:ind w:left="792"/>
        <w:jc w:val="both"/>
        <w:rPr>
          <w:rFonts w:ascii="Times New Roman" w:eastAsiaTheme="majorEastAsia" w:hAnsi="Times New Roman" w:cs="Times New Roman"/>
          <w:sz w:val="24"/>
          <w:szCs w:val="24"/>
          <w:lang w:val="sr-Cyrl-RS"/>
        </w:rPr>
      </w:pPr>
    </w:p>
    <w:p w14:paraId="321F9B26" w14:textId="4F239D8E" w:rsidR="004C3A12" w:rsidRPr="003E5020" w:rsidRDefault="004C3A12" w:rsidP="007222BE">
      <w:pPr>
        <w:pStyle w:val="ListParagraph"/>
        <w:numPr>
          <w:ilvl w:val="2"/>
          <w:numId w:val="2"/>
        </w:numPr>
        <w:ind w:left="851" w:hanging="851"/>
        <w:rPr>
          <w:rFonts w:ascii="Times New Roman" w:eastAsiaTheme="majorEastAsia" w:hAnsi="Times New Roman" w:cs="Times New Roman"/>
          <w:iCs/>
          <w:sz w:val="24"/>
          <w:szCs w:val="24"/>
          <w:lang w:val="sr-Cyrl-RS"/>
        </w:rPr>
      </w:pPr>
      <w:r w:rsidRPr="003E5020">
        <w:rPr>
          <w:rFonts w:ascii="Times New Roman" w:eastAsiaTheme="majorEastAsia" w:hAnsi="Times New Roman" w:cs="Times New Roman"/>
          <w:iCs/>
          <w:sz w:val="24"/>
          <w:szCs w:val="24"/>
          <w:lang w:val="sr-Cyrl-RS"/>
        </w:rPr>
        <w:t>Обуке тужилачких помоћника</w:t>
      </w:r>
    </w:p>
    <w:p w14:paraId="018FD0C2" w14:textId="77777777" w:rsidR="004C3A12" w:rsidRPr="003E5020" w:rsidRDefault="004C3A12" w:rsidP="004C3A12">
      <w:pPr>
        <w:ind w:left="851"/>
        <w:jc w:val="both"/>
        <w:rPr>
          <w:rFonts w:ascii="Times New Roman" w:hAnsi="Times New Roman" w:cs="Times New Roman"/>
          <w:sz w:val="24"/>
          <w:szCs w:val="24"/>
          <w:lang w:val="sr-Cyrl-RS"/>
        </w:rPr>
      </w:pPr>
    </w:p>
    <w:p w14:paraId="05484EB0"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Сходно Закону о јавном тужилаштву програм обуке тужилачких приправника и тужилачких помоћника утврђује Државно веће тужилаца.</w:t>
      </w:r>
    </w:p>
    <w:p w14:paraId="41FF6FDC"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Тужилачки приправник и тужилачки помоћник може одређено време бити упућен на обуку у друго јавно тужилаштво, државни орган или орган јединице локалне самоуправе.</w:t>
      </w:r>
    </w:p>
    <w:p w14:paraId="7F73198D"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7DA833E0"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Према извештајима Правосудне академије о реализованим активностима из области кривичног права, годинама уназад је одржан значајан број адекватних обука за тужилачке помоћнике док се тематске обуке организоване кроз пројекте међународних организација и партнера углавном односе на носиоце јавнотужилачке функције. </w:t>
      </w:r>
    </w:p>
    <w:p w14:paraId="38DB09BE"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4611911E"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Ипак, у овом смислу је пожељно додатно надоградити системски приступ концепту обука, уз спровођење што детаљније анализе за стварним потребама за обукама. Све наведено треба да буде праћено евидентирањем обука, као и даљом дистрибуцијом знања које је стечено на обукама. Коначно, потребно је да обуке у што већој мери прате потребе тужилачких помоћника. Дакле, приликом конципирања обука нужно је да се начини дистинкција у погледу обука за носиоце јавнотужилачких функција (јавне тужиоце и заменике јавних тужилаца) и тужилачке помоћнике, с обзиром на разлике које постоје у погледу њиховог положаја односно разлике које постоје у прописаним радним дужностима. </w:t>
      </w:r>
    </w:p>
    <w:p w14:paraId="2AF91699"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30E4B83C" w14:textId="34CC1845" w:rsidR="004C3A12" w:rsidRPr="003E5020" w:rsidRDefault="004C3A12" w:rsidP="007222BE">
      <w:pPr>
        <w:pStyle w:val="ListParagraph"/>
        <w:numPr>
          <w:ilvl w:val="2"/>
          <w:numId w:val="2"/>
        </w:numPr>
        <w:ind w:left="851" w:hanging="851"/>
        <w:rPr>
          <w:rFonts w:ascii="Times New Roman" w:eastAsiaTheme="majorEastAsia" w:hAnsi="Times New Roman" w:cs="Times New Roman"/>
          <w:i/>
          <w:sz w:val="24"/>
          <w:szCs w:val="24"/>
          <w:lang w:val="sr-Cyrl-RS"/>
        </w:rPr>
      </w:pPr>
      <w:r w:rsidRPr="003E5020">
        <w:rPr>
          <w:rFonts w:ascii="Times New Roman" w:eastAsiaTheme="majorEastAsia" w:hAnsi="Times New Roman" w:cs="Times New Roman"/>
          <w:iCs/>
          <w:sz w:val="24"/>
          <w:szCs w:val="24"/>
          <w:lang w:val="sr-Cyrl-RS"/>
        </w:rPr>
        <w:t>Дисциплинска</w:t>
      </w:r>
      <w:r w:rsidRPr="003E5020">
        <w:rPr>
          <w:rFonts w:ascii="Times New Roman" w:eastAsiaTheme="majorEastAsia" w:hAnsi="Times New Roman" w:cs="Times New Roman"/>
          <w:i/>
          <w:sz w:val="24"/>
          <w:szCs w:val="24"/>
          <w:lang w:val="sr-Cyrl-RS"/>
        </w:rPr>
        <w:t xml:space="preserve"> </w:t>
      </w:r>
      <w:r w:rsidRPr="003E5020">
        <w:rPr>
          <w:rFonts w:ascii="Times New Roman" w:eastAsiaTheme="majorEastAsia" w:hAnsi="Times New Roman" w:cs="Times New Roman"/>
          <w:iCs/>
          <w:sz w:val="24"/>
          <w:szCs w:val="24"/>
          <w:lang w:val="sr-Cyrl-RS"/>
        </w:rPr>
        <w:t>одговорност</w:t>
      </w:r>
    </w:p>
    <w:p w14:paraId="517CA8AB" w14:textId="77777777" w:rsidR="004C3A12" w:rsidRPr="003E5020" w:rsidRDefault="004C3A12" w:rsidP="004C3A12">
      <w:pPr>
        <w:jc w:val="both"/>
        <w:rPr>
          <w:rFonts w:ascii="Times New Roman" w:hAnsi="Times New Roman" w:cs="Times New Roman"/>
          <w:sz w:val="24"/>
          <w:szCs w:val="24"/>
          <w:lang w:val="sr-Cyrl-RS"/>
        </w:rPr>
      </w:pPr>
    </w:p>
    <w:p w14:paraId="365F7DEA"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сложеност послова које обављају, као и могуће негативне ефекте на права и обавезе странака у поступку у случају да неадекватно обављају своје дужности, важност постојања дисциплинске одговорности, као и њене примене у пракси је од изузетне важности за рад тужилачких помоћника.</w:t>
      </w:r>
    </w:p>
    <w:p w14:paraId="086E5307" w14:textId="77777777" w:rsidR="004C3A12" w:rsidRPr="003E5020" w:rsidRDefault="004C3A12" w:rsidP="004C3A12">
      <w:pPr>
        <w:pStyle w:val="ListParagraph"/>
        <w:ind w:left="851"/>
        <w:jc w:val="both"/>
        <w:rPr>
          <w:rFonts w:ascii="Times New Roman" w:hAnsi="Times New Roman" w:cs="Times New Roman"/>
          <w:sz w:val="24"/>
          <w:szCs w:val="24"/>
          <w:lang w:val="sr-Cyrl-RS"/>
        </w:rPr>
      </w:pPr>
    </w:p>
    <w:p w14:paraId="0B73DEEE" w14:textId="77777777" w:rsidR="004C3A12" w:rsidRPr="003E5020" w:rsidRDefault="004C3A12" w:rsidP="004C3A12">
      <w:pPr>
        <w:pStyle w:val="ListParagraph"/>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Пошто је правни положај тужилачких помоћника изједначен са положајем државних службеника, на њих се примењују идентична правила и по питању дисциплинске одговорности. Још већи проблем је у чињеници да се та правила у пракси готово не примењују, те је примена законом прописаних дисциплинских мера, укључујући и сам отказ уговора о раду  ретка појава. Ово је свакако нешто што би се морало променити, односно бити обухваћено будућом реформом људских ресурса у правосуђу.</w:t>
      </w:r>
    </w:p>
    <w:p w14:paraId="773C0A74" w14:textId="77777777" w:rsidR="004C3A12" w:rsidRPr="003E5020" w:rsidRDefault="004C3A12" w:rsidP="004C3A12">
      <w:pPr>
        <w:ind w:left="851"/>
        <w:jc w:val="both"/>
        <w:rPr>
          <w:rFonts w:ascii="Times New Roman" w:eastAsiaTheme="majorEastAsia" w:hAnsi="Times New Roman" w:cs="Times New Roman"/>
          <w:sz w:val="24"/>
          <w:szCs w:val="24"/>
          <w:lang w:val="sr-Cyrl-RS"/>
        </w:rPr>
      </w:pPr>
    </w:p>
    <w:p w14:paraId="5CD9D0DF" w14:textId="1A4757EC" w:rsidR="004C3A12" w:rsidRPr="003E5020" w:rsidRDefault="00F622FF" w:rsidP="00BE043D">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непосредно третира кроз реализацију посебног </w:t>
      </w:r>
      <w:hyperlink w:anchor="_Циљ_1._–" w:history="1">
        <w:r w:rsidRPr="003E5020">
          <w:rPr>
            <w:rStyle w:val="Hyperlink"/>
            <w:rFonts w:ascii="Times New Roman" w:hAnsi="Times New Roman" w:cs="Times New Roman"/>
            <w:color w:val="auto"/>
            <w:sz w:val="24"/>
            <w:szCs w:val="24"/>
            <w:lang w:val="sr-Cyrl-RS"/>
          </w:rPr>
          <w:t>циља 1</w:t>
        </w:r>
      </w:hyperlink>
      <w:r w:rsidRPr="003E5020">
        <w:rPr>
          <w:rFonts w:ascii="Times New Roman" w:hAnsi="Times New Roman" w:cs="Times New Roman"/>
          <w:sz w:val="24"/>
          <w:szCs w:val="24"/>
          <w:lang w:val="sr-Cyrl-RS"/>
        </w:rPr>
        <w:t xml:space="preserve">, </w:t>
      </w:r>
      <w:hyperlink w:anchor="_Циљ_3._–" w:history="1">
        <w:r w:rsidRPr="003E5020">
          <w:rPr>
            <w:rStyle w:val="Hyperlink"/>
            <w:rFonts w:ascii="Times New Roman" w:hAnsi="Times New Roman" w:cs="Times New Roman"/>
            <w:color w:val="auto"/>
            <w:sz w:val="24"/>
            <w:szCs w:val="24"/>
            <w:lang w:val="sr-Cyrl-RS"/>
          </w:rPr>
          <w:t>циља 3</w:t>
        </w:r>
      </w:hyperlink>
      <w:r w:rsidRPr="003E5020">
        <w:rPr>
          <w:rFonts w:ascii="Times New Roman" w:hAnsi="Times New Roman" w:cs="Times New Roman"/>
          <w:sz w:val="24"/>
          <w:szCs w:val="24"/>
          <w:lang w:val="sr-Cyrl-RS"/>
        </w:rPr>
        <w:t xml:space="preserve">, </w:t>
      </w:r>
      <w:hyperlink w:anchor="_Циљ_2._-" w:history="1">
        <w:r w:rsidRPr="003E5020">
          <w:rPr>
            <w:rStyle w:val="Hyperlink"/>
            <w:rFonts w:ascii="Times New Roman" w:hAnsi="Times New Roman" w:cs="Times New Roman"/>
            <w:color w:val="auto"/>
            <w:sz w:val="24"/>
            <w:szCs w:val="24"/>
            <w:lang w:val="sr-Cyrl-RS"/>
          </w:rPr>
          <w:t>циља 2</w:t>
        </w:r>
      </w:hyperlink>
      <w:r w:rsidRPr="003E5020">
        <w:rPr>
          <w:rFonts w:ascii="Times New Roman" w:hAnsi="Times New Roman" w:cs="Times New Roman"/>
          <w:sz w:val="24"/>
          <w:szCs w:val="24"/>
          <w:lang w:val="sr-Cyrl-RS"/>
        </w:rPr>
        <w:t>, Стратегије</w:t>
      </w:r>
    </w:p>
    <w:p w14:paraId="3E04B820" w14:textId="77777777" w:rsidR="00BE043D" w:rsidRPr="003E5020" w:rsidRDefault="00BE043D" w:rsidP="00BE043D">
      <w:pPr>
        <w:ind w:left="851"/>
        <w:jc w:val="both"/>
        <w:rPr>
          <w:rFonts w:ascii="Times New Roman" w:hAnsi="Times New Roman" w:cs="Times New Roman"/>
          <w:sz w:val="24"/>
          <w:szCs w:val="24"/>
          <w:lang w:val="sr-Cyrl-RS"/>
        </w:rPr>
      </w:pPr>
    </w:p>
    <w:p w14:paraId="269CB7C5" w14:textId="2092BD11" w:rsidR="00703B42" w:rsidRPr="003E5020" w:rsidRDefault="00703B42" w:rsidP="00E80E0B">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4" w:name="_Toc84778630"/>
      <w:r w:rsidRPr="003E5020">
        <w:rPr>
          <w:rFonts w:ascii="Times New Roman" w:hAnsi="Times New Roman" w:cs="Times New Roman"/>
          <w:color w:val="auto"/>
          <w:sz w:val="24"/>
          <w:szCs w:val="24"/>
          <w:lang w:val="sr-Cyrl-RS"/>
        </w:rPr>
        <w:t>Стање у Високом савету судства по питању људских ресурса</w:t>
      </w:r>
      <w:bookmarkEnd w:id="104"/>
    </w:p>
    <w:p w14:paraId="6FE4529D" w14:textId="6542D981" w:rsidR="00703B42" w:rsidRPr="003E5020" w:rsidRDefault="00703B42" w:rsidP="008609AC">
      <w:pPr>
        <w:pStyle w:val="ListParagraph"/>
        <w:ind w:left="1224"/>
        <w:rPr>
          <w:rFonts w:ascii="Times New Roman" w:hAnsi="Times New Roman" w:cs="Times New Roman"/>
          <w:sz w:val="24"/>
          <w:szCs w:val="24"/>
          <w:lang w:val="sr-Cyrl-RS"/>
        </w:rPr>
      </w:pPr>
    </w:p>
    <w:p w14:paraId="17034524"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Значај Високог савета судства у правосуђу у правном систему Републике Србије одређује пре свега чињеница да је дефинисан као уставна категорија</w:t>
      </w:r>
      <w:r w:rsidRPr="003E5020">
        <w:rPr>
          <w:rStyle w:val="FootnoteReference"/>
          <w:rFonts w:ascii="Times New Roman" w:hAnsi="Times New Roman" w:cs="Times New Roman"/>
          <w:sz w:val="24"/>
          <w:szCs w:val="24"/>
          <w:lang w:val="sr-Cyrl-RS"/>
        </w:rPr>
        <w:footnoteReference w:id="86"/>
      </w:r>
      <w:r w:rsidRPr="003E5020">
        <w:rPr>
          <w:rFonts w:ascii="Times New Roman" w:hAnsi="Times New Roman" w:cs="Times New Roman"/>
          <w:sz w:val="24"/>
          <w:szCs w:val="24"/>
          <w:lang w:val="sr-Cyrl-RS"/>
        </w:rPr>
        <w:t>. И поред свог несумњивог значаја</w:t>
      </w:r>
      <w:r w:rsidRPr="003E5020">
        <w:rPr>
          <w:rStyle w:val="FootnoteReference"/>
          <w:rFonts w:ascii="Times New Roman" w:hAnsi="Times New Roman" w:cs="Times New Roman"/>
          <w:sz w:val="24"/>
          <w:szCs w:val="24"/>
          <w:lang w:val="sr-Cyrl-RS"/>
        </w:rPr>
        <w:footnoteReference w:id="87"/>
      </w:r>
      <w:r w:rsidRPr="003E5020">
        <w:rPr>
          <w:rFonts w:ascii="Times New Roman" w:hAnsi="Times New Roman" w:cs="Times New Roman"/>
          <w:sz w:val="24"/>
          <w:szCs w:val="24"/>
          <w:lang w:val="sr-Cyrl-RS"/>
        </w:rPr>
        <w:t xml:space="preserve">, када је реч о стању људских ресурса, овај орган дели судбину целокупног правосуђа у Србији – уочава се значајан, континуиран и дугогодишњи недостатак капацитета. </w:t>
      </w:r>
    </w:p>
    <w:p w14:paraId="73804247" w14:textId="77777777" w:rsidR="005D29DF" w:rsidRPr="003E5020" w:rsidRDefault="005D29DF" w:rsidP="005D29DF">
      <w:pPr>
        <w:ind w:left="851"/>
        <w:jc w:val="both"/>
        <w:rPr>
          <w:rFonts w:ascii="Times New Roman" w:hAnsi="Times New Roman" w:cs="Times New Roman"/>
          <w:sz w:val="24"/>
          <w:szCs w:val="24"/>
          <w:lang w:val="sr-Cyrl-RS"/>
        </w:rPr>
      </w:pPr>
    </w:p>
    <w:p w14:paraId="1A7B9395"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подацима до којих се дошло кроз анализу организације, функционисања и потреба Високог савета судства и његове Административне канцеларије</w:t>
      </w:r>
      <w:r w:rsidRPr="003E5020">
        <w:rPr>
          <w:rStyle w:val="FootnoteReference"/>
          <w:rFonts w:ascii="Times New Roman" w:hAnsi="Times New Roman" w:cs="Times New Roman"/>
          <w:sz w:val="24"/>
          <w:szCs w:val="24"/>
          <w:lang w:val="sr-Cyrl-RS"/>
        </w:rPr>
        <w:footnoteReference w:id="88"/>
      </w:r>
      <w:r w:rsidRPr="003E5020">
        <w:rPr>
          <w:rFonts w:ascii="Times New Roman" w:hAnsi="Times New Roman" w:cs="Times New Roman"/>
          <w:sz w:val="24"/>
          <w:szCs w:val="24"/>
          <w:lang w:val="sr-Cyrl-RS"/>
        </w:rPr>
        <w:t>, стање по питању људских ресурса је такво да овај орган ради са свега 60% од укупно потребних, предвиђених капацитета (односно радних места предвиђених систематизацијом радних места). Од укупног броја упражњених радних места, 4/5 чине радна места за стручне послове из надлежности Високог савета судства. Ово све скупа чини да су капацитети Административне канцеларије</w:t>
      </w:r>
      <w:r w:rsidRPr="003E5020">
        <w:rPr>
          <w:rStyle w:val="FootnoteReference"/>
          <w:rFonts w:ascii="Times New Roman" w:hAnsi="Times New Roman" w:cs="Times New Roman"/>
          <w:sz w:val="24"/>
          <w:szCs w:val="24"/>
          <w:lang w:val="sr-Cyrl-RS"/>
        </w:rPr>
        <w:footnoteReference w:id="89"/>
      </w:r>
      <w:r w:rsidRPr="003E5020">
        <w:rPr>
          <w:rFonts w:ascii="Times New Roman" w:hAnsi="Times New Roman" w:cs="Times New Roman"/>
          <w:sz w:val="24"/>
          <w:szCs w:val="24"/>
          <w:lang w:val="sr-Cyrl-RS"/>
        </w:rPr>
        <w:t xml:space="preserve"> која у стручном погледу представља </w:t>
      </w:r>
    </w:p>
    <w:p w14:paraId="11D9834A" w14:textId="77777777" w:rsidR="005D29DF" w:rsidRPr="003E5020" w:rsidRDefault="005D29DF" w:rsidP="005D29DF">
      <w:pPr>
        <w:ind w:left="851"/>
        <w:jc w:val="both"/>
        <w:rPr>
          <w:rFonts w:ascii="Times New Roman" w:hAnsi="Times New Roman" w:cs="Times New Roman"/>
          <w:sz w:val="24"/>
          <w:szCs w:val="24"/>
          <w:lang w:val="sr-Latn-RS"/>
        </w:rPr>
      </w:pPr>
      <w:r w:rsidRPr="003E5020">
        <w:rPr>
          <w:rFonts w:ascii="Times New Roman" w:hAnsi="Times New Roman" w:cs="Times New Roman"/>
          <w:sz w:val="24"/>
          <w:szCs w:val="24"/>
          <w:lang w:val="sr-Cyrl-RS"/>
        </w:rPr>
        <w:t xml:space="preserve">ослонац Високог савета судства, критично слаби када је у питању управо пружање стручне подршке Савету, и износе свега 53% од капацитета који су предвиђени систематизацијом радних места за ту врсту послова. </w:t>
      </w:r>
    </w:p>
    <w:p w14:paraId="608E5E49" w14:textId="77777777" w:rsidR="005D29DF" w:rsidRPr="003E5020" w:rsidRDefault="005D29DF" w:rsidP="005D29DF">
      <w:pPr>
        <w:ind w:left="851"/>
        <w:jc w:val="both"/>
        <w:rPr>
          <w:rFonts w:ascii="Times New Roman" w:hAnsi="Times New Roman" w:cs="Times New Roman"/>
          <w:sz w:val="24"/>
          <w:szCs w:val="24"/>
          <w:lang w:val="sr-Cyrl-RS"/>
        </w:rPr>
      </w:pPr>
    </w:p>
    <w:p w14:paraId="50C3FD65"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Још више забрињава податак да је, историјски гледано, у периоду од 2012-2020. године, уместо континуираног раста, односно постепеног попуњавања предвиђених људских капацитета овог органа (систематизованих радних места), забележен укупан пад у износу од целих 11% у односу на 2012, при чему само у периоду од 2018-2020. године, тај пад износи 15% (са 82% попуњених капацитета у 2018. години, на 60% попуњених капацитета у 2020. години)</w:t>
      </w:r>
      <w:r w:rsidRPr="003E5020">
        <w:rPr>
          <w:rStyle w:val="FootnoteReference"/>
          <w:rFonts w:ascii="Times New Roman" w:hAnsi="Times New Roman" w:cs="Times New Roman"/>
          <w:sz w:val="24"/>
          <w:szCs w:val="24"/>
          <w:lang w:val="sr-Cyrl-RS"/>
        </w:rPr>
        <w:t xml:space="preserve"> </w:t>
      </w:r>
      <w:r w:rsidRPr="003E5020">
        <w:rPr>
          <w:rStyle w:val="FootnoteReference"/>
          <w:rFonts w:ascii="Times New Roman" w:hAnsi="Times New Roman" w:cs="Times New Roman"/>
          <w:sz w:val="24"/>
          <w:szCs w:val="24"/>
          <w:lang w:val="sr-Cyrl-RS"/>
        </w:rPr>
        <w:footnoteReference w:id="90"/>
      </w:r>
      <w:r w:rsidRPr="003E5020">
        <w:rPr>
          <w:rFonts w:ascii="Times New Roman" w:hAnsi="Times New Roman" w:cs="Times New Roman"/>
          <w:sz w:val="24"/>
          <w:szCs w:val="24"/>
          <w:lang w:val="sr-Cyrl-RS"/>
        </w:rPr>
        <w:t>.</w:t>
      </w:r>
    </w:p>
    <w:p w14:paraId="09DCF498" w14:textId="77777777" w:rsidR="005D29DF" w:rsidRPr="003E5020" w:rsidRDefault="005D29DF" w:rsidP="005D29DF">
      <w:pPr>
        <w:ind w:left="851"/>
        <w:jc w:val="both"/>
        <w:rPr>
          <w:rFonts w:ascii="Times New Roman" w:hAnsi="Times New Roman" w:cs="Times New Roman"/>
          <w:sz w:val="24"/>
          <w:szCs w:val="24"/>
          <w:lang w:val="sr-Cyrl-RS"/>
        </w:rPr>
      </w:pPr>
    </w:p>
    <w:p w14:paraId="7CA02A15"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Капацитети Административне канцеларије у 2020. години, по унутрашњим организационим јединицама које врше стручне послове, су како следи</w:t>
      </w:r>
      <w:r w:rsidRPr="003E5020">
        <w:rPr>
          <w:rStyle w:val="FootnoteReference"/>
          <w:rFonts w:ascii="Times New Roman" w:hAnsi="Times New Roman" w:cs="Times New Roman"/>
          <w:sz w:val="24"/>
          <w:szCs w:val="24"/>
          <w:lang w:val="sr-Cyrl-RS"/>
        </w:rPr>
        <w:footnoteReference w:id="91"/>
      </w:r>
      <w:r w:rsidRPr="003E5020">
        <w:rPr>
          <w:rFonts w:ascii="Times New Roman" w:hAnsi="Times New Roman" w:cs="Times New Roman"/>
          <w:sz w:val="24"/>
          <w:szCs w:val="24"/>
          <w:lang w:val="sr-Cyrl-RS"/>
        </w:rPr>
        <w:t>:</w:t>
      </w:r>
    </w:p>
    <w:p w14:paraId="277B50AE" w14:textId="77777777" w:rsidR="005D29DF" w:rsidRPr="003E5020" w:rsidRDefault="005D29DF" w:rsidP="005D29DF">
      <w:pPr>
        <w:ind w:left="851"/>
        <w:jc w:val="both"/>
        <w:rPr>
          <w:rFonts w:ascii="Times New Roman" w:hAnsi="Times New Roman" w:cs="Times New Roman"/>
          <w:sz w:val="24"/>
          <w:szCs w:val="24"/>
          <w:lang w:val="sr-Cyrl-RS"/>
        </w:rPr>
      </w:pPr>
    </w:p>
    <w:p w14:paraId="40D2F02A"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Сектор за материјално-финансијске послове је на 88% предвиђених људских капацитета;</w:t>
      </w:r>
    </w:p>
    <w:p w14:paraId="775443A3"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Сектор за статусна питања судија и судија поротника је на 55% предвиђених људских капацитета;</w:t>
      </w:r>
    </w:p>
    <w:p w14:paraId="76B3AFE2"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Одељење за припрему прописа и европске интеграције је на 43% предвиђених људских капацитета;</w:t>
      </w:r>
    </w:p>
    <w:p w14:paraId="666F720D"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Одељење за кадровске и опште послове је на 60% предвиђених људских капацитета; и</w:t>
      </w:r>
    </w:p>
    <w:p w14:paraId="5C774DCA"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Група за обраду притужби упућених савету је на 50% предвиђених људских капацитета. </w:t>
      </w:r>
    </w:p>
    <w:p w14:paraId="67F01BE4" w14:textId="77777777" w:rsidR="005D29DF" w:rsidRPr="003E5020" w:rsidRDefault="005D29DF" w:rsidP="005D29DF">
      <w:pPr>
        <w:ind w:left="851"/>
        <w:jc w:val="both"/>
        <w:rPr>
          <w:rFonts w:ascii="Times New Roman" w:hAnsi="Times New Roman" w:cs="Times New Roman"/>
          <w:sz w:val="24"/>
          <w:szCs w:val="24"/>
          <w:lang w:val="sr-Cyrl-RS"/>
        </w:rPr>
      </w:pPr>
    </w:p>
    <w:p w14:paraId="016AEE0C"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Као један од разлога се наводи и чињеница да, и поред расписивања интерних и јавних конкурса, овај орган ипак не успева да попуни своје капацитете, између осталог,  и зато што се кандидати радије опредељују за рад у судовима, где су тренутно веће зараде. Следствено, Високи савет судства бележи и одлив већ постојећих кадрова, и то оног најстручнијег</w:t>
      </w:r>
      <w:r w:rsidRPr="003E5020">
        <w:rPr>
          <w:rStyle w:val="FootnoteReference"/>
          <w:rFonts w:ascii="Times New Roman" w:hAnsi="Times New Roman" w:cs="Times New Roman"/>
          <w:sz w:val="24"/>
          <w:szCs w:val="24"/>
          <w:lang w:val="sr-Cyrl-RS"/>
        </w:rPr>
        <w:footnoteReference w:id="92"/>
      </w:r>
      <w:r w:rsidRPr="003E5020">
        <w:rPr>
          <w:rFonts w:ascii="Times New Roman" w:hAnsi="Times New Roman" w:cs="Times New Roman"/>
          <w:sz w:val="24"/>
          <w:szCs w:val="24"/>
          <w:lang w:val="sr-Cyrl-RS"/>
        </w:rPr>
        <w:t xml:space="preserve">, па је ситуација у 2020. години таква да је најзначајнији недостатак био управо најквалификованијег кадра ‒ виших (33%) и самосталних саветника (43%), саветника (63%) и млађих саветника (100%). </w:t>
      </w:r>
    </w:p>
    <w:p w14:paraId="7E3AEB44" w14:textId="77777777" w:rsidR="005D29DF" w:rsidRPr="003E5020" w:rsidRDefault="005D29DF" w:rsidP="005D29DF">
      <w:pPr>
        <w:ind w:left="851"/>
        <w:jc w:val="both"/>
        <w:rPr>
          <w:rFonts w:ascii="Times New Roman" w:hAnsi="Times New Roman" w:cs="Times New Roman"/>
          <w:sz w:val="24"/>
          <w:szCs w:val="24"/>
          <w:lang w:val="sr-Cyrl-RS"/>
        </w:rPr>
      </w:pPr>
    </w:p>
    <w:p w14:paraId="356096A7"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Ништа боља ситуација није ни у делу административно-техничких послова које Административна канцеларија обавља. И ту је капацитет критичан, јер је попуњено свега 60% радних места за те послове. Недостаје 42% од потребног броја извршилаца на радним местима за административно-техничке послове</w:t>
      </w:r>
      <w:r w:rsidRPr="003E5020">
        <w:rPr>
          <w:rStyle w:val="FootnoteReference"/>
          <w:rFonts w:ascii="Times New Roman" w:hAnsi="Times New Roman" w:cs="Times New Roman"/>
          <w:sz w:val="24"/>
          <w:szCs w:val="24"/>
          <w:lang w:val="sr-Cyrl-RS"/>
        </w:rPr>
        <w:footnoteReference w:id="93"/>
      </w:r>
      <w:r w:rsidRPr="003E5020">
        <w:rPr>
          <w:rFonts w:ascii="Times New Roman" w:hAnsi="Times New Roman" w:cs="Times New Roman"/>
          <w:sz w:val="24"/>
          <w:szCs w:val="24"/>
          <w:lang w:val="sr-Cyrl-RS"/>
        </w:rPr>
        <w:t>. Наведени недостатак последично вуче додатне негативне последице у делу Административне канцеларије који се бави стручним пословима, јер недостатак капацитета у административно-техничком делу (без кога несумњиво нема несметаног функционисања Високог савета судства) на себе преузимају извршиоци који се баве стручним пословима. Тако се креира зачарани круг проблема јер, поред константног мањка стручног кадра, извршиоцима на стручним пословима је ускраћено расположиво радно време за вршење њихових редовних послова, као и време потребно за њихово стручно усавршавање. Ово несумњиво креира и додатне негативне финансијске последице, јер је цена рада стручних лица која се баве административно-техничким стварима знатно виша од цене рада административног радника.</w:t>
      </w:r>
    </w:p>
    <w:p w14:paraId="558048ED" w14:textId="77777777" w:rsidR="005D29DF" w:rsidRPr="003E5020" w:rsidRDefault="005D29DF" w:rsidP="005D29DF">
      <w:pPr>
        <w:ind w:left="851"/>
        <w:jc w:val="both"/>
        <w:rPr>
          <w:rFonts w:ascii="Times New Roman" w:hAnsi="Times New Roman" w:cs="Times New Roman"/>
          <w:sz w:val="24"/>
          <w:szCs w:val="24"/>
          <w:lang w:val="sr-Cyrl-RS"/>
        </w:rPr>
      </w:pPr>
    </w:p>
    <w:p w14:paraId="357A9825"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Проблеми нису ништа ништа мањи ни по питању обука и стручног усавршавања, које је у целокупном систему правосуђа, па самим тим и у Високом савету судства, кључно за успешан и ефикасан рад стручних лица. Анализа</w:t>
      </w:r>
      <w:r w:rsidRPr="003E5020">
        <w:rPr>
          <w:rStyle w:val="FootnoteReference"/>
          <w:rFonts w:ascii="Times New Roman" w:hAnsi="Times New Roman" w:cs="Times New Roman"/>
          <w:sz w:val="24"/>
          <w:szCs w:val="24"/>
          <w:lang w:val="sr-Cyrl-RS"/>
        </w:rPr>
        <w:footnoteReference w:id="94"/>
      </w:r>
      <w:r w:rsidRPr="003E5020">
        <w:rPr>
          <w:rFonts w:ascii="Times New Roman" w:hAnsi="Times New Roman" w:cs="Times New Roman"/>
          <w:sz w:val="24"/>
          <w:szCs w:val="24"/>
          <w:lang w:val="sr-Cyrl-RS"/>
        </w:rPr>
        <w:t xml:space="preserve"> показује да се стручно усавршавање, пре свега због недостатка одговарајућих људских и осталих ресурса, углавном одвија на </w:t>
      </w:r>
      <w:r w:rsidRPr="003E5020">
        <w:rPr>
          <w:rFonts w:ascii="Times New Roman" w:hAnsi="Times New Roman" w:cs="Times New Roman"/>
          <w:i/>
          <w:sz w:val="24"/>
          <w:szCs w:val="24"/>
          <w:lang w:val="sr-Cyrl-RS"/>
        </w:rPr>
        <w:t>ad hoc</w:t>
      </w:r>
      <w:r w:rsidRPr="003E5020">
        <w:rPr>
          <w:rFonts w:ascii="Times New Roman" w:hAnsi="Times New Roman" w:cs="Times New Roman"/>
          <w:sz w:val="24"/>
          <w:szCs w:val="24"/>
          <w:lang w:val="sr-Cyrl-RS"/>
        </w:rPr>
        <w:t xml:space="preserve"> основи. Такође, приступ избору обука запослених је углавном реактиван, односно запослени похађају бесплатне обуке понуђене од стране екстерних организатора или обавезне обуке које одржава одговарајућа институција у оквиру система. Идентификовање потреба за стручним усавршавањем у односу на опис послова радног места и прописане компетенције треба значајно да буде унапређено, као и обезбеђивање информација о изворима квалитетних и примерених обука. </w:t>
      </w:r>
    </w:p>
    <w:p w14:paraId="3B2B9A6F" w14:textId="0C36A64E" w:rsidR="005D29DF" w:rsidRDefault="005D29DF" w:rsidP="005D29DF">
      <w:pPr>
        <w:ind w:left="851"/>
        <w:jc w:val="both"/>
        <w:rPr>
          <w:rFonts w:ascii="Times New Roman" w:hAnsi="Times New Roman" w:cs="Times New Roman"/>
          <w:sz w:val="24"/>
          <w:szCs w:val="24"/>
          <w:lang w:val="sr-Cyrl-RS"/>
        </w:rPr>
      </w:pPr>
    </w:p>
    <w:p w14:paraId="2796B9C2" w14:textId="036E5773" w:rsidR="00DC7F5A" w:rsidRDefault="00DC7F5A" w:rsidP="005D29DF">
      <w:pPr>
        <w:ind w:left="851"/>
        <w:jc w:val="both"/>
        <w:rPr>
          <w:rFonts w:ascii="Times New Roman" w:hAnsi="Times New Roman" w:cs="Times New Roman"/>
          <w:sz w:val="24"/>
          <w:szCs w:val="24"/>
          <w:lang w:val="sr-Cyrl-RS"/>
        </w:rPr>
      </w:pPr>
    </w:p>
    <w:p w14:paraId="3B1D8FB9" w14:textId="61B60B76" w:rsidR="00DC7F5A" w:rsidRDefault="00DC7F5A" w:rsidP="005D29DF">
      <w:pPr>
        <w:ind w:left="851"/>
        <w:jc w:val="both"/>
        <w:rPr>
          <w:rFonts w:ascii="Times New Roman" w:hAnsi="Times New Roman" w:cs="Times New Roman"/>
          <w:sz w:val="24"/>
          <w:szCs w:val="24"/>
          <w:lang w:val="sr-Cyrl-RS"/>
        </w:rPr>
      </w:pPr>
    </w:p>
    <w:p w14:paraId="1FE2A382" w14:textId="77777777" w:rsidR="00DC7F5A" w:rsidRPr="003E5020" w:rsidRDefault="00DC7F5A" w:rsidP="005D29DF">
      <w:pPr>
        <w:ind w:left="851"/>
        <w:jc w:val="both"/>
        <w:rPr>
          <w:rFonts w:ascii="Times New Roman" w:hAnsi="Times New Roman" w:cs="Times New Roman"/>
          <w:sz w:val="24"/>
          <w:szCs w:val="24"/>
          <w:lang w:val="sr-Cyrl-RS"/>
        </w:rPr>
      </w:pPr>
    </w:p>
    <w:p w14:paraId="12D069BF"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Као разлози за реактиван приступ едукацији запослених су вишеструки:</w:t>
      </w:r>
    </w:p>
    <w:p w14:paraId="60757A8F" w14:textId="77777777" w:rsidR="005D29DF" w:rsidRPr="003E5020" w:rsidRDefault="005D29DF" w:rsidP="005D29DF">
      <w:pPr>
        <w:ind w:left="851"/>
        <w:jc w:val="both"/>
        <w:rPr>
          <w:rFonts w:ascii="Times New Roman" w:hAnsi="Times New Roman" w:cs="Times New Roman"/>
          <w:sz w:val="24"/>
          <w:szCs w:val="24"/>
          <w:lang w:val="sr-Cyrl-RS"/>
        </w:rPr>
      </w:pPr>
    </w:p>
    <w:p w14:paraId="15EBA64E"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недостатак алата за интерни процес планирања, одабира и реализације обука, као и процене њихових ефеката на процес и резултате рада запослених; </w:t>
      </w:r>
    </w:p>
    <w:p w14:paraId="0C57B676" w14:textId="77777777" w:rsidR="005D29DF" w:rsidRPr="003E5020" w:rsidRDefault="005D29DF" w:rsidP="005D29DF">
      <w:pPr>
        <w:pStyle w:val="ListParagraph"/>
        <w:numPr>
          <w:ilvl w:val="0"/>
          <w:numId w:val="30"/>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недостатак времена за стручно усавршавање због обављања додатних послова (послова упражњених радних места).</w:t>
      </w:r>
    </w:p>
    <w:p w14:paraId="1BFF8238" w14:textId="77777777" w:rsidR="005D29DF" w:rsidRPr="003E5020" w:rsidRDefault="005D29DF" w:rsidP="005D29DF">
      <w:pPr>
        <w:ind w:left="851"/>
        <w:jc w:val="both"/>
        <w:rPr>
          <w:rFonts w:ascii="Times New Roman" w:hAnsi="Times New Roman" w:cs="Times New Roman"/>
          <w:sz w:val="24"/>
          <w:szCs w:val="24"/>
          <w:lang w:val="sr-Cyrl-RS"/>
        </w:rPr>
      </w:pPr>
    </w:p>
    <w:p w14:paraId="34335E69"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Одељење за кадровске и опште послове ради са 60% потребних капацитета, што јасно говори о томе да је тешко, међу бројним и често врло хитним пословима у тој јединици, приоритет дати пословима у вези са стручним усавршавањем. Потребна су веома значајна и свеобухватна унапређења како описа релевантних радних места, тако и свеукупног начина анализе потреба за обуком, вођења одговарајућих евиденција, дефинисања критеријума за врсту и распоред похађања обука од стране запослених, увида у постојеће базе програма за обуке, итд. Поред тога, неопходно је на систематичан и свеобухватан начин унапредити начин процене ефеката и примене наученог.</w:t>
      </w:r>
    </w:p>
    <w:p w14:paraId="31B9A13C" w14:textId="77777777" w:rsidR="005D29DF" w:rsidRPr="003E5020" w:rsidRDefault="005D29DF" w:rsidP="005D29DF">
      <w:pPr>
        <w:ind w:left="851"/>
        <w:jc w:val="both"/>
        <w:rPr>
          <w:rFonts w:ascii="Times New Roman" w:hAnsi="Times New Roman" w:cs="Times New Roman"/>
          <w:sz w:val="24"/>
          <w:szCs w:val="24"/>
          <w:lang w:val="sr-Cyrl-RS"/>
        </w:rPr>
      </w:pPr>
    </w:p>
    <w:p w14:paraId="396B5264" w14:textId="77777777" w:rsidR="005D29DF" w:rsidRPr="003E5020" w:rsidRDefault="005D29DF" w:rsidP="005D29DF">
      <w:pPr>
        <w:ind w:left="851"/>
        <w:jc w:val="both"/>
        <w:rPr>
          <w:rFonts w:ascii="Times New Roman" w:hAnsi="Times New Roman" w:cs="Times New Roman"/>
          <w:noProof/>
          <w:sz w:val="24"/>
          <w:szCs w:val="24"/>
          <w:lang w:val="sr-Cyrl-RS"/>
        </w:rPr>
      </w:pPr>
      <w:r w:rsidRPr="003E5020">
        <w:rPr>
          <w:rFonts w:ascii="Times New Roman" w:hAnsi="Times New Roman" w:cs="Times New Roman"/>
          <w:sz w:val="24"/>
          <w:szCs w:val="24"/>
          <w:lang w:val="sr-Cyrl-RS"/>
        </w:rPr>
        <w:t>Свакако се не сме заборавити да је једна од кључних улога стручних служби Високог савета судства у пружању подршке у раду дисциплинских органа. Дисциплинске органе чине дисциплински тужилац и три заменика и дисциплинска комисија која има два члана, председника и једног заменика. Као другостепени орган у дисциплинском поступку против судија поступа Високи савет судства, који одлучује по жалби. Иако несумњиво важна функција, позиције које су предвиђене за стручну подршку (укупно две позиције самосталног саветника) су у целости упражњене, дакле постоји апсолутни (100%) недостатак предвиђених капацитета. Услед недостатка стручне подршке, судије-чланови дисциплинских органа сами обављају те послове, што је за њих велико оптерећење, поред редовних послова који проистичу из функције судије, и из функције члана дисциплинских органа.</w:t>
      </w:r>
    </w:p>
    <w:p w14:paraId="654486C4" w14:textId="77777777" w:rsidR="005D29DF" w:rsidRPr="003E5020" w:rsidRDefault="005D29DF" w:rsidP="005D29DF">
      <w:pPr>
        <w:rPr>
          <w:rFonts w:ascii="Times New Roman" w:eastAsiaTheme="majorEastAsia" w:hAnsi="Times New Roman" w:cs="Times New Roman"/>
          <w:sz w:val="24"/>
          <w:szCs w:val="24"/>
          <w:lang w:val="sr-Cyrl-RS"/>
        </w:rPr>
      </w:pPr>
    </w:p>
    <w:p w14:paraId="10F2EF23"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Имајући у виду значај Високог савета судства, као органа чија је уставна улога успостављање и очување владавине права, односно независности и одговорности судства, као и принцип равнотеже између грана власти, држава је у обавези да обезбеди све услове за нормално функционисање овог органа, што значи средства за попуњавање свих потребних радних места унутар Административне канцеларије кадровима одговарајућих стручних квалификација и радног искуства, као и одговарајуће организационо-техничке и све друге услове за рад. Ово између осталог стоји и као јасна констатација у Извештају о раду Високог савета судства за 2019. годину</w:t>
      </w:r>
      <w:r w:rsidRPr="003E5020">
        <w:rPr>
          <w:rStyle w:val="FootnoteReference"/>
          <w:rFonts w:ascii="Times New Roman" w:hAnsi="Times New Roman" w:cs="Times New Roman"/>
          <w:sz w:val="24"/>
          <w:szCs w:val="24"/>
          <w:lang w:val="sr-Cyrl-RS"/>
        </w:rPr>
        <w:footnoteReference w:id="95"/>
      </w:r>
      <w:r w:rsidRPr="003E5020">
        <w:rPr>
          <w:rFonts w:ascii="Times New Roman" w:hAnsi="Times New Roman" w:cs="Times New Roman"/>
          <w:sz w:val="24"/>
          <w:szCs w:val="24"/>
          <w:lang w:val="sr-Cyrl-RS"/>
        </w:rPr>
        <w:t xml:space="preserve">. </w:t>
      </w:r>
    </w:p>
    <w:p w14:paraId="52CCD4B3" w14:textId="77777777" w:rsidR="005D29DF" w:rsidRPr="003E5020" w:rsidRDefault="005D29DF" w:rsidP="005D29DF">
      <w:pPr>
        <w:ind w:left="851"/>
        <w:jc w:val="both"/>
        <w:rPr>
          <w:rFonts w:ascii="Times New Roman" w:hAnsi="Times New Roman" w:cs="Times New Roman"/>
          <w:sz w:val="24"/>
          <w:szCs w:val="24"/>
          <w:lang w:val="sr-Cyrl-RS"/>
        </w:rPr>
      </w:pPr>
    </w:p>
    <w:p w14:paraId="1708BFB4"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Поред тога, потребно је размотрити и тренутни правни положај запослених лица у Административној канцеларији Високог савета судства, односно потребу да се (слично као код судијских помоћника), имајући у виду све специфичности обављања посла и степена одговорности ове категорије лица, нормативно њихов правни и материјални статус, као и каријерни развој, издвоје у односу на државне службенике у јавном сектору у које тренутно спадају, односно да добију посебан законски статус државних службеника у правосуђу, који ће више одговарати специфичностима њихових послова.</w:t>
      </w:r>
    </w:p>
    <w:p w14:paraId="45AF2CB7" w14:textId="77777777" w:rsidR="005D29DF" w:rsidRPr="003E5020" w:rsidRDefault="005D29DF" w:rsidP="005D29DF">
      <w:pPr>
        <w:ind w:left="851"/>
        <w:jc w:val="both"/>
        <w:rPr>
          <w:rFonts w:ascii="Times New Roman" w:hAnsi="Times New Roman" w:cs="Times New Roman"/>
          <w:sz w:val="24"/>
          <w:szCs w:val="24"/>
          <w:lang w:val="sr-Cyrl-RS"/>
        </w:rPr>
      </w:pPr>
    </w:p>
    <w:p w14:paraId="6C533787" w14:textId="77777777" w:rsidR="005D29DF" w:rsidRPr="003E5020" w:rsidRDefault="005D29DF" w:rsidP="005D29D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Због свега напред наведеног, Стратегија је препознала кључну улогу Високог савета судства, као органа чији проблеми у делу људских ресурса несумњиво морају да буду адресирани наведеним документом, али и као органа који је исто тако кључан за реализацију свих циљева и мера предвиђених Стратегијом и свеукупан надзор над њеном применом.</w:t>
      </w:r>
    </w:p>
    <w:p w14:paraId="4F862815" w14:textId="77777777" w:rsidR="005D29DF" w:rsidRPr="003E5020" w:rsidRDefault="005D29DF" w:rsidP="005D29DF">
      <w:pPr>
        <w:ind w:left="851"/>
        <w:jc w:val="both"/>
        <w:rPr>
          <w:rFonts w:ascii="Times New Roman" w:hAnsi="Times New Roman" w:cs="Times New Roman"/>
          <w:sz w:val="24"/>
          <w:szCs w:val="24"/>
          <w:lang w:val="sr-Cyrl-RS"/>
        </w:rPr>
      </w:pPr>
    </w:p>
    <w:p w14:paraId="6B32AC2F" w14:textId="77777777" w:rsidR="004A60A4" w:rsidRPr="003E5020" w:rsidRDefault="004A60A4" w:rsidP="004A60A4">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непосредно третира најпре кроз реализацију посебног </w:t>
      </w:r>
      <w:hyperlink w:anchor="_Циљ_1._–" w:history="1">
        <w:r w:rsidRPr="003E5020">
          <w:rPr>
            <w:rStyle w:val="Hyperlink"/>
            <w:rFonts w:ascii="Times New Roman" w:hAnsi="Times New Roman" w:cs="Times New Roman"/>
            <w:color w:val="auto"/>
            <w:sz w:val="24"/>
            <w:szCs w:val="24"/>
            <w:lang w:val="sr-Cyrl-RS"/>
          </w:rPr>
          <w:t>циља 1</w:t>
        </w:r>
      </w:hyperlink>
      <w:r w:rsidRPr="003E5020">
        <w:rPr>
          <w:rFonts w:ascii="Times New Roman" w:hAnsi="Times New Roman" w:cs="Times New Roman"/>
          <w:sz w:val="24"/>
          <w:szCs w:val="24"/>
          <w:lang w:val="sr-Cyrl-RS"/>
        </w:rPr>
        <w:t xml:space="preserve"> и </w:t>
      </w:r>
      <w:hyperlink w:anchor="_Циљ_3._–" w:history="1">
        <w:r w:rsidRPr="003E5020">
          <w:rPr>
            <w:rStyle w:val="Hyperlink"/>
            <w:rFonts w:ascii="Times New Roman" w:hAnsi="Times New Roman" w:cs="Times New Roman"/>
            <w:color w:val="auto"/>
            <w:sz w:val="24"/>
            <w:szCs w:val="24"/>
            <w:lang w:val="sr-Cyrl-RS"/>
          </w:rPr>
          <w:t>циља 3</w:t>
        </w:r>
      </w:hyperlink>
      <w:r w:rsidRPr="003E5020">
        <w:rPr>
          <w:rFonts w:ascii="Times New Roman" w:hAnsi="Times New Roman" w:cs="Times New Roman"/>
          <w:sz w:val="24"/>
          <w:szCs w:val="24"/>
          <w:lang w:val="sr-Cyrl-RS"/>
        </w:rPr>
        <w:t xml:space="preserve">. Посредно, на решавање овог проблема треба да утиче реализација посебног </w:t>
      </w:r>
      <w:hyperlink w:anchor="_Циљ_2._-" w:history="1">
        <w:r w:rsidRPr="003E5020">
          <w:rPr>
            <w:rStyle w:val="Hyperlink"/>
            <w:rFonts w:ascii="Times New Roman" w:hAnsi="Times New Roman" w:cs="Times New Roman"/>
            <w:color w:val="auto"/>
            <w:sz w:val="24"/>
            <w:szCs w:val="24"/>
            <w:lang w:val="sr-Cyrl-RS"/>
          </w:rPr>
          <w:t>циља 2</w:t>
        </w:r>
      </w:hyperlink>
      <w:r w:rsidRPr="003E5020">
        <w:rPr>
          <w:rFonts w:ascii="Times New Roman" w:hAnsi="Times New Roman" w:cs="Times New Roman"/>
          <w:sz w:val="24"/>
          <w:szCs w:val="24"/>
          <w:lang w:val="sr-Cyrl-RS"/>
        </w:rPr>
        <w:t xml:space="preserve"> Стратегије.</w:t>
      </w:r>
    </w:p>
    <w:p w14:paraId="5550204A" w14:textId="77777777" w:rsidR="005D29DF" w:rsidRPr="003E5020" w:rsidRDefault="005D29DF" w:rsidP="005D29DF">
      <w:pPr>
        <w:ind w:left="851"/>
        <w:jc w:val="both"/>
        <w:rPr>
          <w:rFonts w:ascii="Times New Roman" w:hAnsi="Times New Roman" w:cs="Times New Roman"/>
          <w:sz w:val="24"/>
          <w:szCs w:val="24"/>
          <w:lang w:val="sr-Cyrl-RS"/>
        </w:rPr>
      </w:pPr>
    </w:p>
    <w:p w14:paraId="7DF390CB" w14:textId="774FA326" w:rsidR="005D29DF" w:rsidRPr="003E5020" w:rsidRDefault="005D29DF" w:rsidP="00E80E0B">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5" w:name="_Toc84778631"/>
      <w:r w:rsidRPr="003E5020">
        <w:rPr>
          <w:rFonts w:ascii="Times New Roman" w:hAnsi="Times New Roman" w:cs="Times New Roman"/>
          <w:color w:val="auto"/>
          <w:sz w:val="24"/>
          <w:szCs w:val="24"/>
          <w:lang w:val="sr-Cyrl-RS"/>
        </w:rPr>
        <w:t>Стање у Државном већу тужилаца по питању људских ресурса</w:t>
      </w:r>
      <w:bookmarkEnd w:id="105"/>
    </w:p>
    <w:p w14:paraId="0406BAC1" w14:textId="77777777" w:rsidR="005D29DF" w:rsidRPr="003E5020" w:rsidRDefault="005D29DF" w:rsidP="005D29DF">
      <w:pPr>
        <w:rPr>
          <w:rFonts w:ascii="Times New Roman" w:hAnsi="Times New Roman" w:cs="Times New Roman"/>
          <w:sz w:val="24"/>
          <w:szCs w:val="24"/>
          <w:highlight w:val="yellow"/>
          <w:lang w:val="sr-Cyrl-RS"/>
        </w:rPr>
      </w:pPr>
    </w:p>
    <w:p w14:paraId="11372D19" w14:textId="77777777" w:rsidR="005D29DF" w:rsidRPr="003E5020" w:rsidRDefault="005D29DF" w:rsidP="005D29DF">
      <w:pPr>
        <w:ind w:left="81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Значај овог органа огледа се у чињеници да је и он у правном систему Републике Србије успостављен као уставна категорија</w:t>
      </w:r>
      <w:r w:rsidRPr="003E5020">
        <w:rPr>
          <w:rStyle w:val="FootnoteReference"/>
          <w:rFonts w:ascii="Times New Roman" w:hAnsi="Times New Roman" w:cs="Times New Roman"/>
          <w:sz w:val="24"/>
          <w:szCs w:val="24"/>
          <w:lang w:val="sr-Cyrl-RS"/>
        </w:rPr>
        <w:footnoteReference w:id="96"/>
      </w:r>
      <w:r w:rsidRPr="003E5020">
        <w:rPr>
          <w:rFonts w:ascii="Times New Roman" w:hAnsi="Times New Roman" w:cs="Times New Roman"/>
          <w:sz w:val="24"/>
          <w:szCs w:val="24"/>
          <w:lang w:val="sr-Cyrl-RS"/>
        </w:rPr>
        <w:t xml:space="preserve">. Наиме, Државно веће је самосталан орган који обезбеђује и гарантује самосталност јавних тужилаца и заменика јавних тужилаца. Упркос наведеном, у погледу стања људских ресурса видљив је недостатак капацитета.  </w:t>
      </w:r>
    </w:p>
    <w:p w14:paraId="0CC9C74A" w14:textId="77777777" w:rsidR="005D29DF" w:rsidRPr="003E5020" w:rsidRDefault="005D29DF" w:rsidP="005D29DF">
      <w:pPr>
        <w:tabs>
          <w:tab w:val="left" w:pos="1418"/>
        </w:tabs>
        <w:ind w:left="810"/>
        <w:jc w:val="both"/>
        <w:rPr>
          <w:rFonts w:ascii="Times New Roman" w:hAnsi="Times New Roman" w:cs="Times New Roman"/>
          <w:sz w:val="24"/>
          <w:szCs w:val="24"/>
          <w:lang w:val="sr-Cyrl-RS"/>
        </w:rPr>
      </w:pPr>
    </w:p>
    <w:p w14:paraId="33EF25FE" w14:textId="566CE001" w:rsidR="005D29DF" w:rsidRPr="003E5020" w:rsidRDefault="005D29DF" w:rsidP="005D29DF">
      <w:pPr>
        <w:tabs>
          <w:tab w:val="left" w:pos="1418"/>
        </w:tabs>
        <w:ind w:left="81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подацима овог органа</w:t>
      </w:r>
      <w:r w:rsidRPr="003E5020">
        <w:rPr>
          <w:rStyle w:val="FootnoteReference"/>
          <w:rFonts w:ascii="Times New Roman" w:hAnsi="Times New Roman" w:cs="Times New Roman"/>
          <w:sz w:val="24"/>
          <w:szCs w:val="24"/>
          <w:lang w:val="sr-Cyrl-RS"/>
        </w:rPr>
        <w:footnoteReference w:id="97"/>
      </w:r>
      <w:r w:rsidRPr="003E5020">
        <w:rPr>
          <w:rFonts w:ascii="Times New Roman" w:hAnsi="Times New Roman" w:cs="Times New Roman"/>
          <w:sz w:val="24"/>
          <w:szCs w:val="24"/>
          <w:lang w:val="sr-Cyrl-RS"/>
        </w:rPr>
        <w:t>, Административној канцеларији Државног већа тужилаца, која, слично као и у случају Високог савета судства, представља „кичму</w:t>
      </w:r>
      <w:r w:rsidR="00701BFF">
        <w:rPr>
          <w:rFonts w:ascii="Times New Roman" w:hAnsi="Times New Roman" w:cs="Times New Roman"/>
          <w:sz w:val="24"/>
          <w:szCs w:val="24"/>
          <w:lang w:val="sr-Cyrl-RS"/>
        </w:rPr>
        <w:t>ˮ</w:t>
      </w:r>
      <w:r w:rsidRPr="003E5020">
        <w:rPr>
          <w:rFonts w:ascii="Times New Roman" w:hAnsi="Times New Roman" w:cs="Times New Roman"/>
          <w:sz w:val="24"/>
          <w:szCs w:val="24"/>
          <w:lang w:val="sr-Cyrl-RS"/>
        </w:rPr>
        <w:t xml:space="preserve"> овог органа, систематизовано је </w:t>
      </w:r>
      <w:r w:rsidRPr="003E5020">
        <w:rPr>
          <w:rFonts w:ascii="Times New Roman" w:hAnsi="Times New Roman" w:cs="Times New Roman"/>
          <w:sz w:val="24"/>
          <w:szCs w:val="24"/>
          <w:lang w:val="sr-Latn-RS"/>
        </w:rPr>
        <w:t>28</w:t>
      </w:r>
      <w:r w:rsidRPr="003E5020">
        <w:rPr>
          <w:rFonts w:ascii="Times New Roman" w:hAnsi="Times New Roman" w:cs="Times New Roman"/>
          <w:sz w:val="24"/>
          <w:szCs w:val="24"/>
          <w:lang w:val="sr-Cyrl-RS"/>
        </w:rPr>
        <w:t xml:space="preserve"> радних места са 29 извршилаца: 21 државним службеником</w:t>
      </w:r>
      <w:r w:rsidRPr="003E5020">
        <w:rPr>
          <w:rFonts w:ascii="Times New Roman" w:hAnsi="Times New Roman" w:cs="Times New Roman"/>
          <w:sz w:val="24"/>
          <w:szCs w:val="24"/>
          <w:lang w:val="sr-Latn-RS"/>
        </w:rPr>
        <w:t xml:space="preserve">, 1 </w:t>
      </w:r>
      <w:r w:rsidRPr="003E5020">
        <w:rPr>
          <w:rFonts w:ascii="Times New Roman" w:hAnsi="Times New Roman" w:cs="Times New Roman"/>
          <w:sz w:val="24"/>
          <w:szCs w:val="24"/>
          <w:lang w:val="sr-Cyrl-RS"/>
        </w:rPr>
        <w:t>државним службеником на положају и 7 намештеника.</w:t>
      </w:r>
    </w:p>
    <w:p w14:paraId="78915F61" w14:textId="77777777" w:rsidR="005D29DF" w:rsidRPr="003E5020" w:rsidRDefault="005D29DF" w:rsidP="005D29DF">
      <w:pPr>
        <w:tabs>
          <w:tab w:val="left" w:pos="1418"/>
        </w:tabs>
        <w:ind w:left="810"/>
        <w:jc w:val="both"/>
        <w:rPr>
          <w:rFonts w:ascii="Times New Roman" w:hAnsi="Times New Roman" w:cs="Times New Roman"/>
          <w:sz w:val="24"/>
          <w:szCs w:val="24"/>
          <w:lang w:val="sr-Cyrl-CS" w:eastAsia="en-US"/>
        </w:rPr>
      </w:pPr>
    </w:p>
    <w:p w14:paraId="7C0511D5" w14:textId="77777777" w:rsidR="005D29DF" w:rsidRPr="003E5020" w:rsidRDefault="005D29DF" w:rsidP="005D29DF">
      <w:pPr>
        <w:ind w:left="810"/>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Тренутно је у Административној канцеларији запослено 19 државних службеника и намештеника, од чега је 17 на неодређено и 2 на одређено време, а упражњено је</w:t>
      </w:r>
      <w:r w:rsidRPr="003E5020">
        <w:rPr>
          <w:rFonts w:ascii="Times New Roman" w:hAnsi="Times New Roman" w:cs="Times New Roman"/>
          <w:sz w:val="24"/>
          <w:szCs w:val="24"/>
          <w:lang w:val="sr-Cyrl-CS"/>
        </w:rPr>
        <w:t xml:space="preserve"> </w:t>
      </w:r>
      <w:r w:rsidRPr="003E5020">
        <w:rPr>
          <w:rFonts w:ascii="Times New Roman" w:hAnsi="Times New Roman" w:cs="Times New Roman"/>
          <w:sz w:val="24"/>
          <w:szCs w:val="24"/>
          <w:lang w:val="sr-Cyrl-RS"/>
        </w:rPr>
        <w:t xml:space="preserve">10 </w:t>
      </w:r>
      <w:r w:rsidRPr="003E5020">
        <w:rPr>
          <w:rFonts w:ascii="Times New Roman" w:hAnsi="Times New Roman" w:cs="Times New Roman"/>
          <w:sz w:val="24"/>
          <w:szCs w:val="24"/>
          <w:lang w:val="sr-Cyrl-CS"/>
        </w:rPr>
        <w:t>радних места</w:t>
      </w:r>
      <w:r w:rsidRPr="003E5020">
        <w:rPr>
          <w:rFonts w:ascii="Times New Roman" w:hAnsi="Times New Roman" w:cs="Times New Roman"/>
          <w:sz w:val="24"/>
          <w:szCs w:val="24"/>
          <w:lang w:val="sr-Cyrl-RS"/>
        </w:rPr>
        <w:t>. Капацитети Административне канцеларије у 2020. години, по унутрашњим организационим јединицама</w:t>
      </w:r>
      <w:r w:rsidRPr="003E5020">
        <w:rPr>
          <w:rStyle w:val="FootnoteReference"/>
          <w:rFonts w:ascii="Times New Roman" w:hAnsi="Times New Roman" w:cs="Times New Roman"/>
          <w:sz w:val="24"/>
          <w:szCs w:val="24"/>
          <w:lang w:val="sr-Cyrl-RS"/>
        </w:rPr>
        <w:footnoteReference w:id="98"/>
      </w:r>
      <w:r w:rsidRPr="003E5020">
        <w:rPr>
          <w:rFonts w:ascii="Times New Roman" w:hAnsi="Times New Roman" w:cs="Times New Roman"/>
          <w:sz w:val="24"/>
          <w:szCs w:val="24"/>
          <w:lang w:val="sr-Cyrl-RS"/>
        </w:rPr>
        <w:t>, су како следи:</w:t>
      </w:r>
    </w:p>
    <w:p w14:paraId="698A137C" w14:textId="77777777" w:rsidR="005D29DF" w:rsidRPr="003E5020" w:rsidRDefault="005D29DF" w:rsidP="005D29DF">
      <w:pPr>
        <w:pStyle w:val="CommentText"/>
        <w:jc w:val="both"/>
        <w:rPr>
          <w:sz w:val="24"/>
          <w:szCs w:val="24"/>
          <w:lang w:val="sr-Cyrl-CS"/>
        </w:rPr>
      </w:pPr>
      <w:r w:rsidRPr="003E5020">
        <w:rPr>
          <w:sz w:val="24"/>
          <w:szCs w:val="24"/>
          <w:lang w:val="sr-Cyrl-CS"/>
        </w:rPr>
        <w:t xml:space="preserve"> </w:t>
      </w:r>
    </w:p>
    <w:p w14:paraId="711A66AB" w14:textId="77777777" w:rsidR="005D29DF" w:rsidRPr="003E5020" w:rsidRDefault="005D29DF" w:rsidP="005D29DF">
      <w:pPr>
        <w:pStyle w:val="CommentText"/>
        <w:numPr>
          <w:ilvl w:val="0"/>
          <w:numId w:val="30"/>
        </w:numPr>
        <w:jc w:val="both"/>
        <w:rPr>
          <w:sz w:val="24"/>
          <w:szCs w:val="24"/>
          <w:lang w:val="sr-Cyrl-RS"/>
        </w:rPr>
      </w:pPr>
      <w:r w:rsidRPr="003E5020">
        <w:rPr>
          <w:sz w:val="24"/>
          <w:szCs w:val="24"/>
          <w:lang w:val="sr-Cyrl-CS" w:eastAsia="en-US"/>
        </w:rPr>
        <w:t xml:space="preserve">Одсек за материјално–финансијске послове </w:t>
      </w:r>
      <w:r w:rsidRPr="003E5020">
        <w:rPr>
          <w:sz w:val="24"/>
          <w:szCs w:val="24"/>
          <w:lang w:val="sr-Latn-RS"/>
        </w:rPr>
        <w:t>62,5</w:t>
      </w:r>
      <w:r w:rsidRPr="003E5020">
        <w:rPr>
          <w:sz w:val="24"/>
          <w:szCs w:val="24"/>
          <w:lang w:val="sr-Cyrl-RS"/>
        </w:rPr>
        <w:t xml:space="preserve">% попуњености, </w:t>
      </w:r>
    </w:p>
    <w:p w14:paraId="1CE19A2C" w14:textId="77777777" w:rsidR="005D29DF" w:rsidRPr="003E5020" w:rsidRDefault="005D29DF" w:rsidP="005D29DF">
      <w:pPr>
        <w:pStyle w:val="CommentText"/>
        <w:numPr>
          <w:ilvl w:val="0"/>
          <w:numId w:val="30"/>
        </w:numPr>
        <w:jc w:val="both"/>
        <w:rPr>
          <w:sz w:val="24"/>
          <w:szCs w:val="24"/>
          <w:lang w:val="sr-Cyrl-CS" w:eastAsia="en-US"/>
        </w:rPr>
      </w:pPr>
      <w:r w:rsidRPr="003E5020">
        <w:rPr>
          <w:sz w:val="24"/>
          <w:szCs w:val="24"/>
          <w:lang w:val="sr-Cyrl-RS"/>
        </w:rPr>
        <w:t xml:space="preserve">Одсек </w:t>
      </w:r>
      <w:r w:rsidRPr="003E5020">
        <w:rPr>
          <w:sz w:val="24"/>
          <w:szCs w:val="24"/>
          <w:lang w:val="sr-Cyrl-CS" w:eastAsia="en-US"/>
        </w:rPr>
        <w:t>за статусна питања носилаца јавнотужилачке функције и припрему прописа</w:t>
      </w:r>
      <w:r w:rsidRPr="003E5020">
        <w:rPr>
          <w:sz w:val="24"/>
          <w:szCs w:val="24"/>
          <w:lang w:val="sr-Cyrl-RS"/>
        </w:rPr>
        <w:t xml:space="preserve"> 66,6% попуњених радних места, </w:t>
      </w:r>
    </w:p>
    <w:p w14:paraId="15E43AC4" w14:textId="77777777" w:rsidR="005D29DF" w:rsidRPr="003E5020" w:rsidRDefault="005D29DF" w:rsidP="005D29DF">
      <w:pPr>
        <w:pStyle w:val="CommentText"/>
        <w:numPr>
          <w:ilvl w:val="0"/>
          <w:numId w:val="30"/>
        </w:numPr>
        <w:jc w:val="both"/>
        <w:rPr>
          <w:sz w:val="24"/>
          <w:szCs w:val="24"/>
          <w:lang w:val="sr-Cyrl-CS" w:eastAsia="en-US"/>
        </w:rPr>
      </w:pPr>
      <w:r w:rsidRPr="003E5020">
        <w:rPr>
          <w:sz w:val="24"/>
          <w:szCs w:val="24"/>
          <w:lang w:val="sr-Cyrl-RS"/>
        </w:rPr>
        <w:t xml:space="preserve">Одсек </w:t>
      </w:r>
      <w:r w:rsidRPr="003E5020">
        <w:rPr>
          <w:sz w:val="24"/>
          <w:szCs w:val="24"/>
          <w:lang w:val="sr-Cyrl-CS" w:eastAsia="en-US"/>
        </w:rPr>
        <w:t xml:space="preserve">за кадровске и опште послове 66,6%, попуњених радних места, </w:t>
      </w:r>
    </w:p>
    <w:p w14:paraId="6FAF2E31" w14:textId="77777777" w:rsidR="005D29DF" w:rsidRPr="003E5020" w:rsidRDefault="005D29DF" w:rsidP="005D29DF">
      <w:pPr>
        <w:pStyle w:val="CommentText"/>
        <w:numPr>
          <w:ilvl w:val="0"/>
          <w:numId w:val="30"/>
        </w:numPr>
        <w:jc w:val="both"/>
        <w:rPr>
          <w:sz w:val="24"/>
          <w:szCs w:val="24"/>
          <w:lang w:val="ru-RU" w:eastAsia="en-US"/>
        </w:rPr>
      </w:pPr>
      <w:r w:rsidRPr="003E5020">
        <w:rPr>
          <w:sz w:val="24"/>
          <w:szCs w:val="24"/>
          <w:lang w:val="sr-Cyrl-CS" w:eastAsia="en-US"/>
        </w:rPr>
        <w:t xml:space="preserve">Пуну попуњеност има </w:t>
      </w:r>
      <w:r w:rsidRPr="003E5020">
        <w:rPr>
          <w:sz w:val="24"/>
          <w:szCs w:val="24"/>
          <w:lang w:val="ru-RU" w:eastAsia="en-US"/>
        </w:rPr>
        <w:t>Група за писарницу 100%.</w:t>
      </w:r>
    </w:p>
    <w:p w14:paraId="2E8C0876" w14:textId="77777777" w:rsidR="005D29DF" w:rsidRPr="003E5020" w:rsidRDefault="005D29DF" w:rsidP="005D29DF">
      <w:pPr>
        <w:pStyle w:val="CommentText"/>
        <w:ind w:firstLine="708"/>
        <w:jc w:val="both"/>
        <w:rPr>
          <w:sz w:val="24"/>
          <w:szCs w:val="24"/>
          <w:lang w:val="ru-RU" w:eastAsia="en-US"/>
        </w:rPr>
      </w:pPr>
    </w:p>
    <w:p w14:paraId="4D2D57AE" w14:textId="77777777" w:rsidR="005D29DF" w:rsidRPr="003E5020" w:rsidRDefault="005D29DF" w:rsidP="005D29DF">
      <w:pPr>
        <w:pStyle w:val="CommentText"/>
        <w:ind w:left="708"/>
        <w:jc w:val="both"/>
        <w:rPr>
          <w:bCs/>
          <w:sz w:val="24"/>
          <w:szCs w:val="24"/>
          <w:lang w:val="sr-Cyrl-CS" w:eastAsia="en-US"/>
        </w:rPr>
      </w:pPr>
      <w:r w:rsidRPr="003E5020">
        <w:rPr>
          <w:sz w:val="24"/>
          <w:szCs w:val="24"/>
          <w:lang w:val="ru-RU" w:eastAsia="en-US"/>
        </w:rPr>
        <w:t xml:space="preserve">Уочљив недостатак у погледу попуњености је присутан код самосталних извршилаца изван свих организационих јединица. Према наведеном Правилнику, таквих места има четири, а три нису попуњена. </w:t>
      </w:r>
      <w:r w:rsidRPr="003E5020">
        <w:rPr>
          <w:bCs/>
          <w:sz w:val="24"/>
          <w:szCs w:val="24"/>
          <w:lang w:val="sr-Cyrl-CS" w:eastAsia="en-US"/>
        </w:rPr>
        <w:t xml:space="preserve">Ови подаци говоре о  томе да је само 25% оваквих радних места попуњено, док три четвртине радних места није попуњено. </w:t>
      </w:r>
    </w:p>
    <w:p w14:paraId="5F898C9E" w14:textId="77777777" w:rsidR="005D29DF" w:rsidRPr="003E5020" w:rsidRDefault="005D29DF" w:rsidP="005D29DF">
      <w:pPr>
        <w:jc w:val="both"/>
        <w:rPr>
          <w:rFonts w:ascii="Times New Roman" w:hAnsi="Times New Roman" w:cs="Times New Roman"/>
          <w:sz w:val="24"/>
          <w:szCs w:val="24"/>
          <w:lang w:val="ru-RU"/>
        </w:rPr>
      </w:pPr>
    </w:p>
    <w:p w14:paraId="3AE48482"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bCs/>
          <w:sz w:val="24"/>
          <w:szCs w:val="24"/>
          <w:lang w:val="sr-Cyrl-CS" w:eastAsia="en-US"/>
        </w:rPr>
        <w:t>Укупан проценат попуњености износи тек 55% попуњених радних места.</w:t>
      </w:r>
      <w:r w:rsidRPr="003E5020">
        <w:rPr>
          <w:rFonts w:ascii="Times New Roman" w:hAnsi="Times New Roman" w:cs="Times New Roman"/>
          <w:bCs/>
          <w:sz w:val="24"/>
          <w:szCs w:val="24"/>
          <w:lang w:val="sr-Cyrl-RS" w:eastAsia="en-US"/>
        </w:rPr>
        <w:t xml:space="preserve"> Из наведених податка произлази да су кадровски капацитети Административне канцеларије </w:t>
      </w:r>
      <w:r w:rsidRPr="003E5020">
        <w:rPr>
          <w:rFonts w:ascii="Times New Roman" w:hAnsi="Times New Roman" w:cs="Times New Roman"/>
          <w:bCs/>
          <w:sz w:val="24"/>
          <w:szCs w:val="24"/>
          <w:lang w:val="sr-Cyrl-CS" w:eastAsia="en-US"/>
        </w:rPr>
        <w:t xml:space="preserve"> недовољни и да је потребно начинити кораке ка њиховом јачању. </w:t>
      </w:r>
    </w:p>
    <w:p w14:paraId="6BBC3369" w14:textId="77777777" w:rsidR="005D29DF" w:rsidRPr="003E5020" w:rsidRDefault="005D29DF" w:rsidP="005D29DF">
      <w:pPr>
        <w:ind w:left="851"/>
        <w:jc w:val="both"/>
        <w:rPr>
          <w:rFonts w:ascii="Times New Roman" w:hAnsi="Times New Roman" w:cs="Times New Roman"/>
          <w:sz w:val="24"/>
          <w:szCs w:val="24"/>
          <w:lang w:val="sr-Cyrl-RS"/>
        </w:rPr>
      </w:pPr>
    </w:p>
    <w:p w14:paraId="2E0D2839"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Кадровским планом за 2021. годину Државно веће тужилаца је предвидело извесне модификације, али не и јачање капацитета Административне канцеларије у оквиру постојећих ужих унутрашњих организационих јединица. Приоритетан проблем је изостанак попуњености постојећих радних места, а секундарно би требало градити концепт додатног оснаживања капацитета, које би уследило доношењем кадровских планова односно пројекцијама кадровских планова за наредне године, што у смислу структуре и броја запослених, што у смислу, евентуалног, образовања нових унутрашњих организационих јединица. </w:t>
      </w:r>
    </w:p>
    <w:p w14:paraId="49CCEDE5" w14:textId="77777777" w:rsidR="005D29DF" w:rsidRPr="003E5020" w:rsidRDefault="005D29DF" w:rsidP="005D29DF">
      <w:pPr>
        <w:jc w:val="both"/>
        <w:rPr>
          <w:rFonts w:ascii="Times New Roman" w:hAnsi="Times New Roman" w:cs="Times New Roman"/>
          <w:sz w:val="24"/>
          <w:szCs w:val="24"/>
          <w:lang w:val="sr-Cyrl-RS"/>
        </w:rPr>
      </w:pPr>
    </w:p>
    <w:p w14:paraId="55CF4634"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Један од разлога за изостанак кадровских капацитета је да овај орган  не успева да попуни своје капацитете зато што се кандидати приоритетно опредељују за рад у правосудним органима, где су веће зараде, а што утиче и на одлив већ постојећих кадрова.</w:t>
      </w:r>
    </w:p>
    <w:p w14:paraId="0BC514D5" w14:textId="77777777" w:rsidR="005D29DF" w:rsidRPr="003E5020" w:rsidRDefault="005D29DF" w:rsidP="005D29DF">
      <w:pPr>
        <w:jc w:val="both"/>
        <w:rPr>
          <w:rFonts w:ascii="Times New Roman" w:hAnsi="Times New Roman" w:cs="Times New Roman"/>
          <w:sz w:val="24"/>
          <w:szCs w:val="24"/>
          <w:lang w:val="sr-Cyrl-RS"/>
        </w:rPr>
      </w:pPr>
    </w:p>
    <w:p w14:paraId="22BCDDFD"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Треба напоменути да је Државно веће тужилаца од почетка примене Закона о начину одређивања броја максималног броја запослених у јавном сектору односно Закона о буџетском систему само једном добило сагланост за пријем у радни однос новог лица (јул 2018. године). </w:t>
      </w:r>
    </w:p>
    <w:p w14:paraId="429CE5A3" w14:textId="77777777" w:rsidR="005D29DF" w:rsidRPr="003E5020" w:rsidRDefault="005D29DF" w:rsidP="005D29DF">
      <w:pPr>
        <w:jc w:val="both"/>
        <w:rPr>
          <w:rFonts w:ascii="Times New Roman" w:hAnsi="Times New Roman" w:cs="Times New Roman"/>
          <w:sz w:val="24"/>
          <w:szCs w:val="24"/>
          <w:lang w:val="sr-Cyrl-RS"/>
        </w:rPr>
      </w:pPr>
    </w:p>
    <w:p w14:paraId="182276EF"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Наведено има утицај на изостанак другачијег организовања унутрашњих организационих јединица, превасходно када је реч о пословима из домена информационих технологија. Наиме, Државно веће тужилаца врши односно требало би да врши послове уз пуну примену савремених софтверских решења и у том циљу би било пожељно да у свом саставу има организациону јединицу (групу), која би рад ДВТ учинило знатно ефикаснијим, али то због кадровских дефицита није могуће организовати. </w:t>
      </w:r>
    </w:p>
    <w:p w14:paraId="7D3964B2" w14:textId="77777777" w:rsidR="005D29DF" w:rsidRPr="003E5020" w:rsidRDefault="005D29DF" w:rsidP="005D29DF">
      <w:pPr>
        <w:jc w:val="both"/>
        <w:rPr>
          <w:rFonts w:ascii="Times New Roman" w:hAnsi="Times New Roman" w:cs="Times New Roman"/>
          <w:sz w:val="24"/>
          <w:szCs w:val="24"/>
          <w:lang w:val="sr-Cyrl-RS"/>
        </w:rPr>
      </w:pPr>
    </w:p>
    <w:p w14:paraId="1DD8F182"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Кадровска структура Државног већа тужилаца завређује додатну анализу и сугестије у погледу смањења броја намештеника односно повећања броја државних службеника. У тренутку израде овог документа, Државно веће тужилаца у радном односу има 12 државних службеника и чак 7 намештеника, па је пожељно предузети конкретне кораке у смислу смањења броја намештеника, односно повећања броја државних службеника. </w:t>
      </w:r>
    </w:p>
    <w:p w14:paraId="26B5D0FC" w14:textId="77777777" w:rsidR="005D29DF" w:rsidRPr="003E5020" w:rsidRDefault="005D29DF" w:rsidP="005D29DF">
      <w:pPr>
        <w:jc w:val="both"/>
        <w:rPr>
          <w:rFonts w:ascii="Times New Roman" w:hAnsi="Times New Roman" w:cs="Times New Roman"/>
          <w:sz w:val="24"/>
          <w:szCs w:val="24"/>
          <w:lang w:val="sr-Cyrl-RS"/>
        </w:rPr>
      </w:pPr>
    </w:p>
    <w:p w14:paraId="281F1556"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У погледу обука и стручног усавршавања, увек је пожељно континуирано надограђивање  системског приступа обукама, уз спровођење што детаљније анализе за стварним потребама за обукама, а посебно из угла специфичних потреба Државног већа тужилаца.  Све наведено треба да буде праћено унапређењем евидентирања обука, као и даљом дистрибуцијом знања које је стечено на обукама. </w:t>
      </w:r>
    </w:p>
    <w:p w14:paraId="4B824A26" w14:textId="77777777" w:rsidR="005D29DF" w:rsidRPr="003E5020" w:rsidRDefault="005D29DF" w:rsidP="005D29DF">
      <w:pPr>
        <w:jc w:val="both"/>
        <w:rPr>
          <w:rFonts w:ascii="Times New Roman" w:hAnsi="Times New Roman" w:cs="Times New Roman"/>
          <w:sz w:val="24"/>
          <w:szCs w:val="24"/>
          <w:lang w:val="sr-Cyrl-RS"/>
        </w:rPr>
      </w:pPr>
    </w:p>
    <w:p w14:paraId="60637FB3"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Најзад, не треба сметнути са ума и врло ограничене просторне капацитете за рад Државног већа тужилаца, као што су недовољан број канцеларија, изостанак простора за одлагање архивске грађе и слично. </w:t>
      </w:r>
    </w:p>
    <w:p w14:paraId="6426E572" w14:textId="77777777" w:rsidR="005D29DF" w:rsidRPr="003E5020" w:rsidRDefault="005D29DF" w:rsidP="005D29DF">
      <w:pPr>
        <w:jc w:val="both"/>
        <w:rPr>
          <w:rFonts w:ascii="Times New Roman" w:hAnsi="Times New Roman" w:cs="Times New Roman"/>
          <w:sz w:val="24"/>
          <w:szCs w:val="24"/>
          <w:lang w:val="sr-Cyrl-RS"/>
        </w:rPr>
      </w:pPr>
    </w:p>
    <w:p w14:paraId="433D2413" w14:textId="77777777" w:rsidR="005D29DF" w:rsidRPr="003E5020" w:rsidRDefault="005D29DF" w:rsidP="005D29DF">
      <w:pPr>
        <w:ind w:left="708"/>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Због свега напред наведеног, Стратегија је препознала високо значајну улогу Државног већа тужилаца, као органа који има дефиците у погледу људских ресурса, а што се даље рефлектује на реализацију осталих стратешких циљева. </w:t>
      </w:r>
    </w:p>
    <w:p w14:paraId="1B9DC8B1" w14:textId="77777777" w:rsidR="005D29DF" w:rsidRPr="003E5020" w:rsidRDefault="005D29DF" w:rsidP="005D29DF">
      <w:pPr>
        <w:ind w:left="708"/>
        <w:jc w:val="both"/>
        <w:rPr>
          <w:rFonts w:ascii="Times New Roman" w:hAnsi="Times New Roman" w:cs="Times New Roman"/>
          <w:sz w:val="24"/>
          <w:szCs w:val="24"/>
          <w:lang w:val="sr-Cyrl-RS"/>
        </w:rPr>
      </w:pPr>
    </w:p>
    <w:p w14:paraId="5628DA87" w14:textId="77777777" w:rsidR="00E80EA8" w:rsidRPr="003E5020" w:rsidRDefault="00E80EA8" w:rsidP="00E80EA8">
      <w:pPr>
        <w:ind w:left="708"/>
        <w:jc w:val="both"/>
        <w:rPr>
          <w:rFonts w:ascii="Times New Roman" w:hAnsi="Times New Roman" w:cs="Times New Roman"/>
          <w:sz w:val="24"/>
          <w:szCs w:val="24"/>
          <w:lang w:val="sr-Cyrl-RS"/>
        </w:rPr>
      </w:pPr>
      <w:r w:rsidRPr="003E5020">
        <w:rPr>
          <w:rFonts w:ascii="Times New Roman" w:eastAsiaTheme="majorEastAsia" w:hAnsi="Times New Roman" w:cs="Times New Roman"/>
          <w:bCs/>
          <w:sz w:val="24"/>
          <w:szCs w:val="24"/>
          <w:lang w:val="sr-Cyrl-RS"/>
        </w:rPr>
        <w:t>Веза са посебним циљем</w:t>
      </w:r>
      <w:r w:rsidRPr="003E5020">
        <w:rPr>
          <w:rFonts w:ascii="Times New Roman" w:eastAsiaTheme="majorEastAsia" w:hAnsi="Times New Roman" w:cs="Times New Roman"/>
          <w:sz w:val="24"/>
          <w:szCs w:val="24"/>
          <w:lang w:val="sr-Cyrl-RS"/>
        </w:rPr>
        <w:t xml:space="preserve">: </w:t>
      </w:r>
      <w:r w:rsidRPr="003E5020">
        <w:rPr>
          <w:rFonts w:ascii="Times New Roman" w:hAnsi="Times New Roman" w:cs="Times New Roman"/>
          <w:sz w:val="24"/>
          <w:szCs w:val="24"/>
          <w:lang w:val="sr-Cyrl-RS"/>
        </w:rPr>
        <w:t>Стратегија наведени проблем непосредно третира најпре кроз реализацију посебног циља 1 и циља 3. Посредно, на решавање овог проблема треба да утиче реализација посебног циља 2 Стратегије.</w:t>
      </w:r>
    </w:p>
    <w:p w14:paraId="5E2280FA" w14:textId="77777777" w:rsidR="008D20DE" w:rsidRPr="003E5020" w:rsidRDefault="008D20DE" w:rsidP="008D20DE">
      <w:pPr>
        <w:rPr>
          <w:rFonts w:ascii="Times New Roman" w:hAnsi="Times New Roman" w:cs="Times New Roman"/>
          <w:sz w:val="24"/>
          <w:szCs w:val="24"/>
          <w:lang w:val="sr-Cyrl-RS"/>
        </w:rPr>
      </w:pPr>
    </w:p>
    <w:p w14:paraId="7B0FE686" w14:textId="6631183C" w:rsidR="00294DEE" w:rsidRPr="003E5020" w:rsidRDefault="00AD60AD" w:rsidP="00BE043D">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6" w:name="_Toc84778632"/>
      <w:r w:rsidRPr="003E5020">
        <w:rPr>
          <w:rFonts w:ascii="Times New Roman" w:hAnsi="Times New Roman" w:cs="Times New Roman"/>
          <w:color w:val="auto"/>
          <w:sz w:val="24"/>
          <w:szCs w:val="24"/>
          <w:lang w:val="sr-Cyrl-RS"/>
        </w:rPr>
        <w:t>Подељена надлежност за у</w:t>
      </w:r>
      <w:r w:rsidR="00294DEE" w:rsidRPr="003E5020">
        <w:rPr>
          <w:rFonts w:ascii="Times New Roman" w:hAnsi="Times New Roman" w:cs="Times New Roman"/>
          <w:color w:val="auto"/>
          <w:sz w:val="24"/>
          <w:szCs w:val="24"/>
          <w:lang w:val="sr-Cyrl-RS"/>
        </w:rPr>
        <w:t>прављање финансијским ресурсима</w:t>
      </w:r>
      <w:bookmarkEnd w:id="106"/>
    </w:p>
    <w:p w14:paraId="3B909ACC" w14:textId="77777777" w:rsidR="00294DEE" w:rsidRPr="003E5020" w:rsidRDefault="00294DEE">
      <w:pPr>
        <w:jc w:val="both"/>
        <w:rPr>
          <w:rFonts w:ascii="Times New Roman" w:hAnsi="Times New Roman" w:cs="Times New Roman"/>
          <w:sz w:val="24"/>
          <w:szCs w:val="24"/>
          <w:lang w:val="sr-Cyrl-RS"/>
        </w:rPr>
      </w:pPr>
    </w:p>
    <w:p w14:paraId="455B8DBC" w14:textId="3A909581" w:rsidR="00DB71EA" w:rsidRPr="003E5020" w:rsidRDefault="00CE521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Законом о буџету за 202</w:t>
      </w:r>
      <w:r w:rsidR="00AB0DE9" w:rsidRPr="003E5020">
        <w:rPr>
          <w:rFonts w:ascii="Times New Roman" w:hAnsi="Times New Roman" w:cs="Times New Roman"/>
          <w:sz w:val="24"/>
          <w:szCs w:val="24"/>
          <w:lang w:val="sr-Cyrl-RS"/>
        </w:rPr>
        <w:t>1</w:t>
      </w:r>
      <w:r w:rsidRPr="003E5020">
        <w:rPr>
          <w:rFonts w:ascii="Times New Roman" w:hAnsi="Times New Roman" w:cs="Times New Roman"/>
          <w:sz w:val="24"/>
          <w:szCs w:val="24"/>
          <w:lang w:val="sr-Cyrl-RS"/>
        </w:rPr>
        <w:t xml:space="preserve">. годину </w:t>
      </w:r>
      <w:r w:rsidR="00AA2960" w:rsidRPr="003E5020">
        <w:rPr>
          <w:rFonts w:ascii="Times New Roman" w:hAnsi="Times New Roman" w:cs="Times New Roman"/>
          <w:sz w:val="24"/>
          <w:szCs w:val="24"/>
          <w:lang w:val="sr-Cyrl-RS"/>
        </w:rPr>
        <w:t>предвиђена су значајна средства за си</w:t>
      </w:r>
      <w:r w:rsidR="00721F73" w:rsidRPr="003E5020">
        <w:rPr>
          <w:rFonts w:ascii="Times New Roman" w:hAnsi="Times New Roman" w:cs="Times New Roman"/>
          <w:sz w:val="24"/>
          <w:szCs w:val="24"/>
          <w:lang w:val="sr-Cyrl-RS"/>
        </w:rPr>
        <w:t>стем правосуђа како је приказано у доњој табели</w:t>
      </w:r>
      <w:r w:rsidR="00405075" w:rsidRPr="003E5020">
        <w:rPr>
          <w:rFonts w:ascii="Times New Roman" w:hAnsi="Times New Roman" w:cs="Times New Roman"/>
          <w:sz w:val="24"/>
          <w:szCs w:val="24"/>
          <w:lang w:val="sr-Cyrl-RS"/>
        </w:rPr>
        <w:t>, укључујући и</w:t>
      </w:r>
      <w:r w:rsidR="00721F73" w:rsidRPr="003E5020">
        <w:rPr>
          <w:rFonts w:ascii="Times New Roman" w:hAnsi="Times New Roman" w:cs="Times New Roman"/>
          <w:sz w:val="24"/>
          <w:szCs w:val="24"/>
          <w:lang w:val="sr-Cyrl-RS"/>
        </w:rPr>
        <w:t xml:space="preserve"> приказ</w:t>
      </w:r>
      <w:r w:rsidR="00405075" w:rsidRPr="003E5020">
        <w:rPr>
          <w:rFonts w:ascii="Times New Roman" w:hAnsi="Times New Roman" w:cs="Times New Roman"/>
          <w:sz w:val="24"/>
          <w:szCs w:val="24"/>
          <w:lang w:val="sr-Cyrl-RS"/>
        </w:rPr>
        <w:t xml:space="preserve"> структур</w:t>
      </w:r>
      <w:r w:rsidR="00721F73" w:rsidRPr="003E5020">
        <w:rPr>
          <w:rFonts w:ascii="Times New Roman" w:hAnsi="Times New Roman" w:cs="Times New Roman"/>
          <w:sz w:val="24"/>
          <w:szCs w:val="24"/>
          <w:lang w:val="sr-Cyrl-RS"/>
        </w:rPr>
        <w:t>е учешћа</w:t>
      </w:r>
      <w:r w:rsidR="00405075" w:rsidRPr="003E5020">
        <w:rPr>
          <w:rFonts w:ascii="Times New Roman" w:hAnsi="Times New Roman" w:cs="Times New Roman"/>
          <w:sz w:val="24"/>
          <w:szCs w:val="24"/>
          <w:lang w:val="sr-Cyrl-RS"/>
        </w:rPr>
        <w:t xml:space="preserve"> зарада и других примања запослених у правосудним органима у укупном буџету појединог правосудног органа</w:t>
      </w:r>
      <w:r w:rsidR="00AA2960" w:rsidRPr="003E5020">
        <w:rPr>
          <w:rFonts w:ascii="Times New Roman" w:hAnsi="Times New Roman" w:cs="Times New Roman"/>
          <w:sz w:val="24"/>
          <w:szCs w:val="24"/>
          <w:lang w:val="sr-Cyrl-RS"/>
        </w:rPr>
        <w:t>:</w:t>
      </w:r>
    </w:p>
    <w:p w14:paraId="6404A7F5" w14:textId="7C2D2556" w:rsidR="00607DFF" w:rsidRPr="003E5020" w:rsidRDefault="00607DFF" w:rsidP="00607DFF">
      <w:pPr>
        <w:pStyle w:val="ListParagraph"/>
        <w:ind w:left="-142"/>
        <w:jc w:val="both"/>
        <w:rPr>
          <w:rFonts w:ascii="Times New Roman" w:eastAsiaTheme="majorEastAsia" w:hAnsi="Times New Roman" w:cs="Times New Roman"/>
          <w:b/>
          <w:sz w:val="24"/>
          <w:szCs w:val="24"/>
          <w:lang w:val="sr-Cyrl-RS"/>
        </w:rPr>
      </w:pPr>
    </w:p>
    <w:p w14:paraId="247F744E" w14:textId="57C4363A" w:rsidR="00607DFF" w:rsidRPr="003E5020" w:rsidRDefault="00607DFF" w:rsidP="00607DFF">
      <w:pPr>
        <w:pStyle w:val="ListParagraph"/>
        <w:ind w:left="-142" w:firstLine="862"/>
        <w:jc w:val="both"/>
        <w:rPr>
          <w:rFonts w:ascii="Times New Roman" w:eastAsiaTheme="majorEastAsia" w:hAnsi="Times New Roman" w:cs="Times New Roman"/>
          <w:bCs/>
          <w:sz w:val="24"/>
          <w:szCs w:val="24"/>
          <w:lang w:val="sr-Cyrl-RS"/>
        </w:rPr>
      </w:pPr>
      <w:r w:rsidRPr="003E5020">
        <w:rPr>
          <w:rFonts w:ascii="Times New Roman" w:eastAsiaTheme="majorEastAsia" w:hAnsi="Times New Roman" w:cs="Times New Roman"/>
          <w:bCs/>
          <w:sz w:val="24"/>
          <w:szCs w:val="24"/>
          <w:lang w:val="sr-Cyrl-RS"/>
        </w:rPr>
        <w:t>Табела 2 – Расподела финансијских средстава у правосуђу у 202</w:t>
      </w:r>
      <w:r w:rsidR="00AB0DE9" w:rsidRPr="003E5020">
        <w:rPr>
          <w:rFonts w:ascii="Times New Roman" w:eastAsiaTheme="majorEastAsia" w:hAnsi="Times New Roman" w:cs="Times New Roman"/>
          <w:bCs/>
          <w:sz w:val="24"/>
          <w:szCs w:val="24"/>
          <w:lang w:val="sr-Cyrl-RS"/>
        </w:rPr>
        <w:t>1</w:t>
      </w:r>
      <w:r w:rsidRPr="003E5020">
        <w:rPr>
          <w:rFonts w:ascii="Times New Roman" w:eastAsiaTheme="majorEastAsia" w:hAnsi="Times New Roman" w:cs="Times New Roman"/>
          <w:bCs/>
          <w:sz w:val="24"/>
          <w:szCs w:val="24"/>
          <w:lang w:val="sr-Cyrl-RS"/>
        </w:rPr>
        <w:t>. години</w:t>
      </w:r>
    </w:p>
    <w:p w14:paraId="65E9A050" w14:textId="77777777" w:rsidR="0023185D" w:rsidRPr="003E5020" w:rsidRDefault="0023185D">
      <w:pPr>
        <w:ind w:left="851"/>
        <w:jc w:val="both"/>
        <w:rPr>
          <w:rFonts w:ascii="Times New Roman" w:hAnsi="Times New Roman" w:cs="Times New Roman"/>
          <w:sz w:val="24"/>
          <w:szCs w:val="24"/>
          <w:lang w:val="sr-Cyrl-RS"/>
        </w:rPr>
      </w:pPr>
    </w:p>
    <w:tbl>
      <w:tblPr>
        <w:tblStyle w:val="TableGrid"/>
        <w:tblW w:w="0" w:type="auto"/>
        <w:tblInd w:w="800" w:type="dxa"/>
        <w:tblLook w:val="04A0" w:firstRow="1" w:lastRow="0" w:firstColumn="1" w:lastColumn="0" w:noHBand="0" w:noVBand="1"/>
      </w:tblPr>
      <w:tblGrid>
        <w:gridCol w:w="4966"/>
        <w:gridCol w:w="4089"/>
      </w:tblGrid>
      <w:tr w:rsidR="003E5020" w:rsidRPr="003E5020" w14:paraId="56B421FF" w14:textId="77777777" w:rsidTr="00096F5E">
        <w:tc>
          <w:tcPr>
            <w:tcW w:w="4966" w:type="dxa"/>
            <w:tcBorders>
              <w:top w:val="single" w:sz="8" w:space="0" w:color="auto"/>
              <w:left w:val="single" w:sz="8" w:space="0" w:color="auto"/>
              <w:bottom w:val="single" w:sz="8" w:space="0" w:color="auto"/>
              <w:right w:val="single" w:sz="8" w:space="0" w:color="auto"/>
            </w:tcBorders>
            <w:shd w:val="clear" w:color="000000" w:fill="2F5496"/>
            <w:vAlign w:val="center"/>
          </w:tcPr>
          <w:p w14:paraId="46CB7FF1" w14:textId="55EBC87D" w:rsidR="00697FDA" w:rsidRPr="003E5020" w:rsidRDefault="00697FDA" w:rsidP="00697FDA">
            <w:pPr>
              <w:spacing w:after="80"/>
              <w:rPr>
                <w:rFonts w:ascii="Times New Roman" w:hAnsi="Times New Roman" w:cs="Times New Roman"/>
                <w:lang w:val="sr-Cyrl-RS"/>
              </w:rPr>
            </w:pPr>
            <w:bookmarkStart w:id="107" w:name="_Hlk81085311"/>
            <w:r w:rsidRPr="003E5020">
              <w:rPr>
                <w:rFonts w:ascii="Times New Roman" w:hAnsi="Times New Roman" w:cs="Times New Roman"/>
                <w:lang w:val="sr-Cyrl-RS"/>
              </w:rPr>
              <w:t>Орган у систему правосуђа</w:t>
            </w:r>
          </w:p>
        </w:tc>
        <w:tc>
          <w:tcPr>
            <w:tcW w:w="0" w:type="auto"/>
            <w:tcBorders>
              <w:top w:val="single" w:sz="8" w:space="0" w:color="auto"/>
              <w:left w:val="nil"/>
              <w:bottom w:val="single" w:sz="8" w:space="0" w:color="auto"/>
              <w:right w:val="single" w:sz="8" w:space="0" w:color="auto"/>
            </w:tcBorders>
            <w:shd w:val="clear" w:color="000000" w:fill="2F5496"/>
            <w:vAlign w:val="center"/>
          </w:tcPr>
          <w:p w14:paraId="07F82BC7" w14:textId="48361810"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Укупан износ опредељених средстава (РСД)</w:t>
            </w:r>
          </w:p>
        </w:tc>
      </w:tr>
      <w:tr w:rsidR="003E5020" w:rsidRPr="003E5020" w14:paraId="54C343F2" w14:textId="77777777" w:rsidTr="00096F5E">
        <w:tc>
          <w:tcPr>
            <w:tcW w:w="4966" w:type="dxa"/>
            <w:tcBorders>
              <w:top w:val="single" w:sz="8" w:space="0" w:color="auto"/>
            </w:tcBorders>
            <w:shd w:val="clear" w:color="auto" w:fill="DEEAF6" w:themeFill="accent1" w:themeFillTint="33"/>
          </w:tcPr>
          <w:p w14:paraId="57891006"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Високи савет судства</w:t>
            </w:r>
          </w:p>
        </w:tc>
        <w:tc>
          <w:tcPr>
            <w:tcW w:w="0" w:type="auto"/>
            <w:tcBorders>
              <w:top w:val="single" w:sz="8" w:space="0" w:color="auto"/>
            </w:tcBorders>
            <w:shd w:val="clear" w:color="auto" w:fill="DEEAF6" w:themeFill="accent1" w:themeFillTint="33"/>
          </w:tcPr>
          <w:p w14:paraId="40388E98" w14:textId="1D612A09" w:rsidR="00697FDA" w:rsidRPr="003E5020" w:rsidRDefault="00CF5129" w:rsidP="00BE231D">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165.613.000</w:t>
            </w:r>
          </w:p>
        </w:tc>
      </w:tr>
      <w:tr w:rsidR="003E5020" w:rsidRPr="003E5020" w14:paraId="4DA3E9C5" w14:textId="77777777" w:rsidTr="00096F5E">
        <w:tc>
          <w:tcPr>
            <w:tcW w:w="4966" w:type="dxa"/>
          </w:tcPr>
          <w:p w14:paraId="621275E0"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w:t>
            </w:r>
          </w:p>
        </w:tc>
        <w:tc>
          <w:tcPr>
            <w:tcW w:w="0" w:type="auto"/>
          </w:tcPr>
          <w:p w14:paraId="7940FFD8" w14:textId="33966261" w:rsidR="00697FDA" w:rsidRPr="003E5020" w:rsidRDefault="00CF5129" w:rsidP="00100876">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82.445.000</w:t>
            </w:r>
          </w:p>
        </w:tc>
      </w:tr>
      <w:tr w:rsidR="003E5020" w:rsidRPr="003E5020" w14:paraId="505BB347" w14:textId="77777777" w:rsidTr="00096F5E">
        <w:tc>
          <w:tcPr>
            <w:tcW w:w="4966" w:type="dxa"/>
            <w:tcBorders>
              <w:bottom w:val="single" w:sz="4" w:space="0" w:color="auto"/>
            </w:tcBorders>
          </w:tcPr>
          <w:p w14:paraId="244BFE6A"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w:t>
            </w:r>
          </w:p>
        </w:tc>
        <w:tc>
          <w:tcPr>
            <w:tcW w:w="0" w:type="auto"/>
            <w:tcBorders>
              <w:bottom w:val="single" w:sz="4" w:space="0" w:color="auto"/>
            </w:tcBorders>
          </w:tcPr>
          <w:p w14:paraId="126BE5CD" w14:textId="77777777" w:rsidR="00697FDA" w:rsidRPr="003E5020" w:rsidRDefault="00697FDA" w:rsidP="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300.000</w:t>
            </w:r>
          </w:p>
        </w:tc>
      </w:tr>
      <w:tr w:rsidR="003E5020" w:rsidRPr="003E5020" w14:paraId="11B380C6" w14:textId="77777777" w:rsidTr="00096F5E">
        <w:tc>
          <w:tcPr>
            <w:tcW w:w="4966" w:type="dxa"/>
            <w:shd w:val="clear" w:color="auto" w:fill="DEEAF6" w:themeFill="accent1" w:themeFillTint="33"/>
          </w:tcPr>
          <w:p w14:paraId="68F98168"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Врховни касациони суд</w:t>
            </w:r>
          </w:p>
        </w:tc>
        <w:tc>
          <w:tcPr>
            <w:tcW w:w="0" w:type="auto"/>
            <w:shd w:val="clear" w:color="auto" w:fill="DEEAF6" w:themeFill="accent1" w:themeFillTint="33"/>
          </w:tcPr>
          <w:p w14:paraId="46E67216" w14:textId="2B48E52D" w:rsidR="00697FDA" w:rsidRPr="003E5020" w:rsidRDefault="00CF5129" w:rsidP="00100876">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618.147.000</w:t>
            </w:r>
          </w:p>
        </w:tc>
      </w:tr>
      <w:tr w:rsidR="003E5020" w:rsidRPr="003E5020" w14:paraId="68B17A01" w14:textId="77777777" w:rsidTr="00096F5E">
        <w:tc>
          <w:tcPr>
            <w:tcW w:w="4966" w:type="dxa"/>
          </w:tcPr>
          <w:p w14:paraId="2E5FEA0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w:t>
            </w:r>
          </w:p>
        </w:tc>
        <w:tc>
          <w:tcPr>
            <w:tcW w:w="0" w:type="auto"/>
          </w:tcPr>
          <w:p w14:paraId="30A29817" w14:textId="268CC332" w:rsidR="00697FDA" w:rsidRPr="003E5020" w:rsidRDefault="00CF512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188.592.000</w:t>
            </w:r>
          </w:p>
        </w:tc>
      </w:tr>
      <w:tr w:rsidR="003E5020" w:rsidRPr="003E5020" w14:paraId="1D974514" w14:textId="77777777" w:rsidTr="00096F5E">
        <w:tc>
          <w:tcPr>
            <w:tcW w:w="4966" w:type="dxa"/>
            <w:tcBorders>
              <w:bottom w:val="single" w:sz="4" w:space="0" w:color="auto"/>
            </w:tcBorders>
          </w:tcPr>
          <w:p w14:paraId="7BA2556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w:t>
            </w:r>
          </w:p>
        </w:tc>
        <w:tc>
          <w:tcPr>
            <w:tcW w:w="0" w:type="auto"/>
            <w:tcBorders>
              <w:bottom w:val="single" w:sz="4" w:space="0" w:color="auto"/>
            </w:tcBorders>
          </w:tcPr>
          <w:p w14:paraId="1DB40101" w14:textId="77777777" w:rsidR="00697FDA" w:rsidRPr="003E5020" w:rsidRDefault="00697FDA" w:rsidP="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600.000</w:t>
            </w:r>
          </w:p>
        </w:tc>
      </w:tr>
      <w:tr w:rsidR="003E5020" w:rsidRPr="003E5020" w14:paraId="46D1CC53" w14:textId="77777777" w:rsidTr="00096F5E">
        <w:tc>
          <w:tcPr>
            <w:tcW w:w="4966" w:type="dxa"/>
            <w:shd w:val="clear" w:color="auto" w:fill="DEEAF6" w:themeFill="accent1" w:themeFillTint="33"/>
          </w:tcPr>
          <w:p w14:paraId="4F41CF34"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Управни суд</w:t>
            </w:r>
          </w:p>
        </w:tc>
        <w:tc>
          <w:tcPr>
            <w:tcW w:w="0" w:type="auto"/>
            <w:shd w:val="clear" w:color="auto" w:fill="DEEAF6" w:themeFill="accent1" w:themeFillTint="33"/>
          </w:tcPr>
          <w:p w14:paraId="2AB6EDE9" w14:textId="01291276" w:rsidR="00697FDA" w:rsidRPr="003E5020" w:rsidRDefault="00CF5129" w:rsidP="00100876">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451.257.000</w:t>
            </w:r>
          </w:p>
        </w:tc>
      </w:tr>
      <w:tr w:rsidR="003E5020" w:rsidRPr="003E5020" w14:paraId="01665D70" w14:textId="77777777" w:rsidTr="00096F5E">
        <w:trPr>
          <w:trHeight w:val="242"/>
        </w:trPr>
        <w:tc>
          <w:tcPr>
            <w:tcW w:w="4966" w:type="dxa"/>
          </w:tcPr>
          <w:p w14:paraId="79986D55"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173FB097" w14:textId="1FB5DC50" w:rsidR="00697FDA" w:rsidRPr="003E5020" w:rsidRDefault="00CF5129" w:rsidP="00100876">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140.722.000</w:t>
            </w:r>
          </w:p>
        </w:tc>
      </w:tr>
      <w:tr w:rsidR="003E5020" w:rsidRPr="003E5020" w14:paraId="617AF8A6" w14:textId="77777777" w:rsidTr="00096F5E">
        <w:tc>
          <w:tcPr>
            <w:tcW w:w="4966" w:type="dxa"/>
          </w:tcPr>
          <w:p w14:paraId="4F1B373A"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622285FC" w14:textId="1ED19952" w:rsidR="00697FDA" w:rsidRPr="003E5020" w:rsidRDefault="00CF5129" w:rsidP="00100876">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765.000</w:t>
            </w:r>
          </w:p>
        </w:tc>
      </w:tr>
      <w:tr w:rsidR="003E5020" w:rsidRPr="003E5020" w14:paraId="7D8E0425" w14:textId="77777777" w:rsidTr="00096F5E">
        <w:tc>
          <w:tcPr>
            <w:tcW w:w="4966" w:type="dxa"/>
          </w:tcPr>
          <w:p w14:paraId="45A1EBE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2B412750" w14:textId="69F39CDD" w:rsidR="00697FDA" w:rsidRPr="003E5020" w:rsidRDefault="00CF512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198.597.000</w:t>
            </w:r>
          </w:p>
        </w:tc>
      </w:tr>
      <w:tr w:rsidR="003E5020" w:rsidRPr="003E5020" w14:paraId="63410A5B" w14:textId="77777777" w:rsidTr="00096F5E">
        <w:tc>
          <w:tcPr>
            <w:tcW w:w="4966" w:type="dxa"/>
            <w:tcBorders>
              <w:bottom w:val="single" w:sz="4" w:space="0" w:color="auto"/>
            </w:tcBorders>
          </w:tcPr>
          <w:p w14:paraId="4C4208B6"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03C62333" w14:textId="41D5CA13"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1.165.000</w:t>
            </w:r>
          </w:p>
        </w:tc>
      </w:tr>
      <w:tr w:rsidR="003E5020" w:rsidRPr="003E5020" w14:paraId="3782E20D" w14:textId="77777777" w:rsidTr="00096F5E">
        <w:tc>
          <w:tcPr>
            <w:tcW w:w="4966" w:type="dxa"/>
            <w:shd w:val="clear" w:color="auto" w:fill="DEEAF6" w:themeFill="accent1" w:themeFillTint="33"/>
          </w:tcPr>
          <w:p w14:paraId="5137330D"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Привредни апелациони суд</w:t>
            </w:r>
          </w:p>
        </w:tc>
        <w:tc>
          <w:tcPr>
            <w:tcW w:w="0" w:type="auto"/>
            <w:shd w:val="clear" w:color="auto" w:fill="DEEAF6" w:themeFill="accent1" w:themeFillTint="33"/>
          </w:tcPr>
          <w:p w14:paraId="4DAE6C70" w14:textId="41B61FC2" w:rsidR="00697FDA" w:rsidRPr="003E5020" w:rsidRDefault="00AB0DE9" w:rsidP="00354367">
            <w:pPr>
              <w:rPr>
                <w:rFonts w:ascii="Times New Roman" w:hAnsi="Times New Roman" w:cs="Times New Roman"/>
                <w:b/>
                <w:lang w:val="sr-Cyrl-RS"/>
              </w:rPr>
            </w:pPr>
            <w:r w:rsidRPr="003E5020">
              <w:rPr>
                <w:rFonts w:ascii="Times New Roman" w:eastAsiaTheme="minorEastAsia" w:hAnsi="Times New Roman" w:cs="Times New Roman"/>
                <w:b/>
                <w:lang w:val="sr-Cyrl-RS"/>
              </w:rPr>
              <w:t>276.260.000</w:t>
            </w:r>
          </w:p>
        </w:tc>
      </w:tr>
      <w:tr w:rsidR="003E5020" w:rsidRPr="003E5020" w14:paraId="0D9BD655" w14:textId="77777777" w:rsidTr="00096F5E">
        <w:tc>
          <w:tcPr>
            <w:tcW w:w="4966" w:type="dxa"/>
          </w:tcPr>
          <w:p w14:paraId="3326CCA3"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01DCC5C5" w14:textId="02ED1BB0"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117.806.000</w:t>
            </w:r>
          </w:p>
        </w:tc>
      </w:tr>
      <w:tr w:rsidR="003E5020" w:rsidRPr="003E5020" w14:paraId="3729A3A1" w14:textId="77777777" w:rsidTr="00096F5E">
        <w:tc>
          <w:tcPr>
            <w:tcW w:w="4966" w:type="dxa"/>
          </w:tcPr>
          <w:p w14:paraId="2E7A4476"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7B779F5D" w14:textId="5D4BE9FB"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665.000</w:t>
            </w:r>
          </w:p>
        </w:tc>
      </w:tr>
      <w:tr w:rsidR="003E5020" w:rsidRPr="003E5020" w14:paraId="3E4F6403" w14:textId="77777777" w:rsidTr="00096F5E">
        <w:tc>
          <w:tcPr>
            <w:tcW w:w="4966" w:type="dxa"/>
          </w:tcPr>
          <w:p w14:paraId="5377203E"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18CAFCC2" w14:textId="445C211F"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96.313.000</w:t>
            </w:r>
          </w:p>
        </w:tc>
      </w:tr>
      <w:tr w:rsidR="003E5020" w:rsidRPr="003E5020" w14:paraId="3EFA22D4" w14:textId="77777777" w:rsidTr="00096F5E">
        <w:tc>
          <w:tcPr>
            <w:tcW w:w="4966" w:type="dxa"/>
            <w:tcBorders>
              <w:bottom w:val="single" w:sz="4" w:space="0" w:color="auto"/>
            </w:tcBorders>
          </w:tcPr>
          <w:p w14:paraId="06BC9026"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1CB3F63C" w14:textId="1D6F7210"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430.000</w:t>
            </w:r>
          </w:p>
        </w:tc>
      </w:tr>
      <w:tr w:rsidR="003E5020" w:rsidRPr="003E5020" w14:paraId="287DFCE4" w14:textId="77777777" w:rsidTr="00096F5E">
        <w:tc>
          <w:tcPr>
            <w:tcW w:w="4966" w:type="dxa"/>
            <w:shd w:val="clear" w:color="auto" w:fill="DEEAF6" w:themeFill="accent1" w:themeFillTint="33"/>
          </w:tcPr>
          <w:p w14:paraId="1D17005A"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Прекршајни апелациони суд</w:t>
            </w:r>
          </w:p>
        </w:tc>
        <w:tc>
          <w:tcPr>
            <w:tcW w:w="0" w:type="auto"/>
            <w:shd w:val="clear" w:color="auto" w:fill="DEEAF6" w:themeFill="accent1" w:themeFillTint="33"/>
          </w:tcPr>
          <w:p w14:paraId="16752E4D" w14:textId="57779472" w:rsidR="00697FDA" w:rsidRPr="003E5020" w:rsidRDefault="00AB0DE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477.301.000</w:t>
            </w:r>
          </w:p>
        </w:tc>
      </w:tr>
      <w:tr w:rsidR="003E5020" w:rsidRPr="003E5020" w14:paraId="0F255515" w14:textId="77777777" w:rsidTr="00096F5E">
        <w:tc>
          <w:tcPr>
            <w:tcW w:w="4966" w:type="dxa"/>
          </w:tcPr>
          <w:p w14:paraId="045B8428"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322D4E65" w14:textId="2186C1F1" w:rsidR="00697FDA" w:rsidRPr="003E5020" w:rsidRDefault="00AB0DE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156.932.000</w:t>
            </w:r>
          </w:p>
        </w:tc>
      </w:tr>
      <w:tr w:rsidR="003E5020" w:rsidRPr="003E5020" w14:paraId="385E0247" w14:textId="77777777" w:rsidTr="00096F5E">
        <w:tc>
          <w:tcPr>
            <w:tcW w:w="4966" w:type="dxa"/>
          </w:tcPr>
          <w:p w14:paraId="263DB8AF"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209CBF27" w14:textId="003DE4A2" w:rsidR="00697FDA" w:rsidRPr="003E5020" w:rsidRDefault="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920.000</w:t>
            </w:r>
          </w:p>
        </w:tc>
      </w:tr>
      <w:tr w:rsidR="003E5020" w:rsidRPr="003E5020" w14:paraId="57C4F115" w14:textId="77777777" w:rsidTr="00096F5E">
        <w:tc>
          <w:tcPr>
            <w:tcW w:w="4966" w:type="dxa"/>
          </w:tcPr>
          <w:p w14:paraId="098A1FB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208CE1F3" w14:textId="49CAFCF0"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206.549.000</w:t>
            </w:r>
          </w:p>
        </w:tc>
      </w:tr>
      <w:tr w:rsidR="003E5020" w:rsidRPr="003E5020" w14:paraId="03E94161" w14:textId="77777777" w:rsidTr="00096F5E">
        <w:tc>
          <w:tcPr>
            <w:tcW w:w="4966" w:type="dxa"/>
            <w:tcBorders>
              <w:bottom w:val="single" w:sz="4" w:space="0" w:color="auto"/>
            </w:tcBorders>
          </w:tcPr>
          <w:p w14:paraId="3961893F"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07D4A5CC" w14:textId="74C684B5" w:rsidR="00697FDA" w:rsidRPr="003E5020" w:rsidRDefault="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1.770.000</w:t>
            </w:r>
          </w:p>
        </w:tc>
      </w:tr>
      <w:tr w:rsidR="003E5020" w:rsidRPr="003E5020" w14:paraId="7CEF99BA" w14:textId="77777777" w:rsidTr="00096F5E">
        <w:tc>
          <w:tcPr>
            <w:tcW w:w="4966" w:type="dxa"/>
            <w:shd w:val="clear" w:color="auto" w:fill="DEEAF6" w:themeFill="accent1" w:themeFillTint="33"/>
          </w:tcPr>
          <w:p w14:paraId="267DD78B"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Апелациони судови</w:t>
            </w:r>
          </w:p>
        </w:tc>
        <w:tc>
          <w:tcPr>
            <w:tcW w:w="0" w:type="auto"/>
            <w:shd w:val="clear" w:color="auto" w:fill="DEEAF6" w:themeFill="accent1" w:themeFillTint="33"/>
          </w:tcPr>
          <w:p w14:paraId="44C2B6E7" w14:textId="0B565A7C" w:rsidR="00697FDA" w:rsidRPr="003E5020" w:rsidRDefault="006F55F6"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1.879.944.000</w:t>
            </w:r>
          </w:p>
        </w:tc>
      </w:tr>
      <w:tr w:rsidR="003E5020" w:rsidRPr="003E5020" w14:paraId="1C01A088" w14:textId="77777777" w:rsidTr="00096F5E">
        <w:tc>
          <w:tcPr>
            <w:tcW w:w="4966" w:type="dxa"/>
          </w:tcPr>
          <w:p w14:paraId="0EE95E4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29903302" w14:textId="0AD9EB9E"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694.189.000</w:t>
            </w:r>
          </w:p>
        </w:tc>
      </w:tr>
      <w:tr w:rsidR="003E5020" w:rsidRPr="003E5020" w14:paraId="3BD5F706" w14:textId="77777777" w:rsidTr="00096F5E">
        <w:tc>
          <w:tcPr>
            <w:tcW w:w="4966" w:type="dxa"/>
          </w:tcPr>
          <w:p w14:paraId="05783BD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4E736426" w14:textId="29D88282" w:rsidR="00697FDA" w:rsidRPr="003E5020" w:rsidRDefault="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4.000.000</w:t>
            </w:r>
          </w:p>
        </w:tc>
      </w:tr>
      <w:tr w:rsidR="003E5020" w:rsidRPr="003E5020" w14:paraId="5A11C288" w14:textId="77777777" w:rsidTr="00096F5E">
        <w:tc>
          <w:tcPr>
            <w:tcW w:w="4966" w:type="dxa"/>
          </w:tcPr>
          <w:p w14:paraId="1A726644"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2E144116" w14:textId="6530B216"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705.696.000</w:t>
            </w:r>
          </w:p>
        </w:tc>
      </w:tr>
      <w:tr w:rsidR="003E5020" w:rsidRPr="003E5020" w14:paraId="70D7940F" w14:textId="77777777" w:rsidTr="00096F5E">
        <w:tc>
          <w:tcPr>
            <w:tcW w:w="4966" w:type="dxa"/>
            <w:tcBorders>
              <w:bottom w:val="single" w:sz="4" w:space="0" w:color="auto"/>
            </w:tcBorders>
          </w:tcPr>
          <w:p w14:paraId="7660B791"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7D1A3105" w14:textId="182CDDD8"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4.500.000</w:t>
            </w:r>
          </w:p>
        </w:tc>
      </w:tr>
      <w:tr w:rsidR="003E5020" w:rsidRPr="003E5020" w14:paraId="0BFCA186" w14:textId="77777777" w:rsidTr="00096F5E">
        <w:tc>
          <w:tcPr>
            <w:tcW w:w="4966" w:type="dxa"/>
            <w:shd w:val="clear" w:color="auto" w:fill="DEEAF6" w:themeFill="accent1" w:themeFillTint="33"/>
          </w:tcPr>
          <w:p w14:paraId="1957FE69"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Виши судови</w:t>
            </w:r>
          </w:p>
        </w:tc>
        <w:tc>
          <w:tcPr>
            <w:tcW w:w="0" w:type="auto"/>
            <w:shd w:val="clear" w:color="auto" w:fill="DEEAF6" w:themeFill="accent1" w:themeFillTint="33"/>
          </w:tcPr>
          <w:p w14:paraId="5FC7B877" w14:textId="0C4777DF" w:rsidR="00697FDA" w:rsidRPr="003E5020" w:rsidRDefault="006F55F6"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4.762.882.000</w:t>
            </w:r>
          </w:p>
        </w:tc>
      </w:tr>
      <w:tr w:rsidR="003E5020" w:rsidRPr="003E5020" w14:paraId="42E58B64" w14:textId="77777777" w:rsidTr="00096F5E">
        <w:tc>
          <w:tcPr>
            <w:tcW w:w="4966" w:type="dxa"/>
          </w:tcPr>
          <w:p w14:paraId="75CD418E"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13B286AE" w14:textId="2CCE55AB"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1.034.742.000</w:t>
            </w:r>
          </w:p>
        </w:tc>
      </w:tr>
      <w:tr w:rsidR="003E5020" w:rsidRPr="003E5020" w14:paraId="55FA4B31" w14:textId="77777777" w:rsidTr="00096F5E">
        <w:tc>
          <w:tcPr>
            <w:tcW w:w="4966" w:type="dxa"/>
          </w:tcPr>
          <w:p w14:paraId="7B214E6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3C34F07A" w14:textId="02B948AF"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4.050.000</w:t>
            </w:r>
          </w:p>
        </w:tc>
      </w:tr>
      <w:tr w:rsidR="003E5020" w:rsidRPr="003E5020" w14:paraId="51F1A3DA" w14:textId="77777777" w:rsidTr="00096F5E">
        <w:tc>
          <w:tcPr>
            <w:tcW w:w="4966" w:type="dxa"/>
          </w:tcPr>
          <w:p w14:paraId="7E236C97"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0552BB8C" w14:textId="19260099"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1.509.177.000</w:t>
            </w:r>
          </w:p>
        </w:tc>
      </w:tr>
      <w:tr w:rsidR="003E5020" w:rsidRPr="003E5020" w14:paraId="634C8D02" w14:textId="77777777" w:rsidTr="00096F5E">
        <w:tc>
          <w:tcPr>
            <w:tcW w:w="4966" w:type="dxa"/>
            <w:tcBorders>
              <w:bottom w:val="single" w:sz="4" w:space="0" w:color="auto"/>
            </w:tcBorders>
          </w:tcPr>
          <w:p w14:paraId="3E27D2AA"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07A1BFED" w14:textId="61F1A8B3"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10.000.000</w:t>
            </w:r>
          </w:p>
        </w:tc>
      </w:tr>
      <w:tr w:rsidR="003E5020" w:rsidRPr="003E5020" w14:paraId="15A363C6" w14:textId="77777777" w:rsidTr="00096F5E">
        <w:tc>
          <w:tcPr>
            <w:tcW w:w="4966" w:type="dxa"/>
            <w:shd w:val="clear" w:color="auto" w:fill="DEEAF6" w:themeFill="accent1" w:themeFillTint="33"/>
          </w:tcPr>
          <w:p w14:paraId="0ACA827C"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Основни судови</w:t>
            </w:r>
          </w:p>
        </w:tc>
        <w:tc>
          <w:tcPr>
            <w:tcW w:w="0" w:type="auto"/>
            <w:shd w:val="clear" w:color="auto" w:fill="DEEAF6" w:themeFill="accent1" w:themeFillTint="33"/>
          </w:tcPr>
          <w:p w14:paraId="15FC9316" w14:textId="0EE1D7F0" w:rsidR="00697FDA" w:rsidRPr="003E5020" w:rsidRDefault="006F55F6"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12.424.470.000</w:t>
            </w:r>
          </w:p>
        </w:tc>
      </w:tr>
      <w:tr w:rsidR="003E5020" w:rsidRPr="003E5020" w14:paraId="6556F561" w14:textId="77777777" w:rsidTr="00096F5E">
        <w:tc>
          <w:tcPr>
            <w:tcW w:w="4966" w:type="dxa"/>
          </w:tcPr>
          <w:p w14:paraId="38375FE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0898B4A6" w14:textId="0925BDCD"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2.721.297.000</w:t>
            </w:r>
          </w:p>
        </w:tc>
      </w:tr>
      <w:tr w:rsidR="003E5020" w:rsidRPr="003E5020" w14:paraId="22EB252C" w14:textId="77777777" w:rsidTr="00096F5E">
        <w:tc>
          <w:tcPr>
            <w:tcW w:w="4966" w:type="dxa"/>
          </w:tcPr>
          <w:p w14:paraId="54108977"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72C24C04" w14:textId="07EF0A03"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12.000.000</w:t>
            </w:r>
          </w:p>
        </w:tc>
      </w:tr>
      <w:tr w:rsidR="003E5020" w:rsidRPr="003E5020" w14:paraId="5F04EFF3" w14:textId="77777777" w:rsidTr="00096F5E">
        <w:tc>
          <w:tcPr>
            <w:tcW w:w="4966" w:type="dxa"/>
          </w:tcPr>
          <w:p w14:paraId="31FDDC3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78DA0529" w14:textId="785FD2D4" w:rsidR="00697FDA" w:rsidRPr="003E5020" w:rsidRDefault="006F55F6"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4.527.264.000</w:t>
            </w:r>
          </w:p>
        </w:tc>
      </w:tr>
      <w:tr w:rsidR="003E5020" w:rsidRPr="003E5020" w14:paraId="3DCC9C0E" w14:textId="77777777" w:rsidTr="00096F5E">
        <w:tc>
          <w:tcPr>
            <w:tcW w:w="4966" w:type="dxa"/>
            <w:tcBorders>
              <w:bottom w:val="single" w:sz="4" w:space="0" w:color="auto"/>
            </w:tcBorders>
          </w:tcPr>
          <w:p w14:paraId="5B76396F"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73F94B59" w14:textId="0F2802A2" w:rsidR="00697FDA" w:rsidRPr="003E5020" w:rsidRDefault="0074676E"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32.000.000</w:t>
            </w:r>
          </w:p>
        </w:tc>
      </w:tr>
      <w:tr w:rsidR="003E5020" w:rsidRPr="003E5020" w14:paraId="076644DA" w14:textId="77777777" w:rsidTr="00096F5E">
        <w:tc>
          <w:tcPr>
            <w:tcW w:w="4966" w:type="dxa"/>
            <w:shd w:val="clear" w:color="auto" w:fill="DEEAF6" w:themeFill="accent1" w:themeFillTint="33"/>
          </w:tcPr>
          <w:p w14:paraId="6D8B8F56"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Привредни судови</w:t>
            </w:r>
          </w:p>
        </w:tc>
        <w:tc>
          <w:tcPr>
            <w:tcW w:w="0" w:type="auto"/>
            <w:shd w:val="clear" w:color="auto" w:fill="DEEAF6" w:themeFill="accent1" w:themeFillTint="33"/>
          </w:tcPr>
          <w:p w14:paraId="1E06D6AC" w14:textId="0CF9BED2" w:rsidR="00697FDA" w:rsidRPr="003E5020" w:rsidRDefault="00E52082"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3.568.701.000</w:t>
            </w:r>
          </w:p>
        </w:tc>
      </w:tr>
      <w:tr w:rsidR="003E5020" w:rsidRPr="003E5020" w14:paraId="491F8BDF" w14:textId="77777777" w:rsidTr="00096F5E">
        <w:tc>
          <w:tcPr>
            <w:tcW w:w="4966" w:type="dxa"/>
          </w:tcPr>
          <w:p w14:paraId="796C13C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35EC665B" w14:textId="641A3A14"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440.472.000</w:t>
            </w:r>
          </w:p>
        </w:tc>
      </w:tr>
      <w:tr w:rsidR="003E5020" w:rsidRPr="003E5020" w14:paraId="39E22E45" w14:textId="77777777" w:rsidTr="00096F5E">
        <w:tc>
          <w:tcPr>
            <w:tcW w:w="4966" w:type="dxa"/>
          </w:tcPr>
          <w:p w14:paraId="5A45C98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56C0B4BA" w14:textId="5D330F85"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80.000.000</w:t>
            </w:r>
          </w:p>
        </w:tc>
      </w:tr>
      <w:tr w:rsidR="003E5020" w:rsidRPr="003E5020" w14:paraId="68C0DA71" w14:textId="77777777" w:rsidTr="00096F5E">
        <w:tc>
          <w:tcPr>
            <w:tcW w:w="4966" w:type="dxa"/>
          </w:tcPr>
          <w:p w14:paraId="3515D9B8"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2E2F5446" w14:textId="0AE73DA2"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658.316.000</w:t>
            </w:r>
          </w:p>
        </w:tc>
      </w:tr>
      <w:tr w:rsidR="003E5020" w:rsidRPr="003E5020" w14:paraId="7836D3F8" w14:textId="77777777" w:rsidTr="00096F5E">
        <w:tc>
          <w:tcPr>
            <w:tcW w:w="4966" w:type="dxa"/>
            <w:tcBorders>
              <w:bottom w:val="single" w:sz="4" w:space="0" w:color="auto"/>
            </w:tcBorders>
          </w:tcPr>
          <w:p w14:paraId="49891929"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5ED6F9B7" w14:textId="64341AEF"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5.500.000</w:t>
            </w:r>
          </w:p>
        </w:tc>
      </w:tr>
      <w:tr w:rsidR="003E5020" w:rsidRPr="003E5020" w14:paraId="6B42E6C8" w14:textId="77777777" w:rsidTr="00096F5E">
        <w:tc>
          <w:tcPr>
            <w:tcW w:w="4966" w:type="dxa"/>
            <w:shd w:val="clear" w:color="auto" w:fill="DEEAF6" w:themeFill="accent1" w:themeFillTint="33"/>
          </w:tcPr>
          <w:p w14:paraId="6A6EBFE9"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Прекршајни судови</w:t>
            </w:r>
          </w:p>
        </w:tc>
        <w:tc>
          <w:tcPr>
            <w:tcW w:w="0" w:type="auto"/>
            <w:shd w:val="clear" w:color="auto" w:fill="DEEAF6" w:themeFill="accent1" w:themeFillTint="33"/>
          </w:tcPr>
          <w:p w14:paraId="35C5405C" w14:textId="3DFA2DAC" w:rsidR="00697FDA" w:rsidRPr="003E5020" w:rsidRDefault="00E52082"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4.407.695.000</w:t>
            </w:r>
          </w:p>
        </w:tc>
      </w:tr>
      <w:tr w:rsidR="003E5020" w:rsidRPr="003E5020" w14:paraId="130DCD23" w14:textId="77777777" w:rsidTr="00096F5E">
        <w:tc>
          <w:tcPr>
            <w:tcW w:w="4966" w:type="dxa"/>
          </w:tcPr>
          <w:p w14:paraId="009C6CF0"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поступака</w:t>
            </w:r>
          </w:p>
        </w:tc>
        <w:tc>
          <w:tcPr>
            <w:tcW w:w="0" w:type="auto"/>
          </w:tcPr>
          <w:p w14:paraId="3F469D50" w14:textId="41B6FA13"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976.152.000</w:t>
            </w:r>
          </w:p>
        </w:tc>
      </w:tr>
      <w:tr w:rsidR="003E5020" w:rsidRPr="003E5020" w14:paraId="28BACD44" w14:textId="77777777" w:rsidTr="00096F5E">
        <w:tc>
          <w:tcPr>
            <w:tcW w:w="4966" w:type="dxa"/>
          </w:tcPr>
          <w:p w14:paraId="13836307"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поступака</w:t>
            </w:r>
          </w:p>
        </w:tc>
        <w:tc>
          <w:tcPr>
            <w:tcW w:w="0" w:type="auto"/>
          </w:tcPr>
          <w:p w14:paraId="327AB692" w14:textId="23A47588" w:rsidR="00697FDA" w:rsidRPr="003E5020" w:rsidRDefault="00E52082" w:rsidP="00354367">
            <w:pPr>
              <w:rPr>
                <w:rFonts w:ascii="Times New Roman" w:hAnsi="Times New Roman" w:cs="Times New Roman"/>
                <w:lang w:val="sr-Cyrl-RS"/>
              </w:rPr>
            </w:pPr>
            <w:r w:rsidRPr="003E5020">
              <w:rPr>
                <w:rFonts w:ascii="Times New Roman" w:eastAsia="Times New Roman" w:hAnsi="Times New Roman" w:cs="Times New Roman"/>
                <w:lang w:val="sr-Cyrl-RS"/>
              </w:rPr>
              <w:t>5.000.000</w:t>
            </w:r>
          </w:p>
        </w:tc>
      </w:tr>
      <w:tr w:rsidR="003E5020" w:rsidRPr="003E5020" w14:paraId="2F5F7F32" w14:textId="77777777" w:rsidTr="00096F5E">
        <w:tc>
          <w:tcPr>
            <w:tcW w:w="4966" w:type="dxa"/>
          </w:tcPr>
          <w:p w14:paraId="21617575"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6981B090" w14:textId="773DB8F2"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1.528.523.000</w:t>
            </w:r>
          </w:p>
        </w:tc>
      </w:tr>
      <w:tr w:rsidR="003E5020" w:rsidRPr="003E5020" w14:paraId="178A9F02" w14:textId="77777777" w:rsidTr="00096F5E">
        <w:tc>
          <w:tcPr>
            <w:tcW w:w="4966" w:type="dxa"/>
            <w:tcBorders>
              <w:bottom w:val="single" w:sz="4" w:space="0" w:color="auto"/>
            </w:tcBorders>
          </w:tcPr>
          <w:p w14:paraId="7D9F76CE"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6133B3EE" w14:textId="15ED1440" w:rsidR="00697FDA" w:rsidRPr="003E5020" w:rsidRDefault="00E52082"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13.500.000</w:t>
            </w:r>
          </w:p>
        </w:tc>
      </w:tr>
      <w:tr w:rsidR="003E5020" w:rsidRPr="003E5020" w14:paraId="5893816E" w14:textId="77777777" w:rsidTr="00096F5E">
        <w:tc>
          <w:tcPr>
            <w:tcW w:w="4966" w:type="dxa"/>
            <w:shd w:val="clear" w:color="auto" w:fill="DEEAF6" w:themeFill="accent1" w:themeFillTint="33"/>
          </w:tcPr>
          <w:p w14:paraId="3C02D8A2"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Државно веће тужилаца</w:t>
            </w:r>
          </w:p>
        </w:tc>
        <w:tc>
          <w:tcPr>
            <w:tcW w:w="0" w:type="auto"/>
            <w:shd w:val="clear" w:color="auto" w:fill="DEEAF6" w:themeFill="accent1" w:themeFillTint="33"/>
          </w:tcPr>
          <w:p w14:paraId="543D8E93" w14:textId="432EAA4D" w:rsidR="00697FDA" w:rsidRPr="003E5020" w:rsidRDefault="00595DB7"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110.088.000</w:t>
            </w:r>
          </w:p>
        </w:tc>
      </w:tr>
      <w:tr w:rsidR="003E5020" w:rsidRPr="003E5020" w14:paraId="36DB9B63" w14:textId="77777777" w:rsidTr="00096F5E">
        <w:tc>
          <w:tcPr>
            <w:tcW w:w="4966" w:type="dxa"/>
          </w:tcPr>
          <w:p w14:paraId="2DD9459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канцеларији</w:t>
            </w:r>
          </w:p>
        </w:tc>
        <w:tc>
          <w:tcPr>
            <w:tcW w:w="0" w:type="auto"/>
          </w:tcPr>
          <w:p w14:paraId="035033B0" w14:textId="704817A6" w:rsidR="00697FDA" w:rsidRPr="003E5020" w:rsidRDefault="00595DB7"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55.766.000</w:t>
            </w:r>
          </w:p>
        </w:tc>
      </w:tr>
      <w:tr w:rsidR="003E5020" w:rsidRPr="003E5020" w14:paraId="4B99F178" w14:textId="77777777" w:rsidTr="00096F5E">
        <w:tc>
          <w:tcPr>
            <w:tcW w:w="4966" w:type="dxa"/>
            <w:tcBorders>
              <w:bottom w:val="single" w:sz="4" w:space="0" w:color="auto"/>
            </w:tcBorders>
          </w:tcPr>
          <w:p w14:paraId="21E50481"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запослених у административној канцеларији</w:t>
            </w:r>
          </w:p>
        </w:tc>
        <w:tc>
          <w:tcPr>
            <w:tcW w:w="0" w:type="auto"/>
            <w:tcBorders>
              <w:bottom w:val="single" w:sz="4" w:space="0" w:color="auto"/>
            </w:tcBorders>
          </w:tcPr>
          <w:p w14:paraId="64CA9A9A" w14:textId="18C026AE" w:rsidR="00697FDA" w:rsidRPr="003E5020" w:rsidRDefault="00595DB7"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381.000</w:t>
            </w:r>
          </w:p>
        </w:tc>
      </w:tr>
      <w:tr w:rsidR="003E5020" w:rsidRPr="003E5020" w14:paraId="70089273" w14:textId="77777777" w:rsidTr="00096F5E">
        <w:tc>
          <w:tcPr>
            <w:tcW w:w="4966" w:type="dxa"/>
            <w:shd w:val="clear" w:color="auto" w:fill="DEEAF6" w:themeFill="accent1" w:themeFillTint="33"/>
          </w:tcPr>
          <w:p w14:paraId="6BD1552B"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Републичко јавно тужилаштво</w:t>
            </w:r>
          </w:p>
        </w:tc>
        <w:tc>
          <w:tcPr>
            <w:tcW w:w="0" w:type="auto"/>
            <w:shd w:val="clear" w:color="auto" w:fill="DEEAF6" w:themeFill="accent1" w:themeFillTint="33"/>
          </w:tcPr>
          <w:p w14:paraId="58BD44E3" w14:textId="1E989FEE" w:rsidR="00697FDA" w:rsidRPr="003E5020" w:rsidRDefault="00FD2DC5"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130.707.000</w:t>
            </w:r>
          </w:p>
        </w:tc>
      </w:tr>
      <w:tr w:rsidR="003E5020" w:rsidRPr="003E5020" w14:paraId="5832D11D" w14:textId="77777777" w:rsidTr="00096F5E">
        <w:tc>
          <w:tcPr>
            <w:tcW w:w="4966" w:type="dxa"/>
          </w:tcPr>
          <w:p w14:paraId="13E74BC1"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7D87A787" w14:textId="603C2235" w:rsidR="00697FDA" w:rsidRPr="003E5020" w:rsidRDefault="00FD2DC5"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82.793.000</w:t>
            </w:r>
          </w:p>
        </w:tc>
      </w:tr>
      <w:tr w:rsidR="003E5020" w:rsidRPr="003E5020" w14:paraId="2204B348" w14:textId="77777777" w:rsidTr="00096F5E">
        <w:tc>
          <w:tcPr>
            <w:tcW w:w="4966" w:type="dxa"/>
            <w:tcBorders>
              <w:bottom w:val="single" w:sz="4" w:space="0" w:color="auto"/>
            </w:tcBorders>
          </w:tcPr>
          <w:p w14:paraId="308D351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5930038A" w14:textId="7DF946A8" w:rsidR="00697FDA" w:rsidRPr="003E5020" w:rsidRDefault="00FD2DC5"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350.000</w:t>
            </w:r>
          </w:p>
        </w:tc>
      </w:tr>
      <w:tr w:rsidR="003E5020" w:rsidRPr="003E5020" w14:paraId="4D7AC56A" w14:textId="77777777" w:rsidTr="00096F5E">
        <w:tc>
          <w:tcPr>
            <w:tcW w:w="4966" w:type="dxa"/>
            <w:shd w:val="clear" w:color="auto" w:fill="DEEAF6" w:themeFill="accent1" w:themeFillTint="33"/>
          </w:tcPr>
          <w:p w14:paraId="295E8515"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Тужилаштво за ратне злочине</w:t>
            </w:r>
          </w:p>
        </w:tc>
        <w:tc>
          <w:tcPr>
            <w:tcW w:w="0" w:type="auto"/>
            <w:shd w:val="clear" w:color="auto" w:fill="DEEAF6" w:themeFill="accent1" w:themeFillTint="33"/>
          </w:tcPr>
          <w:p w14:paraId="2A244BC0" w14:textId="5F18A173" w:rsidR="00697FDA" w:rsidRPr="003E5020" w:rsidRDefault="003A046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166.484.000</w:t>
            </w:r>
          </w:p>
        </w:tc>
      </w:tr>
      <w:tr w:rsidR="003E5020" w:rsidRPr="003E5020" w14:paraId="647AFCDD" w14:textId="77777777" w:rsidTr="00096F5E">
        <w:tc>
          <w:tcPr>
            <w:tcW w:w="4966" w:type="dxa"/>
          </w:tcPr>
          <w:p w14:paraId="79F443FA"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0DC54880" w14:textId="4EF6B3E2"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125.456.000</w:t>
            </w:r>
          </w:p>
        </w:tc>
      </w:tr>
      <w:tr w:rsidR="003E5020" w:rsidRPr="003E5020" w14:paraId="4E17D03A" w14:textId="77777777" w:rsidTr="00096F5E">
        <w:tc>
          <w:tcPr>
            <w:tcW w:w="4966" w:type="dxa"/>
            <w:tcBorders>
              <w:bottom w:val="single" w:sz="4" w:space="0" w:color="auto"/>
            </w:tcBorders>
          </w:tcPr>
          <w:p w14:paraId="5D43841F"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1C42EA00" w14:textId="695FCFA6"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382.000</w:t>
            </w:r>
          </w:p>
        </w:tc>
      </w:tr>
      <w:tr w:rsidR="003E5020" w:rsidRPr="003E5020" w14:paraId="7AC42948" w14:textId="77777777" w:rsidTr="00096F5E">
        <w:tc>
          <w:tcPr>
            <w:tcW w:w="4966" w:type="dxa"/>
            <w:shd w:val="clear" w:color="auto" w:fill="DEEAF6" w:themeFill="accent1" w:themeFillTint="33"/>
          </w:tcPr>
          <w:p w14:paraId="029C23D4"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Тужилаштво за организовани криминал</w:t>
            </w:r>
          </w:p>
        </w:tc>
        <w:tc>
          <w:tcPr>
            <w:tcW w:w="0" w:type="auto"/>
            <w:shd w:val="clear" w:color="auto" w:fill="DEEAF6" w:themeFill="accent1" w:themeFillTint="33"/>
          </w:tcPr>
          <w:p w14:paraId="05D5EBCF" w14:textId="1BADF863" w:rsidR="00697FDA" w:rsidRPr="003E5020" w:rsidRDefault="003A046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343.635.000</w:t>
            </w:r>
          </w:p>
        </w:tc>
      </w:tr>
      <w:tr w:rsidR="003E5020" w:rsidRPr="003E5020" w14:paraId="47FE5B8A" w14:textId="77777777" w:rsidTr="00096F5E">
        <w:tc>
          <w:tcPr>
            <w:tcW w:w="4966" w:type="dxa"/>
          </w:tcPr>
          <w:p w14:paraId="52709B21"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15285981" w14:textId="7C1EA2B6"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241.716.000</w:t>
            </w:r>
          </w:p>
        </w:tc>
      </w:tr>
      <w:tr w:rsidR="003E5020" w:rsidRPr="003E5020" w14:paraId="1DD852DF" w14:textId="77777777" w:rsidTr="00096F5E">
        <w:tc>
          <w:tcPr>
            <w:tcW w:w="4966" w:type="dxa"/>
            <w:tcBorders>
              <w:bottom w:val="single" w:sz="4" w:space="0" w:color="auto"/>
            </w:tcBorders>
          </w:tcPr>
          <w:p w14:paraId="040AA763"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2A9E816F" w14:textId="2CB08B55" w:rsidR="00697FDA" w:rsidRPr="003E5020" w:rsidRDefault="00697FDA">
            <w:pPr>
              <w:spacing w:after="80"/>
              <w:rPr>
                <w:rFonts w:ascii="Times New Roman" w:eastAsia="Times New Roman" w:hAnsi="Times New Roman" w:cs="Times New Roman"/>
                <w:lang w:val="sr-Cyrl-RS"/>
              </w:rPr>
            </w:pPr>
            <w:r w:rsidRPr="003E5020">
              <w:rPr>
                <w:rFonts w:ascii="Times New Roman" w:eastAsia="Times New Roman" w:hAnsi="Times New Roman" w:cs="Times New Roman"/>
                <w:lang w:val="sr-Cyrl-RS"/>
              </w:rPr>
              <w:t>1.350.000</w:t>
            </w:r>
          </w:p>
        </w:tc>
      </w:tr>
      <w:tr w:rsidR="003E5020" w:rsidRPr="003E5020" w14:paraId="51A37863" w14:textId="77777777" w:rsidTr="00096F5E">
        <w:tc>
          <w:tcPr>
            <w:tcW w:w="4966" w:type="dxa"/>
            <w:shd w:val="clear" w:color="auto" w:fill="DEEAF6" w:themeFill="accent1" w:themeFillTint="33"/>
          </w:tcPr>
          <w:p w14:paraId="0EEFFCCC"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Апелациона јавна тужилаштва</w:t>
            </w:r>
          </w:p>
        </w:tc>
        <w:tc>
          <w:tcPr>
            <w:tcW w:w="0" w:type="auto"/>
            <w:shd w:val="clear" w:color="auto" w:fill="DEEAF6" w:themeFill="accent1" w:themeFillTint="33"/>
          </w:tcPr>
          <w:p w14:paraId="27C1D209" w14:textId="3E551B86" w:rsidR="00697FDA" w:rsidRPr="003E5020" w:rsidRDefault="003A046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309.000.000</w:t>
            </w:r>
          </w:p>
        </w:tc>
      </w:tr>
      <w:tr w:rsidR="003E5020" w:rsidRPr="003E5020" w14:paraId="3E0EB650" w14:textId="77777777" w:rsidTr="00096F5E">
        <w:tc>
          <w:tcPr>
            <w:tcW w:w="4966" w:type="dxa"/>
          </w:tcPr>
          <w:p w14:paraId="074E54FF"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тужилачких активности</w:t>
            </w:r>
          </w:p>
        </w:tc>
        <w:tc>
          <w:tcPr>
            <w:tcW w:w="0" w:type="auto"/>
          </w:tcPr>
          <w:p w14:paraId="4668D05F" w14:textId="620DC3D0"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140.141.000</w:t>
            </w:r>
          </w:p>
        </w:tc>
      </w:tr>
      <w:tr w:rsidR="003E5020" w:rsidRPr="003E5020" w14:paraId="1B4B85D9" w14:textId="77777777" w:rsidTr="00096F5E">
        <w:tc>
          <w:tcPr>
            <w:tcW w:w="4966" w:type="dxa"/>
          </w:tcPr>
          <w:p w14:paraId="5574E0D2"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тужилачких активности</w:t>
            </w:r>
          </w:p>
        </w:tc>
        <w:tc>
          <w:tcPr>
            <w:tcW w:w="0" w:type="auto"/>
          </w:tcPr>
          <w:p w14:paraId="1119868D" w14:textId="451DDE20"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1.800.000</w:t>
            </w:r>
          </w:p>
        </w:tc>
      </w:tr>
      <w:tr w:rsidR="003E5020" w:rsidRPr="003E5020" w14:paraId="58D35D55" w14:textId="77777777" w:rsidTr="00096F5E">
        <w:tc>
          <w:tcPr>
            <w:tcW w:w="4966" w:type="dxa"/>
          </w:tcPr>
          <w:p w14:paraId="3B5A9945"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04D0C99E" w14:textId="25DF4A1E"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76.350.000</w:t>
            </w:r>
          </w:p>
        </w:tc>
      </w:tr>
      <w:tr w:rsidR="003E5020" w:rsidRPr="003E5020" w14:paraId="6B47B2A8" w14:textId="77777777" w:rsidTr="00096F5E">
        <w:tc>
          <w:tcPr>
            <w:tcW w:w="4966" w:type="dxa"/>
            <w:tcBorders>
              <w:bottom w:val="single" w:sz="4" w:space="0" w:color="auto"/>
            </w:tcBorders>
          </w:tcPr>
          <w:p w14:paraId="3FB062CA"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398981DC" w14:textId="022B283C"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1.297.000</w:t>
            </w:r>
          </w:p>
        </w:tc>
      </w:tr>
      <w:tr w:rsidR="003E5020" w:rsidRPr="003E5020" w14:paraId="495B07B2" w14:textId="77777777" w:rsidTr="00096F5E">
        <w:tc>
          <w:tcPr>
            <w:tcW w:w="4966" w:type="dxa"/>
            <w:shd w:val="clear" w:color="auto" w:fill="DEEAF6" w:themeFill="accent1" w:themeFillTint="33"/>
          </w:tcPr>
          <w:p w14:paraId="389DB9CA" w14:textId="77777777" w:rsidR="00697FDA" w:rsidRPr="003E5020" w:rsidRDefault="00697FDA" w:rsidP="00697FDA">
            <w:pPr>
              <w:spacing w:after="80"/>
              <w:rPr>
                <w:rFonts w:ascii="Times New Roman" w:hAnsi="Times New Roman" w:cs="Times New Roman"/>
                <w:b/>
                <w:lang w:val="sr-Cyrl-RS"/>
              </w:rPr>
            </w:pPr>
            <w:r w:rsidRPr="003E5020">
              <w:rPr>
                <w:rFonts w:ascii="Times New Roman" w:hAnsi="Times New Roman" w:cs="Times New Roman"/>
                <w:b/>
                <w:lang w:val="sr-Cyrl-RS"/>
              </w:rPr>
              <w:t>Виша јавна тужилаштва</w:t>
            </w:r>
          </w:p>
        </w:tc>
        <w:tc>
          <w:tcPr>
            <w:tcW w:w="0" w:type="auto"/>
            <w:shd w:val="clear" w:color="auto" w:fill="DEEAF6" w:themeFill="accent1" w:themeFillTint="33"/>
          </w:tcPr>
          <w:p w14:paraId="15ED3D72" w14:textId="4CB33646" w:rsidR="00697FDA" w:rsidRPr="003E5020" w:rsidRDefault="003A046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2.067.821.000</w:t>
            </w:r>
          </w:p>
        </w:tc>
      </w:tr>
      <w:tr w:rsidR="003E5020" w:rsidRPr="003E5020" w14:paraId="323B5638" w14:textId="77777777" w:rsidTr="00096F5E">
        <w:tc>
          <w:tcPr>
            <w:tcW w:w="4966" w:type="dxa"/>
          </w:tcPr>
          <w:p w14:paraId="444303DE"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тужилачких активности</w:t>
            </w:r>
          </w:p>
        </w:tc>
        <w:tc>
          <w:tcPr>
            <w:tcW w:w="0" w:type="auto"/>
          </w:tcPr>
          <w:p w14:paraId="2099400F" w14:textId="12360948"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660.221.000</w:t>
            </w:r>
          </w:p>
        </w:tc>
      </w:tr>
      <w:tr w:rsidR="003E5020" w:rsidRPr="003E5020" w14:paraId="32327C0F" w14:textId="77777777" w:rsidTr="00096F5E">
        <w:tc>
          <w:tcPr>
            <w:tcW w:w="4966" w:type="dxa"/>
          </w:tcPr>
          <w:p w14:paraId="296762D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тужилачких активности</w:t>
            </w:r>
          </w:p>
        </w:tc>
        <w:tc>
          <w:tcPr>
            <w:tcW w:w="0" w:type="auto"/>
          </w:tcPr>
          <w:p w14:paraId="37DCF1BC" w14:textId="3E0EBE36"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3.050.000</w:t>
            </w:r>
          </w:p>
        </w:tc>
      </w:tr>
      <w:tr w:rsidR="003E5020" w:rsidRPr="003E5020" w14:paraId="392E659F" w14:textId="77777777" w:rsidTr="00096F5E">
        <w:tc>
          <w:tcPr>
            <w:tcW w:w="4966" w:type="dxa"/>
          </w:tcPr>
          <w:p w14:paraId="55CE1F38"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4625F4D5" w14:textId="56A3FA27"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456.252.000</w:t>
            </w:r>
          </w:p>
        </w:tc>
      </w:tr>
      <w:tr w:rsidR="003E5020" w:rsidRPr="003E5020" w14:paraId="40655BB5" w14:textId="77777777" w:rsidTr="00096F5E">
        <w:tc>
          <w:tcPr>
            <w:tcW w:w="4966" w:type="dxa"/>
            <w:tcBorders>
              <w:bottom w:val="single" w:sz="4" w:space="0" w:color="auto"/>
            </w:tcBorders>
          </w:tcPr>
          <w:p w14:paraId="79A5C6B0" w14:textId="77777777" w:rsidR="00DC7F5A" w:rsidRDefault="00DC7F5A" w:rsidP="00697FDA">
            <w:pPr>
              <w:spacing w:after="80"/>
              <w:rPr>
                <w:rFonts w:ascii="Times New Roman" w:hAnsi="Times New Roman" w:cs="Times New Roman"/>
                <w:lang w:val="sr-Cyrl-RS"/>
              </w:rPr>
            </w:pPr>
          </w:p>
          <w:p w14:paraId="43FD6139" w14:textId="4FEAB16F"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Borders>
              <w:bottom w:val="single" w:sz="4" w:space="0" w:color="auto"/>
            </w:tcBorders>
          </w:tcPr>
          <w:p w14:paraId="34E776A7" w14:textId="77777777" w:rsidR="00DC7F5A" w:rsidRDefault="00DC7F5A" w:rsidP="00354367">
            <w:pPr>
              <w:rPr>
                <w:rFonts w:ascii="Times New Roman" w:eastAsia="Times New Roman" w:hAnsi="Times New Roman" w:cs="Times New Roman"/>
                <w:lang w:val="sr-Cyrl-RS"/>
              </w:rPr>
            </w:pPr>
          </w:p>
          <w:p w14:paraId="7121FFF5" w14:textId="1A0B0C66"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3.500.000</w:t>
            </w:r>
          </w:p>
        </w:tc>
      </w:tr>
      <w:tr w:rsidR="003E5020" w:rsidRPr="003E5020" w14:paraId="4C8D1495" w14:textId="77777777" w:rsidTr="00096F5E">
        <w:tc>
          <w:tcPr>
            <w:tcW w:w="4966" w:type="dxa"/>
            <w:shd w:val="clear" w:color="auto" w:fill="DEEAF6" w:themeFill="accent1" w:themeFillTint="33"/>
          </w:tcPr>
          <w:p w14:paraId="0B7BF26B"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b/>
                <w:lang w:val="sr-Cyrl-RS"/>
              </w:rPr>
              <w:t>Основна јавна тужилаштва</w:t>
            </w:r>
          </w:p>
        </w:tc>
        <w:tc>
          <w:tcPr>
            <w:tcW w:w="0" w:type="auto"/>
            <w:shd w:val="clear" w:color="auto" w:fill="DEEAF6" w:themeFill="accent1" w:themeFillTint="33"/>
          </w:tcPr>
          <w:p w14:paraId="2D0FA72C" w14:textId="55751CCD" w:rsidR="00697FDA" w:rsidRPr="003E5020" w:rsidRDefault="003A0469" w:rsidP="00354367">
            <w:pPr>
              <w:rPr>
                <w:rFonts w:ascii="Times New Roman" w:eastAsia="Times New Roman" w:hAnsi="Times New Roman" w:cs="Times New Roman"/>
                <w:b/>
                <w:bCs/>
                <w:lang w:val="sr-Cyrl-RS"/>
              </w:rPr>
            </w:pPr>
            <w:r w:rsidRPr="003E5020">
              <w:rPr>
                <w:rFonts w:ascii="Times New Roman" w:eastAsia="Times New Roman" w:hAnsi="Times New Roman" w:cs="Times New Roman"/>
                <w:b/>
                <w:bCs/>
                <w:lang w:val="sr-Cyrl-RS"/>
              </w:rPr>
              <w:t>3.499.301.000</w:t>
            </w:r>
          </w:p>
        </w:tc>
      </w:tr>
      <w:tr w:rsidR="003E5020" w:rsidRPr="003E5020" w14:paraId="58E5315E" w14:textId="77777777" w:rsidTr="00096F5E">
        <w:tc>
          <w:tcPr>
            <w:tcW w:w="4966" w:type="dxa"/>
          </w:tcPr>
          <w:p w14:paraId="5B5B6A8C"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спровођењу тужилачких активности</w:t>
            </w:r>
          </w:p>
        </w:tc>
        <w:tc>
          <w:tcPr>
            <w:tcW w:w="0" w:type="auto"/>
          </w:tcPr>
          <w:p w14:paraId="4E922D6B" w14:textId="08DEC043"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1.130.166.000</w:t>
            </w:r>
          </w:p>
        </w:tc>
      </w:tr>
      <w:tr w:rsidR="003E5020" w:rsidRPr="003E5020" w14:paraId="3D8F0F3C" w14:textId="77777777" w:rsidTr="00096F5E">
        <w:tc>
          <w:tcPr>
            <w:tcW w:w="4966" w:type="dxa"/>
          </w:tcPr>
          <w:p w14:paraId="6BA3D8A2"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спровођењу тужилачких активности</w:t>
            </w:r>
          </w:p>
        </w:tc>
        <w:tc>
          <w:tcPr>
            <w:tcW w:w="0" w:type="auto"/>
          </w:tcPr>
          <w:p w14:paraId="212C5A40" w14:textId="6482915F" w:rsidR="00697FDA" w:rsidRPr="003E5020" w:rsidRDefault="003A0469"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4.100.000</w:t>
            </w:r>
          </w:p>
        </w:tc>
      </w:tr>
      <w:tr w:rsidR="003E5020" w:rsidRPr="003E5020" w14:paraId="332F44B1" w14:textId="77777777" w:rsidTr="00096F5E">
        <w:tc>
          <w:tcPr>
            <w:tcW w:w="4966" w:type="dxa"/>
          </w:tcPr>
          <w:p w14:paraId="34483D4D"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Зараде запослених у административној подршци</w:t>
            </w:r>
          </w:p>
        </w:tc>
        <w:tc>
          <w:tcPr>
            <w:tcW w:w="0" w:type="auto"/>
          </w:tcPr>
          <w:p w14:paraId="7358DD50" w14:textId="000FCAD9" w:rsidR="00697FDA" w:rsidRPr="003E5020" w:rsidRDefault="00E6047F"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921.643.000</w:t>
            </w:r>
          </w:p>
        </w:tc>
      </w:tr>
      <w:tr w:rsidR="003E5020" w:rsidRPr="003E5020" w14:paraId="3518FDDF" w14:textId="77777777" w:rsidTr="00096F5E">
        <w:tc>
          <w:tcPr>
            <w:tcW w:w="4966" w:type="dxa"/>
          </w:tcPr>
          <w:p w14:paraId="376B133E" w14:textId="77777777" w:rsidR="00697FDA" w:rsidRPr="003E5020" w:rsidRDefault="00697FDA" w:rsidP="00697FDA">
            <w:pPr>
              <w:spacing w:after="80"/>
              <w:rPr>
                <w:rFonts w:ascii="Times New Roman" w:hAnsi="Times New Roman" w:cs="Times New Roman"/>
                <w:lang w:val="sr-Cyrl-RS"/>
              </w:rPr>
            </w:pPr>
            <w:r w:rsidRPr="003E5020">
              <w:rPr>
                <w:rFonts w:ascii="Times New Roman" w:hAnsi="Times New Roman" w:cs="Times New Roman"/>
                <w:lang w:val="sr-Cyrl-RS"/>
              </w:rPr>
              <w:t>Награде запосленима у административној подршци</w:t>
            </w:r>
          </w:p>
        </w:tc>
        <w:tc>
          <w:tcPr>
            <w:tcW w:w="0" w:type="auto"/>
          </w:tcPr>
          <w:p w14:paraId="7654FA73" w14:textId="78E5986E" w:rsidR="00697FDA" w:rsidRPr="003E5020" w:rsidRDefault="00E6047F" w:rsidP="00354367">
            <w:pPr>
              <w:rPr>
                <w:rFonts w:ascii="Times New Roman" w:eastAsia="Times New Roman" w:hAnsi="Times New Roman" w:cs="Times New Roman"/>
                <w:lang w:val="sr-Cyrl-RS"/>
              </w:rPr>
            </w:pPr>
            <w:r w:rsidRPr="003E5020">
              <w:rPr>
                <w:rFonts w:ascii="Times New Roman" w:eastAsia="Times New Roman" w:hAnsi="Times New Roman" w:cs="Times New Roman"/>
                <w:lang w:val="sr-Cyrl-RS"/>
              </w:rPr>
              <w:t>6.000.000</w:t>
            </w:r>
          </w:p>
        </w:tc>
      </w:tr>
    </w:tbl>
    <w:bookmarkEnd w:id="107"/>
    <w:p w14:paraId="7F4663A6" w14:textId="3C35FF35" w:rsidR="009550C9" w:rsidRPr="003E5020" w:rsidRDefault="00405075" w:rsidP="00B8040E">
      <w:pPr>
        <w:ind w:left="851"/>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 xml:space="preserve">* </w:t>
      </w:r>
      <w:r w:rsidRPr="003E5020">
        <w:rPr>
          <w:rFonts w:ascii="Times New Roman" w:hAnsi="Times New Roman" w:cs="Times New Roman"/>
          <w:i/>
          <w:sz w:val="24"/>
          <w:szCs w:val="24"/>
          <w:lang w:val="sr-Cyrl-RS"/>
        </w:rPr>
        <w:t>Извор: Закон о буџету Републике Србије за 202</w:t>
      </w:r>
      <w:r w:rsidR="00AB0DE9" w:rsidRPr="003E5020">
        <w:rPr>
          <w:rFonts w:ascii="Times New Roman" w:hAnsi="Times New Roman" w:cs="Times New Roman"/>
          <w:i/>
          <w:sz w:val="24"/>
          <w:szCs w:val="24"/>
          <w:lang w:val="sr-Cyrl-RS"/>
        </w:rPr>
        <w:t>1</w:t>
      </w:r>
      <w:r w:rsidRPr="003E5020">
        <w:rPr>
          <w:rFonts w:ascii="Times New Roman" w:hAnsi="Times New Roman" w:cs="Times New Roman"/>
          <w:i/>
          <w:sz w:val="24"/>
          <w:szCs w:val="24"/>
          <w:lang w:val="sr-Cyrl-RS"/>
        </w:rPr>
        <w:t>. годину („Службени гласник РС</w:t>
      </w:r>
      <w:r w:rsidR="00701BFF">
        <w:rPr>
          <w:rFonts w:ascii="Times New Roman" w:hAnsi="Times New Roman" w:cs="Times New Roman"/>
          <w:i/>
          <w:sz w:val="24"/>
          <w:szCs w:val="24"/>
          <w:lang w:val="sr-Cyrl-RS"/>
        </w:rPr>
        <w:t>ˮ</w:t>
      </w:r>
      <w:r w:rsidR="00AB0DE9" w:rsidRPr="003E5020">
        <w:rPr>
          <w:rFonts w:ascii="Times New Roman" w:hAnsi="Times New Roman" w:cs="Times New Roman"/>
          <w:i/>
          <w:sz w:val="24"/>
          <w:szCs w:val="24"/>
          <w:lang w:val="sr-Cyrl-RS"/>
        </w:rPr>
        <w:t xml:space="preserve"> бр. 149</w:t>
      </w:r>
      <w:r w:rsidRPr="003E5020">
        <w:rPr>
          <w:rFonts w:ascii="Times New Roman" w:hAnsi="Times New Roman" w:cs="Times New Roman"/>
          <w:i/>
          <w:sz w:val="24"/>
          <w:szCs w:val="24"/>
          <w:lang w:val="sr-Cyrl-RS"/>
        </w:rPr>
        <w:t>/20</w:t>
      </w:r>
      <w:r w:rsidR="00AB0DE9" w:rsidRPr="003E5020">
        <w:rPr>
          <w:rFonts w:ascii="Times New Roman" w:hAnsi="Times New Roman" w:cs="Times New Roman"/>
          <w:i/>
          <w:sz w:val="24"/>
          <w:szCs w:val="24"/>
          <w:lang w:val="sr-Cyrl-RS"/>
        </w:rPr>
        <w:t>20</w:t>
      </w:r>
      <w:r w:rsidRPr="003E5020">
        <w:rPr>
          <w:rFonts w:ascii="Times New Roman" w:hAnsi="Times New Roman" w:cs="Times New Roman"/>
          <w:i/>
          <w:sz w:val="24"/>
          <w:szCs w:val="24"/>
          <w:lang w:val="sr-Cyrl-RS"/>
        </w:rPr>
        <w:t xml:space="preserve"> и </w:t>
      </w:r>
      <w:r w:rsidR="00AB0DE9" w:rsidRPr="003E5020">
        <w:rPr>
          <w:rFonts w:ascii="Times New Roman" w:hAnsi="Times New Roman" w:cs="Times New Roman"/>
          <w:i/>
          <w:sz w:val="24"/>
          <w:szCs w:val="24"/>
          <w:lang w:val="sr-Cyrl-RS"/>
        </w:rPr>
        <w:t>40</w:t>
      </w:r>
      <w:r w:rsidRPr="003E5020">
        <w:rPr>
          <w:rFonts w:ascii="Times New Roman" w:hAnsi="Times New Roman" w:cs="Times New Roman"/>
          <w:i/>
          <w:sz w:val="24"/>
          <w:szCs w:val="24"/>
          <w:lang w:val="sr-Cyrl-RS"/>
        </w:rPr>
        <w:t>/202</w:t>
      </w:r>
      <w:r w:rsidR="00AB0DE9" w:rsidRPr="003E5020">
        <w:rPr>
          <w:rFonts w:ascii="Times New Roman" w:hAnsi="Times New Roman" w:cs="Times New Roman"/>
          <w:i/>
          <w:sz w:val="24"/>
          <w:szCs w:val="24"/>
          <w:lang w:val="sr-Cyrl-RS"/>
        </w:rPr>
        <w:t>1</w:t>
      </w:r>
      <w:r w:rsidRPr="003E5020">
        <w:rPr>
          <w:rFonts w:ascii="Times New Roman" w:hAnsi="Times New Roman" w:cs="Times New Roman"/>
          <w:i/>
          <w:sz w:val="24"/>
          <w:szCs w:val="24"/>
          <w:lang w:val="sr-Cyrl-RS"/>
        </w:rPr>
        <w:t>).</w:t>
      </w:r>
    </w:p>
    <w:p w14:paraId="5DF40678" w14:textId="77777777" w:rsidR="00405075" w:rsidRPr="003E5020" w:rsidRDefault="00405075" w:rsidP="00F72E87">
      <w:pPr>
        <w:ind w:left="851"/>
        <w:jc w:val="both"/>
        <w:rPr>
          <w:rFonts w:ascii="Times New Roman" w:hAnsi="Times New Roman" w:cs="Times New Roman"/>
          <w:sz w:val="24"/>
          <w:szCs w:val="24"/>
          <w:lang w:val="sr-Cyrl-RS"/>
        </w:rPr>
      </w:pPr>
    </w:p>
    <w:p w14:paraId="606D7708" w14:textId="75774C2A" w:rsidR="00DB71EA" w:rsidRPr="003E5020" w:rsidRDefault="00DA24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Иако се за правосуђе издвајају значајна средства из државног буџета</w:t>
      </w:r>
      <w:r w:rsidRPr="003E5020">
        <w:rPr>
          <w:rStyle w:val="FootnoteReference"/>
          <w:rFonts w:ascii="Times New Roman" w:hAnsi="Times New Roman" w:cs="Times New Roman"/>
          <w:sz w:val="24"/>
          <w:szCs w:val="24"/>
          <w:lang w:val="sr-Cyrl-RS"/>
        </w:rPr>
        <w:footnoteReference w:id="99"/>
      </w:r>
      <w:r w:rsidRPr="003E5020">
        <w:rPr>
          <w:rFonts w:ascii="Times New Roman" w:hAnsi="Times New Roman" w:cs="Times New Roman"/>
          <w:sz w:val="24"/>
          <w:szCs w:val="24"/>
          <w:lang w:val="sr-Cyrl-RS"/>
        </w:rPr>
        <w:t xml:space="preserve">, општа је оцена да се финансијским ресурсима у правосудном систему </w:t>
      </w:r>
      <w:r w:rsidR="00B248CA" w:rsidRPr="003E5020">
        <w:rPr>
          <w:rFonts w:ascii="Times New Roman" w:hAnsi="Times New Roman" w:cs="Times New Roman"/>
          <w:sz w:val="24"/>
          <w:szCs w:val="24"/>
          <w:lang w:val="sr-Cyrl-RS"/>
        </w:rPr>
        <w:t xml:space="preserve">не </w:t>
      </w:r>
      <w:r w:rsidRPr="003E5020">
        <w:rPr>
          <w:rFonts w:ascii="Times New Roman" w:hAnsi="Times New Roman" w:cs="Times New Roman"/>
          <w:sz w:val="24"/>
          <w:szCs w:val="24"/>
          <w:lang w:val="sr-Cyrl-RS"/>
        </w:rPr>
        <w:t>управља на ефикасан начин. Ово се превасходно односи на буџетско планирање и расподелу ресурса</w:t>
      </w:r>
      <w:r w:rsidR="00B248CA"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кој</w:t>
      </w:r>
      <w:r w:rsidR="00B248CA"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ни</w:t>
      </w:r>
      <w:r w:rsidR="00B248CA" w:rsidRPr="003E5020">
        <w:rPr>
          <w:rFonts w:ascii="Times New Roman" w:hAnsi="Times New Roman" w:cs="Times New Roman"/>
          <w:sz w:val="24"/>
          <w:szCs w:val="24"/>
          <w:lang w:val="sr-Cyrl-RS"/>
        </w:rPr>
        <w:t>су</w:t>
      </w:r>
      <w:r w:rsidRPr="003E5020">
        <w:rPr>
          <w:rFonts w:ascii="Times New Roman" w:hAnsi="Times New Roman" w:cs="Times New Roman"/>
          <w:sz w:val="24"/>
          <w:szCs w:val="24"/>
          <w:lang w:val="sr-Cyrl-RS"/>
        </w:rPr>
        <w:t xml:space="preserve"> заснован</w:t>
      </w:r>
      <w:r w:rsidR="00B248CA"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на </w:t>
      </w:r>
      <w:r w:rsidR="008B57DD" w:rsidRPr="003E5020">
        <w:rPr>
          <w:rFonts w:ascii="Times New Roman" w:hAnsi="Times New Roman" w:cs="Times New Roman"/>
          <w:sz w:val="24"/>
          <w:szCs w:val="24"/>
          <w:lang w:val="sr-Cyrl-RS"/>
        </w:rPr>
        <w:t xml:space="preserve">стратешком </w:t>
      </w:r>
      <w:r w:rsidRPr="003E5020">
        <w:rPr>
          <w:rFonts w:ascii="Times New Roman" w:hAnsi="Times New Roman" w:cs="Times New Roman"/>
          <w:sz w:val="24"/>
          <w:szCs w:val="24"/>
          <w:lang w:val="sr-Cyrl-RS"/>
        </w:rPr>
        <w:t>предвиђању броја предмета</w:t>
      </w:r>
      <w:r w:rsidR="008B57DD" w:rsidRPr="003E5020">
        <w:rPr>
          <w:rFonts w:ascii="Times New Roman" w:hAnsi="Times New Roman" w:cs="Times New Roman"/>
          <w:sz w:val="24"/>
          <w:szCs w:val="24"/>
          <w:lang w:val="sr-Cyrl-RS"/>
        </w:rPr>
        <w:t>, односно</w:t>
      </w:r>
      <w:r w:rsidRPr="003E5020">
        <w:rPr>
          <w:rFonts w:ascii="Times New Roman" w:hAnsi="Times New Roman" w:cs="Times New Roman"/>
          <w:sz w:val="24"/>
          <w:szCs w:val="24"/>
          <w:lang w:val="sr-Cyrl-RS"/>
        </w:rPr>
        <w:t xml:space="preserve"> објективним критеријумима</w:t>
      </w:r>
      <w:r w:rsidR="00B651F2" w:rsidRPr="003E5020">
        <w:rPr>
          <w:rFonts w:ascii="Times New Roman" w:hAnsi="Times New Roman" w:cs="Times New Roman"/>
          <w:sz w:val="24"/>
          <w:szCs w:val="24"/>
          <w:lang w:val="sr-Cyrl-RS"/>
        </w:rPr>
        <w:t>. Самим тим, наведени механиз</w:t>
      </w:r>
      <w:r w:rsidR="00AC3726" w:rsidRPr="003E5020">
        <w:rPr>
          <w:rFonts w:ascii="Times New Roman" w:hAnsi="Times New Roman" w:cs="Times New Roman"/>
          <w:sz w:val="24"/>
          <w:szCs w:val="24"/>
          <w:lang w:val="sr-Cyrl-RS"/>
        </w:rPr>
        <w:t>ми</w:t>
      </w:r>
      <w:r w:rsidR="00B651F2" w:rsidRPr="003E5020">
        <w:rPr>
          <w:rFonts w:ascii="Times New Roman" w:hAnsi="Times New Roman" w:cs="Times New Roman"/>
          <w:sz w:val="24"/>
          <w:szCs w:val="24"/>
          <w:lang w:val="sr-Cyrl-RS"/>
        </w:rPr>
        <w:t xml:space="preserve"> буџетирања и расподеле ресурса не дај</w:t>
      </w:r>
      <w:r w:rsidR="00AC3726" w:rsidRPr="003E5020">
        <w:rPr>
          <w:rFonts w:ascii="Times New Roman" w:hAnsi="Times New Roman" w:cs="Times New Roman"/>
          <w:sz w:val="24"/>
          <w:szCs w:val="24"/>
          <w:lang w:val="sr-Cyrl-RS"/>
        </w:rPr>
        <w:t xml:space="preserve">у </w:t>
      </w:r>
      <w:r w:rsidR="00B651F2" w:rsidRPr="003E5020">
        <w:rPr>
          <w:rFonts w:ascii="Times New Roman" w:hAnsi="Times New Roman" w:cs="Times New Roman"/>
          <w:sz w:val="24"/>
          <w:szCs w:val="24"/>
          <w:lang w:val="sr-Cyrl-RS"/>
        </w:rPr>
        <w:t>подстицај запосленима у судовима и тужилаштвима да унапреде ефикасност у свом раду</w:t>
      </w:r>
      <w:r w:rsidR="00AC3726" w:rsidRPr="003E5020">
        <w:rPr>
          <w:rFonts w:ascii="Times New Roman" w:hAnsi="Times New Roman" w:cs="Times New Roman"/>
          <w:sz w:val="24"/>
          <w:szCs w:val="24"/>
          <w:lang w:val="sr-Cyrl-RS"/>
        </w:rPr>
        <w:t>,</w:t>
      </w:r>
      <w:r w:rsidR="00B651F2" w:rsidRPr="003E5020">
        <w:rPr>
          <w:rFonts w:ascii="Times New Roman" w:hAnsi="Times New Roman" w:cs="Times New Roman"/>
          <w:sz w:val="24"/>
          <w:szCs w:val="24"/>
          <w:lang w:val="sr-Cyrl-RS"/>
        </w:rPr>
        <w:t xml:space="preserve"> као </w:t>
      </w:r>
      <w:r w:rsidR="00AC3726" w:rsidRPr="003E5020">
        <w:rPr>
          <w:rFonts w:ascii="Times New Roman" w:hAnsi="Times New Roman" w:cs="Times New Roman"/>
          <w:sz w:val="24"/>
          <w:szCs w:val="24"/>
          <w:lang w:val="sr-Cyrl-RS"/>
        </w:rPr>
        <w:t>н</w:t>
      </w:r>
      <w:r w:rsidR="00B651F2" w:rsidRPr="003E5020">
        <w:rPr>
          <w:rFonts w:ascii="Times New Roman" w:hAnsi="Times New Roman" w:cs="Times New Roman"/>
          <w:sz w:val="24"/>
          <w:szCs w:val="24"/>
          <w:lang w:val="sr-Cyrl-RS"/>
        </w:rPr>
        <w:t xml:space="preserve">и </w:t>
      </w:r>
      <w:r w:rsidR="00AC3726" w:rsidRPr="003E5020">
        <w:rPr>
          <w:rFonts w:ascii="Times New Roman" w:hAnsi="Times New Roman" w:cs="Times New Roman"/>
          <w:sz w:val="24"/>
          <w:szCs w:val="24"/>
          <w:lang w:val="sr-Cyrl-RS"/>
        </w:rPr>
        <w:t>одлику економичности п</w:t>
      </w:r>
      <w:r w:rsidR="000D2864" w:rsidRPr="003E5020">
        <w:rPr>
          <w:rFonts w:ascii="Times New Roman" w:hAnsi="Times New Roman" w:cs="Times New Roman"/>
          <w:sz w:val="24"/>
          <w:szCs w:val="24"/>
          <w:lang w:val="sr-Cyrl-RS"/>
        </w:rPr>
        <w:t>остојећем п</w:t>
      </w:r>
      <w:r w:rsidR="00AC3726" w:rsidRPr="003E5020">
        <w:rPr>
          <w:rFonts w:ascii="Times New Roman" w:hAnsi="Times New Roman" w:cs="Times New Roman"/>
          <w:sz w:val="24"/>
          <w:szCs w:val="24"/>
          <w:lang w:val="sr-Cyrl-RS"/>
        </w:rPr>
        <w:t xml:space="preserve">равосудном </w:t>
      </w:r>
      <w:r w:rsidR="00B651F2" w:rsidRPr="003E5020">
        <w:rPr>
          <w:rFonts w:ascii="Times New Roman" w:hAnsi="Times New Roman" w:cs="Times New Roman"/>
          <w:sz w:val="24"/>
          <w:szCs w:val="24"/>
          <w:lang w:val="sr-Cyrl-RS"/>
        </w:rPr>
        <w:t>систему</w:t>
      </w:r>
      <w:r w:rsidR="000D2864" w:rsidRPr="003E5020">
        <w:rPr>
          <w:rFonts w:ascii="Times New Roman" w:hAnsi="Times New Roman" w:cs="Times New Roman"/>
          <w:sz w:val="24"/>
          <w:szCs w:val="24"/>
          <w:lang w:val="sr-Cyrl-RS"/>
        </w:rPr>
        <w:t xml:space="preserve"> – упркос томе што је </w:t>
      </w:r>
      <w:r w:rsidR="0087421F" w:rsidRPr="003E5020">
        <w:rPr>
          <w:rFonts w:ascii="Times New Roman" w:hAnsi="Times New Roman" w:cs="Times New Roman"/>
          <w:sz w:val="24"/>
          <w:szCs w:val="24"/>
          <w:lang w:val="sr-Cyrl-RS"/>
        </w:rPr>
        <w:t>већи</w:t>
      </w:r>
      <w:r w:rsidR="00B651F2" w:rsidRPr="003E5020">
        <w:rPr>
          <w:rFonts w:ascii="Times New Roman" w:hAnsi="Times New Roman" w:cs="Times New Roman"/>
          <w:sz w:val="24"/>
          <w:szCs w:val="24"/>
          <w:lang w:val="sr-Cyrl-RS"/>
        </w:rPr>
        <w:t xml:space="preserve"> део укупних финансијских ресурса опредељен за зараде запослених у правосуђу</w:t>
      </w:r>
      <w:r w:rsidR="0087421F" w:rsidRPr="003E5020">
        <w:rPr>
          <w:rStyle w:val="FootnoteReference"/>
          <w:rFonts w:ascii="Times New Roman" w:hAnsi="Times New Roman" w:cs="Times New Roman"/>
          <w:sz w:val="24"/>
          <w:szCs w:val="24"/>
          <w:lang w:val="sr-Cyrl-RS"/>
        </w:rPr>
        <w:footnoteReference w:id="100"/>
      </w:r>
      <w:r w:rsidR="00B651F2" w:rsidRPr="003E5020">
        <w:rPr>
          <w:rFonts w:ascii="Times New Roman" w:hAnsi="Times New Roman" w:cs="Times New Roman"/>
          <w:sz w:val="24"/>
          <w:szCs w:val="24"/>
          <w:lang w:val="sr-Cyrl-RS"/>
        </w:rPr>
        <w:t xml:space="preserve">, </w:t>
      </w:r>
      <w:r w:rsidR="000D2864" w:rsidRPr="003E5020">
        <w:rPr>
          <w:rFonts w:ascii="Times New Roman" w:hAnsi="Times New Roman" w:cs="Times New Roman"/>
          <w:sz w:val="24"/>
          <w:szCs w:val="24"/>
          <w:lang w:val="sr-Cyrl-RS"/>
        </w:rPr>
        <w:t xml:space="preserve">док </w:t>
      </w:r>
      <w:r w:rsidR="0040089C" w:rsidRPr="003E5020">
        <w:rPr>
          <w:rFonts w:ascii="Times New Roman" w:hAnsi="Times New Roman" w:cs="Times New Roman"/>
          <w:sz w:val="24"/>
          <w:szCs w:val="24"/>
          <w:lang w:val="sr-Cyrl-RS"/>
        </w:rPr>
        <w:t xml:space="preserve">су </w:t>
      </w:r>
      <w:r w:rsidR="00B651F2" w:rsidRPr="003E5020">
        <w:rPr>
          <w:rFonts w:ascii="Times New Roman" w:hAnsi="Times New Roman" w:cs="Times New Roman"/>
          <w:sz w:val="24"/>
          <w:szCs w:val="24"/>
          <w:lang w:val="sr-Cyrl-RS"/>
        </w:rPr>
        <w:t>потребна средства за задовољење основних инфраструктурних потреба</w:t>
      </w:r>
      <w:r w:rsidR="0040089C" w:rsidRPr="003E5020">
        <w:rPr>
          <w:rFonts w:ascii="Times New Roman" w:hAnsi="Times New Roman" w:cs="Times New Roman"/>
          <w:sz w:val="24"/>
          <w:szCs w:val="24"/>
          <w:lang w:val="sr-Cyrl-RS"/>
        </w:rPr>
        <w:t>, као</w:t>
      </w:r>
      <w:r w:rsidR="00B651F2" w:rsidRPr="003E5020">
        <w:rPr>
          <w:rFonts w:ascii="Times New Roman" w:hAnsi="Times New Roman" w:cs="Times New Roman"/>
          <w:sz w:val="24"/>
          <w:szCs w:val="24"/>
          <w:lang w:val="sr-Cyrl-RS"/>
        </w:rPr>
        <w:t xml:space="preserve"> и преко потребне обуке</w:t>
      </w:r>
      <w:r w:rsidR="0040089C" w:rsidRPr="003E5020">
        <w:rPr>
          <w:rFonts w:ascii="Times New Roman" w:hAnsi="Times New Roman" w:cs="Times New Roman"/>
          <w:sz w:val="24"/>
          <w:szCs w:val="24"/>
          <w:lang w:val="sr-Cyrl-RS"/>
        </w:rPr>
        <w:t>, неадекватна и остају у другом плану</w:t>
      </w:r>
      <w:r w:rsidR="00B651F2" w:rsidRPr="003E5020">
        <w:rPr>
          <w:rFonts w:ascii="Times New Roman" w:hAnsi="Times New Roman" w:cs="Times New Roman"/>
          <w:sz w:val="24"/>
          <w:szCs w:val="24"/>
          <w:lang w:val="sr-Cyrl-RS"/>
        </w:rPr>
        <w:t>.</w:t>
      </w:r>
    </w:p>
    <w:p w14:paraId="0A7CA95F" w14:textId="75061F4D" w:rsidR="00103D92" w:rsidRPr="003E5020" w:rsidRDefault="00103D92">
      <w:pPr>
        <w:ind w:left="851"/>
        <w:jc w:val="both"/>
        <w:rPr>
          <w:rFonts w:ascii="Times New Roman" w:hAnsi="Times New Roman" w:cs="Times New Roman"/>
          <w:sz w:val="24"/>
          <w:szCs w:val="24"/>
          <w:lang w:val="sr-Cyrl-RS"/>
        </w:rPr>
      </w:pPr>
    </w:p>
    <w:p w14:paraId="58C8CA3D" w14:textId="0080B418" w:rsidR="00103D92" w:rsidRPr="003E5020" w:rsidRDefault="00103D9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Такође, кључан проблем представља и чињеница </w:t>
      </w:r>
      <w:r w:rsidR="00405075" w:rsidRPr="003E5020">
        <w:rPr>
          <w:rFonts w:ascii="Times New Roman" w:hAnsi="Times New Roman" w:cs="Times New Roman"/>
          <w:sz w:val="24"/>
          <w:szCs w:val="24"/>
          <w:lang w:val="sr-Cyrl-RS"/>
        </w:rPr>
        <w:t>подељене</w:t>
      </w:r>
      <w:r w:rsidRPr="003E5020">
        <w:rPr>
          <w:rFonts w:ascii="Times New Roman" w:hAnsi="Times New Roman" w:cs="Times New Roman"/>
          <w:sz w:val="24"/>
          <w:szCs w:val="24"/>
          <w:lang w:val="sr-Cyrl-RS"/>
        </w:rPr>
        <w:t xml:space="preserve"> надлежности у управљању финансијским ресурсима (и самим тим одговорности) </w:t>
      </w:r>
      <w:r w:rsidR="00405075" w:rsidRPr="003E5020">
        <w:rPr>
          <w:rFonts w:ascii="Times New Roman" w:hAnsi="Times New Roman" w:cs="Times New Roman"/>
          <w:sz w:val="24"/>
          <w:szCs w:val="24"/>
          <w:lang w:val="sr-Cyrl-RS"/>
        </w:rPr>
        <w:t xml:space="preserve">у правосуђу </w:t>
      </w:r>
      <w:r w:rsidRPr="003E5020">
        <w:rPr>
          <w:rFonts w:ascii="Times New Roman" w:hAnsi="Times New Roman" w:cs="Times New Roman"/>
          <w:sz w:val="24"/>
          <w:szCs w:val="24"/>
          <w:lang w:val="sr-Cyrl-RS"/>
        </w:rPr>
        <w:t xml:space="preserve">између Високог савета судства и Државног већа тужилаштва, које је, с једне стране, одговорно за зараде и примања судија и тужилаца, и Министарства правде, које је, с друге стране, одговорно за </w:t>
      </w:r>
      <w:r w:rsidR="00DA34D7" w:rsidRPr="003E5020">
        <w:rPr>
          <w:rFonts w:ascii="Times New Roman" w:hAnsi="Times New Roman" w:cs="Times New Roman"/>
          <w:sz w:val="24"/>
          <w:szCs w:val="24"/>
          <w:lang w:val="sr-Cyrl-RS"/>
        </w:rPr>
        <w:t>зараде</w:t>
      </w:r>
      <w:r w:rsidRPr="003E5020">
        <w:rPr>
          <w:rFonts w:ascii="Times New Roman" w:hAnsi="Times New Roman" w:cs="Times New Roman"/>
          <w:sz w:val="24"/>
          <w:szCs w:val="24"/>
          <w:lang w:val="sr-Cyrl-RS"/>
        </w:rPr>
        <w:t xml:space="preserve"> судског и тужилачког особља.</w:t>
      </w:r>
      <w:r w:rsidR="00D9310B" w:rsidRPr="003E5020">
        <w:rPr>
          <w:rFonts w:ascii="Times New Roman" w:hAnsi="Times New Roman" w:cs="Times New Roman"/>
          <w:sz w:val="24"/>
          <w:szCs w:val="24"/>
          <w:lang w:val="sr-Cyrl-RS"/>
        </w:rPr>
        <w:t xml:space="preserve"> </w:t>
      </w:r>
    </w:p>
    <w:p w14:paraId="6CB90FCD" w14:textId="5791F54B" w:rsidR="003B1096" w:rsidRPr="003E5020" w:rsidRDefault="003B1096" w:rsidP="003B1096">
      <w:pPr>
        <w:ind w:left="851"/>
        <w:jc w:val="both"/>
        <w:rPr>
          <w:rFonts w:ascii="Times New Roman" w:hAnsi="Times New Roman" w:cs="Times New Roman"/>
          <w:sz w:val="24"/>
          <w:szCs w:val="24"/>
          <w:lang w:val="sr-Cyrl-RS"/>
        </w:rPr>
      </w:pPr>
    </w:p>
    <w:p w14:paraId="76E570B8" w14:textId="02DA7C25" w:rsidR="000F3BC4" w:rsidRPr="003E5020" w:rsidRDefault="003B1096" w:rsidP="003B109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Како је наведено у документу под називом: Функционална анализа правосуђа у Србији</w:t>
      </w:r>
      <w:r w:rsidRPr="003E5020">
        <w:rPr>
          <w:rStyle w:val="FootnoteReference"/>
          <w:rFonts w:ascii="Times New Roman" w:hAnsi="Times New Roman" w:cs="Times New Roman"/>
          <w:sz w:val="24"/>
          <w:szCs w:val="24"/>
          <w:lang w:val="sr-Cyrl-RS"/>
        </w:rPr>
        <w:footnoteReference w:id="101"/>
      </w:r>
      <w:r w:rsidRPr="003E5020">
        <w:rPr>
          <w:rFonts w:ascii="Times New Roman" w:hAnsi="Times New Roman" w:cs="Times New Roman"/>
          <w:sz w:val="24"/>
          <w:szCs w:val="24"/>
          <w:lang w:val="sr-Cyrl-RS"/>
        </w:rPr>
        <w:t xml:space="preserve">, </w:t>
      </w:r>
      <w:r w:rsidR="000F3BC4" w:rsidRPr="003E5020">
        <w:rPr>
          <w:rFonts w:ascii="Times New Roman" w:hAnsi="Times New Roman" w:cs="Times New Roman"/>
          <w:sz w:val="24"/>
          <w:szCs w:val="24"/>
          <w:lang w:val="sr-Cyrl-RS"/>
        </w:rPr>
        <w:t>[</w:t>
      </w:r>
      <w:r w:rsidR="000F3BC4" w:rsidRPr="003E5020">
        <w:rPr>
          <w:rFonts w:ascii="Times New Roman" w:hAnsi="Times New Roman" w:cs="Times New Roman"/>
          <w:b/>
          <w:sz w:val="24"/>
          <w:szCs w:val="24"/>
          <w:lang w:val="sr-Cyrl-RS"/>
        </w:rPr>
        <w:t>цитат</w:t>
      </w:r>
      <w:r w:rsidR="000F3BC4" w:rsidRPr="003E5020">
        <w:rPr>
          <w:rFonts w:ascii="Times New Roman" w:hAnsi="Times New Roman" w:cs="Times New Roman"/>
          <w:sz w:val="24"/>
          <w:szCs w:val="24"/>
          <w:lang w:val="sr-Cyrl-RS"/>
        </w:rPr>
        <w:t>] „Б</w:t>
      </w:r>
      <w:r w:rsidRPr="003E5020">
        <w:rPr>
          <w:rFonts w:ascii="Times New Roman" w:hAnsi="Times New Roman" w:cs="Times New Roman"/>
          <w:sz w:val="24"/>
          <w:szCs w:val="24"/>
          <w:lang w:val="sr-Cyrl-RS"/>
        </w:rPr>
        <w:t xml:space="preserve">уџетско планирање и алокација ресурса у правосуђу нису везани за потребе за пружањем услуга, већ је засновано на ранијим алокацијама </w:t>
      </w:r>
      <w:r w:rsidRPr="003E5020">
        <w:rPr>
          <w:rFonts w:ascii="Times New Roman" w:hAnsi="Times New Roman" w:cs="Times New Roman"/>
          <w:i/>
          <w:iCs/>
          <w:sz w:val="24"/>
          <w:szCs w:val="24"/>
          <w:lang w:val="sr-Cyrl-RS"/>
        </w:rPr>
        <w:t>инпута</w:t>
      </w:r>
      <w:r w:rsidRPr="003E5020">
        <w:rPr>
          <w:rFonts w:ascii="Times New Roman" w:hAnsi="Times New Roman" w:cs="Times New Roman"/>
          <w:sz w:val="24"/>
          <w:szCs w:val="24"/>
          <w:lang w:val="sr-Cyrl-RS"/>
        </w:rPr>
        <w:t xml:space="preserve"> које су ретко прилагођаване у смислу реаговања на изванредне догађаје, као што је реорганизација судске мреже или под хитним околностима које могу да угрозе функционисање правосуђа. Алокација ресурса није заснована ни на каквом предвиђању броја предмета или објективним нормама, те механизам алокације ресурса не даје подстрек судовима и тужилаштвима за иницијативама или могућностима да побољшају економичност.</w:t>
      </w:r>
      <w:r w:rsidR="000F3BC4" w:rsidRPr="003E5020">
        <w:rPr>
          <w:rStyle w:val="FootnoteReference"/>
          <w:rFonts w:ascii="Times New Roman" w:hAnsi="Times New Roman" w:cs="Times New Roman"/>
          <w:sz w:val="24"/>
          <w:szCs w:val="24"/>
          <w:lang w:val="sr-Cyrl-RS"/>
        </w:rPr>
        <w:footnoteReference w:id="102"/>
      </w:r>
      <w:r w:rsidR="000F3BC4" w:rsidRPr="003E5020">
        <w:rPr>
          <w:rFonts w:ascii="Times New Roman" w:hAnsi="Times New Roman" w:cs="Times New Roman"/>
          <w:sz w:val="24"/>
          <w:szCs w:val="24"/>
          <w:lang w:val="sr-Cyrl-RS"/>
        </w:rPr>
        <w:t xml:space="preserve"> [</w:t>
      </w:r>
      <w:r w:rsidR="000F3BC4" w:rsidRPr="003E5020">
        <w:rPr>
          <w:rFonts w:ascii="Times New Roman" w:hAnsi="Times New Roman" w:cs="Times New Roman"/>
          <w:b/>
          <w:sz w:val="24"/>
          <w:szCs w:val="24"/>
          <w:lang w:val="sr-Cyrl-RS"/>
        </w:rPr>
        <w:t>крај</w:t>
      </w:r>
      <w:r w:rsidR="000F3BC4" w:rsidRPr="003E5020">
        <w:rPr>
          <w:rFonts w:ascii="Times New Roman" w:hAnsi="Times New Roman" w:cs="Times New Roman"/>
          <w:sz w:val="24"/>
          <w:szCs w:val="24"/>
          <w:lang w:val="sr-Cyrl-RS"/>
        </w:rPr>
        <w:t xml:space="preserve"> </w:t>
      </w:r>
      <w:r w:rsidR="000F3BC4" w:rsidRPr="003E5020">
        <w:rPr>
          <w:rFonts w:ascii="Times New Roman" w:hAnsi="Times New Roman" w:cs="Times New Roman"/>
          <w:b/>
          <w:sz w:val="24"/>
          <w:szCs w:val="24"/>
          <w:lang w:val="sr-Cyrl-RS"/>
        </w:rPr>
        <w:t>цитата</w:t>
      </w:r>
      <w:r w:rsidR="000F3BC4" w:rsidRPr="003E5020">
        <w:rPr>
          <w:rFonts w:ascii="Times New Roman" w:hAnsi="Times New Roman" w:cs="Times New Roman"/>
          <w:sz w:val="24"/>
          <w:szCs w:val="24"/>
          <w:lang w:val="sr-Cyrl-RS"/>
        </w:rPr>
        <w:t>]</w:t>
      </w:r>
    </w:p>
    <w:p w14:paraId="18BCA918" w14:textId="77777777" w:rsidR="000F3BC4" w:rsidRPr="003E5020" w:rsidRDefault="000F3BC4" w:rsidP="003B1096">
      <w:pPr>
        <w:ind w:left="851"/>
        <w:jc w:val="both"/>
        <w:rPr>
          <w:rFonts w:ascii="Times New Roman" w:hAnsi="Times New Roman" w:cs="Times New Roman"/>
          <w:sz w:val="24"/>
          <w:szCs w:val="24"/>
          <w:lang w:val="sr-Cyrl-RS"/>
        </w:rPr>
      </w:pPr>
    </w:p>
    <w:p w14:paraId="65432B88" w14:textId="6BE6BE69" w:rsidR="000F3BC4" w:rsidRPr="003E5020" w:rsidRDefault="000F3BC4" w:rsidP="003B109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Такође, наведени документ посебно констатује [</w:t>
      </w:r>
      <w:r w:rsidRPr="003E5020">
        <w:rPr>
          <w:rFonts w:ascii="Times New Roman" w:hAnsi="Times New Roman" w:cs="Times New Roman"/>
          <w:b/>
          <w:sz w:val="24"/>
          <w:szCs w:val="24"/>
          <w:lang w:val="sr-Cyrl-RS"/>
        </w:rPr>
        <w:t>цитат</w:t>
      </w:r>
      <w:r w:rsidRPr="003E5020">
        <w:rPr>
          <w:rFonts w:ascii="Times New Roman" w:hAnsi="Times New Roman" w:cs="Times New Roman"/>
          <w:sz w:val="24"/>
          <w:szCs w:val="24"/>
          <w:lang w:val="sr-Cyrl-RS"/>
        </w:rPr>
        <w:t>] „Подељена надлежност управљања и недостатак јасне поделе одговорности над правосудним буџетом доводи до проблема у координацији код управљања финансијским ресурсима. Буџетска надлежност је подељена између В</w:t>
      </w:r>
      <w:r w:rsidR="00E2416D" w:rsidRPr="003E5020">
        <w:rPr>
          <w:rFonts w:ascii="Times New Roman" w:hAnsi="Times New Roman" w:cs="Times New Roman"/>
          <w:sz w:val="24"/>
          <w:szCs w:val="24"/>
          <w:lang w:val="sr-Cyrl-RS"/>
        </w:rPr>
        <w:t>исоког савета судства и</w:t>
      </w:r>
      <w:r w:rsidRPr="003E5020">
        <w:rPr>
          <w:rFonts w:ascii="Times New Roman" w:hAnsi="Times New Roman" w:cs="Times New Roman"/>
          <w:sz w:val="24"/>
          <w:szCs w:val="24"/>
          <w:lang w:val="sr-Cyrl-RS"/>
        </w:rPr>
        <w:t xml:space="preserve"> Д</w:t>
      </w:r>
      <w:r w:rsidR="00E2416D" w:rsidRPr="003E5020">
        <w:rPr>
          <w:rFonts w:ascii="Times New Roman" w:hAnsi="Times New Roman" w:cs="Times New Roman"/>
          <w:sz w:val="24"/>
          <w:szCs w:val="24"/>
          <w:lang w:val="sr-Cyrl-RS"/>
        </w:rPr>
        <w:t>ржавног већа тужилаца</w:t>
      </w:r>
      <w:r w:rsidRPr="003E5020">
        <w:rPr>
          <w:rFonts w:ascii="Times New Roman" w:hAnsi="Times New Roman" w:cs="Times New Roman"/>
          <w:sz w:val="24"/>
          <w:szCs w:val="24"/>
          <w:lang w:val="sr-Cyrl-RS"/>
        </w:rPr>
        <w:t xml:space="preserve"> с једне стране и М</w:t>
      </w:r>
      <w:r w:rsidR="00E2416D" w:rsidRPr="003E5020">
        <w:rPr>
          <w:rFonts w:ascii="Times New Roman" w:hAnsi="Times New Roman" w:cs="Times New Roman"/>
          <w:sz w:val="24"/>
          <w:szCs w:val="24"/>
          <w:lang w:val="sr-Cyrl-RS"/>
        </w:rPr>
        <w:t xml:space="preserve">инистарства правде </w:t>
      </w:r>
      <w:r w:rsidRPr="003E5020">
        <w:rPr>
          <w:rFonts w:ascii="Times New Roman" w:hAnsi="Times New Roman" w:cs="Times New Roman"/>
          <w:sz w:val="24"/>
          <w:szCs w:val="24"/>
          <w:lang w:val="sr-Cyrl-RS"/>
        </w:rPr>
        <w:t xml:space="preserve">с друге стране. Док су Савет/Веће одговорни за фонд плата за судије и тужиоце, </w:t>
      </w:r>
      <w:r w:rsidR="00E2416D" w:rsidRPr="003E5020">
        <w:rPr>
          <w:rFonts w:ascii="Times New Roman" w:hAnsi="Times New Roman" w:cs="Times New Roman"/>
          <w:sz w:val="24"/>
          <w:szCs w:val="24"/>
          <w:lang w:val="sr-Cyrl-RS"/>
        </w:rPr>
        <w:t>министарство</w:t>
      </w:r>
      <w:r w:rsidRPr="003E5020">
        <w:rPr>
          <w:rFonts w:ascii="Times New Roman" w:hAnsi="Times New Roman" w:cs="Times New Roman"/>
          <w:sz w:val="24"/>
          <w:szCs w:val="24"/>
          <w:lang w:val="sr-Cyrl-RS"/>
        </w:rPr>
        <w:t xml:space="preserve"> је одговорно за плате осталог особља у судовима и тужилаштвима. Подела буџетске одговорности у другим областима, као што је финансирање одржавања и капиталних инвестиција, није јасно дефинисана, што успорава напредовање и улагања у веома потребне капиталне пројекте. Надлежност над осталим нефинансијским стварима, које могу да буду од већег финансијског утицаја, такође је одвојена од буџетске надлежности, укључујући и одлуке које утичу на велики фонд плата.</w:t>
      </w:r>
      <w:r w:rsidRPr="003E5020">
        <w:rPr>
          <w:rStyle w:val="FootnoteReference"/>
          <w:rFonts w:ascii="Times New Roman" w:hAnsi="Times New Roman" w:cs="Times New Roman"/>
          <w:sz w:val="24"/>
          <w:szCs w:val="24"/>
          <w:lang w:val="sr-Cyrl-RS"/>
        </w:rPr>
        <w:footnoteReference w:id="103"/>
      </w:r>
      <w:r w:rsidRPr="003E5020">
        <w:rPr>
          <w:rFonts w:ascii="Times New Roman" w:hAnsi="Times New Roman" w:cs="Times New Roman"/>
          <w:sz w:val="24"/>
          <w:szCs w:val="24"/>
          <w:lang w:val="sr-Cyrl-RS"/>
        </w:rPr>
        <w:t xml:space="preserve"> [</w:t>
      </w:r>
      <w:r w:rsidRPr="003E5020">
        <w:rPr>
          <w:rFonts w:ascii="Times New Roman" w:hAnsi="Times New Roman" w:cs="Times New Roman"/>
          <w:b/>
          <w:sz w:val="24"/>
          <w:szCs w:val="24"/>
          <w:lang w:val="sr-Cyrl-RS"/>
        </w:rPr>
        <w:t>крај</w:t>
      </w:r>
      <w:r w:rsidRPr="003E5020">
        <w:rPr>
          <w:rFonts w:ascii="Times New Roman" w:hAnsi="Times New Roman" w:cs="Times New Roman"/>
          <w:sz w:val="24"/>
          <w:szCs w:val="24"/>
          <w:lang w:val="sr-Cyrl-RS"/>
        </w:rPr>
        <w:t xml:space="preserve"> </w:t>
      </w:r>
      <w:r w:rsidRPr="003E5020">
        <w:rPr>
          <w:rFonts w:ascii="Times New Roman" w:hAnsi="Times New Roman" w:cs="Times New Roman"/>
          <w:b/>
          <w:sz w:val="24"/>
          <w:szCs w:val="24"/>
          <w:lang w:val="sr-Cyrl-RS"/>
        </w:rPr>
        <w:t>цитата</w:t>
      </w:r>
      <w:r w:rsidRPr="003E5020">
        <w:rPr>
          <w:rFonts w:ascii="Times New Roman" w:hAnsi="Times New Roman" w:cs="Times New Roman"/>
          <w:sz w:val="24"/>
          <w:szCs w:val="24"/>
          <w:lang w:val="sr-Cyrl-RS"/>
        </w:rPr>
        <w:t>]</w:t>
      </w:r>
    </w:p>
    <w:p w14:paraId="0E23B1CB" w14:textId="0A685EBD" w:rsidR="00E35641" w:rsidRPr="003E5020" w:rsidRDefault="00E35641" w:rsidP="003B1096">
      <w:pPr>
        <w:ind w:left="851"/>
        <w:jc w:val="both"/>
        <w:rPr>
          <w:rFonts w:ascii="Times New Roman" w:hAnsi="Times New Roman" w:cs="Times New Roman"/>
          <w:sz w:val="24"/>
          <w:szCs w:val="24"/>
          <w:lang w:val="sr-Cyrl-RS"/>
        </w:rPr>
      </w:pPr>
    </w:p>
    <w:p w14:paraId="61072FA8" w14:textId="2C038D77" w:rsidR="00E35641" w:rsidRPr="003E5020" w:rsidRDefault="00E35641" w:rsidP="003B109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Горе</w:t>
      </w:r>
      <w:r w:rsidR="00BC7D35"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наведене тврдње су и даље актуелне и у великој мери за последицу имају недостатак стратешког планирања приликом буџетира</w:t>
      </w:r>
      <w:r w:rsidR="006342DC" w:rsidRPr="003E5020">
        <w:rPr>
          <w:rFonts w:ascii="Times New Roman" w:hAnsi="Times New Roman" w:cs="Times New Roman"/>
          <w:sz w:val="24"/>
          <w:szCs w:val="24"/>
          <w:lang w:val="sr-Cyrl-RS"/>
        </w:rPr>
        <w:t>њ</w:t>
      </w:r>
      <w:r w:rsidRPr="003E5020">
        <w:rPr>
          <w:rFonts w:ascii="Times New Roman" w:hAnsi="Times New Roman" w:cs="Times New Roman"/>
          <w:sz w:val="24"/>
          <w:szCs w:val="24"/>
          <w:lang w:val="sr-Cyrl-RS"/>
        </w:rPr>
        <w:t>а потреба</w:t>
      </w:r>
      <w:r w:rsidR="006342DC" w:rsidRPr="003E5020">
        <w:rPr>
          <w:rFonts w:ascii="Times New Roman" w:hAnsi="Times New Roman" w:cs="Times New Roman"/>
          <w:sz w:val="24"/>
          <w:szCs w:val="24"/>
          <w:lang w:val="sr-Cyrl-RS"/>
        </w:rPr>
        <w:t xml:space="preserve"> правосуђа, при чему се не узимају у обзир стварне потребе засноване, најпре, на обиму посла.</w:t>
      </w:r>
      <w:r w:rsidRPr="003E5020">
        <w:rPr>
          <w:rFonts w:ascii="Times New Roman" w:hAnsi="Times New Roman" w:cs="Times New Roman"/>
          <w:sz w:val="24"/>
          <w:szCs w:val="24"/>
          <w:lang w:val="sr-Cyrl-RS"/>
        </w:rPr>
        <w:t xml:space="preserve">  </w:t>
      </w:r>
    </w:p>
    <w:p w14:paraId="3E6EF25F" w14:textId="06AE80AD" w:rsidR="00DB71EA" w:rsidRPr="003E5020" w:rsidRDefault="00DB71EA">
      <w:pPr>
        <w:jc w:val="both"/>
        <w:rPr>
          <w:rFonts w:ascii="Times New Roman" w:hAnsi="Times New Roman" w:cs="Times New Roman"/>
          <w:sz w:val="24"/>
          <w:szCs w:val="24"/>
          <w:lang w:val="sr-Cyrl-RS"/>
        </w:rPr>
      </w:pPr>
    </w:p>
    <w:p w14:paraId="2AD36B0A" w14:textId="76E16E60" w:rsidR="004B1209" w:rsidRPr="003E5020" w:rsidRDefault="004B1209" w:rsidP="00314237">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Стратегија наведени проблем непосредно третира најпре кроз реализацију посебног </w:t>
      </w:r>
      <w:hyperlink w:anchor="_Циљ_3._–" w:history="1">
        <w:r w:rsidRPr="003E5020">
          <w:rPr>
            <w:rStyle w:val="Hyperlink"/>
            <w:rFonts w:ascii="Times New Roman" w:hAnsi="Times New Roman" w:cs="Times New Roman"/>
            <w:color w:val="auto"/>
            <w:sz w:val="24"/>
            <w:szCs w:val="24"/>
            <w:lang w:val="sr-Cyrl-RS"/>
          </w:rPr>
          <w:t xml:space="preserve">циља </w:t>
        </w:r>
        <w:r w:rsidR="00562C50" w:rsidRPr="003E5020">
          <w:rPr>
            <w:rStyle w:val="Hyperlink"/>
            <w:rFonts w:ascii="Times New Roman" w:hAnsi="Times New Roman" w:cs="Times New Roman"/>
            <w:color w:val="auto"/>
            <w:sz w:val="24"/>
            <w:szCs w:val="24"/>
            <w:lang w:val="sr-Cyrl-RS"/>
          </w:rPr>
          <w:t>3</w:t>
        </w:r>
      </w:hyperlink>
      <w:r w:rsidRPr="003E5020">
        <w:rPr>
          <w:rFonts w:ascii="Times New Roman" w:hAnsi="Times New Roman" w:cs="Times New Roman"/>
          <w:sz w:val="24"/>
          <w:szCs w:val="24"/>
          <w:lang w:val="sr-Cyrl-RS"/>
        </w:rPr>
        <w:t xml:space="preserve">. </w:t>
      </w:r>
    </w:p>
    <w:p w14:paraId="21872A18" w14:textId="77777777" w:rsidR="004B1209" w:rsidRPr="003E5020" w:rsidRDefault="004B1209">
      <w:pPr>
        <w:jc w:val="both"/>
        <w:rPr>
          <w:rFonts w:ascii="Times New Roman" w:hAnsi="Times New Roman" w:cs="Times New Roman"/>
          <w:sz w:val="24"/>
          <w:szCs w:val="24"/>
          <w:lang w:val="sr-Cyrl-RS"/>
        </w:rPr>
      </w:pPr>
    </w:p>
    <w:p w14:paraId="12D837DA" w14:textId="79330E9F" w:rsidR="002C3B46" w:rsidRPr="003E5020" w:rsidRDefault="002C3B46" w:rsidP="00F156EB">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08" w:name="_Toc84778633"/>
      <w:r w:rsidRPr="003E5020">
        <w:rPr>
          <w:rFonts w:ascii="Times New Roman" w:hAnsi="Times New Roman" w:cs="Times New Roman"/>
          <w:color w:val="auto"/>
          <w:sz w:val="24"/>
          <w:szCs w:val="24"/>
          <w:lang w:val="sr-Cyrl-RS"/>
        </w:rPr>
        <w:t>Недостатак инфраструктурних капацитета</w:t>
      </w:r>
      <w:r w:rsidR="00D7402F" w:rsidRPr="003E5020">
        <w:rPr>
          <w:rFonts w:ascii="Times New Roman" w:hAnsi="Times New Roman" w:cs="Times New Roman"/>
          <w:color w:val="auto"/>
          <w:sz w:val="24"/>
          <w:szCs w:val="24"/>
          <w:lang w:val="sr-Cyrl-RS"/>
        </w:rPr>
        <w:t xml:space="preserve"> и информацино комуникационе технологије (ИКТ)</w:t>
      </w:r>
      <w:bookmarkEnd w:id="108"/>
    </w:p>
    <w:p w14:paraId="1490E08B" w14:textId="0DA6E80F" w:rsidR="002C3B46" w:rsidRPr="003E5020" w:rsidRDefault="002C3B46">
      <w:pPr>
        <w:jc w:val="both"/>
        <w:rPr>
          <w:rFonts w:ascii="Times New Roman" w:hAnsi="Times New Roman" w:cs="Times New Roman"/>
          <w:sz w:val="24"/>
          <w:szCs w:val="24"/>
          <w:lang w:val="sr-Cyrl-RS"/>
        </w:rPr>
      </w:pPr>
    </w:p>
    <w:p w14:paraId="57213800" w14:textId="4325F6A7" w:rsidR="002C3B46" w:rsidRPr="003E5020" w:rsidRDefault="00EC2CE1" w:rsidP="00EC2CE1">
      <w:pPr>
        <w:ind w:left="851"/>
        <w:jc w:val="both"/>
        <w:rPr>
          <w:rFonts w:ascii="Times New Roman" w:hAnsi="Times New Roman" w:cs="Times New Roman"/>
          <w:sz w:val="24"/>
          <w:szCs w:val="24"/>
          <w:lang w:val="sr-Latn-RS"/>
        </w:rPr>
      </w:pPr>
      <w:r w:rsidRPr="003E5020">
        <w:rPr>
          <w:rFonts w:ascii="Times New Roman" w:hAnsi="Times New Roman" w:cs="Times New Roman"/>
          <w:sz w:val="24"/>
          <w:szCs w:val="24"/>
          <w:lang w:val="sr-Cyrl-RS"/>
        </w:rPr>
        <w:t>У питању је проблем који, историјски гледано, постоји већ дуго и који свакако има негативне импликације на стање људских ресурса у српском правосуђу. Иако је проблем препознат од стране државе, те је, с тим у вези, држава већ предузела битне кораке у његовом решавању</w:t>
      </w:r>
      <w:r w:rsidR="007A1EDF" w:rsidRPr="003E5020">
        <w:rPr>
          <w:rFonts w:ascii="Times New Roman" w:hAnsi="Times New Roman" w:cs="Times New Roman"/>
          <w:sz w:val="24"/>
          <w:szCs w:val="24"/>
          <w:lang w:val="sr-Cyrl-RS"/>
        </w:rPr>
        <w:t xml:space="preserve"> реконструишући преко 200.000м</w:t>
      </w:r>
      <w:r w:rsidR="007A1EDF" w:rsidRPr="003E5020">
        <w:rPr>
          <w:rFonts w:ascii="Times New Roman" w:hAnsi="Times New Roman" w:cs="Times New Roman"/>
          <w:sz w:val="24"/>
          <w:szCs w:val="24"/>
          <w:vertAlign w:val="superscript"/>
          <w:lang w:val="sr-Cyrl-RS"/>
        </w:rPr>
        <w:t>2</w:t>
      </w:r>
      <w:r w:rsidR="00100876" w:rsidRPr="003E5020">
        <w:rPr>
          <w:rFonts w:ascii="Times New Roman" w:hAnsi="Times New Roman" w:cs="Times New Roman"/>
          <w:sz w:val="24"/>
          <w:szCs w:val="24"/>
          <w:vertAlign w:val="superscript"/>
          <w:lang w:val="sr-Cyrl-RS"/>
        </w:rPr>
        <w:t xml:space="preserve"> </w:t>
      </w:r>
      <w:r w:rsidR="007A1EDF" w:rsidRPr="003E5020">
        <w:rPr>
          <w:rFonts w:ascii="Times New Roman" w:hAnsi="Times New Roman" w:cs="Times New Roman"/>
          <w:sz w:val="24"/>
          <w:szCs w:val="24"/>
          <w:lang w:val="sr-Cyrl-RS"/>
        </w:rPr>
        <w:t>корисног простора</w:t>
      </w:r>
      <w:r w:rsidR="00100876" w:rsidRPr="003E5020">
        <w:rPr>
          <w:rFonts w:ascii="Times New Roman" w:hAnsi="Times New Roman" w:cs="Times New Roman"/>
          <w:sz w:val="24"/>
          <w:szCs w:val="24"/>
          <w:lang w:val="sr-Cyrl-RS"/>
        </w:rPr>
        <w:t xml:space="preserve"> </w:t>
      </w:r>
      <w:r w:rsidR="007A1EDF" w:rsidRPr="003E5020">
        <w:rPr>
          <w:rFonts w:ascii="Times New Roman" w:hAnsi="Times New Roman" w:cs="Times New Roman"/>
          <w:sz w:val="24"/>
          <w:szCs w:val="24"/>
          <w:lang w:val="sr-Cyrl-RS"/>
        </w:rPr>
        <w:t>неопходног за рад правосудних органа</w:t>
      </w:r>
      <w:r w:rsidR="000868FA" w:rsidRPr="003E5020">
        <w:rPr>
          <w:rStyle w:val="FootnoteReference"/>
          <w:rFonts w:ascii="Times New Roman" w:hAnsi="Times New Roman" w:cs="Times New Roman"/>
          <w:sz w:val="24"/>
          <w:szCs w:val="24"/>
          <w:lang w:val="sr-Cyrl-RS"/>
        </w:rPr>
        <w:footnoteReference w:id="104"/>
      </w:r>
      <w:r w:rsidR="006477F2" w:rsidRPr="003E5020">
        <w:rPr>
          <w:rFonts w:ascii="Times New Roman" w:hAnsi="Times New Roman" w:cs="Times New Roman"/>
          <w:sz w:val="24"/>
          <w:szCs w:val="24"/>
          <w:lang w:val="sr-Cyrl-RS"/>
        </w:rPr>
        <w:t xml:space="preserve">, ипак за </w:t>
      </w:r>
      <w:r w:rsidR="007C013E" w:rsidRPr="003E5020">
        <w:rPr>
          <w:rFonts w:ascii="Times New Roman" w:hAnsi="Times New Roman" w:cs="Times New Roman"/>
          <w:sz w:val="24"/>
          <w:szCs w:val="24"/>
          <w:lang w:val="sr-Cyrl-RS"/>
        </w:rPr>
        <w:t xml:space="preserve">значајан део </w:t>
      </w:r>
      <w:r w:rsidR="006477F2" w:rsidRPr="003E5020">
        <w:rPr>
          <w:rFonts w:ascii="Times New Roman" w:hAnsi="Times New Roman" w:cs="Times New Roman"/>
          <w:sz w:val="24"/>
          <w:szCs w:val="24"/>
          <w:lang w:val="sr-Cyrl-RS"/>
        </w:rPr>
        <w:t>правосудне инфраструктуре у Србији, тај проблем и даље постоји, као и његов индиректан</w:t>
      </w:r>
      <w:r w:rsidR="00863E7F" w:rsidRPr="003E5020">
        <w:rPr>
          <w:rFonts w:ascii="Times New Roman" w:hAnsi="Times New Roman" w:cs="Times New Roman"/>
          <w:sz w:val="24"/>
          <w:szCs w:val="24"/>
          <w:lang w:val="sr-Latn-RS"/>
        </w:rPr>
        <w:t>,</w:t>
      </w:r>
      <w:r w:rsidR="006477F2" w:rsidRPr="003E5020">
        <w:rPr>
          <w:rFonts w:ascii="Times New Roman" w:hAnsi="Times New Roman" w:cs="Times New Roman"/>
          <w:sz w:val="24"/>
          <w:szCs w:val="24"/>
          <w:lang w:val="sr-Cyrl-RS"/>
        </w:rPr>
        <w:t xml:space="preserve"> али снажан утицај на људске ресурсе у правосуђу. </w:t>
      </w:r>
    </w:p>
    <w:p w14:paraId="52379C50" w14:textId="0DFF836C" w:rsidR="006477F2" w:rsidRPr="003E5020" w:rsidRDefault="006477F2" w:rsidP="00EC2CE1">
      <w:pPr>
        <w:ind w:left="851"/>
        <w:jc w:val="both"/>
        <w:rPr>
          <w:rFonts w:ascii="Times New Roman" w:hAnsi="Times New Roman" w:cs="Times New Roman"/>
          <w:sz w:val="24"/>
          <w:szCs w:val="24"/>
          <w:lang w:val="sr-Cyrl-RS"/>
        </w:rPr>
      </w:pPr>
    </w:p>
    <w:p w14:paraId="171DEDA8" w14:textId="313F6714" w:rsidR="007910CB" w:rsidRPr="003E5020" w:rsidRDefault="007910CB" w:rsidP="000C16D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Према до сада рађеним анализама у овом домену</w:t>
      </w:r>
      <w:r w:rsidRPr="003E5020">
        <w:rPr>
          <w:rStyle w:val="FootnoteReference"/>
          <w:rFonts w:ascii="Times New Roman" w:hAnsi="Times New Roman" w:cs="Times New Roman"/>
          <w:sz w:val="24"/>
          <w:szCs w:val="24"/>
          <w:lang w:val="sr-Cyrl-RS"/>
        </w:rPr>
        <w:footnoteReference w:id="105"/>
      </w:r>
      <w:r w:rsidRPr="003E5020">
        <w:rPr>
          <w:rFonts w:ascii="Times New Roman" w:hAnsi="Times New Roman" w:cs="Times New Roman"/>
          <w:sz w:val="24"/>
          <w:szCs w:val="24"/>
          <w:lang w:val="sr-Cyrl-RS"/>
        </w:rPr>
        <w:t xml:space="preserve">, </w:t>
      </w:r>
      <w:r w:rsidR="002F11A3" w:rsidRPr="003E5020">
        <w:rPr>
          <w:rFonts w:ascii="Times New Roman" w:hAnsi="Times New Roman" w:cs="Times New Roman"/>
          <w:sz w:val="24"/>
          <w:szCs w:val="24"/>
          <w:lang w:val="sr-Cyrl-RS"/>
        </w:rPr>
        <w:t xml:space="preserve">стање инфраструктуре у сектору правосуђа је </w:t>
      </w:r>
      <w:r w:rsidR="007C013E" w:rsidRPr="003E5020">
        <w:rPr>
          <w:rFonts w:ascii="Times New Roman" w:hAnsi="Times New Roman" w:cs="Times New Roman"/>
          <w:sz w:val="24"/>
          <w:szCs w:val="24"/>
          <w:lang w:val="sr-Cyrl-RS"/>
        </w:rPr>
        <w:t>и даље неадекватно, упрко</w:t>
      </w:r>
      <w:r w:rsidR="00291FB2" w:rsidRPr="003E5020">
        <w:rPr>
          <w:rFonts w:ascii="Times New Roman" w:hAnsi="Times New Roman" w:cs="Times New Roman"/>
          <w:sz w:val="24"/>
          <w:szCs w:val="24"/>
          <w:lang w:val="sr-Cyrl-RS"/>
        </w:rPr>
        <w:t>с</w:t>
      </w:r>
      <w:r w:rsidR="007C013E" w:rsidRPr="003E5020">
        <w:rPr>
          <w:rFonts w:ascii="Times New Roman" w:hAnsi="Times New Roman" w:cs="Times New Roman"/>
          <w:sz w:val="24"/>
          <w:szCs w:val="24"/>
          <w:lang w:val="sr-Cyrl-RS"/>
        </w:rPr>
        <w:t xml:space="preserve"> значајним улагањима и напорима који су већ учињени од стране </w:t>
      </w:r>
      <w:r w:rsidR="007C346E" w:rsidRPr="003E5020">
        <w:rPr>
          <w:rFonts w:ascii="Times New Roman" w:hAnsi="Times New Roman" w:cs="Times New Roman"/>
          <w:sz w:val="24"/>
          <w:szCs w:val="24"/>
          <w:lang w:val="sr-Cyrl-RS"/>
        </w:rPr>
        <w:t>правосудних институција</w:t>
      </w:r>
      <w:r w:rsidR="007C013E" w:rsidRPr="003E5020">
        <w:rPr>
          <w:rFonts w:ascii="Times New Roman" w:hAnsi="Times New Roman" w:cs="Times New Roman"/>
          <w:sz w:val="24"/>
          <w:szCs w:val="24"/>
          <w:lang w:val="sr-Cyrl-RS"/>
        </w:rPr>
        <w:t xml:space="preserve"> и Министарства правде у том погледу</w:t>
      </w:r>
      <w:r w:rsidR="002F11A3" w:rsidRPr="003E5020">
        <w:rPr>
          <w:rFonts w:ascii="Times New Roman" w:hAnsi="Times New Roman" w:cs="Times New Roman"/>
          <w:sz w:val="24"/>
          <w:szCs w:val="24"/>
          <w:lang w:val="sr-Cyrl-RS"/>
        </w:rPr>
        <w:t xml:space="preserve">. Већина објеката је између 30 и 60 година старости. </w:t>
      </w:r>
      <w:r w:rsidR="00810401" w:rsidRPr="003E5020">
        <w:rPr>
          <w:rFonts w:ascii="Times New Roman" w:hAnsi="Times New Roman" w:cs="Times New Roman"/>
          <w:sz w:val="24"/>
          <w:szCs w:val="24"/>
          <w:lang w:val="sr-Cyrl-RS"/>
        </w:rPr>
        <w:t>Велики број објеката у којима се налазе правосудни органи су заштићени посебним прописима као културна добра, што у многоме отежава њихово одржавање и прилагођавање стварним потребама органа.</w:t>
      </w:r>
    </w:p>
    <w:p w14:paraId="32966210" w14:textId="4E3CDF32" w:rsidR="00810401" w:rsidRPr="003E5020" w:rsidRDefault="00810401" w:rsidP="000C16DE">
      <w:pPr>
        <w:ind w:left="851"/>
        <w:jc w:val="both"/>
        <w:rPr>
          <w:rFonts w:ascii="Times New Roman" w:hAnsi="Times New Roman" w:cs="Times New Roman"/>
          <w:sz w:val="24"/>
          <w:szCs w:val="24"/>
          <w:lang w:val="sr-Cyrl-RS"/>
        </w:rPr>
      </w:pPr>
    </w:p>
    <w:p w14:paraId="637EA1C4" w14:textId="0E861ABC" w:rsidR="004544A1" w:rsidRPr="003E5020" w:rsidRDefault="00810401" w:rsidP="000C16D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Додатан проблем представља одсуство систематизованих података о самој инфраструктури (подаци су делимично доступни)</w:t>
      </w:r>
      <w:r w:rsidR="009B5300" w:rsidRPr="003E5020">
        <w:rPr>
          <w:rFonts w:ascii="Times New Roman" w:hAnsi="Times New Roman" w:cs="Times New Roman"/>
          <w:sz w:val="24"/>
          <w:szCs w:val="24"/>
          <w:lang w:val="sr-Cyrl-RS"/>
        </w:rPr>
        <w:t xml:space="preserve">, па правосудном систему недостају подаци, као на пример подаци о броју објеката и њиховом правном статусу. </w:t>
      </w:r>
      <w:r w:rsidR="004544A1" w:rsidRPr="003E5020">
        <w:rPr>
          <w:rFonts w:ascii="Times New Roman" w:hAnsi="Times New Roman" w:cs="Times New Roman"/>
          <w:sz w:val="24"/>
          <w:szCs w:val="24"/>
          <w:lang w:val="sr-Cyrl-RS"/>
        </w:rPr>
        <w:t>Тако</w:t>
      </w:r>
      <w:r w:rsidR="00BC7D35" w:rsidRPr="003E5020">
        <w:rPr>
          <w:rFonts w:ascii="Times New Roman" w:hAnsi="Times New Roman" w:cs="Times New Roman"/>
          <w:sz w:val="24"/>
          <w:szCs w:val="24"/>
          <w:lang w:val="sr-Cyrl-RS"/>
        </w:rPr>
        <w:t>,</w:t>
      </w:r>
      <w:r w:rsidR="004544A1" w:rsidRPr="003E5020">
        <w:rPr>
          <w:rFonts w:ascii="Times New Roman" w:hAnsi="Times New Roman" w:cs="Times New Roman"/>
          <w:sz w:val="24"/>
          <w:szCs w:val="24"/>
          <w:lang w:val="sr-Cyrl-RS"/>
        </w:rPr>
        <w:t xml:space="preserve"> на пример</w:t>
      </w:r>
      <w:r w:rsidR="00BC7D35" w:rsidRPr="003E5020">
        <w:rPr>
          <w:rFonts w:ascii="Times New Roman" w:hAnsi="Times New Roman" w:cs="Times New Roman"/>
          <w:sz w:val="24"/>
          <w:szCs w:val="24"/>
          <w:lang w:val="sr-Cyrl-RS"/>
        </w:rPr>
        <w:t>,</w:t>
      </w:r>
      <w:r w:rsidR="004544A1" w:rsidRPr="003E5020">
        <w:rPr>
          <w:rFonts w:ascii="Times New Roman" w:hAnsi="Times New Roman" w:cs="Times New Roman"/>
          <w:sz w:val="24"/>
          <w:szCs w:val="24"/>
          <w:lang w:val="sr-Cyrl-RS"/>
        </w:rPr>
        <w:t xml:space="preserve"> према подацима садржаним у извештају Процена правосудне инфраструктуре Републике Србије</w:t>
      </w:r>
      <w:r w:rsidR="004544A1" w:rsidRPr="003E5020">
        <w:rPr>
          <w:rStyle w:val="FootnoteReference"/>
          <w:rFonts w:ascii="Times New Roman" w:hAnsi="Times New Roman" w:cs="Times New Roman"/>
          <w:sz w:val="24"/>
          <w:szCs w:val="24"/>
          <w:lang w:val="sr-Cyrl-RS"/>
        </w:rPr>
        <w:footnoteReference w:id="106"/>
      </w:r>
      <w:r w:rsidR="007630FA" w:rsidRPr="003E5020">
        <w:rPr>
          <w:rFonts w:ascii="Times New Roman" w:hAnsi="Times New Roman" w:cs="Times New Roman"/>
          <w:sz w:val="24"/>
          <w:szCs w:val="24"/>
          <w:lang w:val="sr-Cyrl-RS"/>
        </w:rPr>
        <w:t xml:space="preserve">, </w:t>
      </w:r>
      <w:r w:rsidR="00C41A8F" w:rsidRPr="003E5020">
        <w:rPr>
          <w:rFonts w:ascii="Times New Roman" w:hAnsi="Times New Roman" w:cs="Times New Roman"/>
          <w:sz w:val="24"/>
          <w:szCs w:val="24"/>
          <w:lang w:val="sr-Cyrl-RS"/>
        </w:rPr>
        <w:t xml:space="preserve">припремљеном за </w:t>
      </w:r>
      <w:r w:rsidR="007630FA" w:rsidRPr="003E5020">
        <w:rPr>
          <w:rFonts w:ascii="Times New Roman" w:hAnsi="Times New Roman" w:cs="Times New Roman"/>
          <w:sz w:val="24"/>
          <w:szCs w:val="24"/>
          <w:lang w:val="sr-Cyrl-RS"/>
        </w:rPr>
        <w:t>потребе Министарства правде, од укупно 101 прегледаног објекта, 32 објекта имају дефинисан правни статус односно имају одговарајући грађевинску и употребну дозволу. Код преосталих 69 објеката је уочен неки од недостатака који директно утичу на правни статус објекта (нпр. мањак неке од потребних дозвола за упис).</w:t>
      </w:r>
      <w:r w:rsidR="00291FB2" w:rsidRPr="003E5020">
        <w:rPr>
          <w:rFonts w:ascii="Times New Roman" w:hAnsi="Times New Roman" w:cs="Times New Roman"/>
          <w:sz w:val="24"/>
          <w:szCs w:val="24"/>
          <w:lang w:val="sr-Cyrl-RS"/>
        </w:rPr>
        <w:t xml:space="preserve"> </w:t>
      </w:r>
      <w:r w:rsidR="007C346E" w:rsidRPr="003E5020">
        <w:rPr>
          <w:rFonts w:ascii="Times New Roman" w:hAnsi="Times New Roman" w:cs="Times New Roman"/>
          <w:sz w:val="24"/>
          <w:szCs w:val="24"/>
          <w:lang w:val="sr-Cyrl-RS"/>
        </w:rPr>
        <w:t>У питању је вишедеценијски проблем кога је готово немогуће решити за кратко време, али су свакако присутни напори државе да се то питање адектавно реши.</w:t>
      </w:r>
    </w:p>
    <w:p w14:paraId="7C6EA443" w14:textId="77777777" w:rsidR="004544A1" w:rsidRPr="003E5020" w:rsidRDefault="004544A1" w:rsidP="000C16DE">
      <w:pPr>
        <w:ind w:left="851"/>
        <w:jc w:val="both"/>
        <w:rPr>
          <w:rFonts w:ascii="Times New Roman" w:hAnsi="Times New Roman" w:cs="Times New Roman"/>
          <w:sz w:val="24"/>
          <w:szCs w:val="24"/>
          <w:lang w:val="sr-Cyrl-RS"/>
        </w:rPr>
      </w:pPr>
    </w:p>
    <w:p w14:paraId="104B63C6" w14:textId="3F3B6600" w:rsidR="00810401" w:rsidRPr="003E5020" w:rsidRDefault="009B5300" w:rsidP="000C16D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Наведено је делимично и последица подељене надлежности у управљању</w:t>
      </w:r>
      <w:r w:rsidR="007864D9" w:rsidRPr="003E5020">
        <w:rPr>
          <w:rFonts w:ascii="Times New Roman" w:hAnsi="Times New Roman" w:cs="Times New Roman"/>
          <w:sz w:val="24"/>
          <w:szCs w:val="24"/>
          <w:lang w:val="sr-Cyrl-RS"/>
        </w:rPr>
        <w:t xml:space="preserve"> инфраструктуром</w:t>
      </w:r>
      <w:r w:rsidRPr="003E5020">
        <w:rPr>
          <w:rFonts w:ascii="Times New Roman" w:hAnsi="Times New Roman" w:cs="Times New Roman"/>
          <w:sz w:val="24"/>
          <w:szCs w:val="24"/>
          <w:lang w:val="sr-Cyrl-RS"/>
        </w:rPr>
        <w:t xml:space="preserve"> између Министарства правде, које је задужено за саме објекте</w:t>
      </w:r>
      <w:r w:rsidR="00BC7D35"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и Високог савета судства и Државног већа тужилаца, које је задужено за оперативне трошкове</w:t>
      </w:r>
      <w:r w:rsidR="007C346E" w:rsidRPr="003E5020">
        <w:rPr>
          <w:rFonts w:ascii="Times New Roman" w:hAnsi="Times New Roman" w:cs="Times New Roman"/>
          <w:sz w:val="24"/>
          <w:szCs w:val="24"/>
          <w:lang w:val="sr-Cyrl-RS"/>
        </w:rPr>
        <w:t>, што само по себи може да доведе до смањене ефикасности у решавању овог вишедеценијског проблема.</w:t>
      </w:r>
    </w:p>
    <w:p w14:paraId="44CF7553" w14:textId="77777777" w:rsidR="007910CB" w:rsidRPr="003E5020" w:rsidRDefault="007910CB" w:rsidP="000C16DE">
      <w:pPr>
        <w:ind w:left="851"/>
        <w:jc w:val="both"/>
        <w:rPr>
          <w:rFonts w:ascii="Times New Roman" w:hAnsi="Times New Roman" w:cs="Times New Roman"/>
          <w:sz w:val="24"/>
          <w:szCs w:val="24"/>
          <w:lang w:val="sr-Cyrl-RS"/>
        </w:rPr>
      </w:pPr>
    </w:p>
    <w:p w14:paraId="681E97E3" w14:textId="2CBCC36C" w:rsidR="00E46D40" w:rsidRPr="003E5020" w:rsidRDefault="006477F2" w:rsidP="00973CDD">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Недостатак инфраструктурних капацитет</w:t>
      </w:r>
      <w:r w:rsidR="00440847" w:rsidRPr="003E5020">
        <w:rPr>
          <w:rFonts w:ascii="Times New Roman" w:hAnsi="Times New Roman" w:cs="Times New Roman"/>
          <w:sz w:val="24"/>
          <w:szCs w:val="24"/>
          <w:lang w:val="sr-Cyrl-RS"/>
        </w:rPr>
        <w:t>а, као и потреба за њеним унапређењем,</w:t>
      </w:r>
      <w:r w:rsidRPr="003E5020">
        <w:rPr>
          <w:rFonts w:ascii="Times New Roman" w:hAnsi="Times New Roman" w:cs="Times New Roman"/>
          <w:sz w:val="24"/>
          <w:szCs w:val="24"/>
          <w:lang w:val="sr-Cyrl-RS"/>
        </w:rPr>
        <w:t xml:space="preserve"> је јасно констатован и у Стратегиј</w:t>
      </w:r>
      <w:r w:rsidR="00BA0276"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w:t>
      </w:r>
      <w:r w:rsidR="00546CC4" w:rsidRPr="003E5020">
        <w:rPr>
          <w:rFonts w:ascii="Times New Roman" w:hAnsi="Times New Roman" w:cs="Times New Roman"/>
          <w:sz w:val="24"/>
          <w:szCs w:val="24"/>
          <w:lang w:val="sr-Cyrl-RS"/>
        </w:rPr>
        <w:t xml:space="preserve">развоја </w:t>
      </w:r>
      <w:r w:rsidRPr="003E5020">
        <w:rPr>
          <w:rFonts w:ascii="Times New Roman" w:hAnsi="Times New Roman" w:cs="Times New Roman"/>
          <w:sz w:val="24"/>
          <w:szCs w:val="24"/>
          <w:lang w:val="sr-Cyrl-RS"/>
        </w:rPr>
        <w:t>правосуђа за период 20</w:t>
      </w:r>
      <w:r w:rsidR="00BA027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BA027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година. Тако наведени стратешки документ јасно указује на [</w:t>
      </w:r>
      <w:r w:rsidRPr="003E5020">
        <w:rPr>
          <w:rFonts w:ascii="Times New Roman" w:hAnsi="Times New Roman" w:cs="Times New Roman"/>
          <w:b/>
          <w:sz w:val="24"/>
          <w:szCs w:val="24"/>
          <w:lang w:val="sr-Cyrl-RS"/>
        </w:rPr>
        <w:t>цитат</w:t>
      </w:r>
      <w:r w:rsidRPr="003E5020">
        <w:rPr>
          <w:rFonts w:ascii="Times New Roman" w:hAnsi="Times New Roman" w:cs="Times New Roman"/>
          <w:sz w:val="24"/>
          <w:szCs w:val="24"/>
          <w:lang w:val="sr-Cyrl-RS"/>
        </w:rPr>
        <w:t>]</w:t>
      </w:r>
      <w:r w:rsidR="00317614" w:rsidRPr="003E5020">
        <w:rPr>
          <w:rFonts w:ascii="Times New Roman" w:hAnsi="Times New Roman" w:cs="Times New Roman"/>
          <w:sz w:val="24"/>
          <w:szCs w:val="24"/>
          <w:lang w:val="sr-Cyrl-RS"/>
        </w:rPr>
        <w:t>: „</w:t>
      </w:r>
      <w:r w:rsidRPr="003E5020">
        <w:rPr>
          <w:rFonts w:ascii="Times New Roman" w:hAnsi="Times New Roman" w:cs="Times New Roman"/>
          <w:i/>
          <w:sz w:val="24"/>
          <w:szCs w:val="24"/>
          <w:lang w:val="sr-Cyrl-RS"/>
        </w:rPr>
        <w:t xml:space="preserve">Изузетан напредак остварен је у области унапређења правосудне инфраструктуре, </w:t>
      </w:r>
      <w:r w:rsidRPr="003E5020">
        <w:rPr>
          <w:rFonts w:ascii="Times New Roman" w:hAnsi="Times New Roman" w:cs="Times New Roman"/>
          <w:i/>
          <w:sz w:val="24"/>
          <w:szCs w:val="24"/>
          <w:u w:val="single"/>
          <w:lang w:val="sr-Cyrl-RS"/>
        </w:rPr>
        <w:t>чије даље, континуирано унапређење представља неопходан предуслов за изградњу модерног и квалитетног правосуђа</w:t>
      </w:r>
      <w:r w:rsidR="00701BFF">
        <w:rPr>
          <w:rFonts w:ascii="Times New Roman" w:hAnsi="Times New Roman" w:cs="Times New Roman"/>
          <w:sz w:val="24"/>
          <w:szCs w:val="24"/>
          <w:lang w:val="sr-Cyrl-RS"/>
        </w:rPr>
        <w:t>ˮ</w:t>
      </w:r>
      <w:r w:rsidR="00317614" w:rsidRPr="003E5020">
        <w:rPr>
          <w:rStyle w:val="FootnoteReference"/>
          <w:rFonts w:ascii="Times New Roman" w:hAnsi="Times New Roman" w:cs="Times New Roman"/>
          <w:sz w:val="24"/>
          <w:szCs w:val="24"/>
          <w:lang w:val="sr-Cyrl-RS"/>
        </w:rPr>
        <w:footnoteReference w:id="107"/>
      </w:r>
      <w:r w:rsidR="00317614" w:rsidRPr="003E5020">
        <w:rPr>
          <w:rFonts w:ascii="Times New Roman" w:hAnsi="Times New Roman" w:cs="Times New Roman"/>
          <w:sz w:val="24"/>
          <w:szCs w:val="24"/>
          <w:lang w:val="sr-Cyrl-RS"/>
        </w:rPr>
        <w:t xml:space="preserve"> [</w:t>
      </w:r>
      <w:r w:rsidR="00317614" w:rsidRPr="003E5020">
        <w:rPr>
          <w:rFonts w:ascii="Times New Roman" w:hAnsi="Times New Roman" w:cs="Times New Roman"/>
          <w:b/>
          <w:sz w:val="24"/>
          <w:szCs w:val="24"/>
          <w:lang w:val="sr-Cyrl-RS"/>
        </w:rPr>
        <w:t>крај</w:t>
      </w:r>
      <w:r w:rsidR="00317614" w:rsidRPr="003E5020">
        <w:rPr>
          <w:rFonts w:ascii="Times New Roman" w:hAnsi="Times New Roman" w:cs="Times New Roman"/>
          <w:sz w:val="24"/>
          <w:szCs w:val="24"/>
          <w:lang w:val="sr-Cyrl-RS"/>
        </w:rPr>
        <w:t xml:space="preserve"> </w:t>
      </w:r>
      <w:r w:rsidR="00317614" w:rsidRPr="003E5020">
        <w:rPr>
          <w:rFonts w:ascii="Times New Roman" w:hAnsi="Times New Roman" w:cs="Times New Roman"/>
          <w:b/>
          <w:sz w:val="24"/>
          <w:szCs w:val="24"/>
          <w:lang w:val="sr-Cyrl-RS"/>
        </w:rPr>
        <w:t>цитата</w:t>
      </w:r>
      <w:r w:rsidR="00317614" w:rsidRPr="003E5020">
        <w:rPr>
          <w:rFonts w:ascii="Times New Roman" w:hAnsi="Times New Roman" w:cs="Times New Roman"/>
          <w:sz w:val="24"/>
          <w:szCs w:val="24"/>
          <w:lang w:val="sr-Cyrl-RS"/>
        </w:rPr>
        <w:t>]</w:t>
      </w:r>
      <w:r w:rsidR="00440847" w:rsidRPr="003E5020">
        <w:rPr>
          <w:rFonts w:ascii="Times New Roman" w:hAnsi="Times New Roman" w:cs="Times New Roman"/>
          <w:sz w:val="24"/>
          <w:szCs w:val="24"/>
          <w:lang w:val="sr-Cyrl-RS"/>
        </w:rPr>
        <w:t xml:space="preserve">. </w:t>
      </w:r>
      <w:r w:rsidR="00461ABB" w:rsidRPr="003E5020">
        <w:rPr>
          <w:rFonts w:ascii="Times New Roman" w:hAnsi="Times New Roman" w:cs="Times New Roman"/>
          <w:sz w:val="24"/>
          <w:szCs w:val="24"/>
          <w:lang w:val="sr-Cyrl-RS"/>
        </w:rPr>
        <w:t>Проблем се посебно помиње и у делу информационих технологиј</w:t>
      </w:r>
      <w:r w:rsidR="00B71458" w:rsidRPr="003E5020">
        <w:rPr>
          <w:rFonts w:ascii="Times New Roman" w:hAnsi="Times New Roman" w:cs="Times New Roman"/>
          <w:sz w:val="24"/>
          <w:szCs w:val="24"/>
          <w:lang w:val="sr-Cyrl-RS"/>
        </w:rPr>
        <w:t>а</w:t>
      </w:r>
      <w:r w:rsidR="00461ABB" w:rsidRPr="003E5020">
        <w:rPr>
          <w:rFonts w:ascii="Times New Roman" w:hAnsi="Times New Roman" w:cs="Times New Roman"/>
          <w:sz w:val="24"/>
          <w:szCs w:val="24"/>
          <w:lang w:val="sr-Cyrl-RS"/>
        </w:rPr>
        <w:t>, где се јасно констатује да [</w:t>
      </w:r>
      <w:r w:rsidR="00461ABB" w:rsidRPr="003E5020">
        <w:rPr>
          <w:rFonts w:ascii="Times New Roman" w:hAnsi="Times New Roman" w:cs="Times New Roman"/>
          <w:b/>
          <w:sz w:val="24"/>
          <w:szCs w:val="24"/>
          <w:lang w:val="sr-Cyrl-RS"/>
        </w:rPr>
        <w:t>цитат</w:t>
      </w:r>
      <w:r w:rsidR="00461ABB" w:rsidRPr="003E5020">
        <w:rPr>
          <w:rFonts w:ascii="Times New Roman" w:hAnsi="Times New Roman" w:cs="Times New Roman"/>
          <w:sz w:val="24"/>
          <w:szCs w:val="24"/>
          <w:lang w:val="sr-Cyrl-RS"/>
        </w:rPr>
        <w:t xml:space="preserve">]: </w:t>
      </w:r>
      <w:r w:rsidR="00461ABB" w:rsidRPr="003E5020">
        <w:rPr>
          <w:rFonts w:ascii="Times New Roman" w:hAnsi="Times New Roman" w:cs="Times New Roman"/>
          <w:i/>
          <w:sz w:val="24"/>
          <w:szCs w:val="24"/>
          <w:lang w:val="sr-Cyrl-RS"/>
        </w:rPr>
        <w:t xml:space="preserve">„… систем за аутоматско управљање предметима није имплементиран у свим јавним тужилаштвима, при чему ни </w:t>
      </w:r>
      <w:r w:rsidR="00461ABB" w:rsidRPr="003E5020">
        <w:rPr>
          <w:rFonts w:ascii="Times New Roman" w:hAnsi="Times New Roman" w:cs="Times New Roman"/>
          <w:i/>
          <w:sz w:val="24"/>
          <w:szCs w:val="24"/>
          <w:u w:val="single"/>
          <w:lang w:val="sr-Cyrl-RS"/>
        </w:rPr>
        <w:t>инфраструктура јавних тужилаштава није подобна за даљу имплементацију софтверског решења</w:t>
      </w:r>
      <w:r w:rsidR="00701BFF">
        <w:rPr>
          <w:rFonts w:ascii="Times New Roman" w:hAnsi="Times New Roman" w:cs="Times New Roman"/>
          <w:i/>
          <w:sz w:val="24"/>
          <w:szCs w:val="24"/>
          <w:lang w:val="sr-Cyrl-RS"/>
        </w:rPr>
        <w:t>ˮ</w:t>
      </w:r>
      <w:r w:rsidR="003626C0" w:rsidRPr="003E5020">
        <w:rPr>
          <w:rStyle w:val="FootnoteReference"/>
          <w:rFonts w:ascii="Times New Roman" w:hAnsi="Times New Roman" w:cs="Times New Roman"/>
          <w:i/>
          <w:sz w:val="24"/>
          <w:szCs w:val="24"/>
          <w:lang w:val="sr-Cyrl-RS"/>
        </w:rPr>
        <w:footnoteReference w:id="108"/>
      </w:r>
      <w:r w:rsidR="00461ABB" w:rsidRPr="003E5020">
        <w:rPr>
          <w:rFonts w:ascii="Times New Roman" w:hAnsi="Times New Roman" w:cs="Times New Roman"/>
          <w:sz w:val="24"/>
          <w:szCs w:val="24"/>
          <w:lang w:val="sr-Cyrl-RS"/>
        </w:rPr>
        <w:t xml:space="preserve"> [</w:t>
      </w:r>
      <w:r w:rsidR="00461ABB" w:rsidRPr="003E5020">
        <w:rPr>
          <w:rFonts w:ascii="Times New Roman" w:hAnsi="Times New Roman" w:cs="Times New Roman"/>
          <w:b/>
          <w:sz w:val="24"/>
          <w:szCs w:val="24"/>
          <w:lang w:val="sr-Cyrl-RS"/>
        </w:rPr>
        <w:t>крај</w:t>
      </w:r>
      <w:r w:rsidR="00461ABB" w:rsidRPr="003E5020">
        <w:rPr>
          <w:rFonts w:ascii="Times New Roman" w:hAnsi="Times New Roman" w:cs="Times New Roman"/>
          <w:sz w:val="24"/>
          <w:szCs w:val="24"/>
          <w:lang w:val="sr-Cyrl-RS"/>
        </w:rPr>
        <w:t xml:space="preserve"> </w:t>
      </w:r>
      <w:r w:rsidR="00461ABB" w:rsidRPr="003E5020">
        <w:rPr>
          <w:rFonts w:ascii="Times New Roman" w:hAnsi="Times New Roman" w:cs="Times New Roman"/>
          <w:b/>
          <w:sz w:val="24"/>
          <w:szCs w:val="24"/>
          <w:lang w:val="sr-Cyrl-RS"/>
        </w:rPr>
        <w:t>цитата</w:t>
      </w:r>
      <w:r w:rsidR="00461ABB" w:rsidRPr="003E5020">
        <w:rPr>
          <w:rFonts w:ascii="Times New Roman" w:hAnsi="Times New Roman" w:cs="Times New Roman"/>
          <w:sz w:val="24"/>
          <w:szCs w:val="24"/>
          <w:lang w:val="sr-Cyrl-RS"/>
        </w:rPr>
        <w:t>].</w:t>
      </w:r>
      <w:r w:rsidR="000C16DE" w:rsidRPr="003E5020">
        <w:rPr>
          <w:rFonts w:ascii="Times New Roman" w:hAnsi="Times New Roman" w:cs="Times New Roman"/>
          <w:sz w:val="24"/>
          <w:szCs w:val="24"/>
          <w:lang w:val="sr-Cyrl-RS"/>
        </w:rPr>
        <w:t xml:space="preserve"> Наведени стратешки документ јасно указује и на негативан утицај неадекватне инфраструктуре на процес обука и стручног усавршавања запослених у правосуђу, па се тако констатује да је [</w:t>
      </w:r>
      <w:r w:rsidR="000C16DE" w:rsidRPr="003E5020">
        <w:rPr>
          <w:rFonts w:ascii="Times New Roman" w:hAnsi="Times New Roman" w:cs="Times New Roman"/>
          <w:b/>
          <w:sz w:val="24"/>
          <w:szCs w:val="24"/>
          <w:lang w:val="sr-Cyrl-RS"/>
        </w:rPr>
        <w:t>цитат</w:t>
      </w:r>
      <w:r w:rsidR="000C16DE" w:rsidRPr="003E5020">
        <w:rPr>
          <w:rFonts w:ascii="Times New Roman" w:hAnsi="Times New Roman" w:cs="Times New Roman"/>
          <w:sz w:val="24"/>
          <w:szCs w:val="24"/>
          <w:lang w:val="sr-Cyrl-RS"/>
        </w:rPr>
        <w:t>]: „</w:t>
      </w:r>
      <w:r w:rsidR="000C16DE" w:rsidRPr="003E5020">
        <w:rPr>
          <w:rFonts w:ascii="Times New Roman" w:hAnsi="Times New Roman" w:cs="Times New Roman"/>
          <w:i/>
          <w:sz w:val="24"/>
          <w:szCs w:val="24"/>
          <w:lang w:val="sr-Cyrl-RS"/>
        </w:rPr>
        <w:t>Неопходно да унапређење програма обуке буде праћено одговарајућим инфраструктурним и административним капацитетима Правосудне академије, као и механизмима контроле квалитета обуке</w:t>
      </w:r>
      <w:r w:rsidR="00701BFF">
        <w:rPr>
          <w:rFonts w:ascii="Times New Roman" w:hAnsi="Times New Roman" w:cs="Times New Roman"/>
          <w:sz w:val="24"/>
          <w:szCs w:val="24"/>
          <w:lang w:val="sr-Cyrl-RS"/>
        </w:rPr>
        <w:t>ˮ</w:t>
      </w:r>
      <w:r w:rsidR="000C16DE" w:rsidRPr="003E5020">
        <w:rPr>
          <w:rStyle w:val="FootnoteReference"/>
          <w:rFonts w:ascii="Times New Roman" w:hAnsi="Times New Roman" w:cs="Times New Roman"/>
          <w:sz w:val="24"/>
          <w:szCs w:val="24"/>
          <w:lang w:val="sr-Cyrl-RS"/>
        </w:rPr>
        <w:footnoteReference w:id="109"/>
      </w:r>
      <w:r w:rsidR="000C16DE" w:rsidRPr="003E5020">
        <w:rPr>
          <w:rFonts w:ascii="Times New Roman" w:hAnsi="Times New Roman" w:cs="Times New Roman"/>
          <w:sz w:val="24"/>
          <w:szCs w:val="24"/>
          <w:lang w:val="sr-Cyrl-RS"/>
        </w:rPr>
        <w:t xml:space="preserve"> [</w:t>
      </w:r>
      <w:r w:rsidR="000C16DE" w:rsidRPr="003E5020">
        <w:rPr>
          <w:rFonts w:ascii="Times New Roman" w:hAnsi="Times New Roman" w:cs="Times New Roman"/>
          <w:b/>
          <w:sz w:val="24"/>
          <w:szCs w:val="24"/>
          <w:lang w:val="sr-Cyrl-RS"/>
        </w:rPr>
        <w:t>крај</w:t>
      </w:r>
      <w:r w:rsidR="000C16DE" w:rsidRPr="003E5020">
        <w:rPr>
          <w:rFonts w:ascii="Times New Roman" w:hAnsi="Times New Roman" w:cs="Times New Roman"/>
          <w:sz w:val="24"/>
          <w:szCs w:val="24"/>
          <w:lang w:val="sr-Cyrl-RS"/>
        </w:rPr>
        <w:t xml:space="preserve"> </w:t>
      </w:r>
      <w:r w:rsidR="000C16DE" w:rsidRPr="003E5020">
        <w:rPr>
          <w:rFonts w:ascii="Times New Roman" w:hAnsi="Times New Roman" w:cs="Times New Roman"/>
          <w:b/>
          <w:sz w:val="24"/>
          <w:szCs w:val="24"/>
          <w:lang w:val="sr-Cyrl-RS"/>
        </w:rPr>
        <w:t>цитата</w:t>
      </w:r>
      <w:r w:rsidR="000C16DE" w:rsidRPr="003E5020">
        <w:rPr>
          <w:rFonts w:ascii="Times New Roman" w:hAnsi="Times New Roman" w:cs="Times New Roman"/>
          <w:sz w:val="24"/>
          <w:szCs w:val="24"/>
          <w:lang w:val="sr-Cyrl-RS"/>
        </w:rPr>
        <w:t>].</w:t>
      </w:r>
      <w:r w:rsidR="009A3211" w:rsidRPr="003E5020">
        <w:rPr>
          <w:rFonts w:ascii="Times New Roman" w:hAnsi="Times New Roman" w:cs="Times New Roman"/>
          <w:sz w:val="24"/>
          <w:szCs w:val="24"/>
          <w:lang w:val="sr-Cyrl-RS"/>
        </w:rPr>
        <w:t xml:space="preserve"> Континуирано унапређење и модернизација правосудне инфраструктуре је предвиђено и као посебна мера у оквиру посебног циља 4 – Ефикасност правосуђа</w:t>
      </w:r>
      <w:r w:rsidR="00F36D52" w:rsidRPr="003E5020">
        <w:rPr>
          <w:rFonts w:ascii="Times New Roman" w:hAnsi="Times New Roman" w:cs="Times New Roman"/>
          <w:sz w:val="24"/>
          <w:szCs w:val="24"/>
          <w:lang w:val="sr-Cyrl-RS"/>
        </w:rPr>
        <w:t>.</w:t>
      </w:r>
      <w:r w:rsidR="00F36D52" w:rsidRPr="003E5020">
        <w:rPr>
          <w:rStyle w:val="FootnoteReference"/>
          <w:rFonts w:ascii="Times New Roman" w:hAnsi="Times New Roman" w:cs="Times New Roman"/>
          <w:sz w:val="24"/>
          <w:szCs w:val="24"/>
          <w:lang w:val="sr-Cyrl-RS"/>
        </w:rPr>
        <w:footnoteReference w:id="110"/>
      </w:r>
      <w:r w:rsidR="003029C7" w:rsidRPr="003E5020">
        <w:rPr>
          <w:rFonts w:ascii="Times New Roman" w:hAnsi="Times New Roman" w:cs="Times New Roman"/>
          <w:sz w:val="24"/>
          <w:szCs w:val="24"/>
          <w:lang w:val="sr-Cyrl-RS"/>
        </w:rPr>
        <w:t xml:space="preserve"> Слична мера је предвиђена и у оквиру посебног циља 6 – еПравосуђе, где се наводи потреба за  унапређењем ИКТ система кроз значајна инфраструктурна улагања, софтверско и унапређење људских ресурса</w:t>
      </w:r>
      <w:r w:rsidR="003029C7" w:rsidRPr="003E5020">
        <w:rPr>
          <w:rStyle w:val="FootnoteReference"/>
          <w:rFonts w:ascii="Times New Roman" w:hAnsi="Times New Roman" w:cs="Times New Roman"/>
          <w:sz w:val="24"/>
          <w:szCs w:val="24"/>
          <w:lang w:val="sr-Cyrl-RS"/>
        </w:rPr>
        <w:footnoteReference w:id="111"/>
      </w:r>
      <w:r w:rsidR="003029C7" w:rsidRPr="003E5020">
        <w:rPr>
          <w:rFonts w:ascii="Times New Roman" w:hAnsi="Times New Roman" w:cs="Times New Roman"/>
          <w:sz w:val="24"/>
          <w:szCs w:val="24"/>
          <w:lang w:val="sr-Cyrl-RS"/>
        </w:rPr>
        <w:t>.</w:t>
      </w:r>
    </w:p>
    <w:p w14:paraId="2C914369" w14:textId="77777777" w:rsidR="007635E1" w:rsidRPr="003E5020" w:rsidRDefault="007635E1" w:rsidP="000C16DE">
      <w:pPr>
        <w:ind w:left="851"/>
        <w:jc w:val="both"/>
        <w:rPr>
          <w:rFonts w:ascii="Times New Roman" w:hAnsi="Times New Roman" w:cs="Times New Roman"/>
          <w:sz w:val="24"/>
          <w:szCs w:val="24"/>
          <w:lang w:val="sr-Cyrl-RS"/>
        </w:rPr>
      </w:pPr>
    </w:p>
    <w:p w14:paraId="4D796E27" w14:textId="3CB1AB0B" w:rsidR="007B77F8" w:rsidRPr="003E5020" w:rsidRDefault="00973CDD" w:rsidP="00EC2CE1">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Иако не постоји детаљна анализа мерљивости утицаја недостатка правосудне инфраструктуре на негативан однос запослених у правосуђу, сасвим је извесно да горе описани проблеми у битном негативно утичу на перформансе правосудног кадра и тиме на неодговарајуће пружање услуга грађанима. </w:t>
      </w:r>
      <w:r w:rsidR="007635E1" w:rsidRPr="003E5020">
        <w:rPr>
          <w:rFonts w:ascii="Times New Roman" w:hAnsi="Times New Roman" w:cs="Times New Roman"/>
          <w:sz w:val="24"/>
          <w:szCs w:val="24"/>
          <w:lang w:val="sr-Cyrl-RS"/>
        </w:rPr>
        <w:t xml:space="preserve"> Зато је неопходно да се</w:t>
      </w:r>
      <w:r w:rsidR="006B4D48" w:rsidRPr="003E5020">
        <w:rPr>
          <w:rFonts w:ascii="Times New Roman" w:hAnsi="Times New Roman" w:cs="Times New Roman"/>
          <w:sz w:val="24"/>
          <w:szCs w:val="24"/>
          <w:lang w:val="sr-Cyrl-RS"/>
        </w:rPr>
        <w:t>, и поред очигл</w:t>
      </w:r>
      <w:r w:rsidR="00F156EB" w:rsidRPr="003E5020">
        <w:rPr>
          <w:rFonts w:ascii="Times New Roman" w:hAnsi="Times New Roman" w:cs="Times New Roman"/>
          <w:sz w:val="24"/>
          <w:szCs w:val="24"/>
          <w:lang w:val="sr-Cyrl-RS"/>
        </w:rPr>
        <w:t>е</w:t>
      </w:r>
      <w:r w:rsidR="006B4D48" w:rsidRPr="003E5020">
        <w:rPr>
          <w:rFonts w:ascii="Times New Roman" w:hAnsi="Times New Roman" w:cs="Times New Roman"/>
          <w:sz w:val="24"/>
          <w:szCs w:val="24"/>
          <w:lang w:val="sr-Cyrl-RS"/>
        </w:rPr>
        <w:t xml:space="preserve">дних позитивних корака у том правцу, </w:t>
      </w:r>
      <w:r w:rsidR="007635E1" w:rsidRPr="003E5020">
        <w:rPr>
          <w:rFonts w:ascii="Times New Roman" w:hAnsi="Times New Roman" w:cs="Times New Roman"/>
          <w:sz w:val="24"/>
          <w:szCs w:val="24"/>
          <w:lang w:val="sr-Cyrl-RS"/>
        </w:rPr>
        <w:t>предузму</w:t>
      </w:r>
      <w:r w:rsidR="006B4D48" w:rsidRPr="003E5020">
        <w:rPr>
          <w:rFonts w:ascii="Times New Roman" w:hAnsi="Times New Roman" w:cs="Times New Roman"/>
          <w:sz w:val="24"/>
          <w:szCs w:val="24"/>
          <w:lang w:val="sr-Cyrl-RS"/>
        </w:rPr>
        <w:t xml:space="preserve"> даље</w:t>
      </w:r>
      <w:r w:rsidR="007635E1" w:rsidRPr="003E5020">
        <w:rPr>
          <w:rFonts w:ascii="Times New Roman" w:hAnsi="Times New Roman" w:cs="Times New Roman"/>
          <w:sz w:val="24"/>
          <w:szCs w:val="24"/>
          <w:lang w:val="sr-Cyrl-RS"/>
        </w:rPr>
        <w:t xml:space="preserve"> мере које ће водити најпре ка попису целокупне инфраструктуре, стања у коме се сваки појединачни објекат налази, као и коначном утврђивању правног статуса.  </w:t>
      </w:r>
    </w:p>
    <w:p w14:paraId="43724AAB" w14:textId="77777777" w:rsidR="007B77F8" w:rsidRPr="003E5020" w:rsidRDefault="007B77F8" w:rsidP="00EC2CE1">
      <w:pPr>
        <w:ind w:left="851"/>
        <w:jc w:val="both"/>
        <w:rPr>
          <w:rFonts w:ascii="Times New Roman" w:hAnsi="Times New Roman" w:cs="Times New Roman"/>
          <w:sz w:val="24"/>
          <w:szCs w:val="24"/>
          <w:lang w:val="sr-Cyrl-RS"/>
        </w:rPr>
      </w:pPr>
    </w:p>
    <w:p w14:paraId="40236BD0" w14:textId="433416A9" w:rsidR="007B77F8" w:rsidRPr="003E5020" w:rsidRDefault="007B77F8" w:rsidP="007B77F8">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Када је реч о примени информационо комуникационих технологија (ИКТ) у оквиру правосудног система, </w:t>
      </w:r>
      <w:r w:rsidR="006B4D48" w:rsidRPr="003E5020">
        <w:rPr>
          <w:rFonts w:ascii="Times New Roman" w:hAnsi="Times New Roman" w:cs="Times New Roman"/>
          <w:sz w:val="24"/>
          <w:szCs w:val="24"/>
          <w:lang w:val="sr-Cyrl-RS"/>
        </w:rPr>
        <w:t>ситуација је слична као и у случају инфраструктуре</w:t>
      </w:r>
      <w:r w:rsidRPr="003E5020">
        <w:rPr>
          <w:rFonts w:ascii="Times New Roman" w:hAnsi="Times New Roman" w:cs="Times New Roman"/>
          <w:sz w:val="24"/>
          <w:szCs w:val="24"/>
          <w:lang w:val="sr-Cyrl-RS"/>
        </w:rPr>
        <w:t xml:space="preserve">. </w:t>
      </w:r>
      <w:r w:rsidR="006B4D48" w:rsidRPr="003E5020">
        <w:rPr>
          <w:rFonts w:ascii="Times New Roman" w:hAnsi="Times New Roman" w:cs="Times New Roman"/>
          <w:sz w:val="24"/>
          <w:szCs w:val="24"/>
          <w:lang w:val="sr-Cyrl-RS"/>
        </w:rPr>
        <w:t xml:space="preserve">Досадашња улагању су значајна, али ипак недовољна да се овај вишедеценијски проблем реши. </w:t>
      </w:r>
      <w:r w:rsidRPr="003E5020">
        <w:rPr>
          <w:rFonts w:ascii="Times New Roman" w:hAnsi="Times New Roman" w:cs="Times New Roman"/>
          <w:sz w:val="24"/>
          <w:szCs w:val="24"/>
          <w:lang w:val="sr-Cyrl-RS"/>
        </w:rPr>
        <w:t>Наиме у складу са Извештајем о употреби информационих технологија у европским судовима израђено</w:t>
      </w:r>
      <w:r w:rsidR="00F156EB" w:rsidRPr="003E5020">
        <w:rPr>
          <w:rFonts w:ascii="Times New Roman" w:hAnsi="Times New Roman" w:cs="Times New Roman"/>
          <w:sz w:val="24"/>
          <w:szCs w:val="24"/>
          <w:lang w:val="sr-Cyrl-RS"/>
        </w:rPr>
        <w:t>м</w:t>
      </w:r>
      <w:r w:rsidRPr="003E5020">
        <w:rPr>
          <w:rFonts w:ascii="Times New Roman" w:hAnsi="Times New Roman" w:cs="Times New Roman"/>
          <w:sz w:val="24"/>
          <w:szCs w:val="24"/>
          <w:lang w:val="sr-Cyrl-RS"/>
        </w:rPr>
        <w:t xml:space="preserve"> од стране Савета Европе</w:t>
      </w:r>
      <w:r w:rsidRPr="003E5020">
        <w:rPr>
          <w:rStyle w:val="FootnoteReference"/>
          <w:rFonts w:ascii="Times New Roman" w:hAnsi="Times New Roman" w:cs="Times New Roman"/>
          <w:sz w:val="24"/>
          <w:szCs w:val="24"/>
          <w:lang w:val="sr-Cyrl-RS"/>
        </w:rPr>
        <w:footnoteReference w:id="112"/>
      </w:r>
      <w:r w:rsidRPr="003E5020">
        <w:rPr>
          <w:rFonts w:ascii="Times New Roman" w:hAnsi="Times New Roman" w:cs="Times New Roman"/>
          <w:sz w:val="24"/>
          <w:szCs w:val="24"/>
          <w:lang w:val="sr-Cyrl-RS"/>
        </w:rPr>
        <w:t xml:space="preserve"> који је предметну тему анализ</w:t>
      </w:r>
      <w:r w:rsidR="00F156EB"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рао са аспекта ИКТ управљања, ИКТ опреме и инфраструктуре и правног оквира у развоју ИКТ-а, Реп</w:t>
      </w:r>
      <w:r w:rsidR="00F156EB" w:rsidRPr="003E5020">
        <w:rPr>
          <w:rFonts w:ascii="Times New Roman" w:hAnsi="Times New Roman" w:cs="Times New Roman"/>
          <w:sz w:val="24"/>
          <w:szCs w:val="24"/>
          <w:lang w:val="sr-Cyrl-RS"/>
        </w:rPr>
        <w:t>у</w:t>
      </w:r>
      <w:r w:rsidRPr="003E5020">
        <w:rPr>
          <w:rFonts w:ascii="Times New Roman" w:hAnsi="Times New Roman" w:cs="Times New Roman"/>
          <w:sz w:val="24"/>
          <w:szCs w:val="24"/>
          <w:lang w:val="sr-Cyrl-RS"/>
        </w:rPr>
        <w:t>блика Србија је оцењена, на скали од 3 (три) до 9 (девет), средњом оценом 4 (четири), од чега је за управљање ИКТ Република Србија оцењена оценом 2 (два).</w:t>
      </w:r>
      <w:r w:rsidRPr="003E5020">
        <w:rPr>
          <w:rStyle w:val="FootnoteReference"/>
          <w:rFonts w:ascii="Times New Roman" w:hAnsi="Times New Roman" w:cs="Times New Roman"/>
          <w:sz w:val="24"/>
          <w:szCs w:val="24"/>
          <w:lang w:val="sr-Cyrl-RS"/>
        </w:rPr>
        <w:footnoteReference w:id="113"/>
      </w:r>
    </w:p>
    <w:p w14:paraId="29EBD9EA" w14:textId="77777777" w:rsidR="007B77F8" w:rsidRPr="003E5020" w:rsidRDefault="007B77F8" w:rsidP="007B77F8">
      <w:pPr>
        <w:jc w:val="both"/>
        <w:rPr>
          <w:rFonts w:ascii="Times New Roman" w:hAnsi="Times New Roman" w:cs="Times New Roman"/>
          <w:sz w:val="24"/>
          <w:szCs w:val="24"/>
          <w:lang w:val="sr-Cyrl-RS"/>
        </w:rPr>
      </w:pPr>
    </w:p>
    <w:p w14:paraId="5B99F0AE" w14:textId="305F7905" w:rsidR="007B77F8" w:rsidRPr="003E5020" w:rsidRDefault="00A453A9" w:rsidP="00A453A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Ипак, према постојећим релевантним подацима</w:t>
      </w:r>
      <w:r w:rsidRPr="003E5020">
        <w:rPr>
          <w:rStyle w:val="FootnoteReference"/>
          <w:rFonts w:ascii="Times New Roman" w:hAnsi="Times New Roman" w:cs="Times New Roman"/>
          <w:sz w:val="24"/>
          <w:szCs w:val="24"/>
          <w:lang w:val="sr-Cyrl-RS"/>
        </w:rPr>
        <w:footnoteReference w:id="114"/>
      </w:r>
      <w:r w:rsidRPr="003E5020">
        <w:rPr>
          <w:rFonts w:ascii="Times New Roman" w:hAnsi="Times New Roman" w:cs="Times New Roman"/>
          <w:sz w:val="24"/>
          <w:szCs w:val="24"/>
          <w:lang w:val="sr-Cyrl-RS"/>
        </w:rPr>
        <w:t>, з</w:t>
      </w:r>
      <w:r w:rsidR="006B4D48" w:rsidRPr="003E5020">
        <w:rPr>
          <w:rFonts w:ascii="Times New Roman" w:hAnsi="Times New Roman" w:cs="Times New Roman"/>
          <w:sz w:val="24"/>
          <w:szCs w:val="24"/>
          <w:lang w:val="sr-Cyrl-RS"/>
        </w:rPr>
        <w:t>начајни напори су уложени у унапређење питања ИКТ</w:t>
      </w:r>
      <w:r w:rsidRPr="003E5020">
        <w:rPr>
          <w:rFonts w:ascii="Times New Roman" w:hAnsi="Times New Roman" w:cs="Times New Roman"/>
          <w:sz w:val="24"/>
          <w:szCs w:val="24"/>
          <w:lang w:val="sr-Cyrl-RS"/>
        </w:rPr>
        <w:t>. У прилог наведеном говоре функционалност и значајност платформи као што су е–Аукција, која служи за продају имовине у извршним поступцима, е–Табла која увећава одговорност, транспаретност и ефикасност у правосуђу и пружа грађанима брзи и модерни преглед огласних табли на једном месту, као и успостављање  пилот инфраструктурне  платформе  за интероперабилност  (енг. e-filing) у три суда и регулаторне структуре која ће омогућити електронско завођење предмета у свим врстама поступка. У</w:t>
      </w:r>
      <w:r w:rsidR="007B77F8" w:rsidRPr="003E5020">
        <w:rPr>
          <w:rFonts w:ascii="Times New Roman" w:hAnsi="Times New Roman" w:cs="Times New Roman"/>
          <w:sz w:val="24"/>
          <w:szCs w:val="24"/>
          <w:lang w:val="sr-Cyrl-RS"/>
        </w:rPr>
        <w:t xml:space="preserve"> току 2014. године оформљено је </w:t>
      </w:r>
      <w:r w:rsidRPr="003E5020">
        <w:rPr>
          <w:rFonts w:ascii="Times New Roman" w:hAnsi="Times New Roman" w:cs="Times New Roman"/>
          <w:sz w:val="24"/>
          <w:szCs w:val="24"/>
          <w:lang w:val="sr-Cyrl-RS"/>
        </w:rPr>
        <w:t xml:space="preserve">и </w:t>
      </w:r>
      <w:r w:rsidR="007B77F8" w:rsidRPr="003E5020">
        <w:rPr>
          <w:rFonts w:ascii="Times New Roman" w:hAnsi="Times New Roman" w:cs="Times New Roman"/>
          <w:sz w:val="24"/>
          <w:szCs w:val="24"/>
          <w:lang w:val="sr-Cyrl-RS"/>
        </w:rPr>
        <w:t xml:space="preserve">одељење е–Правде </w:t>
      </w:r>
      <w:r w:rsidR="00456B44" w:rsidRPr="003E5020">
        <w:rPr>
          <w:rFonts w:ascii="Times New Roman" w:hAnsi="Times New Roman" w:cs="Times New Roman"/>
          <w:sz w:val="24"/>
          <w:szCs w:val="24"/>
          <w:lang w:val="sr-Cyrl-RS"/>
        </w:rPr>
        <w:t xml:space="preserve">у оквиру </w:t>
      </w:r>
      <w:r w:rsidR="007B77F8" w:rsidRPr="003E5020">
        <w:rPr>
          <w:rFonts w:ascii="Times New Roman" w:hAnsi="Times New Roman" w:cs="Times New Roman"/>
          <w:sz w:val="24"/>
          <w:szCs w:val="24"/>
          <w:lang w:val="sr-Cyrl-RS"/>
        </w:rPr>
        <w:t xml:space="preserve">Министарства </w:t>
      </w:r>
      <w:r w:rsidR="00456B44" w:rsidRPr="003E5020">
        <w:rPr>
          <w:rFonts w:ascii="Times New Roman" w:hAnsi="Times New Roman" w:cs="Times New Roman"/>
          <w:sz w:val="24"/>
          <w:szCs w:val="24"/>
          <w:lang w:val="sr-Cyrl-RS"/>
        </w:rPr>
        <w:t>п</w:t>
      </w:r>
      <w:r w:rsidR="007B77F8" w:rsidRPr="003E5020">
        <w:rPr>
          <w:rFonts w:ascii="Times New Roman" w:hAnsi="Times New Roman" w:cs="Times New Roman"/>
          <w:sz w:val="24"/>
          <w:szCs w:val="24"/>
          <w:lang w:val="sr-Cyrl-RS"/>
        </w:rPr>
        <w:t>р</w:t>
      </w:r>
      <w:r w:rsidR="007B77F8" w:rsidRPr="003E5020">
        <w:rPr>
          <w:rFonts w:ascii="Times New Roman" w:hAnsi="Times New Roman" w:cs="Times New Roman"/>
          <w:sz w:val="24"/>
          <w:szCs w:val="24"/>
        </w:rPr>
        <w:t>a</w:t>
      </w:r>
      <w:r w:rsidR="007B77F8" w:rsidRPr="003E5020">
        <w:rPr>
          <w:rFonts w:ascii="Times New Roman" w:hAnsi="Times New Roman" w:cs="Times New Roman"/>
          <w:sz w:val="24"/>
          <w:szCs w:val="24"/>
          <w:lang w:val="sr-Cyrl-RS"/>
        </w:rPr>
        <w:t>вде</w:t>
      </w:r>
      <w:r w:rsidR="006B4D48" w:rsidRPr="003E5020">
        <w:rPr>
          <w:rFonts w:ascii="Times New Roman" w:hAnsi="Times New Roman" w:cs="Times New Roman"/>
          <w:sz w:val="24"/>
          <w:szCs w:val="24"/>
          <w:lang w:val="sr-Cyrl-RS"/>
        </w:rPr>
        <w:t>, што је свакако велики корак у позитивном правцу</w:t>
      </w:r>
      <w:r w:rsidR="002106A3" w:rsidRPr="003E5020">
        <w:rPr>
          <w:rFonts w:ascii="Times New Roman" w:hAnsi="Times New Roman" w:cs="Times New Roman"/>
          <w:sz w:val="24"/>
          <w:szCs w:val="24"/>
          <w:lang w:val="sr-Cyrl-RS"/>
        </w:rPr>
        <w:t>,</w:t>
      </w:r>
      <w:r w:rsidR="006B4D48" w:rsidRPr="003E5020">
        <w:rPr>
          <w:rFonts w:ascii="Times New Roman" w:hAnsi="Times New Roman" w:cs="Times New Roman"/>
          <w:sz w:val="24"/>
          <w:szCs w:val="24"/>
          <w:lang w:val="sr-Cyrl-RS"/>
        </w:rPr>
        <w:t xml:space="preserve"> као и наставак напора Министарства правде да предметно одељење снабде одговарајућим</w:t>
      </w:r>
      <w:r w:rsidR="007B77F8" w:rsidRPr="003E5020">
        <w:rPr>
          <w:rFonts w:ascii="Times New Roman" w:hAnsi="Times New Roman" w:cs="Times New Roman"/>
          <w:sz w:val="24"/>
          <w:szCs w:val="24"/>
          <w:lang w:val="sr-Cyrl-RS"/>
        </w:rPr>
        <w:t xml:space="preserve"> стручн</w:t>
      </w:r>
      <w:r w:rsidR="006B4D48" w:rsidRPr="003E5020">
        <w:rPr>
          <w:rFonts w:ascii="Times New Roman" w:hAnsi="Times New Roman" w:cs="Times New Roman"/>
          <w:sz w:val="24"/>
          <w:szCs w:val="24"/>
          <w:lang w:val="sr-Cyrl-RS"/>
        </w:rPr>
        <w:t>им</w:t>
      </w:r>
      <w:r w:rsidR="007B77F8" w:rsidRPr="003E5020">
        <w:rPr>
          <w:rFonts w:ascii="Times New Roman" w:hAnsi="Times New Roman" w:cs="Times New Roman"/>
          <w:sz w:val="24"/>
          <w:szCs w:val="24"/>
          <w:lang w:val="sr-Cyrl-RS"/>
        </w:rPr>
        <w:t xml:space="preserve"> особљ</w:t>
      </w:r>
      <w:r w:rsidR="006B4D48" w:rsidRPr="003E5020">
        <w:rPr>
          <w:rFonts w:ascii="Times New Roman" w:hAnsi="Times New Roman" w:cs="Times New Roman"/>
          <w:sz w:val="24"/>
          <w:szCs w:val="24"/>
          <w:lang w:val="sr-Cyrl-RS"/>
        </w:rPr>
        <w:t>ем</w:t>
      </w:r>
      <w:r w:rsidR="002106A3" w:rsidRPr="003E5020">
        <w:rPr>
          <w:rFonts w:ascii="Times New Roman" w:hAnsi="Times New Roman" w:cs="Times New Roman"/>
          <w:sz w:val="24"/>
          <w:szCs w:val="24"/>
          <w:lang w:val="sr-Cyrl-RS"/>
        </w:rPr>
        <w:t>,</w:t>
      </w:r>
      <w:r w:rsidR="007B77F8" w:rsidRPr="003E5020">
        <w:rPr>
          <w:rFonts w:ascii="Times New Roman" w:hAnsi="Times New Roman" w:cs="Times New Roman"/>
          <w:sz w:val="24"/>
          <w:szCs w:val="24"/>
          <w:lang w:val="sr-Cyrl-RS"/>
        </w:rPr>
        <w:t xml:space="preserve"> које познаје судске поступке и програмирњ</w:t>
      </w:r>
      <w:r w:rsidR="00945270" w:rsidRPr="003E5020">
        <w:rPr>
          <w:rFonts w:ascii="Times New Roman" w:hAnsi="Times New Roman" w:cs="Times New Roman"/>
          <w:sz w:val="24"/>
          <w:szCs w:val="24"/>
          <w:lang w:val="sr-Cyrl-RS"/>
        </w:rPr>
        <w:t xml:space="preserve">е, чиме би  се у значајној мери смањила зависност од спољних добављача ИКТ услуга. Наставно на претходно наведено, уочена је и даље потреба за спровођењем адектватних обука у области ИКТ </w:t>
      </w:r>
      <w:r w:rsidR="007B77F8" w:rsidRPr="003E5020">
        <w:rPr>
          <w:rFonts w:ascii="Times New Roman" w:hAnsi="Times New Roman" w:cs="Times New Roman"/>
          <w:sz w:val="24"/>
          <w:szCs w:val="24"/>
          <w:lang w:val="sr-Cyrl-RS"/>
        </w:rPr>
        <w:t>(нпр. обуке за стандард ИСО 27000)</w:t>
      </w:r>
      <w:r w:rsidR="00945270" w:rsidRPr="003E5020">
        <w:rPr>
          <w:rFonts w:ascii="Times New Roman" w:hAnsi="Times New Roman" w:cs="Times New Roman"/>
          <w:sz w:val="24"/>
          <w:szCs w:val="24"/>
          <w:lang w:val="sr-Cyrl-RS"/>
        </w:rPr>
        <w:t>.</w:t>
      </w:r>
    </w:p>
    <w:p w14:paraId="3BB3219F" w14:textId="77777777" w:rsidR="007B77F8" w:rsidRPr="003E5020" w:rsidRDefault="007B77F8" w:rsidP="007B77F8">
      <w:pPr>
        <w:ind w:left="851"/>
        <w:jc w:val="both"/>
        <w:rPr>
          <w:rFonts w:ascii="Times New Roman" w:hAnsi="Times New Roman" w:cs="Times New Roman"/>
          <w:sz w:val="24"/>
          <w:szCs w:val="24"/>
          <w:lang w:val="sr-Cyrl-RS"/>
        </w:rPr>
      </w:pPr>
    </w:p>
    <w:p w14:paraId="365D676B" w14:textId="151B2BE1" w:rsidR="00C21461" w:rsidRPr="003E5020" w:rsidRDefault="00945270" w:rsidP="00C21461">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Када је реч о техничкој опрем</w:t>
      </w:r>
      <w:r w:rsidR="00A453A9" w:rsidRPr="003E5020">
        <w:rPr>
          <w:rFonts w:ascii="Times New Roman" w:hAnsi="Times New Roman" w:cs="Times New Roman"/>
          <w:sz w:val="24"/>
          <w:szCs w:val="24"/>
          <w:lang w:val="sr-Cyrl-RS"/>
        </w:rPr>
        <w:t>љености</w:t>
      </w:r>
      <w:r w:rsidRPr="003E5020">
        <w:rPr>
          <w:rFonts w:ascii="Times New Roman" w:hAnsi="Times New Roman" w:cs="Times New Roman"/>
          <w:sz w:val="24"/>
          <w:szCs w:val="24"/>
          <w:lang w:val="sr-Cyrl-RS"/>
        </w:rPr>
        <w:t>,</w:t>
      </w:r>
      <w:r w:rsidR="00C21461" w:rsidRPr="003E5020">
        <w:rPr>
          <w:rFonts w:ascii="Times New Roman" w:hAnsi="Times New Roman" w:cs="Times New Roman"/>
          <w:sz w:val="24"/>
          <w:szCs w:val="24"/>
          <w:lang w:val="sr-Cyrl-RS"/>
        </w:rPr>
        <w:t xml:space="preserve"> у великом броју судова се и даље користе рачунари старији од 10 година са заосталим рачунарским софтверима. Такви рачунари не могу подржати модерне софтверске алате и апликације.</w:t>
      </w:r>
      <w:r w:rsidR="00C21461" w:rsidRPr="003E5020">
        <w:rPr>
          <w:rStyle w:val="FootnoteReference"/>
          <w:rFonts w:ascii="Times New Roman" w:hAnsi="Times New Roman" w:cs="Times New Roman"/>
          <w:sz w:val="24"/>
          <w:szCs w:val="24"/>
          <w:lang w:val="sr-Cyrl-RS"/>
        </w:rPr>
        <w:footnoteReference w:id="115"/>
      </w:r>
      <w:r w:rsidR="00C21461" w:rsidRPr="003E5020">
        <w:rPr>
          <w:rFonts w:ascii="Times New Roman" w:hAnsi="Times New Roman" w:cs="Times New Roman"/>
          <w:sz w:val="24"/>
          <w:szCs w:val="24"/>
          <w:lang w:val="sr-Cyrl-RS"/>
        </w:rPr>
        <w:t xml:space="preserve"> Имајући наведено у виду, тренутна процена доводи до закључка да је потребно заменити више од 8000 рачунара који се користе у правосудном систему.</w:t>
      </w:r>
      <w:r w:rsidR="00C21461" w:rsidRPr="003E5020">
        <w:rPr>
          <w:rStyle w:val="FootnoteReference"/>
          <w:rFonts w:ascii="Times New Roman" w:hAnsi="Times New Roman" w:cs="Times New Roman"/>
          <w:sz w:val="24"/>
          <w:szCs w:val="24"/>
          <w:lang w:val="sr-Cyrl-RS"/>
        </w:rPr>
        <w:footnoteReference w:id="116"/>
      </w:r>
      <w:r w:rsidR="00C21461" w:rsidRPr="003E5020">
        <w:rPr>
          <w:rFonts w:ascii="Times New Roman" w:hAnsi="Times New Roman" w:cs="Times New Roman"/>
          <w:sz w:val="24"/>
          <w:szCs w:val="24"/>
          <w:lang w:val="sr-Cyrl-RS"/>
        </w:rPr>
        <w:t xml:space="preserve"> </w:t>
      </w:r>
    </w:p>
    <w:p w14:paraId="1D5D38D3" w14:textId="77777777" w:rsidR="007B77F8" w:rsidRPr="003E5020" w:rsidRDefault="007B77F8" w:rsidP="00C21461">
      <w:pPr>
        <w:jc w:val="both"/>
        <w:rPr>
          <w:rFonts w:ascii="Times New Roman" w:hAnsi="Times New Roman" w:cs="Times New Roman"/>
          <w:sz w:val="24"/>
          <w:szCs w:val="24"/>
          <w:lang w:val="sr-Cyrl-RS"/>
        </w:rPr>
      </w:pPr>
    </w:p>
    <w:p w14:paraId="2EFC67A6" w14:textId="6216D698" w:rsidR="007B77F8" w:rsidRPr="003E5020" w:rsidRDefault="00945270" w:rsidP="0077516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Потребно је даље усмерити већ евидентне напоре на омогућавању даљег развоја</w:t>
      </w:r>
      <w:r w:rsidR="007B77F8" w:rsidRPr="003E5020">
        <w:rPr>
          <w:rFonts w:ascii="Times New Roman" w:hAnsi="Times New Roman" w:cs="Times New Roman"/>
          <w:sz w:val="24"/>
          <w:szCs w:val="24"/>
          <w:lang w:val="sr-Cyrl-RS"/>
        </w:rPr>
        <w:t xml:space="preserve"> аутоматизован</w:t>
      </w:r>
      <w:r w:rsidRPr="003E5020">
        <w:rPr>
          <w:rFonts w:ascii="Times New Roman" w:hAnsi="Times New Roman" w:cs="Times New Roman"/>
          <w:sz w:val="24"/>
          <w:szCs w:val="24"/>
          <w:lang w:val="sr-Cyrl-RS"/>
        </w:rPr>
        <w:t>е</w:t>
      </w:r>
      <w:r w:rsidR="007B77F8" w:rsidRPr="003E5020">
        <w:rPr>
          <w:rFonts w:ascii="Times New Roman" w:hAnsi="Times New Roman" w:cs="Times New Roman"/>
          <w:sz w:val="24"/>
          <w:szCs w:val="24"/>
          <w:lang w:val="sr-Cyrl-RS"/>
        </w:rPr>
        <w:t xml:space="preserve"> размен</w:t>
      </w:r>
      <w:r w:rsidRPr="003E5020">
        <w:rPr>
          <w:rFonts w:ascii="Times New Roman" w:hAnsi="Times New Roman" w:cs="Times New Roman"/>
          <w:sz w:val="24"/>
          <w:szCs w:val="24"/>
          <w:lang w:val="sr-Cyrl-RS"/>
        </w:rPr>
        <w:t>е</w:t>
      </w:r>
      <w:r w:rsidR="007B77F8" w:rsidRPr="003E5020">
        <w:rPr>
          <w:rFonts w:ascii="Times New Roman" w:hAnsi="Times New Roman" w:cs="Times New Roman"/>
          <w:sz w:val="24"/>
          <w:szCs w:val="24"/>
          <w:lang w:val="sr-Cyrl-RS"/>
        </w:rPr>
        <w:t xml:space="preserve"> података између судова и тужилаштва, лица која учествују у раду правосуђа и јавности</w:t>
      </w:r>
      <w:r w:rsidRPr="003E5020">
        <w:rPr>
          <w:rFonts w:ascii="Times New Roman" w:hAnsi="Times New Roman" w:cs="Times New Roman"/>
          <w:sz w:val="24"/>
          <w:szCs w:val="24"/>
          <w:lang w:val="sr-Cyrl-RS"/>
        </w:rPr>
        <w:t xml:space="preserve">, као и успостављања пуног </w:t>
      </w:r>
      <w:r w:rsidR="007B77F8" w:rsidRPr="003E5020">
        <w:rPr>
          <w:rFonts w:ascii="Times New Roman" w:hAnsi="Times New Roman" w:cs="Times New Roman"/>
          <w:sz w:val="24"/>
          <w:szCs w:val="24"/>
          <w:lang w:val="sr-Cyrl-RS"/>
        </w:rPr>
        <w:t xml:space="preserve">поверења у електронски вид комуникације од стране </w:t>
      </w:r>
      <w:r w:rsidRPr="003E5020">
        <w:rPr>
          <w:rFonts w:ascii="Times New Roman" w:hAnsi="Times New Roman" w:cs="Times New Roman"/>
          <w:sz w:val="24"/>
          <w:szCs w:val="24"/>
          <w:lang w:val="sr-Cyrl-RS"/>
        </w:rPr>
        <w:t xml:space="preserve">те исте </w:t>
      </w:r>
      <w:r w:rsidR="007B77F8" w:rsidRPr="003E5020">
        <w:rPr>
          <w:rFonts w:ascii="Times New Roman" w:hAnsi="Times New Roman" w:cs="Times New Roman"/>
          <w:sz w:val="24"/>
          <w:szCs w:val="24"/>
          <w:lang w:val="sr-Cyrl-RS"/>
        </w:rPr>
        <w:t>јавности.</w:t>
      </w:r>
      <w:r w:rsidR="007B77F8" w:rsidRPr="003E5020">
        <w:rPr>
          <w:rStyle w:val="FootnoteReference"/>
          <w:rFonts w:ascii="Times New Roman" w:hAnsi="Times New Roman" w:cs="Times New Roman"/>
          <w:sz w:val="24"/>
          <w:szCs w:val="24"/>
          <w:lang w:val="sr-Cyrl-RS"/>
        </w:rPr>
        <w:footnoteReference w:id="117"/>
      </w:r>
      <w:r w:rsidRPr="003E5020">
        <w:rPr>
          <w:rFonts w:ascii="Times New Roman" w:hAnsi="Times New Roman" w:cs="Times New Roman"/>
          <w:sz w:val="24"/>
          <w:szCs w:val="24"/>
          <w:lang w:val="sr-Cyrl-RS"/>
        </w:rPr>
        <w:t xml:space="preserve">Претходно ће у великој мери дорпинети </w:t>
      </w:r>
      <w:r w:rsidR="0077516F" w:rsidRPr="003E5020">
        <w:rPr>
          <w:rFonts w:ascii="Times New Roman" w:hAnsi="Times New Roman" w:cs="Times New Roman"/>
          <w:sz w:val="24"/>
          <w:szCs w:val="24"/>
          <w:lang w:val="sr-Cyrl-RS"/>
        </w:rPr>
        <w:t xml:space="preserve">повећању </w:t>
      </w:r>
      <w:r w:rsidR="007B77F8" w:rsidRPr="003E5020">
        <w:rPr>
          <w:rFonts w:ascii="Times New Roman" w:hAnsi="Times New Roman" w:cs="Times New Roman"/>
          <w:sz w:val="24"/>
          <w:szCs w:val="24"/>
          <w:lang w:val="sr-Cyrl-RS"/>
        </w:rPr>
        <w:t>ефикасности</w:t>
      </w:r>
      <w:r w:rsidR="0077516F" w:rsidRPr="003E5020">
        <w:rPr>
          <w:rFonts w:ascii="Times New Roman" w:hAnsi="Times New Roman" w:cs="Times New Roman"/>
          <w:sz w:val="24"/>
          <w:szCs w:val="24"/>
          <w:lang w:val="sr-Cyrl-RS"/>
        </w:rPr>
        <w:t xml:space="preserve"> у раду</w:t>
      </w:r>
      <w:r w:rsidR="007B77F8" w:rsidRPr="003E5020">
        <w:rPr>
          <w:rFonts w:ascii="Times New Roman" w:hAnsi="Times New Roman" w:cs="Times New Roman"/>
          <w:sz w:val="24"/>
          <w:szCs w:val="24"/>
          <w:lang w:val="sr-Cyrl-RS"/>
        </w:rPr>
        <w:t>,</w:t>
      </w:r>
      <w:r w:rsidR="0077516F" w:rsidRPr="003E5020">
        <w:rPr>
          <w:rFonts w:ascii="Times New Roman" w:hAnsi="Times New Roman" w:cs="Times New Roman"/>
          <w:sz w:val="24"/>
          <w:szCs w:val="24"/>
          <w:lang w:val="sr-Cyrl-RS"/>
        </w:rPr>
        <w:t xml:space="preserve"> као и смањењу</w:t>
      </w:r>
      <w:r w:rsidR="007B77F8" w:rsidRPr="003E5020">
        <w:rPr>
          <w:rFonts w:ascii="Times New Roman" w:hAnsi="Times New Roman" w:cs="Times New Roman"/>
          <w:sz w:val="24"/>
          <w:szCs w:val="24"/>
          <w:lang w:val="sr-Cyrl-RS"/>
        </w:rPr>
        <w:t xml:space="preserve"> кашњењ</w:t>
      </w:r>
      <w:r w:rsidR="0077516F" w:rsidRPr="003E5020">
        <w:rPr>
          <w:rFonts w:ascii="Times New Roman" w:hAnsi="Times New Roman" w:cs="Times New Roman"/>
          <w:sz w:val="24"/>
          <w:szCs w:val="24"/>
          <w:lang w:val="sr-Cyrl-RS"/>
        </w:rPr>
        <w:t>а</w:t>
      </w:r>
      <w:r w:rsidR="007B77F8" w:rsidRPr="003E5020">
        <w:rPr>
          <w:rFonts w:ascii="Times New Roman" w:hAnsi="Times New Roman" w:cs="Times New Roman"/>
          <w:sz w:val="24"/>
          <w:szCs w:val="24"/>
          <w:lang w:val="sr-Cyrl-RS"/>
        </w:rPr>
        <w:t xml:space="preserve"> и грешкама које се дешавају у раду </w:t>
      </w:r>
      <w:r w:rsidR="0077516F" w:rsidRPr="003E5020">
        <w:rPr>
          <w:rFonts w:ascii="Times New Roman" w:hAnsi="Times New Roman" w:cs="Times New Roman"/>
          <w:sz w:val="24"/>
          <w:szCs w:val="24"/>
          <w:lang w:val="sr-Cyrl-RS"/>
        </w:rPr>
        <w:t>претходно</w:t>
      </w:r>
      <w:r w:rsidR="007B77F8" w:rsidRPr="003E5020">
        <w:rPr>
          <w:rFonts w:ascii="Times New Roman" w:hAnsi="Times New Roman" w:cs="Times New Roman"/>
          <w:sz w:val="24"/>
          <w:szCs w:val="24"/>
          <w:lang w:val="sr-Cyrl-RS"/>
        </w:rPr>
        <w:t xml:space="preserve"> наведених институција. </w:t>
      </w:r>
    </w:p>
    <w:p w14:paraId="213369DA" w14:textId="77777777" w:rsidR="00BE043D" w:rsidRPr="003E5020" w:rsidRDefault="00BE043D" w:rsidP="0077516F">
      <w:pPr>
        <w:ind w:left="851"/>
        <w:jc w:val="both"/>
        <w:rPr>
          <w:rFonts w:ascii="Times New Roman" w:hAnsi="Times New Roman" w:cs="Times New Roman"/>
          <w:sz w:val="24"/>
          <w:szCs w:val="24"/>
          <w:lang w:val="sr-Cyrl-RS"/>
        </w:rPr>
      </w:pPr>
    </w:p>
    <w:p w14:paraId="5E1BDB39" w14:textId="2C61728B" w:rsidR="00AD60AD" w:rsidRPr="003E5020" w:rsidRDefault="00686F75" w:rsidP="004C08E2">
      <w:pPr>
        <w:ind w:left="851"/>
        <w:jc w:val="both"/>
        <w:rPr>
          <w:rFonts w:ascii="Times New Roman" w:hAnsi="Times New Roman" w:cs="Times New Roman"/>
          <w:sz w:val="24"/>
          <w:szCs w:val="24"/>
          <w:lang w:val="sr-Latn-RS"/>
        </w:rPr>
      </w:pPr>
      <w:r w:rsidRPr="003E5020">
        <w:rPr>
          <w:rFonts w:ascii="Times New Roman" w:hAnsi="Times New Roman" w:cs="Times New Roman"/>
          <w:sz w:val="24"/>
          <w:szCs w:val="24"/>
          <w:lang w:val="sr-Cyrl-RS"/>
        </w:rPr>
        <w:t xml:space="preserve">Слично као и у случају правосудне инфраструктуре, потребно је </w:t>
      </w:r>
      <w:r w:rsidR="0077516F" w:rsidRPr="003E5020">
        <w:rPr>
          <w:rFonts w:ascii="Times New Roman" w:hAnsi="Times New Roman" w:cs="Times New Roman"/>
          <w:sz w:val="24"/>
          <w:szCs w:val="24"/>
          <w:lang w:val="sr-Cyrl-RS"/>
        </w:rPr>
        <w:t>наставити са смањивањем јаза између потреба за ИКТ услугама и тренутним стањем у овој области. У том правцу је неопходно утврдити јасну процену</w:t>
      </w:r>
      <w:r w:rsidR="00344905" w:rsidRPr="003E5020">
        <w:rPr>
          <w:rFonts w:ascii="Times New Roman" w:hAnsi="Times New Roman" w:cs="Times New Roman"/>
          <w:sz w:val="24"/>
          <w:szCs w:val="24"/>
          <w:lang w:val="sr-Cyrl-RS"/>
        </w:rPr>
        <w:t xml:space="preserve"> потребног нивоа </w:t>
      </w:r>
      <w:r w:rsidR="0077516F" w:rsidRPr="003E5020">
        <w:rPr>
          <w:rFonts w:ascii="Times New Roman" w:hAnsi="Times New Roman" w:cs="Times New Roman"/>
          <w:sz w:val="24"/>
          <w:szCs w:val="24"/>
          <w:lang w:val="sr-Cyrl-RS"/>
        </w:rPr>
        <w:t xml:space="preserve">даљих </w:t>
      </w:r>
      <w:r w:rsidR="00344905" w:rsidRPr="003E5020">
        <w:rPr>
          <w:rFonts w:ascii="Times New Roman" w:hAnsi="Times New Roman" w:cs="Times New Roman"/>
          <w:sz w:val="24"/>
          <w:szCs w:val="24"/>
          <w:lang w:val="sr-Cyrl-RS"/>
        </w:rPr>
        <w:t xml:space="preserve">инвестиција у набавку нових технологија и увезивања свих правосудних органа, </w:t>
      </w:r>
      <w:r w:rsidR="00CC72A1" w:rsidRPr="003E5020">
        <w:rPr>
          <w:rFonts w:ascii="Times New Roman" w:hAnsi="Times New Roman" w:cs="Times New Roman"/>
          <w:sz w:val="24"/>
          <w:szCs w:val="24"/>
          <w:lang w:val="sr-Cyrl-RS"/>
        </w:rPr>
        <w:t>као</w:t>
      </w:r>
      <w:r w:rsidR="00344905" w:rsidRPr="003E5020">
        <w:rPr>
          <w:rFonts w:ascii="Times New Roman" w:hAnsi="Times New Roman" w:cs="Times New Roman"/>
          <w:sz w:val="24"/>
          <w:szCs w:val="24"/>
          <w:lang w:val="sr-Cyrl-RS"/>
        </w:rPr>
        <w:t xml:space="preserve"> и правосудних органа са органима као што </w:t>
      </w:r>
      <w:r w:rsidR="00CC72A1" w:rsidRPr="003E5020">
        <w:rPr>
          <w:rFonts w:ascii="Times New Roman" w:hAnsi="Times New Roman" w:cs="Times New Roman"/>
          <w:sz w:val="24"/>
          <w:szCs w:val="24"/>
          <w:lang w:val="sr-Cyrl-RS"/>
        </w:rPr>
        <w:t xml:space="preserve">су </w:t>
      </w:r>
      <w:r w:rsidR="00344905" w:rsidRPr="003E5020">
        <w:rPr>
          <w:rFonts w:ascii="Times New Roman" w:hAnsi="Times New Roman" w:cs="Times New Roman"/>
          <w:sz w:val="24"/>
          <w:szCs w:val="24"/>
          <w:lang w:val="sr-Cyrl-RS"/>
        </w:rPr>
        <w:t>полиција, заводи за издржавање санкција и др. Паралелно са тим, неопходно је изградити капацитете у делу који се тиче људских ресурса</w:t>
      </w:r>
      <w:r w:rsidR="00CC72A1" w:rsidRPr="003E5020">
        <w:rPr>
          <w:rFonts w:ascii="Times New Roman" w:hAnsi="Times New Roman" w:cs="Times New Roman"/>
          <w:sz w:val="24"/>
          <w:szCs w:val="24"/>
          <w:lang w:val="sr-Cyrl-RS"/>
        </w:rPr>
        <w:t>,</w:t>
      </w:r>
      <w:r w:rsidR="00344905" w:rsidRPr="003E5020">
        <w:rPr>
          <w:rFonts w:ascii="Times New Roman" w:hAnsi="Times New Roman" w:cs="Times New Roman"/>
          <w:sz w:val="24"/>
          <w:szCs w:val="24"/>
          <w:lang w:val="sr-Cyrl-RS"/>
        </w:rPr>
        <w:t xml:space="preserve"> у циљу одрживог управљања и сервисирања постојеће ИКТ опреме, планирања за њено даље унапређење и модернизацију. Због значаја који ИКТ систем има у модерним системима, а данас нарочито у правосуђу, унапређење људских ресурса у овом домену није ништа мање значајно од унапређења људских ресурса </w:t>
      </w:r>
      <w:r w:rsidR="00EC383D" w:rsidRPr="003E5020">
        <w:rPr>
          <w:rFonts w:ascii="Times New Roman" w:hAnsi="Times New Roman" w:cs="Times New Roman"/>
          <w:sz w:val="24"/>
          <w:szCs w:val="24"/>
          <w:lang w:val="sr-Cyrl-RS"/>
        </w:rPr>
        <w:t>у судској или јавно тужилачкој професији.</w:t>
      </w:r>
      <w:r w:rsidRPr="003E5020">
        <w:rPr>
          <w:rFonts w:ascii="Times New Roman" w:hAnsi="Times New Roman" w:cs="Times New Roman"/>
          <w:sz w:val="24"/>
          <w:szCs w:val="24"/>
          <w:lang w:val="sr-Cyrl-RS"/>
        </w:rPr>
        <w:t xml:space="preserve"> </w:t>
      </w:r>
    </w:p>
    <w:p w14:paraId="3BE8D38C" w14:textId="6E088703" w:rsidR="00D7402F" w:rsidRPr="003E5020" w:rsidRDefault="00D7402F">
      <w:pPr>
        <w:jc w:val="both"/>
        <w:rPr>
          <w:rFonts w:ascii="Times New Roman" w:hAnsi="Times New Roman" w:cs="Times New Roman"/>
          <w:sz w:val="24"/>
          <w:szCs w:val="24"/>
          <w:lang w:val="sr-Cyrl-RS"/>
        </w:rPr>
      </w:pPr>
    </w:p>
    <w:p w14:paraId="73BEF905" w14:textId="464A2E80" w:rsidR="00214B14" w:rsidRPr="003E5020" w:rsidRDefault="00214B14" w:rsidP="00314237">
      <w:pPr>
        <w:ind w:left="851"/>
        <w:jc w:val="both"/>
        <w:rPr>
          <w:rFonts w:ascii="Times New Roman" w:hAnsi="Times New Roman" w:cs="Times New Roman"/>
          <w:sz w:val="24"/>
          <w:szCs w:val="24"/>
          <w:lang w:val="sr-Cyrl-RS"/>
        </w:rPr>
      </w:pPr>
      <w:r w:rsidRPr="003E5020">
        <w:rPr>
          <w:rFonts w:ascii="Times New Roman" w:eastAsiaTheme="majorEastAsia" w:hAnsi="Times New Roman" w:cs="Times New Roman"/>
          <w:sz w:val="24"/>
          <w:szCs w:val="24"/>
          <w:lang w:val="sr-Cyrl-RS"/>
        </w:rPr>
        <w:t xml:space="preserve">Веза са посебним циљем: </w:t>
      </w:r>
      <w:r w:rsidRPr="003E5020">
        <w:rPr>
          <w:rFonts w:ascii="Times New Roman" w:hAnsi="Times New Roman" w:cs="Times New Roman"/>
          <w:sz w:val="24"/>
          <w:szCs w:val="24"/>
          <w:lang w:val="sr-Cyrl-RS"/>
        </w:rPr>
        <w:t xml:space="preserve">Не постоји директна веза са посебним циљевима Стратегије, имајући у виду да недостатак инфраструктурних капацитета представља знатно шири проблем, који не утиче само на стање људских ресурса у правосуђу. Из тог разлога, мере и активности </w:t>
      </w:r>
      <w:r w:rsidR="00074336" w:rsidRPr="003E5020">
        <w:rPr>
          <w:rFonts w:ascii="Times New Roman" w:hAnsi="Times New Roman" w:cs="Times New Roman"/>
          <w:sz w:val="24"/>
          <w:szCs w:val="24"/>
          <w:lang w:val="sr-Cyrl-RS"/>
        </w:rPr>
        <w:t xml:space="preserve">које су усмерене на решавање овог проблема, предвиђене су </w:t>
      </w:r>
      <w:r w:rsidR="007F70E6" w:rsidRPr="003E5020">
        <w:rPr>
          <w:rFonts w:ascii="Times New Roman" w:hAnsi="Times New Roman" w:cs="Times New Roman"/>
          <w:sz w:val="24"/>
          <w:szCs w:val="24"/>
          <w:lang w:val="sr-Cyrl-RS"/>
        </w:rPr>
        <w:t xml:space="preserve"> </w:t>
      </w:r>
      <w:r w:rsidR="00074336" w:rsidRPr="003E5020">
        <w:rPr>
          <w:rFonts w:ascii="Times New Roman" w:hAnsi="Times New Roman" w:cs="Times New Roman"/>
          <w:sz w:val="24"/>
          <w:szCs w:val="24"/>
          <w:lang w:val="sr-Cyrl-RS"/>
        </w:rPr>
        <w:t>Стратегиј</w:t>
      </w:r>
      <w:r w:rsidR="007F70E6" w:rsidRPr="003E5020">
        <w:rPr>
          <w:rFonts w:ascii="Times New Roman" w:hAnsi="Times New Roman" w:cs="Times New Roman"/>
          <w:sz w:val="24"/>
          <w:szCs w:val="24"/>
          <w:lang w:val="sr-Cyrl-RS"/>
        </w:rPr>
        <w:t>ом</w:t>
      </w:r>
      <w:r w:rsidR="00074336" w:rsidRPr="003E5020">
        <w:rPr>
          <w:rFonts w:ascii="Times New Roman" w:hAnsi="Times New Roman" w:cs="Times New Roman"/>
          <w:sz w:val="24"/>
          <w:szCs w:val="24"/>
          <w:lang w:val="sr-Cyrl-RS"/>
        </w:rPr>
        <w:t xml:space="preserve"> </w:t>
      </w:r>
      <w:r w:rsidR="00546CC4" w:rsidRPr="003E5020">
        <w:rPr>
          <w:rFonts w:ascii="Times New Roman" w:hAnsi="Times New Roman" w:cs="Times New Roman"/>
          <w:sz w:val="24"/>
          <w:szCs w:val="24"/>
          <w:lang w:val="sr-Cyrl-RS"/>
        </w:rPr>
        <w:t xml:space="preserve">развоја </w:t>
      </w:r>
      <w:r w:rsidR="00074336" w:rsidRPr="003E5020">
        <w:rPr>
          <w:rFonts w:ascii="Times New Roman" w:hAnsi="Times New Roman" w:cs="Times New Roman"/>
          <w:sz w:val="24"/>
          <w:szCs w:val="24"/>
          <w:lang w:val="sr-Cyrl-RS"/>
        </w:rPr>
        <w:t xml:space="preserve">правосуђа </w:t>
      </w:r>
      <w:r w:rsidR="00BA0276" w:rsidRPr="003E5020">
        <w:rPr>
          <w:rFonts w:ascii="Times New Roman" w:hAnsi="Times New Roman" w:cs="Times New Roman"/>
          <w:sz w:val="24"/>
          <w:szCs w:val="24"/>
          <w:lang w:val="sr-Cyrl-RS"/>
        </w:rPr>
        <w:t>2020-2025.</w:t>
      </w:r>
      <w:r w:rsidR="00074336" w:rsidRPr="003E5020">
        <w:rPr>
          <w:rFonts w:ascii="Times New Roman" w:hAnsi="Times New Roman" w:cs="Times New Roman"/>
          <w:sz w:val="24"/>
          <w:szCs w:val="24"/>
          <w:lang w:val="sr-Cyrl-RS"/>
        </w:rPr>
        <w:t xml:space="preserve"> године, како је већ горе наведено.</w:t>
      </w:r>
      <w:r w:rsidRPr="003E5020">
        <w:rPr>
          <w:rFonts w:ascii="Times New Roman" w:hAnsi="Times New Roman" w:cs="Times New Roman"/>
          <w:sz w:val="24"/>
          <w:szCs w:val="24"/>
          <w:lang w:val="sr-Cyrl-RS"/>
        </w:rPr>
        <w:t xml:space="preserve"> </w:t>
      </w:r>
    </w:p>
    <w:p w14:paraId="43D530C2" w14:textId="3B373A0B" w:rsidR="00214B14" w:rsidRPr="003E5020" w:rsidRDefault="00214B14">
      <w:pPr>
        <w:jc w:val="both"/>
        <w:rPr>
          <w:rFonts w:ascii="Times New Roman" w:hAnsi="Times New Roman" w:cs="Times New Roman"/>
          <w:sz w:val="24"/>
          <w:szCs w:val="24"/>
          <w:lang w:val="sr-Cyrl-RS"/>
        </w:rPr>
      </w:pPr>
    </w:p>
    <w:p w14:paraId="1C48C62D" w14:textId="77777777" w:rsidR="004E1D1B" w:rsidRPr="003E5020" w:rsidRDefault="004E1D1B">
      <w:pPr>
        <w:jc w:val="both"/>
        <w:rPr>
          <w:rFonts w:ascii="Times New Roman" w:hAnsi="Times New Roman" w:cs="Times New Roman"/>
          <w:sz w:val="24"/>
          <w:szCs w:val="24"/>
          <w:lang w:val="sr-Cyrl-RS"/>
        </w:rPr>
      </w:pPr>
    </w:p>
    <w:p w14:paraId="36CBDDED" w14:textId="1F3BFACA" w:rsidR="00B77656" w:rsidRPr="003E5020" w:rsidRDefault="00AC2285" w:rsidP="00F43AAA">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09" w:name="_Toc84778634"/>
      <w:r w:rsidRPr="003E5020">
        <w:rPr>
          <w:rFonts w:ascii="Times New Roman" w:hAnsi="Times New Roman" w:cs="Times New Roman"/>
          <w:color w:val="auto"/>
          <w:sz w:val="24"/>
          <w:szCs w:val="24"/>
          <w:lang w:val="sr-Cyrl-RS"/>
        </w:rPr>
        <w:t>ВИЗИЈА</w:t>
      </w:r>
      <w:bookmarkEnd w:id="109"/>
    </w:p>
    <w:p w14:paraId="460D8C0A" w14:textId="25F14843" w:rsidR="00B77656" w:rsidRPr="003E5020" w:rsidRDefault="00B77656">
      <w:pPr>
        <w:jc w:val="both"/>
        <w:rPr>
          <w:rFonts w:ascii="Times New Roman" w:hAnsi="Times New Roman" w:cs="Times New Roman"/>
          <w:sz w:val="24"/>
          <w:szCs w:val="24"/>
          <w:lang w:val="sr-Cyrl-RS"/>
        </w:rPr>
      </w:pPr>
    </w:p>
    <w:p w14:paraId="24B8FDBE" w14:textId="3866C0E4" w:rsidR="0002747D" w:rsidRPr="003E5020" w:rsidRDefault="00E33F56" w:rsidP="0031423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Визија Стратегије је формулисана у односу на визију Стратегије развоја правосуђа за период 20</w:t>
      </w:r>
      <w:r w:rsidR="007F70E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7F70E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 а то је [</w:t>
      </w:r>
      <w:r w:rsidRPr="003E5020">
        <w:rPr>
          <w:rFonts w:ascii="Times New Roman" w:hAnsi="Times New Roman" w:cs="Times New Roman"/>
          <w:b/>
          <w:sz w:val="24"/>
          <w:szCs w:val="24"/>
          <w:lang w:val="sr-Cyrl-RS"/>
        </w:rPr>
        <w:t>цитат</w:t>
      </w:r>
      <w:r w:rsidRPr="003E5020">
        <w:rPr>
          <w:rFonts w:ascii="Times New Roman" w:hAnsi="Times New Roman" w:cs="Times New Roman"/>
          <w:sz w:val="24"/>
          <w:szCs w:val="24"/>
          <w:lang w:val="sr-Cyrl-RS"/>
        </w:rPr>
        <w:t>] „</w:t>
      </w:r>
      <w:r w:rsidR="00C50BFA" w:rsidRPr="003E5020">
        <w:rPr>
          <w:rFonts w:ascii="Times New Roman" w:hAnsi="Times New Roman" w:cs="Times New Roman"/>
          <w:sz w:val="24"/>
          <w:szCs w:val="24"/>
          <w:lang w:val="sr-Cyrl-RS"/>
        </w:rPr>
        <w:t>Независно</w:t>
      </w:r>
      <w:r w:rsidRPr="003E5020">
        <w:rPr>
          <w:rFonts w:ascii="Times New Roman" w:hAnsi="Times New Roman" w:cs="Times New Roman"/>
          <w:sz w:val="24"/>
          <w:szCs w:val="24"/>
          <w:lang w:val="sr-Cyrl-RS"/>
        </w:rPr>
        <w:t xml:space="preserve"> и самостално, модерно, ефикасно правосуђе, одговорно и отворено према грађанима и друштву</w:t>
      </w:r>
      <w:r w:rsidR="00701BFF">
        <w:rPr>
          <w:rFonts w:ascii="Times New Roman" w:hAnsi="Times New Roman" w:cs="Times New Roman"/>
          <w:sz w:val="24"/>
          <w:szCs w:val="24"/>
          <w:lang w:val="sr-Cyrl-RS"/>
        </w:rPr>
        <w:t>ˮ</w:t>
      </w:r>
      <w:r w:rsidRPr="003E5020">
        <w:rPr>
          <w:rFonts w:ascii="Times New Roman" w:hAnsi="Times New Roman" w:cs="Times New Roman"/>
          <w:b/>
          <w:bCs/>
          <w:sz w:val="24"/>
          <w:szCs w:val="24"/>
          <w:lang w:val="sr-Cyrl-RS"/>
        </w:rPr>
        <w:t xml:space="preserve"> </w:t>
      </w:r>
      <w:r w:rsidRPr="003E5020">
        <w:rPr>
          <w:rFonts w:ascii="Times New Roman" w:hAnsi="Times New Roman" w:cs="Times New Roman"/>
          <w:sz w:val="24"/>
          <w:szCs w:val="24"/>
          <w:lang w:val="sr-Cyrl-RS"/>
        </w:rPr>
        <w:t>[</w:t>
      </w:r>
      <w:r w:rsidRPr="003E5020">
        <w:rPr>
          <w:rFonts w:ascii="Times New Roman" w:hAnsi="Times New Roman" w:cs="Times New Roman"/>
          <w:b/>
          <w:sz w:val="24"/>
          <w:szCs w:val="24"/>
          <w:lang w:val="sr-Cyrl-RS"/>
        </w:rPr>
        <w:t>крај цитата</w:t>
      </w:r>
      <w:r w:rsidRPr="003E5020">
        <w:rPr>
          <w:rFonts w:ascii="Times New Roman" w:hAnsi="Times New Roman" w:cs="Times New Roman"/>
          <w:sz w:val="24"/>
          <w:szCs w:val="24"/>
          <w:lang w:val="sr-Cyrl-RS"/>
        </w:rPr>
        <w:t>], коју иначе у потпуности следи. С тим у вези, визија Стратегије је:</w:t>
      </w:r>
    </w:p>
    <w:p w14:paraId="4889B51E" w14:textId="77777777" w:rsidR="00E33F56" w:rsidRPr="003E5020" w:rsidRDefault="00E33F56" w:rsidP="00A23055">
      <w:pPr>
        <w:ind w:left="720"/>
        <w:jc w:val="both"/>
        <w:rPr>
          <w:rFonts w:ascii="Times New Roman" w:hAnsi="Times New Roman" w:cs="Times New Roman"/>
          <w:sz w:val="24"/>
          <w:szCs w:val="24"/>
          <w:lang w:val="sr-Cyrl-RS"/>
        </w:rPr>
      </w:pPr>
    </w:p>
    <w:p w14:paraId="031D5091" w14:textId="5ADADECF" w:rsidR="00AC2285" w:rsidRPr="003E5020" w:rsidRDefault="00E33F56" w:rsidP="00B8040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w:t>
      </w:r>
      <w:r w:rsidR="00E06415" w:rsidRPr="003E5020">
        <w:rPr>
          <w:rFonts w:ascii="Times New Roman" w:hAnsi="Times New Roman" w:cs="Times New Roman"/>
          <w:i/>
          <w:sz w:val="24"/>
          <w:szCs w:val="24"/>
          <w:lang w:val="sr-Cyrl-RS"/>
        </w:rPr>
        <w:t>Систематич</w:t>
      </w:r>
      <w:r w:rsidR="00602191" w:rsidRPr="003E5020">
        <w:rPr>
          <w:rFonts w:ascii="Times New Roman" w:hAnsi="Times New Roman" w:cs="Times New Roman"/>
          <w:i/>
          <w:sz w:val="24"/>
          <w:szCs w:val="24"/>
          <w:lang w:val="sr-Cyrl-RS"/>
        </w:rPr>
        <w:t>а</w:t>
      </w:r>
      <w:r w:rsidR="00676CAD" w:rsidRPr="003E5020">
        <w:rPr>
          <w:rFonts w:ascii="Times New Roman" w:hAnsi="Times New Roman" w:cs="Times New Roman"/>
          <w:i/>
          <w:sz w:val="24"/>
          <w:szCs w:val="24"/>
          <w:lang w:val="sr-Cyrl-RS"/>
        </w:rPr>
        <w:t>н</w:t>
      </w:r>
      <w:r w:rsidR="009E7E8C" w:rsidRPr="003E5020">
        <w:rPr>
          <w:rFonts w:ascii="Times New Roman" w:hAnsi="Times New Roman" w:cs="Times New Roman"/>
          <w:i/>
          <w:sz w:val="24"/>
          <w:szCs w:val="24"/>
          <w:lang w:val="sr-Cyrl-RS"/>
        </w:rPr>
        <w:t>, на потребним компетенцијама заснован</w:t>
      </w:r>
      <w:r w:rsidR="00E06415" w:rsidRPr="003E5020">
        <w:rPr>
          <w:rFonts w:ascii="Times New Roman" w:hAnsi="Times New Roman" w:cs="Times New Roman"/>
          <w:i/>
          <w:sz w:val="24"/>
          <w:szCs w:val="24"/>
          <w:lang w:val="sr-Cyrl-RS"/>
        </w:rPr>
        <w:t xml:space="preserve"> </w:t>
      </w:r>
      <w:r w:rsidR="00602191" w:rsidRPr="003E5020">
        <w:rPr>
          <w:rFonts w:ascii="Times New Roman" w:hAnsi="Times New Roman" w:cs="Times New Roman"/>
          <w:i/>
          <w:sz w:val="24"/>
          <w:szCs w:val="24"/>
          <w:lang w:val="sr-Cyrl-RS"/>
        </w:rPr>
        <w:t>и транспарен</w:t>
      </w:r>
      <w:r w:rsidR="00676CAD" w:rsidRPr="003E5020">
        <w:rPr>
          <w:rFonts w:ascii="Times New Roman" w:hAnsi="Times New Roman" w:cs="Times New Roman"/>
          <w:i/>
          <w:sz w:val="24"/>
          <w:szCs w:val="24"/>
          <w:lang w:val="sr-Cyrl-RS"/>
        </w:rPr>
        <w:t>т</w:t>
      </w:r>
      <w:r w:rsidR="00602191" w:rsidRPr="003E5020">
        <w:rPr>
          <w:rFonts w:ascii="Times New Roman" w:hAnsi="Times New Roman" w:cs="Times New Roman"/>
          <w:i/>
          <w:sz w:val="24"/>
          <w:szCs w:val="24"/>
          <w:lang w:val="sr-Cyrl-RS"/>
        </w:rPr>
        <w:t>а</w:t>
      </w:r>
      <w:r w:rsidR="00676CAD" w:rsidRPr="003E5020">
        <w:rPr>
          <w:rFonts w:ascii="Times New Roman" w:hAnsi="Times New Roman" w:cs="Times New Roman"/>
          <w:i/>
          <w:sz w:val="24"/>
          <w:szCs w:val="24"/>
          <w:lang w:val="sr-Cyrl-RS"/>
        </w:rPr>
        <w:t>н</w:t>
      </w:r>
      <w:r w:rsidR="00602191" w:rsidRPr="003E5020">
        <w:rPr>
          <w:rFonts w:ascii="Times New Roman" w:hAnsi="Times New Roman" w:cs="Times New Roman"/>
          <w:i/>
          <w:sz w:val="24"/>
          <w:szCs w:val="24"/>
          <w:lang w:val="sr-Cyrl-RS"/>
        </w:rPr>
        <w:t xml:space="preserve"> систем </w:t>
      </w:r>
      <w:r w:rsidR="00E06415" w:rsidRPr="003E5020">
        <w:rPr>
          <w:rFonts w:ascii="Times New Roman" w:hAnsi="Times New Roman" w:cs="Times New Roman"/>
          <w:i/>
          <w:sz w:val="24"/>
          <w:szCs w:val="24"/>
          <w:lang w:val="sr-Cyrl-RS"/>
        </w:rPr>
        <w:t>ангажовањ</w:t>
      </w:r>
      <w:r w:rsidR="00602191" w:rsidRPr="003E5020">
        <w:rPr>
          <w:rFonts w:ascii="Times New Roman" w:hAnsi="Times New Roman" w:cs="Times New Roman"/>
          <w:i/>
          <w:sz w:val="24"/>
          <w:szCs w:val="24"/>
          <w:lang w:val="sr-Cyrl-RS"/>
        </w:rPr>
        <w:t>а</w:t>
      </w:r>
      <w:r w:rsidR="00E06415" w:rsidRPr="003E5020">
        <w:rPr>
          <w:rFonts w:ascii="Times New Roman" w:hAnsi="Times New Roman" w:cs="Times New Roman"/>
          <w:i/>
          <w:sz w:val="24"/>
          <w:szCs w:val="24"/>
          <w:lang w:val="sr-Cyrl-RS"/>
        </w:rPr>
        <w:t>, развој</w:t>
      </w:r>
      <w:r w:rsidR="00602191" w:rsidRPr="003E5020">
        <w:rPr>
          <w:rFonts w:ascii="Times New Roman" w:hAnsi="Times New Roman" w:cs="Times New Roman"/>
          <w:i/>
          <w:sz w:val="24"/>
          <w:szCs w:val="24"/>
          <w:lang w:val="sr-Cyrl-RS"/>
        </w:rPr>
        <w:t>а</w:t>
      </w:r>
      <w:r w:rsidR="00E06415" w:rsidRPr="003E5020">
        <w:rPr>
          <w:rFonts w:ascii="Times New Roman" w:hAnsi="Times New Roman" w:cs="Times New Roman"/>
          <w:i/>
          <w:sz w:val="24"/>
          <w:szCs w:val="24"/>
          <w:lang w:val="sr-Cyrl-RS"/>
        </w:rPr>
        <w:t xml:space="preserve"> и задржавањ</w:t>
      </w:r>
      <w:r w:rsidR="00602191" w:rsidRPr="003E5020">
        <w:rPr>
          <w:rFonts w:ascii="Times New Roman" w:hAnsi="Times New Roman" w:cs="Times New Roman"/>
          <w:i/>
          <w:sz w:val="24"/>
          <w:szCs w:val="24"/>
          <w:lang w:val="sr-Cyrl-RS"/>
        </w:rPr>
        <w:t>а</w:t>
      </w:r>
      <w:r w:rsidR="00E06415" w:rsidRPr="003E5020">
        <w:rPr>
          <w:rFonts w:ascii="Times New Roman" w:hAnsi="Times New Roman" w:cs="Times New Roman"/>
          <w:i/>
          <w:sz w:val="24"/>
          <w:szCs w:val="24"/>
          <w:lang w:val="sr-Cyrl-RS"/>
        </w:rPr>
        <w:t xml:space="preserve"> кадра</w:t>
      </w:r>
      <w:r w:rsidR="00B47EEF" w:rsidRPr="003E5020">
        <w:rPr>
          <w:rFonts w:ascii="Times New Roman" w:hAnsi="Times New Roman" w:cs="Times New Roman"/>
          <w:i/>
          <w:sz w:val="24"/>
          <w:szCs w:val="24"/>
          <w:lang w:val="sr-Cyrl-RS"/>
        </w:rPr>
        <w:t>,</w:t>
      </w:r>
      <w:r w:rsidR="00E06415" w:rsidRPr="003E5020">
        <w:rPr>
          <w:rFonts w:ascii="Times New Roman" w:hAnsi="Times New Roman" w:cs="Times New Roman"/>
          <w:i/>
          <w:sz w:val="24"/>
          <w:szCs w:val="24"/>
          <w:lang w:val="sr-Cyrl-RS"/>
        </w:rPr>
        <w:t xml:space="preserve"> у циљу </w:t>
      </w:r>
      <w:r w:rsidR="00B47EEF" w:rsidRPr="003E5020">
        <w:rPr>
          <w:rFonts w:ascii="Times New Roman" w:hAnsi="Times New Roman" w:cs="Times New Roman"/>
          <w:i/>
          <w:sz w:val="24"/>
          <w:szCs w:val="24"/>
          <w:lang w:val="sr-Cyrl-RS"/>
        </w:rPr>
        <w:t>успостављањ</w:t>
      </w:r>
      <w:r w:rsidR="008E31C5" w:rsidRPr="003E5020">
        <w:rPr>
          <w:rFonts w:ascii="Times New Roman" w:hAnsi="Times New Roman" w:cs="Times New Roman"/>
          <w:i/>
          <w:sz w:val="24"/>
          <w:szCs w:val="24"/>
          <w:lang w:val="sr-Cyrl-RS"/>
        </w:rPr>
        <w:t>а</w:t>
      </w:r>
      <w:r w:rsidR="00B47EEF" w:rsidRPr="003E5020">
        <w:rPr>
          <w:rFonts w:ascii="Times New Roman" w:hAnsi="Times New Roman" w:cs="Times New Roman"/>
          <w:i/>
          <w:sz w:val="24"/>
          <w:szCs w:val="24"/>
          <w:lang w:val="sr-Cyrl-RS"/>
        </w:rPr>
        <w:t xml:space="preserve"> </w:t>
      </w:r>
      <w:r w:rsidR="00E06415" w:rsidRPr="003E5020">
        <w:rPr>
          <w:rFonts w:ascii="Times New Roman" w:hAnsi="Times New Roman" w:cs="Times New Roman"/>
          <w:i/>
          <w:sz w:val="24"/>
          <w:szCs w:val="24"/>
          <w:lang w:val="sr-Cyrl-RS"/>
        </w:rPr>
        <w:t>самосталног, независног, савременог и ефикасног правосудног система Републике Србије, који је одговоран и отворен за своје грађане и друштво</w:t>
      </w:r>
      <w:r w:rsidR="00DB11A6" w:rsidRPr="003E5020">
        <w:rPr>
          <w:rFonts w:ascii="Times New Roman" w:hAnsi="Times New Roman" w:cs="Times New Roman"/>
          <w:sz w:val="24"/>
          <w:szCs w:val="24"/>
          <w:lang w:val="sr-Cyrl-RS"/>
        </w:rPr>
        <w:t>.</w:t>
      </w:r>
      <w:r w:rsidR="00701BFF">
        <w:rPr>
          <w:rFonts w:ascii="Times New Roman" w:hAnsi="Times New Roman" w:cs="Times New Roman"/>
          <w:sz w:val="24"/>
          <w:szCs w:val="24"/>
          <w:lang w:val="sr-Cyrl-RS"/>
        </w:rPr>
        <w:t>ˮ</w:t>
      </w:r>
    </w:p>
    <w:p w14:paraId="65292E30" w14:textId="1FC7586F" w:rsidR="00B77656" w:rsidRPr="003E5020" w:rsidRDefault="00B77656" w:rsidP="00F72E87">
      <w:pPr>
        <w:jc w:val="both"/>
        <w:rPr>
          <w:rFonts w:ascii="Times New Roman" w:hAnsi="Times New Roman" w:cs="Times New Roman"/>
          <w:sz w:val="24"/>
          <w:szCs w:val="24"/>
          <w:lang w:val="sr-Cyrl-RS"/>
        </w:rPr>
      </w:pPr>
    </w:p>
    <w:p w14:paraId="3D9866AD" w14:textId="77777777" w:rsidR="00274376" w:rsidRPr="003E5020" w:rsidRDefault="00274376" w:rsidP="00F72E87">
      <w:pPr>
        <w:jc w:val="both"/>
        <w:rPr>
          <w:rFonts w:ascii="Times New Roman" w:hAnsi="Times New Roman" w:cs="Times New Roman"/>
          <w:sz w:val="24"/>
          <w:szCs w:val="24"/>
          <w:lang w:val="sr-Cyrl-RS"/>
        </w:rPr>
      </w:pPr>
    </w:p>
    <w:p w14:paraId="77DDDF78" w14:textId="0FB1CD79" w:rsidR="00B77656" w:rsidRPr="003E5020" w:rsidRDefault="008C1A4F" w:rsidP="00F43AAA">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10" w:name="_Toc84778635"/>
      <w:r w:rsidRPr="003E5020">
        <w:rPr>
          <w:rFonts w:ascii="Times New Roman" w:hAnsi="Times New Roman" w:cs="Times New Roman"/>
          <w:color w:val="auto"/>
          <w:sz w:val="24"/>
          <w:szCs w:val="24"/>
          <w:lang w:val="sr-Cyrl-RS"/>
        </w:rPr>
        <w:t>ОПШТИ ЦИЉ</w:t>
      </w:r>
      <w:bookmarkEnd w:id="110"/>
    </w:p>
    <w:p w14:paraId="15D2FE59" w14:textId="77777777" w:rsidR="00B77656" w:rsidRPr="003E5020" w:rsidRDefault="00B77656">
      <w:pPr>
        <w:jc w:val="both"/>
        <w:rPr>
          <w:rFonts w:ascii="Times New Roman" w:hAnsi="Times New Roman" w:cs="Times New Roman"/>
          <w:sz w:val="24"/>
          <w:szCs w:val="24"/>
          <w:lang w:val="sr-Cyrl-RS"/>
        </w:rPr>
      </w:pPr>
    </w:p>
    <w:p w14:paraId="52C689C5" w14:textId="26901577" w:rsidR="0040089C" w:rsidRPr="003E5020" w:rsidRDefault="00E97A6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Слично као и у случају визије, о</w:t>
      </w:r>
      <w:r w:rsidR="0040089C" w:rsidRPr="003E5020">
        <w:rPr>
          <w:rFonts w:ascii="Times New Roman" w:hAnsi="Times New Roman" w:cs="Times New Roman"/>
          <w:sz w:val="24"/>
          <w:szCs w:val="24"/>
          <w:lang w:val="sr-Cyrl-RS"/>
        </w:rPr>
        <w:t>пшти циљ ове Стратегије</w:t>
      </w:r>
      <w:r w:rsidR="00AB1EBE" w:rsidRPr="003E5020">
        <w:rPr>
          <w:rFonts w:ascii="Times New Roman" w:hAnsi="Times New Roman" w:cs="Times New Roman"/>
          <w:sz w:val="24"/>
          <w:szCs w:val="24"/>
          <w:lang w:val="sr-Cyrl-RS"/>
        </w:rPr>
        <w:t xml:space="preserve"> је</w:t>
      </w:r>
      <w:r w:rsidR="0040089C" w:rsidRPr="003E5020">
        <w:rPr>
          <w:rFonts w:ascii="Times New Roman" w:hAnsi="Times New Roman" w:cs="Times New Roman"/>
          <w:sz w:val="24"/>
          <w:szCs w:val="24"/>
          <w:lang w:val="sr-Cyrl-RS"/>
        </w:rPr>
        <w:t xml:space="preserve"> изведен из циљева </w:t>
      </w:r>
      <w:r w:rsidRPr="003E5020">
        <w:rPr>
          <w:rFonts w:ascii="Times New Roman" w:hAnsi="Times New Roman" w:cs="Times New Roman"/>
          <w:sz w:val="24"/>
          <w:szCs w:val="24"/>
          <w:lang w:val="sr-Cyrl-RS"/>
        </w:rPr>
        <w:t>Стратегије развоја правосуђа за период 20</w:t>
      </w:r>
      <w:r w:rsidR="007F70E6" w:rsidRPr="003E5020">
        <w:rPr>
          <w:rFonts w:ascii="Times New Roman" w:hAnsi="Times New Roman" w:cs="Times New Roman"/>
          <w:sz w:val="24"/>
          <w:szCs w:val="24"/>
          <w:lang w:val="sr-Cyrl-RS"/>
        </w:rPr>
        <w:t>20</w:t>
      </w:r>
      <w:r w:rsidRPr="003E5020">
        <w:rPr>
          <w:rFonts w:ascii="Times New Roman" w:hAnsi="Times New Roman" w:cs="Times New Roman"/>
          <w:sz w:val="24"/>
          <w:szCs w:val="24"/>
          <w:lang w:val="sr-Cyrl-RS"/>
        </w:rPr>
        <w:t>–202</w:t>
      </w:r>
      <w:r w:rsidR="007F70E6"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године</w:t>
      </w:r>
      <w:r w:rsidR="0040089C" w:rsidRPr="003E5020">
        <w:rPr>
          <w:rFonts w:ascii="Times New Roman" w:hAnsi="Times New Roman" w:cs="Times New Roman"/>
          <w:sz w:val="24"/>
          <w:szCs w:val="24"/>
          <w:lang w:val="sr-Cyrl-RS"/>
        </w:rPr>
        <w:t xml:space="preserve">: </w:t>
      </w:r>
    </w:p>
    <w:p w14:paraId="2D76AD0A" w14:textId="77777777" w:rsidR="0040089C" w:rsidRPr="003E5020" w:rsidRDefault="0040089C">
      <w:pPr>
        <w:ind w:left="851"/>
        <w:jc w:val="both"/>
        <w:rPr>
          <w:rFonts w:ascii="Times New Roman" w:hAnsi="Times New Roman" w:cs="Times New Roman"/>
          <w:sz w:val="24"/>
          <w:szCs w:val="24"/>
          <w:lang w:val="sr-Cyrl-RS"/>
        </w:rPr>
      </w:pPr>
    </w:p>
    <w:p w14:paraId="06FC1E43" w14:textId="0BEA95E5" w:rsidR="00EB355E" w:rsidRPr="003E5020" w:rsidRDefault="00E97A69">
      <w:pPr>
        <w:ind w:left="851"/>
        <w:jc w:val="both"/>
        <w:rPr>
          <w:rFonts w:ascii="Times New Roman" w:hAnsi="Times New Roman" w:cs="Times New Roman"/>
          <w:i/>
          <w:sz w:val="24"/>
          <w:szCs w:val="24"/>
          <w:lang w:val="sr-Cyrl-RS"/>
        </w:rPr>
      </w:pPr>
      <w:r w:rsidRPr="003E5020">
        <w:rPr>
          <w:rFonts w:ascii="Times New Roman" w:hAnsi="Times New Roman" w:cs="Times New Roman"/>
          <w:i/>
          <w:sz w:val="24"/>
          <w:szCs w:val="24"/>
          <w:lang w:val="sr-Cyrl-RS"/>
        </w:rPr>
        <w:t>„</w:t>
      </w:r>
      <w:r w:rsidR="009B59F3" w:rsidRPr="003E5020">
        <w:rPr>
          <w:rFonts w:ascii="Times New Roman" w:hAnsi="Times New Roman" w:cs="Times New Roman"/>
          <w:i/>
          <w:sz w:val="24"/>
          <w:szCs w:val="24"/>
          <w:lang w:val="sr-Cyrl-RS"/>
        </w:rPr>
        <w:t>Успостављање и одрживи развој транспарентног, савременог и ефикасног система управљања људским ресурсима у правосуђу  Републике Србије, ради јачања владавине права и правне сигурност</w:t>
      </w:r>
      <w:r w:rsidR="00546CC4" w:rsidRPr="003E5020">
        <w:rPr>
          <w:rFonts w:ascii="Times New Roman" w:hAnsi="Times New Roman" w:cs="Times New Roman"/>
          <w:i/>
          <w:sz w:val="24"/>
          <w:szCs w:val="24"/>
          <w:lang w:val="sr-Cyrl-RS"/>
        </w:rPr>
        <w:t>и</w:t>
      </w:r>
      <w:r w:rsidR="009B59F3" w:rsidRPr="003E5020">
        <w:rPr>
          <w:rFonts w:ascii="Times New Roman" w:hAnsi="Times New Roman" w:cs="Times New Roman"/>
          <w:i/>
          <w:sz w:val="24"/>
          <w:szCs w:val="24"/>
          <w:lang w:val="sr-Cyrl-RS"/>
        </w:rPr>
        <w:t xml:space="preserve"> грађана</w:t>
      </w:r>
      <w:r w:rsidR="0015671C" w:rsidRPr="003E5020">
        <w:rPr>
          <w:rFonts w:ascii="Times New Roman" w:hAnsi="Times New Roman" w:cs="Times New Roman"/>
          <w:i/>
          <w:sz w:val="24"/>
          <w:szCs w:val="24"/>
          <w:lang w:val="sr-Cyrl-RS"/>
        </w:rPr>
        <w:t>.</w:t>
      </w:r>
      <w:r w:rsidR="00701BFF">
        <w:rPr>
          <w:rFonts w:ascii="Times New Roman" w:hAnsi="Times New Roman" w:cs="Times New Roman"/>
          <w:i/>
          <w:sz w:val="24"/>
          <w:szCs w:val="24"/>
          <w:lang w:val="sr-Cyrl-RS"/>
        </w:rPr>
        <w:t>ˮ</w:t>
      </w:r>
    </w:p>
    <w:p w14:paraId="4E8D0151" w14:textId="65C54C45" w:rsidR="00607DFF" w:rsidRPr="003E5020" w:rsidRDefault="00607DFF">
      <w:pPr>
        <w:ind w:left="851"/>
        <w:jc w:val="both"/>
        <w:rPr>
          <w:rFonts w:ascii="Times New Roman" w:hAnsi="Times New Roman" w:cs="Times New Roman"/>
          <w:i/>
          <w:sz w:val="24"/>
          <w:szCs w:val="24"/>
          <w:lang w:val="sr-Cyrl-RS"/>
        </w:rPr>
      </w:pPr>
    </w:p>
    <w:p w14:paraId="29C9260F" w14:textId="77777777" w:rsidR="00785C26" w:rsidRPr="003E5020" w:rsidRDefault="00785C26" w:rsidP="00785C26">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Реализацијом општег циља се на директан начин доприноси остварењу визије Стратегије.</w:t>
      </w:r>
    </w:p>
    <w:p w14:paraId="5D0BD3CC" w14:textId="77777777" w:rsidR="00785C26" w:rsidRPr="003E5020" w:rsidRDefault="00785C26">
      <w:pPr>
        <w:ind w:left="851"/>
        <w:jc w:val="both"/>
        <w:rPr>
          <w:rFonts w:ascii="Times New Roman" w:hAnsi="Times New Roman" w:cs="Times New Roman"/>
          <w:iCs/>
          <w:sz w:val="24"/>
          <w:szCs w:val="24"/>
          <w:lang w:val="sr-Cyrl-RS"/>
        </w:rPr>
      </w:pPr>
    </w:p>
    <w:p w14:paraId="2F792560" w14:textId="75820987" w:rsidR="00607DFF" w:rsidRPr="003E5020" w:rsidRDefault="00607DFF">
      <w:pPr>
        <w:ind w:left="851"/>
        <w:jc w:val="both"/>
        <w:rPr>
          <w:rFonts w:ascii="Times New Roman" w:hAnsi="Times New Roman" w:cs="Times New Roman"/>
          <w:iCs/>
          <w:sz w:val="24"/>
          <w:szCs w:val="24"/>
          <w:lang w:val="sr-Cyrl-RS"/>
        </w:rPr>
      </w:pPr>
      <w:r w:rsidRPr="003E5020">
        <w:rPr>
          <w:rFonts w:ascii="Times New Roman" w:hAnsi="Times New Roman" w:cs="Times New Roman"/>
          <w:iCs/>
          <w:sz w:val="24"/>
          <w:szCs w:val="24"/>
          <w:lang w:val="sr-Cyrl-RS"/>
        </w:rPr>
        <w:t xml:space="preserve">Ради боље прегледности и утврђивања везе општег циља са посебним циљевима, у наставку следи </w:t>
      </w:r>
      <w:r w:rsidR="00B46230" w:rsidRPr="003E5020">
        <w:rPr>
          <w:rFonts w:ascii="Times New Roman" w:hAnsi="Times New Roman" w:cs="Times New Roman"/>
          <w:iCs/>
          <w:sz w:val="24"/>
          <w:szCs w:val="24"/>
          <w:lang w:val="sr-Cyrl-RS"/>
        </w:rPr>
        <w:t>табеларни приказ</w:t>
      </w:r>
      <w:r w:rsidRPr="003E5020">
        <w:rPr>
          <w:rFonts w:ascii="Times New Roman" w:hAnsi="Times New Roman" w:cs="Times New Roman"/>
          <w:iCs/>
          <w:sz w:val="24"/>
          <w:szCs w:val="24"/>
          <w:lang w:val="sr-Cyrl-RS"/>
        </w:rPr>
        <w:t xml:space="preserve"> циљева Стратегије.</w:t>
      </w:r>
    </w:p>
    <w:p w14:paraId="71F23692" w14:textId="74246264" w:rsidR="00DC1A32" w:rsidRPr="003E5020" w:rsidRDefault="00DC1A32">
      <w:pPr>
        <w:ind w:left="851"/>
        <w:jc w:val="both"/>
        <w:rPr>
          <w:rFonts w:ascii="Times New Roman" w:hAnsi="Times New Roman" w:cs="Times New Roman"/>
          <w:iCs/>
          <w:sz w:val="24"/>
          <w:szCs w:val="24"/>
          <w:lang w:val="sr-Cyrl-RS"/>
        </w:rPr>
      </w:pPr>
    </w:p>
    <w:p w14:paraId="6181FD79" w14:textId="663D71C2" w:rsidR="00607DFF" w:rsidRPr="003E5020" w:rsidRDefault="00607DFF" w:rsidP="00607DFF">
      <w:pPr>
        <w:pStyle w:val="ListParagraph"/>
        <w:ind w:left="-142" w:firstLine="862"/>
        <w:jc w:val="both"/>
        <w:rPr>
          <w:rFonts w:ascii="Times New Roman" w:eastAsiaTheme="majorEastAsia" w:hAnsi="Times New Roman" w:cs="Times New Roman"/>
          <w:bCs/>
          <w:sz w:val="24"/>
          <w:szCs w:val="24"/>
          <w:lang w:val="sr-Cyrl-RS"/>
        </w:rPr>
      </w:pPr>
      <w:r w:rsidRPr="003E5020">
        <w:rPr>
          <w:rFonts w:ascii="Times New Roman" w:eastAsiaTheme="majorEastAsia" w:hAnsi="Times New Roman" w:cs="Times New Roman"/>
          <w:bCs/>
          <w:sz w:val="24"/>
          <w:szCs w:val="24"/>
          <w:lang w:val="sr-Cyrl-RS"/>
        </w:rPr>
        <w:t>Табела 3 – Преглед циљева Стратегије</w:t>
      </w:r>
    </w:p>
    <w:p w14:paraId="68DFA8F3" w14:textId="4FC5227F" w:rsidR="000B2EC7" w:rsidRPr="003E5020" w:rsidRDefault="000B2EC7">
      <w:pPr>
        <w:jc w:val="both"/>
        <w:rPr>
          <w:rFonts w:ascii="Times New Roman" w:hAnsi="Times New Roman" w:cs="Times New Roman"/>
          <w:i/>
          <w:sz w:val="24"/>
          <w:szCs w:val="24"/>
          <w:lang w:val="sr-Cyrl-RS"/>
        </w:rPr>
      </w:pPr>
    </w:p>
    <w:tbl>
      <w:tblPr>
        <w:tblStyle w:val="TableGrid"/>
        <w:tblW w:w="0" w:type="auto"/>
        <w:jc w:val="center"/>
        <w:tblLayout w:type="fixed"/>
        <w:tblLook w:val="04A0" w:firstRow="1" w:lastRow="0" w:firstColumn="1" w:lastColumn="0" w:noHBand="0" w:noVBand="1"/>
      </w:tblPr>
      <w:tblGrid>
        <w:gridCol w:w="2520"/>
        <w:gridCol w:w="2610"/>
        <w:gridCol w:w="3600"/>
      </w:tblGrid>
      <w:tr w:rsidR="003E5020" w:rsidRPr="003E5020" w14:paraId="13ABF1CF" w14:textId="77777777" w:rsidTr="00FF691C">
        <w:trPr>
          <w:trHeight w:val="1047"/>
          <w:jc w:val="center"/>
        </w:trPr>
        <w:tc>
          <w:tcPr>
            <w:tcW w:w="8730" w:type="dxa"/>
            <w:gridSpan w:val="3"/>
            <w:tcBorders>
              <w:bottom w:val="single" w:sz="4" w:space="0" w:color="auto"/>
            </w:tcBorders>
            <w:shd w:val="clear" w:color="auto" w:fill="2E74B5" w:themeFill="accent1" w:themeFillShade="BF"/>
          </w:tcPr>
          <w:p w14:paraId="3ABE3B1D" w14:textId="77777777" w:rsidR="004F5502" w:rsidRPr="003E5020" w:rsidRDefault="004F5502" w:rsidP="00FF691C">
            <w:pPr>
              <w:spacing w:before="80" w:after="80"/>
              <w:jc w:val="center"/>
              <w:rPr>
                <w:rFonts w:ascii="Times New Roman" w:hAnsi="Times New Roman" w:cs="Times New Roman"/>
                <w:b/>
                <w:shd w:val="clear" w:color="auto" w:fill="2E74B5" w:themeFill="accent1" w:themeFillShade="BF"/>
                <w:lang w:val="sr-Cyrl-RS"/>
              </w:rPr>
            </w:pPr>
            <w:r w:rsidRPr="003E5020">
              <w:rPr>
                <w:rFonts w:ascii="Times New Roman" w:hAnsi="Times New Roman" w:cs="Times New Roman"/>
                <w:b/>
                <w:shd w:val="clear" w:color="auto" w:fill="2E74B5" w:themeFill="accent1" w:themeFillShade="BF"/>
                <w:lang w:val="sr-Cyrl-RS"/>
              </w:rPr>
              <w:t>ОПШТИ ЦИЉ</w:t>
            </w:r>
          </w:p>
          <w:p w14:paraId="2EEEA13A" w14:textId="77777777" w:rsidR="004F5502" w:rsidRPr="003E5020" w:rsidRDefault="004F5502" w:rsidP="004F5502">
            <w:pPr>
              <w:spacing w:before="80" w:after="80"/>
              <w:jc w:val="center"/>
              <w:rPr>
                <w:rFonts w:ascii="Times New Roman" w:hAnsi="Times New Roman" w:cs="Times New Roman"/>
                <w:lang w:val="sr-Cyrl-RS"/>
              </w:rPr>
            </w:pPr>
            <w:r w:rsidRPr="003E5020">
              <w:rPr>
                <w:rFonts w:ascii="Times New Roman" w:hAnsi="Times New Roman" w:cs="Times New Roman"/>
                <w:b/>
                <w:shd w:val="clear" w:color="auto" w:fill="2E74B5" w:themeFill="accent1" w:themeFillShade="BF"/>
                <w:lang w:val="sr-Cyrl-RS"/>
              </w:rPr>
              <w:t>Успостављање и одрживи развој транспарентног,  савременог и ефикасног система управљања људским ресурсима у правосуђу  Републике Србије, ради јачања владавине права и правне сигурност грађана</w:t>
            </w:r>
          </w:p>
        </w:tc>
      </w:tr>
      <w:tr w:rsidR="003E5020" w:rsidRPr="003E5020" w14:paraId="2A70C212" w14:textId="77777777" w:rsidTr="00FF691C">
        <w:trPr>
          <w:trHeight w:val="349"/>
          <w:jc w:val="center"/>
        </w:trPr>
        <w:tc>
          <w:tcPr>
            <w:tcW w:w="8730" w:type="dxa"/>
            <w:gridSpan w:val="3"/>
            <w:shd w:val="clear" w:color="auto" w:fill="BDD6EE" w:themeFill="accent1" w:themeFillTint="66"/>
          </w:tcPr>
          <w:p w14:paraId="46684D78" w14:textId="77777777" w:rsidR="004F5502" w:rsidRPr="003E5020" w:rsidRDefault="004F5502" w:rsidP="004F5502">
            <w:pPr>
              <w:spacing w:before="80" w:after="80"/>
              <w:jc w:val="center"/>
              <w:rPr>
                <w:rFonts w:ascii="Times New Roman" w:hAnsi="Times New Roman" w:cs="Times New Roman"/>
                <w:lang w:val="sr-Cyrl-RS"/>
              </w:rPr>
            </w:pPr>
            <w:r w:rsidRPr="003E5020">
              <w:rPr>
                <w:rFonts w:ascii="Times New Roman" w:hAnsi="Times New Roman" w:cs="Times New Roman"/>
                <w:b/>
                <w:lang w:val="sr-Cyrl-RS"/>
              </w:rPr>
              <w:t>ПОСЕБНИ ЦИЉЕВИ</w:t>
            </w:r>
          </w:p>
        </w:tc>
      </w:tr>
      <w:tr w:rsidR="006B24D3" w:rsidRPr="003E5020" w14:paraId="5C934D0B" w14:textId="77777777" w:rsidTr="00FF691C">
        <w:trPr>
          <w:trHeight w:val="2120"/>
          <w:jc w:val="center"/>
        </w:trPr>
        <w:tc>
          <w:tcPr>
            <w:tcW w:w="2520" w:type="dxa"/>
          </w:tcPr>
          <w:p w14:paraId="42D1FF56" w14:textId="77777777" w:rsidR="006B24D3" w:rsidRPr="003E5020" w:rsidRDefault="006B24D3" w:rsidP="000A30F3">
            <w:pPr>
              <w:spacing w:before="80" w:after="80"/>
              <w:rPr>
                <w:rFonts w:ascii="Times New Roman" w:hAnsi="Times New Roman" w:cs="Times New Roman"/>
                <w:b/>
                <w:lang w:val="sr-Cyrl-RS"/>
              </w:rPr>
            </w:pPr>
            <w:r w:rsidRPr="003E5020">
              <w:rPr>
                <w:rFonts w:ascii="Times New Roman" w:hAnsi="Times New Roman" w:cs="Times New Roman"/>
                <w:b/>
                <w:lang w:val="sr-Cyrl-RS"/>
              </w:rPr>
              <w:t xml:space="preserve">ПОСЕБАН ЦИЉ 1:  </w:t>
            </w:r>
          </w:p>
          <w:p w14:paraId="0D3D5512" w14:textId="14BDE2DC" w:rsidR="00E5118A" w:rsidRPr="003E5020" w:rsidRDefault="00E5118A" w:rsidP="00FE64B8">
            <w:pPr>
              <w:spacing w:before="80" w:after="80"/>
              <w:rPr>
                <w:rFonts w:ascii="Times New Roman" w:hAnsi="Times New Roman" w:cs="Times New Roman"/>
                <w:lang w:val="sr-Cyrl-RS"/>
              </w:rPr>
            </w:pPr>
            <w:r w:rsidRPr="003E5020">
              <w:rPr>
                <w:rFonts w:ascii="Times New Roman" w:hAnsi="Times New Roman" w:cs="Times New Roman"/>
                <w:lang w:val="sr-Cyrl-RS"/>
              </w:rPr>
              <w:t xml:space="preserve">Успостављен отворен, објективан и транспарентан систем управљања људским ресурсима </w:t>
            </w:r>
            <w:r w:rsidRPr="003E5020" w:rsidDel="000F7BCA">
              <w:rPr>
                <w:rFonts w:ascii="Times New Roman" w:hAnsi="Times New Roman" w:cs="Times New Roman"/>
                <w:lang w:val="sr-Cyrl-RS"/>
              </w:rPr>
              <w:t xml:space="preserve"> </w:t>
            </w:r>
            <w:r w:rsidRPr="003E5020">
              <w:rPr>
                <w:rFonts w:ascii="Times New Roman" w:hAnsi="Times New Roman" w:cs="Times New Roman"/>
                <w:lang w:val="sr-Cyrl-RS"/>
              </w:rPr>
              <w:t xml:space="preserve"> у правосуђу Републике Србије</w:t>
            </w:r>
          </w:p>
        </w:tc>
        <w:tc>
          <w:tcPr>
            <w:tcW w:w="2610" w:type="dxa"/>
          </w:tcPr>
          <w:p w14:paraId="04F54A51" w14:textId="77777777" w:rsidR="006B24D3" w:rsidRPr="003E5020" w:rsidRDefault="006B24D3" w:rsidP="00DE7FC8">
            <w:pPr>
              <w:spacing w:before="80" w:after="80"/>
              <w:rPr>
                <w:rFonts w:ascii="Times New Roman" w:hAnsi="Times New Roman" w:cs="Times New Roman"/>
                <w:b/>
                <w:lang w:val="sr-Cyrl-RS"/>
              </w:rPr>
            </w:pPr>
            <w:r w:rsidRPr="003E5020">
              <w:rPr>
                <w:rFonts w:ascii="Times New Roman" w:hAnsi="Times New Roman" w:cs="Times New Roman"/>
                <w:b/>
                <w:lang w:val="sr-Cyrl-RS"/>
              </w:rPr>
              <w:t xml:space="preserve">ПОСЕБАН ЦИЉ 2: </w:t>
            </w:r>
            <w:r w:rsidRPr="003E5020">
              <w:rPr>
                <w:rFonts w:ascii="Times New Roman" w:hAnsi="Times New Roman" w:cs="Times New Roman"/>
                <w:lang w:val="sr-Cyrl-RS"/>
              </w:rPr>
              <w:t xml:space="preserve">    </w:t>
            </w:r>
          </w:p>
          <w:p w14:paraId="5130B06F" w14:textId="518D2866" w:rsidR="00E5118A" w:rsidRPr="003E5020" w:rsidRDefault="00E5118A" w:rsidP="00BD0D30">
            <w:pPr>
              <w:spacing w:before="80" w:after="80"/>
              <w:rPr>
                <w:rFonts w:ascii="Times New Roman" w:hAnsi="Times New Roman" w:cs="Times New Roman"/>
                <w:lang w:val="sr-Cyrl-RS"/>
              </w:rPr>
            </w:pPr>
            <w:r w:rsidRPr="003E5020">
              <w:rPr>
                <w:rFonts w:ascii="Times New Roman" w:hAnsi="Times New Roman" w:cs="Times New Roman"/>
                <w:lang w:val="sr-Cyrl-RS"/>
              </w:rPr>
              <w:t>Успостављене везе између транспарентног и делотворног система управљања, оцењивања, каријерног развоја и стручног усавршавања судског и тужилачког особља</w:t>
            </w:r>
          </w:p>
        </w:tc>
        <w:tc>
          <w:tcPr>
            <w:tcW w:w="3600" w:type="dxa"/>
          </w:tcPr>
          <w:p w14:paraId="02D33027" w14:textId="77777777" w:rsidR="006B24D3" w:rsidRPr="003E5020" w:rsidRDefault="006B24D3" w:rsidP="00BD0D30">
            <w:pPr>
              <w:spacing w:before="80" w:after="80"/>
              <w:rPr>
                <w:rFonts w:ascii="Times New Roman" w:hAnsi="Times New Roman" w:cs="Times New Roman"/>
                <w:b/>
                <w:lang w:val="sr-Cyrl-RS"/>
              </w:rPr>
            </w:pPr>
            <w:r w:rsidRPr="003E5020">
              <w:rPr>
                <w:rFonts w:ascii="Times New Roman" w:hAnsi="Times New Roman" w:cs="Times New Roman"/>
                <w:b/>
                <w:lang w:val="sr-Cyrl-RS"/>
              </w:rPr>
              <w:t xml:space="preserve">ПОСЕБАН ЦИЉ 3:   </w:t>
            </w:r>
          </w:p>
          <w:p w14:paraId="7FAAF559" w14:textId="2D71F80B" w:rsidR="006B24D3" w:rsidRPr="003E5020" w:rsidRDefault="00E5118A" w:rsidP="00BD0D30">
            <w:pPr>
              <w:spacing w:before="80" w:after="80"/>
              <w:rPr>
                <w:rFonts w:ascii="Times New Roman" w:hAnsi="Times New Roman" w:cs="Times New Roman"/>
                <w:lang w:val="sr-Cyrl-RS"/>
              </w:rPr>
            </w:pPr>
            <w:r w:rsidRPr="003E5020">
              <w:rPr>
                <w:rFonts w:ascii="Times New Roman" w:hAnsi="Times New Roman" w:cs="Times New Roman"/>
                <w:lang w:val="sr-Cyrl-RS"/>
              </w:rPr>
              <w:t>Успостављен систем стратешког планирања потреба за људским ресурсима у правосуђу, који је усклађен са обимом и структуром посла правосуђа, као и средњорочном пројекцијом буџетских средстава правосуђа и других неопходних ресурса</w:t>
            </w:r>
          </w:p>
        </w:tc>
      </w:tr>
    </w:tbl>
    <w:p w14:paraId="58C939E0" w14:textId="77777777" w:rsidR="004F5502" w:rsidRPr="003E5020" w:rsidRDefault="004F5502">
      <w:pPr>
        <w:jc w:val="both"/>
        <w:rPr>
          <w:rFonts w:ascii="Times New Roman" w:hAnsi="Times New Roman" w:cs="Times New Roman"/>
          <w:i/>
          <w:sz w:val="24"/>
          <w:szCs w:val="24"/>
          <w:lang w:val="sr-Cyrl-RS"/>
        </w:rPr>
      </w:pPr>
    </w:p>
    <w:p w14:paraId="245F75DD" w14:textId="73D38DB2" w:rsidR="00971C8C" w:rsidRPr="003E5020" w:rsidRDefault="00971C8C" w:rsidP="00E66733">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11" w:name="_Toc84778636"/>
      <w:r w:rsidRPr="003E5020">
        <w:rPr>
          <w:rFonts w:ascii="Times New Roman" w:hAnsi="Times New Roman" w:cs="Times New Roman"/>
          <w:color w:val="auto"/>
          <w:sz w:val="24"/>
          <w:szCs w:val="24"/>
          <w:lang w:val="sr-Cyrl-RS"/>
        </w:rPr>
        <w:t xml:space="preserve">Институције задужене за спровођење </w:t>
      </w:r>
      <w:r w:rsidR="00563DBA" w:rsidRPr="003E5020">
        <w:rPr>
          <w:rFonts w:ascii="Times New Roman" w:hAnsi="Times New Roman" w:cs="Times New Roman"/>
          <w:color w:val="auto"/>
          <w:sz w:val="24"/>
          <w:szCs w:val="24"/>
          <w:lang w:val="sr-Cyrl-RS"/>
        </w:rPr>
        <w:t>Стратегиј</w:t>
      </w:r>
      <w:r w:rsidR="00B254A5" w:rsidRPr="003E5020">
        <w:rPr>
          <w:rFonts w:ascii="Times New Roman" w:hAnsi="Times New Roman" w:cs="Times New Roman"/>
          <w:color w:val="auto"/>
          <w:sz w:val="24"/>
          <w:szCs w:val="24"/>
          <w:lang w:val="sr-Cyrl-RS"/>
        </w:rPr>
        <w:t xml:space="preserve">е </w:t>
      </w:r>
      <w:r w:rsidRPr="003E5020">
        <w:rPr>
          <w:rFonts w:ascii="Times New Roman" w:hAnsi="Times New Roman" w:cs="Times New Roman"/>
          <w:color w:val="auto"/>
          <w:sz w:val="24"/>
          <w:szCs w:val="24"/>
          <w:lang w:val="sr-Cyrl-RS"/>
        </w:rPr>
        <w:t>и надзор</w:t>
      </w:r>
      <w:r w:rsidR="00563DBA" w:rsidRPr="003E5020">
        <w:rPr>
          <w:rFonts w:ascii="Times New Roman" w:hAnsi="Times New Roman" w:cs="Times New Roman"/>
          <w:color w:val="auto"/>
          <w:sz w:val="24"/>
          <w:szCs w:val="24"/>
          <w:lang w:val="sr-Cyrl-RS"/>
        </w:rPr>
        <w:t xml:space="preserve"> над њеном применом</w:t>
      </w:r>
      <w:bookmarkEnd w:id="111"/>
    </w:p>
    <w:p w14:paraId="5BBA9F8A" w14:textId="3465351A" w:rsidR="00971C8C" w:rsidRPr="003E5020" w:rsidRDefault="00971C8C">
      <w:pPr>
        <w:jc w:val="both"/>
        <w:rPr>
          <w:rFonts w:ascii="Times New Roman" w:hAnsi="Times New Roman" w:cs="Times New Roman"/>
          <w:sz w:val="24"/>
          <w:szCs w:val="24"/>
          <w:lang w:val="sr-Cyrl-RS"/>
        </w:rPr>
      </w:pPr>
    </w:p>
    <w:p w14:paraId="29B2F98B" w14:textId="0C6D4C6C" w:rsidR="00971C8C" w:rsidRPr="003E5020" w:rsidRDefault="00971C8C">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прав</w:t>
      </w:r>
      <w:r w:rsidR="00AA5D07" w:rsidRPr="003E5020">
        <w:rPr>
          <w:rFonts w:ascii="Times New Roman" w:hAnsi="Times New Roman" w:cs="Times New Roman"/>
          <w:sz w:val="24"/>
          <w:szCs w:val="24"/>
          <w:lang w:val="sr-Cyrl-RS"/>
        </w:rPr>
        <w:t>д</w:t>
      </w:r>
      <w:r w:rsidRPr="003E5020">
        <w:rPr>
          <w:rFonts w:ascii="Times New Roman" w:hAnsi="Times New Roman" w:cs="Times New Roman"/>
          <w:sz w:val="24"/>
          <w:szCs w:val="24"/>
          <w:lang w:val="sr-Cyrl-RS"/>
        </w:rPr>
        <w:t>е</w:t>
      </w:r>
      <w:r w:rsidR="007611FF" w:rsidRPr="003E5020">
        <w:rPr>
          <w:rFonts w:ascii="Times New Roman" w:hAnsi="Times New Roman" w:cs="Times New Roman"/>
          <w:sz w:val="24"/>
          <w:szCs w:val="24"/>
          <w:lang w:val="sr-Cyrl-RS"/>
        </w:rPr>
        <w:t>,</w:t>
      </w:r>
    </w:p>
    <w:p w14:paraId="7F45738E" w14:textId="36BE1A03" w:rsidR="00971C8C" w:rsidRPr="003E5020" w:rsidRDefault="00971C8C">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Високи савет судства</w:t>
      </w:r>
      <w:r w:rsidR="00563DBA" w:rsidRPr="003E5020">
        <w:rPr>
          <w:rFonts w:ascii="Times New Roman" w:hAnsi="Times New Roman" w:cs="Times New Roman"/>
          <w:sz w:val="24"/>
          <w:szCs w:val="24"/>
          <w:lang w:val="sr-Cyrl-RS"/>
        </w:rPr>
        <w:t>,</w:t>
      </w:r>
    </w:p>
    <w:p w14:paraId="4513F057" w14:textId="649FBD30" w:rsidR="00971C8C" w:rsidRPr="003E5020" w:rsidRDefault="007E4414">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Државно веће тужилаца</w:t>
      </w:r>
      <w:r w:rsidR="00563DBA" w:rsidRPr="003E5020">
        <w:rPr>
          <w:rFonts w:ascii="Times New Roman" w:hAnsi="Times New Roman" w:cs="Times New Roman"/>
          <w:sz w:val="24"/>
          <w:szCs w:val="24"/>
          <w:lang w:val="sr-Cyrl-RS"/>
        </w:rPr>
        <w:t>,</w:t>
      </w:r>
    </w:p>
    <w:p w14:paraId="5C770267" w14:textId="66683572" w:rsidR="00D204CF" w:rsidRPr="003E5020" w:rsidRDefault="00D204CF">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Врховни касациони суд</w:t>
      </w:r>
      <w:r w:rsidR="00563DBA" w:rsidRPr="003E5020">
        <w:rPr>
          <w:rFonts w:ascii="Times New Roman" w:hAnsi="Times New Roman" w:cs="Times New Roman"/>
          <w:sz w:val="24"/>
          <w:szCs w:val="24"/>
          <w:lang w:val="sr-Cyrl-RS"/>
        </w:rPr>
        <w:t>,</w:t>
      </w:r>
    </w:p>
    <w:p w14:paraId="1ADFC6B6" w14:textId="6FA227BD" w:rsidR="00D204CF" w:rsidRPr="003E5020" w:rsidRDefault="00D204CF">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Републичко јавно тужилаштво</w:t>
      </w:r>
      <w:r w:rsidR="00563DBA" w:rsidRPr="003E5020">
        <w:rPr>
          <w:rFonts w:ascii="Times New Roman" w:hAnsi="Times New Roman" w:cs="Times New Roman"/>
          <w:sz w:val="24"/>
          <w:szCs w:val="24"/>
          <w:lang w:val="sr-Cyrl-RS"/>
        </w:rPr>
        <w:t>,</w:t>
      </w:r>
    </w:p>
    <w:p w14:paraId="0CCEA48B" w14:textId="62D12665" w:rsidR="00D204CF" w:rsidRPr="003E5020" w:rsidRDefault="00E27C42">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С</w:t>
      </w:r>
      <w:r w:rsidR="00D204CF" w:rsidRPr="003E5020">
        <w:rPr>
          <w:rFonts w:ascii="Times New Roman" w:hAnsi="Times New Roman" w:cs="Times New Roman"/>
          <w:sz w:val="24"/>
          <w:szCs w:val="24"/>
          <w:lang w:val="sr-Cyrl-RS"/>
        </w:rPr>
        <w:t>удови</w:t>
      </w:r>
      <w:r w:rsidRPr="003E5020">
        <w:rPr>
          <w:rFonts w:ascii="Times New Roman" w:hAnsi="Times New Roman" w:cs="Times New Roman"/>
          <w:sz w:val="24"/>
          <w:szCs w:val="24"/>
          <w:lang w:val="sr-Cyrl-RS"/>
        </w:rPr>
        <w:t>,</w:t>
      </w:r>
    </w:p>
    <w:p w14:paraId="44AD0584" w14:textId="5A4F59D5" w:rsidR="00546CC4" w:rsidRPr="003E5020" w:rsidRDefault="00B254A5">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ј</w:t>
      </w:r>
      <w:r w:rsidR="00563DBA" w:rsidRPr="003E5020">
        <w:rPr>
          <w:rFonts w:ascii="Times New Roman" w:hAnsi="Times New Roman" w:cs="Times New Roman"/>
          <w:sz w:val="24"/>
          <w:szCs w:val="24"/>
          <w:lang w:val="sr-Cyrl-RS"/>
        </w:rPr>
        <w:t>авна т</w:t>
      </w:r>
      <w:r w:rsidR="00D204CF" w:rsidRPr="003E5020">
        <w:rPr>
          <w:rFonts w:ascii="Times New Roman" w:hAnsi="Times New Roman" w:cs="Times New Roman"/>
          <w:sz w:val="24"/>
          <w:szCs w:val="24"/>
          <w:lang w:val="sr-Cyrl-RS"/>
        </w:rPr>
        <w:t>ужилаштва</w:t>
      </w:r>
      <w:r w:rsidR="00E27C42" w:rsidRPr="003E5020">
        <w:rPr>
          <w:rFonts w:ascii="Times New Roman" w:hAnsi="Times New Roman" w:cs="Times New Roman"/>
          <w:sz w:val="24"/>
          <w:szCs w:val="24"/>
          <w:lang w:val="sr-Cyrl-RS"/>
        </w:rPr>
        <w:t xml:space="preserve"> и</w:t>
      </w:r>
    </w:p>
    <w:p w14:paraId="3136362B" w14:textId="3E9E39BA" w:rsidR="00B47443" w:rsidRPr="003E5020" w:rsidRDefault="00B47443">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финансија,</w:t>
      </w:r>
    </w:p>
    <w:p w14:paraId="1FDA141A" w14:textId="6EB62833" w:rsidR="000A24D0" w:rsidRPr="003E5020" w:rsidRDefault="00546CC4">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Правосудна академија</w:t>
      </w:r>
      <w:r w:rsidR="00563DBA" w:rsidRPr="003E5020">
        <w:rPr>
          <w:rFonts w:ascii="Times New Roman" w:hAnsi="Times New Roman" w:cs="Times New Roman"/>
          <w:sz w:val="24"/>
          <w:szCs w:val="24"/>
          <w:lang w:val="sr-Cyrl-RS"/>
        </w:rPr>
        <w:t>.</w:t>
      </w:r>
      <w:r w:rsidR="00D204CF" w:rsidRPr="003E5020">
        <w:rPr>
          <w:rFonts w:ascii="Times New Roman" w:hAnsi="Times New Roman" w:cs="Times New Roman"/>
          <w:sz w:val="24"/>
          <w:szCs w:val="24"/>
          <w:lang w:val="sr-Cyrl-RS"/>
        </w:rPr>
        <w:t xml:space="preserve"> </w:t>
      </w:r>
      <w:r w:rsidR="000A24D0" w:rsidRPr="003E5020">
        <w:rPr>
          <w:rFonts w:ascii="Times New Roman" w:hAnsi="Times New Roman" w:cs="Times New Roman"/>
          <w:sz w:val="24"/>
          <w:szCs w:val="24"/>
          <w:lang w:val="sr-Cyrl-RS"/>
        </w:rPr>
        <w:t xml:space="preserve"> </w:t>
      </w:r>
    </w:p>
    <w:p w14:paraId="0CCE4D74" w14:textId="1D1BBA86" w:rsidR="00971C8C" w:rsidRPr="003E5020" w:rsidRDefault="00971C8C">
      <w:pPr>
        <w:jc w:val="both"/>
        <w:rPr>
          <w:rFonts w:ascii="Times New Roman" w:hAnsi="Times New Roman" w:cs="Times New Roman"/>
          <w:sz w:val="24"/>
          <w:szCs w:val="24"/>
          <w:lang w:val="sr-Cyrl-RS"/>
        </w:rPr>
      </w:pPr>
    </w:p>
    <w:p w14:paraId="117122DF" w14:textId="4F8B1535" w:rsidR="0067794C" w:rsidRPr="003E5020" w:rsidRDefault="00D01B52" w:rsidP="00E66733">
      <w:pPr>
        <w:pStyle w:val="Heading2"/>
        <w:numPr>
          <w:ilvl w:val="1"/>
          <w:numId w:val="2"/>
        </w:numPr>
        <w:spacing w:before="0"/>
        <w:ind w:left="851" w:hanging="851"/>
        <w:jc w:val="both"/>
        <w:rPr>
          <w:rFonts w:ascii="Times New Roman" w:hAnsi="Times New Roman" w:cs="Times New Roman"/>
          <w:color w:val="auto"/>
          <w:sz w:val="24"/>
          <w:szCs w:val="24"/>
          <w:lang w:val="sr-Cyrl-RS"/>
        </w:rPr>
      </w:pPr>
      <w:bookmarkStart w:id="112" w:name="_Toc84778637"/>
      <w:r w:rsidRPr="003E5020">
        <w:rPr>
          <w:rFonts w:ascii="Times New Roman" w:hAnsi="Times New Roman" w:cs="Times New Roman"/>
          <w:color w:val="auto"/>
          <w:sz w:val="24"/>
          <w:szCs w:val="24"/>
          <w:lang w:val="sr-Cyrl-RS"/>
        </w:rPr>
        <w:t>Показатељ</w:t>
      </w:r>
      <w:r w:rsidR="0067794C" w:rsidRPr="003E5020">
        <w:rPr>
          <w:rFonts w:ascii="Times New Roman" w:hAnsi="Times New Roman" w:cs="Times New Roman"/>
          <w:color w:val="auto"/>
          <w:sz w:val="24"/>
          <w:szCs w:val="24"/>
          <w:lang w:val="sr-Cyrl-RS"/>
        </w:rPr>
        <w:t>и</w:t>
      </w:r>
      <w:r w:rsidRPr="003E5020">
        <w:rPr>
          <w:rFonts w:ascii="Times New Roman" w:hAnsi="Times New Roman" w:cs="Times New Roman"/>
          <w:color w:val="auto"/>
          <w:sz w:val="24"/>
          <w:szCs w:val="24"/>
          <w:lang w:val="sr-Cyrl-RS"/>
        </w:rPr>
        <w:t xml:space="preserve"> учинка</w:t>
      </w:r>
      <w:r w:rsidR="009A3B00" w:rsidRPr="003E5020">
        <w:rPr>
          <w:rFonts w:ascii="Times New Roman" w:hAnsi="Times New Roman" w:cs="Times New Roman"/>
          <w:color w:val="auto"/>
          <w:sz w:val="24"/>
          <w:szCs w:val="24"/>
          <w:lang w:val="sr-Cyrl-RS"/>
        </w:rPr>
        <w:t xml:space="preserve"> на нивоу општег циља</w:t>
      </w:r>
      <w:bookmarkEnd w:id="112"/>
    </w:p>
    <w:p w14:paraId="09D75D48" w14:textId="48355DC5" w:rsidR="0067794C" w:rsidRPr="003E5020" w:rsidRDefault="0067794C">
      <w:pPr>
        <w:jc w:val="both"/>
        <w:rPr>
          <w:rFonts w:ascii="Times New Roman" w:hAnsi="Times New Roman" w:cs="Times New Roman"/>
          <w:sz w:val="24"/>
          <w:szCs w:val="24"/>
          <w:lang w:val="sr-Cyrl-RS"/>
        </w:rPr>
      </w:pPr>
    </w:p>
    <w:p w14:paraId="59A1EDEF" w14:textId="77777777" w:rsidR="008A29C8" w:rsidRPr="003E5020" w:rsidRDefault="008A29C8" w:rsidP="00A23055">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 нивоу општег циља, Стратегија идентификује следеће показатеље учинка:</w:t>
      </w:r>
    </w:p>
    <w:p w14:paraId="7D25D6DE" w14:textId="77777777" w:rsidR="008A29C8" w:rsidRPr="003E5020" w:rsidRDefault="008A29C8" w:rsidP="00A23055">
      <w:pPr>
        <w:ind w:left="851"/>
        <w:jc w:val="both"/>
        <w:rPr>
          <w:rFonts w:ascii="Times New Roman" w:hAnsi="Times New Roman" w:cs="Times New Roman"/>
          <w:sz w:val="24"/>
          <w:szCs w:val="24"/>
          <w:lang w:val="sr-Cyrl-RS"/>
        </w:rPr>
      </w:pPr>
    </w:p>
    <w:p w14:paraId="3EE1AAC6" w14:textId="7C08DA3B" w:rsidR="000B7478" w:rsidRPr="003E5020" w:rsidRDefault="000B7478" w:rsidP="00A23055">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Задовољство запослених условима рада у правосуђу</w:t>
      </w:r>
      <w:r w:rsidRPr="003E5020">
        <w:rPr>
          <w:rFonts w:ascii="Times New Roman" w:hAnsi="Times New Roman" w:cs="Times New Roman"/>
          <w:sz w:val="24"/>
          <w:szCs w:val="24"/>
          <w:lang w:val="sr-Cyrl-RS"/>
        </w:rPr>
        <w:t>,</w:t>
      </w:r>
      <w:r w:rsidRPr="003E5020">
        <w:rPr>
          <w:rFonts w:ascii="Times New Roman" w:hAnsi="Times New Roman" w:cs="Times New Roman"/>
          <w:b/>
          <w:sz w:val="24"/>
          <w:szCs w:val="24"/>
          <w:lang w:val="sr-Cyrl-RS"/>
        </w:rPr>
        <w:t xml:space="preserve"> </w:t>
      </w:r>
      <w:r w:rsidRPr="003E5020">
        <w:rPr>
          <w:rFonts w:ascii="Times New Roman" w:hAnsi="Times New Roman" w:cs="Times New Roman"/>
          <w:sz w:val="24"/>
          <w:szCs w:val="24"/>
          <w:lang w:val="sr-Cyrl-RS"/>
        </w:rPr>
        <w:t>које се мери у односу на проценат (%) задовољних запосленика испитаних у времену пре почетка примене Стратегије, са пропорцијалним растом процента задовољних лица која су запослена у правосуђу од 5% за сваку годину примене Стратегије, односно укупно 25% у последњој години њене примене. Наведени раст ће се мерити путем независног истраживања које ће бити спроведено од стране стручне организације за истраживање јавног мњења и</w:t>
      </w:r>
      <w:r w:rsidR="00F661E0"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као такво</w:t>
      </w:r>
      <w:r w:rsidR="00F661E0"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ће бити објављено од стране Министарства правде.</w:t>
      </w:r>
    </w:p>
    <w:p w14:paraId="4E1D3366" w14:textId="77777777" w:rsidR="000964A5" w:rsidRPr="003E5020" w:rsidRDefault="000964A5" w:rsidP="00A23055">
      <w:pPr>
        <w:pStyle w:val="ListParagraph"/>
        <w:ind w:left="1571"/>
        <w:jc w:val="both"/>
        <w:rPr>
          <w:rFonts w:ascii="Times New Roman" w:hAnsi="Times New Roman" w:cs="Times New Roman"/>
          <w:sz w:val="24"/>
          <w:szCs w:val="24"/>
          <w:lang w:val="sr-Cyrl-RS"/>
        </w:rPr>
      </w:pPr>
    </w:p>
    <w:p w14:paraId="7B61F367" w14:textId="7AA8FD92" w:rsidR="000964A5" w:rsidRPr="003E5020" w:rsidRDefault="000964A5" w:rsidP="00A23055">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Стопа одлива кадрова из правосуђа</w:t>
      </w:r>
      <w:r w:rsidRPr="003E5020">
        <w:rPr>
          <w:rFonts w:ascii="Times New Roman" w:hAnsi="Times New Roman" w:cs="Times New Roman"/>
          <w:sz w:val="24"/>
          <w:szCs w:val="24"/>
          <w:lang w:val="sr-Cyrl-RS"/>
        </w:rPr>
        <w:t xml:space="preserve">, које се мери у односу на стопу запослених лица која су напустила радно ангажовање у правосуђу (не укључује број пензионисаних лица), а која је иницијално измерена, пре почетка примене Стратегије, са пропорцијалним </w:t>
      </w:r>
      <w:r w:rsidR="00787A45" w:rsidRPr="003E5020">
        <w:rPr>
          <w:rFonts w:ascii="Times New Roman" w:hAnsi="Times New Roman" w:cs="Times New Roman"/>
          <w:sz w:val="24"/>
          <w:szCs w:val="24"/>
          <w:lang w:val="sr-Cyrl-RS"/>
        </w:rPr>
        <w:t>смањењем</w:t>
      </w:r>
      <w:r w:rsidRPr="003E5020">
        <w:rPr>
          <w:rFonts w:ascii="Times New Roman" w:hAnsi="Times New Roman" w:cs="Times New Roman"/>
          <w:sz w:val="24"/>
          <w:szCs w:val="24"/>
          <w:lang w:val="sr-Cyrl-RS"/>
        </w:rPr>
        <w:t xml:space="preserve"> процента лица која</w:t>
      </w:r>
      <w:r w:rsidR="00787A45" w:rsidRPr="003E5020">
        <w:rPr>
          <w:rFonts w:ascii="Times New Roman" w:hAnsi="Times New Roman" w:cs="Times New Roman"/>
          <w:sz w:val="24"/>
          <w:szCs w:val="24"/>
          <w:lang w:val="sr-Cyrl-RS"/>
        </w:rPr>
        <w:t xml:space="preserve"> напуштају рад у правосуђу</w:t>
      </w:r>
      <w:r w:rsidRPr="003E5020">
        <w:rPr>
          <w:rFonts w:ascii="Times New Roman" w:hAnsi="Times New Roman" w:cs="Times New Roman"/>
          <w:sz w:val="24"/>
          <w:szCs w:val="24"/>
          <w:lang w:val="sr-Cyrl-RS"/>
        </w:rPr>
        <w:t xml:space="preserve"> од 5% за сваку годину примене Стратегије, односно укупно 25% у последњој години њене примене. Наведени раст ће се </w:t>
      </w:r>
      <w:r w:rsidR="00787A45" w:rsidRPr="003E5020">
        <w:rPr>
          <w:rFonts w:ascii="Times New Roman" w:hAnsi="Times New Roman" w:cs="Times New Roman"/>
          <w:sz w:val="24"/>
          <w:szCs w:val="24"/>
          <w:lang w:val="sr-Cyrl-RS"/>
        </w:rPr>
        <w:t>пратити и подаци објављивати од стране Министарства правде.</w:t>
      </w:r>
    </w:p>
    <w:p w14:paraId="2C384958" w14:textId="77777777" w:rsidR="00F72E87" w:rsidRPr="003E5020" w:rsidRDefault="00F72E87" w:rsidP="00A23055">
      <w:pPr>
        <w:pStyle w:val="ListParagraph"/>
        <w:ind w:left="1571"/>
        <w:jc w:val="both"/>
        <w:rPr>
          <w:rFonts w:ascii="Times New Roman" w:hAnsi="Times New Roman" w:cs="Times New Roman"/>
          <w:sz w:val="24"/>
          <w:szCs w:val="24"/>
          <w:lang w:val="sr-Cyrl-RS"/>
        </w:rPr>
      </w:pPr>
    </w:p>
    <w:p w14:paraId="30173EC1" w14:textId="074FE0C9" w:rsidR="00F72E87" w:rsidRPr="003E5020" w:rsidRDefault="00F72E87" w:rsidP="00A23055">
      <w:pPr>
        <w:pStyle w:val="ListParagraph"/>
        <w:numPr>
          <w:ilvl w:val="0"/>
          <w:numId w:val="6"/>
        </w:numPr>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 xml:space="preserve">Повећана </w:t>
      </w:r>
      <w:r w:rsidR="008B7E5A" w:rsidRPr="003E5020">
        <w:rPr>
          <w:rFonts w:ascii="Times New Roman" w:hAnsi="Times New Roman" w:cs="Times New Roman"/>
          <w:b/>
          <w:sz w:val="24"/>
          <w:szCs w:val="24"/>
          <w:lang w:val="sr-Cyrl-RS"/>
        </w:rPr>
        <w:t>ефикасност</w:t>
      </w:r>
      <w:r w:rsidRPr="003E5020">
        <w:rPr>
          <w:rFonts w:ascii="Times New Roman" w:hAnsi="Times New Roman" w:cs="Times New Roman"/>
          <w:b/>
          <w:sz w:val="24"/>
          <w:szCs w:val="24"/>
          <w:lang w:val="sr-Cyrl-RS"/>
        </w:rPr>
        <w:t xml:space="preserve"> правосудних органа</w:t>
      </w:r>
      <w:r w:rsidR="000A30F3" w:rsidRPr="003E5020">
        <w:rPr>
          <w:rFonts w:ascii="Times New Roman" w:hAnsi="Times New Roman" w:cs="Times New Roman"/>
          <w:bCs/>
          <w:sz w:val="24"/>
          <w:szCs w:val="24"/>
          <w:lang w:val="sr-Cyrl-RS"/>
        </w:rPr>
        <w:t>,</w:t>
      </w:r>
      <w:r w:rsidRPr="003E5020">
        <w:rPr>
          <w:rFonts w:ascii="Times New Roman" w:hAnsi="Times New Roman" w:cs="Times New Roman"/>
          <w:b/>
          <w:sz w:val="24"/>
          <w:szCs w:val="24"/>
          <w:lang w:val="sr-Cyrl-RS"/>
        </w:rPr>
        <w:t xml:space="preserve"> </w:t>
      </w:r>
      <w:r w:rsidR="000A30F3" w:rsidRPr="003E5020">
        <w:rPr>
          <w:rFonts w:ascii="Times New Roman" w:hAnsi="Times New Roman" w:cs="Times New Roman"/>
          <w:bCs/>
          <w:sz w:val="24"/>
          <w:szCs w:val="24"/>
          <w:lang w:val="sr-Cyrl-RS"/>
        </w:rPr>
        <w:t>која се мери смањењем укупног броја нерешених предмета</w:t>
      </w:r>
      <w:r w:rsidR="0094624E" w:rsidRPr="003E5020">
        <w:rPr>
          <w:rFonts w:ascii="Times New Roman" w:hAnsi="Times New Roman" w:cs="Times New Roman"/>
          <w:bCs/>
          <w:sz w:val="24"/>
          <w:szCs w:val="24"/>
          <w:lang w:val="sr-Cyrl-RS"/>
        </w:rPr>
        <w:t xml:space="preserve">, затим старих предмета, краћим трајањем судских поступака </w:t>
      </w:r>
      <w:r w:rsidR="000A30F3" w:rsidRPr="003E5020">
        <w:rPr>
          <w:rFonts w:ascii="Times New Roman" w:hAnsi="Times New Roman" w:cs="Times New Roman"/>
          <w:bCs/>
          <w:sz w:val="24"/>
          <w:szCs w:val="24"/>
          <w:lang w:val="sr-Cyrl-RS"/>
        </w:rPr>
        <w:t>за сваку годину примене Стратегије,</w:t>
      </w:r>
      <w:r w:rsidR="003911DA" w:rsidRPr="003E5020">
        <w:rPr>
          <w:rFonts w:ascii="Times New Roman" w:hAnsi="Times New Roman" w:cs="Times New Roman"/>
          <w:bCs/>
          <w:sz w:val="24"/>
          <w:szCs w:val="24"/>
          <w:lang w:val="sr-Cyrl-RS"/>
        </w:rPr>
        <w:t xml:space="preserve"> као и повећаним савладавањем прилива предмета,</w:t>
      </w:r>
      <w:r w:rsidR="000A30F3" w:rsidRPr="003E5020">
        <w:rPr>
          <w:rFonts w:ascii="Times New Roman" w:hAnsi="Times New Roman" w:cs="Times New Roman"/>
          <w:bCs/>
          <w:sz w:val="24"/>
          <w:szCs w:val="24"/>
          <w:lang w:val="sr-Cyrl-RS"/>
        </w:rPr>
        <w:t xml:space="preserve"> </w:t>
      </w:r>
      <w:r w:rsidR="0094624E" w:rsidRPr="003E5020">
        <w:rPr>
          <w:rFonts w:ascii="Times New Roman" w:hAnsi="Times New Roman" w:cs="Times New Roman"/>
          <w:bCs/>
          <w:sz w:val="24"/>
          <w:szCs w:val="24"/>
          <w:lang w:val="sr-Cyrl-RS"/>
        </w:rPr>
        <w:t>при чему ће стопа старих предмета у последњој години примене Стратегије бити смањена за 3</w:t>
      </w:r>
      <w:r w:rsidR="000A30F3" w:rsidRPr="003E5020">
        <w:rPr>
          <w:rFonts w:ascii="Times New Roman" w:hAnsi="Times New Roman" w:cs="Times New Roman"/>
          <w:bCs/>
          <w:sz w:val="24"/>
          <w:szCs w:val="24"/>
          <w:lang w:val="sr-Cyrl-RS"/>
        </w:rPr>
        <w:t xml:space="preserve">% у </w:t>
      </w:r>
      <w:r w:rsidR="0094624E" w:rsidRPr="003E5020">
        <w:rPr>
          <w:rFonts w:ascii="Times New Roman" w:hAnsi="Times New Roman" w:cs="Times New Roman"/>
          <w:bCs/>
          <w:sz w:val="24"/>
          <w:szCs w:val="24"/>
          <w:lang w:val="sr-Cyrl-RS"/>
        </w:rPr>
        <w:t xml:space="preserve">односу </w:t>
      </w:r>
      <w:r w:rsidR="00036018" w:rsidRPr="003E5020">
        <w:rPr>
          <w:rFonts w:ascii="Times New Roman" w:hAnsi="Times New Roman" w:cs="Times New Roman"/>
          <w:bCs/>
          <w:sz w:val="24"/>
          <w:szCs w:val="24"/>
          <w:lang w:val="sr-Cyrl-RS"/>
        </w:rPr>
        <w:t>на укупан број нерешених предмета</w:t>
      </w:r>
      <w:r w:rsidR="003911DA" w:rsidRPr="003E5020">
        <w:rPr>
          <w:rFonts w:ascii="Times New Roman" w:hAnsi="Times New Roman" w:cs="Times New Roman"/>
          <w:bCs/>
          <w:sz w:val="24"/>
          <w:szCs w:val="24"/>
          <w:lang w:val="sr-Cyrl-RS"/>
        </w:rPr>
        <w:t>, док ће проблем прилива предмета бити у целости савладан</w:t>
      </w:r>
      <w:r w:rsidR="000A30F3" w:rsidRPr="003E5020">
        <w:rPr>
          <w:rFonts w:ascii="Times New Roman" w:hAnsi="Times New Roman" w:cs="Times New Roman"/>
          <w:bCs/>
          <w:sz w:val="24"/>
          <w:szCs w:val="24"/>
          <w:lang w:val="sr-Cyrl-RS"/>
        </w:rPr>
        <w:t>. Наведен</w:t>
      </w:r>
      <w:r w:rsidR="00303740" w:rsidRPr="003E5020">
        <w:rPr>
          <w:rFonts w:ascii="Times New Roman" w:hAnsi="Times New Roman" w:cs="Times New Roman"/>
          <w:bCs/>
          <w:sz w:val="24"/>
          <w:szCs w:val="24"/>
          <w:lang w:val="sr-Cyrl-RS"/>
        </w:rPr>
        <w:t>о</w:t>
      </w:r>
      <w:r w:rsidR="000A30F3" w:rsidRPr="003E5020">
        <w:rPr>
          <w:rFonts w:ascii="Times New Roman" w:hAnsi="Times New Roman" w:cs="Times New Roman"/>
          <w:bCs/>
          <w:sz w:val="24"/>
          <w:szCs w:val="24"/>
          <w:lang w:val="sr-Cyrl-RS"/>
        </w:rPr>
        <w:t xml:space="preserve"> ће се пратити и подаци </w:t>
      </w:r>
      <w:r w:rsidR="00217706" w:rsidRPr="003E5020">
        <w:rPr>
          <w:rFonts w:ascii="Times New Roman" w:hAnsi="Times New Roman" w:cs="Times New Roman"/>
          <w:bCs/>
          <w:sz w:val="24"/>
          <w:szCs w:val="24"/>
          <w:lang w:val="sr-Cyrl-RS"/>
        </w:rPr>
        <w:t xml:space="preserve">с тим у вези ће </w:t>
      </w:r>
      <w:r w:rsidR="00303740" w:rsidRPr="003E5020">
        <w:rPr>
          <w:rFonts w:ascii="Times New Roman" w:hAnsi="Times New Roman" w:cs="Times New Roman"/>
          <w:bCs/>
          <w:sz w:val="24"/>
          <w:szCs w:val="24"/>
          <w:lang w:val="sr-Cyrl-RS"/>
        </w:rPr>
        <w:t xml:space="preserve">бити </w:t>
      </w:r>
      <w:r w:rsidR="000A30F3" w:rsidRPr="003E5020">
        <w:rPr>
          <w:rFonts w:ascii="Times New Roman" w:hAnsi="Times New Roman" w:cs="Times New Roman"/>
          <w:bCs/>
          <w:sz w:val="24"/>
          <w:szCs w:val="24"/>
          <w:lang w:val="sr-Cyrl-RS"/>
        </w:rPr>
        <w:t>објављива</w:t>
      </w:r>
      <w:r w:rsidR="00303740" w:rsidRPr="003E5020">
        <w:rPr>
          <w:rFonts w:ascii="Times New Roman" w:hAnsi="Times New Roman" w:cs="Times New Roman"/>
          <w:bCs/>
          <w:sz w:val="24"/>
          <w:szCs w:val="24"/>
          <w:lang w:val="sr-Cyrl-RS"/>
        </w:rPr>
        <w:t>н</w:t>
      </w:r>
      <w:r w:rsidR="000A30F3" w:rsidRPr="003E5020">
        <w:rPr>
          <w:rFonts w:ascii="Times New Roman" w:hAnsi="Times New Roman" w:cs="Times New Roman"/>
          <w:bCs/>
          <w:sz w:val="24"/>
          <w:szCs w:val="24"/>
          <w:lang w:val="sr-Cyrl-RS"/>
        </w:rPr>
        <w:t xml:space="preserve">и од стране Врховног касационог суда. </w:t>
      </w:r>
    </w:p>
    <w:p w14:paraId="71C3C5A9" w14:textId="73C3ADF8" w:rsidR="000964A5" w:rsidRPr="003E5020" w:rsidRDefault="000964A5">
      <w:pPr>
        <w:jc w:val="both"/>
        <w:rPr>
          <w:rFonts w:ascii="Times New Roman" w:hAnsi="Times New Roman" w:cs="Times New Roman"/>
          <w:sz w:val="24"/>
          <w:szCs w:val="24"/>
          <w:lang w:val="sr-Cyrl-RS"/>
        </w:rPr>
      </w:pPr>
    </w:p>
    <w:p w14:paraId="53B2EDCB" w14:textId="07ABD7C1" w:rsidR="00EB355E" w:rsidRPr="003E5020" w:rsidRDefault="00EB355E" w:rsidP="00BE043D">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13" w:name="_ПОСЕБНИ_ЦИЉЕВИ"/>
      <w:bookmarkStart w:id="114" w:name="_Toc84778638"/>
      <w:bookmarkEnd w:id="113"/>
      <w:r w:rsidRPr="003E5020">
        <w:rPr>
          <w:rFonts w:ascii="Times New Roman" w:hAnsi="Times New Roman" w:cs="Times New Roman"/>
          <w:color w:val="auto"/>
          <w:sz w:val="24"/>
          <w:szCs w:val="24"/>
          <w:lang w:val="sr-Cyrl-RS"/>
        </w:rPr>
        <w:t>П</w:t>
      </w:r>
      <w:r w:rsidR="003806C3" w:rsidRPr="003E5020">
        <w:rPr>
          <w:rFonts w:ascii="Times New Roman" w:hAnsi="Times New Roman" w:cs="Times New Roman"/>
          <w:color w:val="auto"/>
          <w:sz w:val="24"/>
          <w:szCs w:val="24"/>
          <w:lang w:val="sr-Cyrl-RS"/>
        </w:rPr>
        <w:t>ОСЕБНИ ЦИЉЕВИ</w:t>
      </w:r>
      <w:bookmarkEnd w:id="114"/>
    </w:p>
    <w:p w14:paraId="21B09C92" w14:textId="77777777" w:rsidR="00274376" w:rsidRPr="003E5020" w:rsidRDefault="00274376">
      <w:pPr>
        <w:ind w:left="851"/>
        <w:jc w:val="both"/>
        <w:rPr>
          <w:rFonts w:ascii="Times New Roman" w:hAnsi="Times New Roman" w:cs="Times New Roman"/>
          <w:sz w:val="24"/>
          <w:szCs w:val="24"/>
          <w:lang w:val="sr-Cyrl-RS"/>
        </w:rPr>
      </w:pPr>
    </w:p>
    <w:p w14:paraId="0B96BAC2" w14:textId="1B729211" w:rsidR="001B1303" w:rsidRPr="003E5020" w:rsidDel="00546CC4" w:rsidRDefault="00546CC4">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Стратегија има укупно </w:t>
      </w:r>
      <w:r w:rsidR="00036018" w:rsidRPr="003E5020">
        <w:rPr>
          <w:rFonts w:ascii="Times New Roman" w:hAnsi="Times New Roman" w:cs="Times New Roman"/>
          <w:sz w:val="24"/>
          <w:szCs w:val="24"/>
          <w:lang w:val="sr-Cyrl-RS"/>
        </w:rPr>
        <w:t xml:space="preserve">три </w:t>
      </w:r>
      <w:r w:rsidRPr="003E5020">
        <w:rPr>
          <w:rFonts w:ascii="Times New Roman" w:hAnsi="Times New Roman" w:cs="Times New Roman"/>
          <w:sz w:val="24"/>
          <w:szCs w:val="24"/>
          <w:lang w:val="sr-Cyrl-RS"/>
        </w:rPr>
        <w:t>(</w:t>
      </w:r>
      <w:r w:rsidR="00036018" w:rsidRPr="003E5020">
        <w:rPr>
          <w:rFonts w:ascii="Times New Roman" w:hAnsi="Times New Roman" w:cs="Times New Roman"/>
          <w:sz w:val="24"/>
          <w:szCs w:val="24"/>
          <w:lang w:val="sr-Cyrl-RS"/>
        </w:rPr>
        <w:t>3</w:t>
      </w:r>
      <w:r w:rsidRPr="003E5020">
        <w:rPr>
          <w:rFonts w:ascii="Times New Roman" w:hAnsi="Times New Roman" w:cs="Times New Roman"/>
          <w:sz w:val="24"/>
          <w:szCs w:val="24"/>
          <w:lang w:val="sr-Cyrl-RS"/>
        </w:rPr>
        <w:t>) посебн</w:t>
      </w:r>
      <w:r w:rsidR="00036018"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 xml:space="preserve"> циљв, а с</w:t>
      </w:r>
      <w:r w:rsidR="001B1303" w:rsidRPr="003E5020" w:rsidDel="00546CC4">
        <w:rPr>
          <w:rFonts w:ascii="Times New Roman" w:hAnsi="Times New Roman" w:cs="Times New Roman"/>
          <w:sz w:val="24"/>
          <w:szCs w:val="24"/>
          <w:lang w:val="sr-Cyrl-RS"/>
        </w:rPr>
        <w:t xml:space="preserve">ваки од предметних циљева је разрађен конкретним мерама које су предвиђене за њихово </w:t>
      </w:r>
      <w:r w:rsidR="00ED5327" w:rsidRPr="003E5020" w:rsidDel="00546CC4">
        <w:rPr>
          <w:rFonts w:ascii="Times New Roman" w:hAnsi="Times New Roman" w:cs="Times New Roman"/>
          <w:sz w:val="24"/>
          <w:szCs w:val="24"/>
          <w:lang w:val="sr-Cyrl-RS"/>
        </w:rPr>
        <w:t>постизање, институциј</w:t>
      </w:r>
      <w:r w:rsidR="004F505D" w:rsidRPr="003E5020" w:rsidDel="00546CC4">
        <w:rPr>
          <w:rFonts w:ascii="Times New Roman" w:hAnsi="Times New Roman" w:cs="Times New Roman"/>
          <w:sz w:val="24"/>
          <w:szCs w:val="24"/>
          <w:lang w:val="sr-Cyrl-RS"/>
        </w:rPr>
        <w:t>ама које су одговорне за реализацију и надзор</w:t>
      </w:r>
      <w:r w:rsidR="00ED5327" w:rsidRPr="003E5020" w:rsidDel="00546CC4">
        <w:rPr>
          <w:rFonts w:ascii="Times New Roman" w:hAnsi="Times New Roman" w:cs="Times New Roman"/>
          <w:sz w:val="24"/>
          <w:szCs w:val="24"/>
          <w:lang w:val="sr-Cyrl-RS"/>
        </w:rPr>
        <w:t xml:space="preserve">, </w:t>
      </w:r>
      <w:r w:rsidR="00243A20" w:rsidRPr="003E5020" w:rsidDel="00546CC4">
        <w:rPr>
          <w:rFonts w:ascii="Times New Roman" w:hAnsi="Times New Roman" w:cs="Times New Roman"/>
          <w:sz w:val="24"/>
          <w:szCs w:val="24"/>
          <w:lang w:val="sr-Cyrl-RS"/>
        </w:rPr>
        <w:t>показатељ</w:t>
      </w:r>
      <w:r w:rsidR="004F505D" w:rsidRPr="003E5020" w:rsidDel="00546CC4">
        <w:rPr>
          <w:rFonts w:ascii="Times New Roman" w:hAnsi="Times New Roman" w:cs="Times New Roman"/>
          <w:sz w:val="24"/>
          <w:szCs w:val="24"/>
          <w:lang w:val="sr-Cyrl-RS"/>
        </w:rPr>
        <w:t>има</w:t>
      </w:r>
      <w:r w:rsidR="00243A20" w:rsidRPr="003E5020" w:rsidDel="00546CC4">
        <w:rPr>
          <w:rFonts w:ascii="Times New Roman" w:hAnsi="Times New Roman" w:cs="Times New Roman"/>
          <w:sz w:val="24"/>
          <w:szCs w:val="24"/>
          <w:lang w:val="sr-Cyrl-RS"/>
        </w:rPr>
        <w:t xml:space="preserve"> учинка</w:t>
      </w:r>
      <w:r w:rsidR="00ED5327" w:rsidRPr="003E5020" w:rsidDel="00546CC4">
        <w:rPr>
          <w:rFonts w:ascii="Times New Roman" w:hAnsi="Times New Roman" w:cs="Times New Roman"/>
          <w:sz w:val="24"/>
          <w:szCs w:val="24"/>
          <w:lang w:val="sr-Cyrl-RS"/>
        </w:rPr>
        <w:t xml:space="preserve">, као и </w:t>
      </w:r>
      <w:r w:rsidR="009B17BD" w:rsidRPr="003E5020" w:rsidDel="00546CC4">
        <w:rPr>
          <w:rFonts w:ascii="Times New Roman" w:hAnsi="Times New Roman" w:cs="Times New Roman"/>
          <w:sz w:val="24"/>
          <w:szCs w:val="24"/>
          <w:lang w:val="sr-Cyrl-RS"/>
        </w:rPr>
        <w:t xml:space="preserve">одговарајућој </w:t>
      </w:r>
      <w:r w:rsidR="00ED5327" w:rsidRPr="003E5020" w:rsidDel="00546CC4">
        <w:rPr>
          <w:rFonts w:ascii="Times New Roman" w:hAnsi="Times New Roman" w:cs="Times New Roman"/>
          <w:sz w:val="24"/>
          <w:szCs w:val="24"/>
          <w:lang w:val="sr-Cyrl-RS"/>
        </w:rPr>
        <w:t xml:space="preserve">анализи ефеката. </w:t>
      </w:r>
    </w:p>
    <w:p w14:paraId="7E3FF353" w14:textId="77777777" w:rsidR="00260D88" w:rsidRPr="003E5020" w:rsidRDefault="00260D88" w:rsidP="00E66733">
      <w:pPr>
        <w:ind w:left="851"/>
        <w:jc w:val="both"/>
        <w:rPr>
          <w:rFonts w:ascii="Times New Roman" w:eastAsiaTheme="majorEastAsia" w:hAnsi="Times New Roman" w:cs="Times New Roman"/>
          <w:sz w:val="24"/>
          <w:szCs w:val="24"/>
          <w:lang w:val="sr-Cyrl-RS"/>
        </w:rPr>
      </w:pPr>
    </w:p>
    <w:p w14:paraId="2E5F2117" w14:textId="77777777" w:rsidR="00521DE1" w:rsidRPr="003E5020" w:rsidRDefault="00521DE1" w:rsidP="00521DE1">
      <w:pPr>
        <w:jc w:val="both"/>
        <w:rPr>
          <w:rFonts w:ascii="Times New Roman" w:hAnsi="Times New Roman" w:cs="Times New Roman"/>
          <w:sz w:val="24"/>
          <w:szCs w:val="24"/>
          <w:lang w:val="sr-Cyrl-RS"/>
        </w:rPr>
      </w:pPr>
      <w:bookmarkStart w:id="115" w:name="_Toc84778639"/>
      <w:bookmarkStart w:id="116" w:name="_Циљ_1._–"/>
      <w:bookmarkStart w:id="117" w:name="_Toc84778645"/>
      <w:bookmarkEnd w:id="115"/>
      <w:bookmarkEnd w:id="116"/>
    </w:p>
    <w:p w14:paraId="594E8E7E" w14:textId="470CDD32" w:rsidR="00243B1F" w:rsidRPr="003E5020" w:rsidRDefault="00D01A14" w:rsidP="00C2786A">
      <w:pPr>
        <w:pStyle w:val="Heading2"/>
        <w:numPr>
          <w:ilvl w:val="1"/>
          <w:numId w:val="2"/>
        </w:numPr>
        <w:spacing w:before="0"/>
        <w:ind w:left="851" w:hanging="851"/>
        <w:jc w:val="both"/>
        <w:rPr>
          <w:rFonts w:ascii="Times New Roman" w:hAnsi="Times New Roman" w:cs="Times New Roman"/>
          <w:b/>
          <w:bCs/>
          <w:iCs/>
          <w:color w:val="auto"/>
          <w:sz w:val="24"/>
          <w:szCs w:val="24"/>
          <w:lang w:val="sr-Cyrl-RS"/>
        </w:rPr>
      </w:pPr>
      <w:r w:rsidRPr="003E5020">
        <w:rPr>
          <w:rFonts w:ascii="Times New Roman" w:hAnsi="Times New Roman" w:cs="Times New Roman"/>
          <w:b/>
          <w:bCs/>
          <w:iCs/>
          <w:color w:val="auto"/>
          <w:sz w:val="24"/>
          <w:szCs w:val="24"/>
          <w:lang w:val="sr-Cyrl-RS"/>
        </w:rPr>
        <w:t>Ц</w:t>
      </w:r>
      <w:r w:rsidR="00714810" w:rsidRPr="003E5020">
        <w:rPr>
          <w:rFonts w:ascii="Times New Roman" w:hAnsi="Times New Roman" w:cs="Times New Roman"/>
          <w:b/>
          <w:bCs/>
          <w:iCs/>
          <w:color w:val="auto"/>
          <w:sz w:val="24"/>
          <w:szCs w:val="24"/>
          <w:lang w:val="sr-Cyrl-RS"/>
        </w:rPr>
        <w:t>иљ 1</w:t>
      </w:r>
      <w:r w:rsidRPr="003E5020">
        <w:rPr>
          <w:rFonts w:ascii="Times New Roman" w:hAnsi="Times New Roman" w:cs="Times New Roman"/>
          <w:b/>
          <w:bCs/>
          <w:iCs/>
          <w:color w:val="auto"/>
          <w:sz w:val="24"/>
          <w:szCs w:val="24"/>
          <w:lang w:val="sr-Cyrl-RS"/>
        </w:rPr>
        <w:t>.</w:t>
      </w:r>
      <w:r w:rsidR="00714810" w:rsidRPr="003E5020">
        <w:rPr>
          <w:rFonts w:ascii="Times New Roman" w:hAnsi="Times New Roman" w:cs="Times New Roman"/>
          <w:b/>
          <w:bCs/>
          <w:iCs/>
          <w:color w:val="auto"/>
          <w:sz w:val="24"/>
          <w:szCs w:val="24"/>
          <w:lang w:val="sr-Cyrl-RS"/>
        </w:rPr>
        <w:t xml:space="preserve"> </w:t>
      </w:r>
      <w:r w:rsidR="00994DD6" w:rsidRPr="003E5020">
        <w:rPr>
          <w:rFonts w:ascii="Times New Roman" w:hAnsi="Times New Roman" w:cs="Times New Roman"/>
          <w:b/>
          <w:bCs/>
          <w:iCs/>
          <w:color w:val="auto"/>
          <w:sz w:val="24"/>
          <w:szCs w:val="24"/>
          <w:lang w:val="sr-Cyrl-RS"/>
        </w:rPr>
        <w:t xml:space="preserve"> </w:t>
      </w:r>
      <w:r w:rsidR="00994DD6" w:rsidRPr="003E5020">
        <w:rPr>
          <w:rStyle w:val="Heading2Char"/>
          <w:rFonts w:ascii="Times New Roman" w:hAnsi="Times New Roman" w:cs="Times New Roman"/>
          <w:b/>
          <w:bCs/>
          <w:color w:val="auto"/>
          <w:sz w:val="24"/>
          <w:szCs w:val="24"/>
        </w:rPr>
        <w:t>Успостављен отворен, објективан и транспарентан систем  управљања људским ресурсима  у правосуђу Републике Србије</w:t>
      </w:r>
      <w:bookmarkEnd w:id="117"/>
    </w:p>
    <w:p w14:paraId="0BD296A3" w14:textId="77777777" w:rsidR="00E66733" w:rsidRPr="003E5020" w:rsidRDefault="00E66733" w:rsidP="00C2786A">
      <w:pPr>
        <w:pStyle w:val="ListParagraph"/>
        <w:keepNext/>
        <w:keepLines/>
        <w:spacing w:before="40"/>
        <w:contextualSpacing w:val="0"/>
        <w:outlineLvl w:val="2"/>
        <w:rPr>
          <w:rFonts w:ascii="Times New Roman" w:eastAsiaTheme="majorEastAsia" w:hAnsi="Times New Roman" w:cs="Times New Roman"/>
          <w:vanish/>
          <w:sz w:val="24"/>
          <w:szCs w:val="24"/>
          <w:lang w:val="sr-Cyrl-RS"/>
        </w:rPr>
      </w:pPr>
      <w:bookmarkStart w:id="118" w:name="_Toc84778646"/>
      <w:bookmarkStart w:id="119" w:name="_Toc84778652"/>
      <w:bookmarkEnd w:id="118"/>
      <w:bookmarkEnd w:id="119"/>
    </w:p>
    <w:p w14:paraId="26278076" w14:textId="59CB3CFD" w:rsidR="002241D5" w:rsidRPr="003E5020" w:rsidRDefault="00997D79" w:rsidP="00C2786A">
      <w:pPr>
        <w:pStyle w:val="Heading2"/>
        <w:numPr>
          <w:ilvl w:val="0"/>
          <w:numId w:val="0"/>
        </w:numPr>
        <w:tabs>
          <w:tab w:val="left" w:pos="851"/>
        </w:tabs>
        <w:spacing w:before="0"/>
        <w:jc w:val="both"/>
        <w:rPr>
          <w:rFonts w:ascii="Times New Roman" w:hAnsi="Times New Roman" w:cs="Times New Roman"/>
          <w:color w:val="auto"/>
          <w:lang w:val="sr-Cyrl-RS"/>
        </w:rPr>
      </w:pPr>
      <w:bookmarkStart w:id="120" w:name="_Toc84778653"/>
      <w:r>
        <w:rPr>
          <w:rFonts w:ascii="Times New Roman" w:hAnsi="Times New Roman" w:cs="Times New Roman"/>
          <w:color w:val="auto"/>
          <w:lang w:val="sr-Cyrl-RS"/>
        </w:rPr>
        <w:t>6.1.1</w:t>
      </w:r>
      <w:r w:rsidR="00C2786A">
        <w:rPr>
          <w:rFonts w:ascii="Times New Roman" w:hAnsi="Times New Roman" w:cs="Times New Roman"/>
          <w:color w:val="auto"/>
          <w:lang w:val="sr-Cyrl-RS"/>
        </w:rPr>
        <w:t xml:space="preserve"> </w:t>
      </w:r>
      <w:r w:rsidR="00C2786A">
        <w:rPr>
          <w:rFonts w:ascii="Times New Roman" w:hAnsi="Times New Roman" w:cs="Times New Roman"/>
          <w:color w:val="auto"/>
          <w:lang w:val="sr-Cyrl-RS"/>
        </w:rPr>
        <w:tab/>
      </w:r>
      <w:r w:rsidR="002241D5" w:rsidRPr="003E5020">
        <w:rPr>
          <w:rFonts w:ascii="Times New Roman" w:hAnsi="Times New Roman" w:cs="Times New Roman"/>
          <w:color w:val="auto"/>
          <w:lang w:val="sr-Cyrl-RS"/>
        </w:rPr>
        <w:t>Институције задужене за спровођење и надзор</w:t>
      </w:r>
      <w:bookmarkEnd w:id="120"/>
    </w:p>
    <w:p w14:paraId="7441D567" w14:textId="1CA4D3EB" w:rsidR="002241D5" w:rsidRPr="003E5020" w:rsidRDefault="002241D5" w:rsidP="002241D5">
      <w:pPr>
        <w:rPr>
          <w:rFonts w:ascii="Times New Roman" w:hAnsi="Times New Roman" w:cs="Times New Roman"/>
          <w:sz w:val="24"/>
          <w:szCs w:val="24"/>
          <w:lang w:val="sr-Cyrl-RS"/>
        </w:rPr>
      </w:pPr>
    </w:p>
    <w:p w14:paraId="36FFCFC6" w14:textId="77777777"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правде, које има и функцију координатора за реализацију мере;</w:t>
      </w:r>
    </w:p>
    <w:p w14:paraId="0ED2B9AC" w14:textId="77777777"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Високи савет судства;</w:t>
      </w:r>
    </w:p>
    <w:p w14:paraId="4529ADB0" w14:textId="77777777"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Државно веће тужилаца;</w:t>
      </w:r>
    </w:p>
    <w:p w14:paraId="6AF9073C" w14:textId="77777777"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Врховни касациони суд и други судови;</w:t>
      </w:r>
    </w:p>
    <w:p w14:paraId="6E9781E1" w14:textId="77777777"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Републичко јавно тужилаштво и друга јавна тужилаштва;</w:t>
      </w:r>
    </w:p>
    <w:p w14:paraId="455E82F5" w14:textId="6E9772B6" w:rsidR="002241D5" w:rsidRPr="003E5020" w:rsidRDefault="002241D5" w:rsidP="002241D5">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финансија.</w:t>
      </w:r>
    </w:p>
    <w:p w14:paraId="7A62AFD1" w14:textId="77777777" w:rsidR="002241D5" w:rsidRPr="003E5020" w:rsidRDefault="002241D5" w:rsidP="002241D5">
      <w:pPr>
        <w:rPr>
          <w:rFonts w:ascii="Times New Roman" w:hAnsi="Times New Roman" w:cs="Times New Roman"/>
          <w:sz w:val="24"/>
          <w:szCs w:val="24"/>
          <w:lang w:val="sr-Cyrl-RS"/>
        </w:rPr>
      </w:pPr>
    </w:p>
    <w:p w14:paraId="732F5C67" w14:textId="0D30B3A1" w:rsidR="00CC71E3" w:rsidRPr="003E5020" w:rsidRDefault="00997D79" w:rsidP="00C2786A">
      <w:pPr>
        <w:pStyle w:val="Heading3"/>
        <w:numPr>
          <w:ilvl w:val="0"/>
          <w:numId w:val="0"/>
        </w:numPr>
        <w:tabs>
          <w:tab w:val="left" w:pos="851"/>
        </w:tabs>
        <w:rPr>
          <w:rFonts w:ascii="Times New Roman" w:hAnsi="Times New Roman" w:cs="Times New Roman"/>
          <w:color w:val="auto"/>
          <w:lang w:val="sr-Cyrl-RS"/>
        </w:rPr>
      </w:pPr>
      <w:bookmarkStart w:id="121" w:name="_Toc84778654"/>
      <w:r>
        <w:rPr>
          <w:rFonts w:ascii="Times New Roman" w:hAnsi="Times New Roman" w:cs="Times New Roman"/>
          <w:color w:val="auto"/>
          <w:lang w:val="sr-Cyrl-RS"/>
        </w:rPr>
        <w:t>6.1.2</w:t>
      </w:r>
      <w:r w:rsidR="00C2786A">
        <w:rPr>
          <w:rFonts w:ascii="Times New Roman" w:hAnsi="Times New Roman" w:cs="Times New Roman"/>
          <w:color w:val="auto"/>
          <w:lang w:val="sr-Cyrl-RS"/>
        </w:rPr>
        <w:t xml:space="preserve"> </w:t>
      </w:r>
      <w:r w:rsidR="00C2786A">
        <w:rPr>
          <w:rFonts w:ascii="Times New Roman" w:hAnsi="Times New Roman" w:cs="Times New Roman"/>
          <w:color w:val="auto"/>
          <w:lang w:val="sr-Cyrl-RS"/>
        </w:rPr>
        <w:tab/>
      </w:r>
      <w:r w:rsidR="00452B24" w:rsidRPr="003E5020">
        <w:rPr>
          <w:rFonts w:ascii="Times New Roman" w:hAnsi="Times New Roman" w:cs="Times New Roman"/>
          <w:color w:val="auto"/>
          <w:lang w:val="sr-Cyrl-RS"/>
        </w:rPr>
        <w:t>Показатељи учинка</w:t>
      </w:r>
      <w:r w:rsidR="004A2E4D" w:rsidRPr="003E5020">
        <w:rPr>
          <w:rFonts w:ascii="Times New Roman" w:hAnsi="Times New Roman" w:cs="Times New Roman"/>
          <w:color w:val="auto"/>
          <w:lang w:val="sr-Cyrl-RS"/>
        </w:rPr>
        <w:t xml:space="preserve"> за посебни циљ 1</w:t>
      </w:r>
      <w:bookmarkEnd w:id="121"/>
    </w:p>
    <w:p w14:paraId="27F9E1FC" w14:textId="05A1385D" w:rsidR="003806C3" w:rsidRPr="003E5020" w:rsidRDefault="003806C3">
      <w:pPr>
        <w:jc w:val="both"/>
        <w:rPr>
          <w:rFonts w:ascii="Times New Roman" w:hAnsi="Times New Roman" w:cs="Times New Roman"/>
          <w:sz w:val="24"/>
          <w:szCs w:val="24"/>
          <w:lang w:val="sr-Cyrl-RS"/>
        </w:rPr>
      </w:pPr>
    </w:p>
    <w:p w14:paraId="27B7936F" w14:textId="2C385BD8" w:rsidR="00DD55BA" w:rsidRPr="003E5020" w:rsidRDefault="00DD55BA" w:rsidP="00DD55BA">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 нивоу посебног циља 1, Стратегија идентификује следеће показатеље учинка</w:t>
      </w:r>
      <w:r w:rsidR="00312E43" w:rsidRPr="003E5020">
        <w:rPr>
          <w:rFonts w:ascii="Times New Roman" w:hAnsi="Times New Roman" w:cs="Times New Roman"/>
          <w:sz w:val="24"/>
          <w:szCs w:val="24"/>
          <w:lang w:val="sr-Cyrl-RS"/>
        </w:rPr>
        <w:t xml:space="preserve"> (укључује утврђивање почетне вредности, циљане вредн</w:t>
      </w:r>
      <w:r w:rsidR="00395124" w:rsidRPr="003E5020">
        <w:rPr>
          <w:rFonts w:ascii="Times New Roman" w:hAnsi="Times New Roman" w:cs="Times New Roman"/>
          <w:sz w:val="24"/>
          <w:szCs w:val="24"/>
          <w:lang w:val="sr-Cyrl-RS"/>
        </w:rPr>
        <w:t>ости и извор</w:t>
      </w:r>
      <w:r w:rsidR="00312E43" w:rsidRPr="003E5020">
        <w:rPr>
          <w:rFonts w:ascii="Times New Roman" w:hAnsi="Times New Roman" w:cs="Times New Roman"/>
          <w:sz w:val="24"/>
          <w:szCs w:val="24"/>
          <w:lang w:val="sr-Cyrl-RS"/>
        </w:rPr>
        <w:t xml:space="preserve"> верификације)</w:t>
      </w:r>
      <w:r w:rsidRPr="003E5020">
        <w:rPr>
          <w:rFonts w:ascii="Times New Roman" w:hAnsi="Times New Roman" w:cs="Times New Roman"/>
          <w:sz w:val="24"/>
          <w:szCs w:val="24"/>
          <w:lang w:val="sr-Cyrl-RS"/>
        </w:rPr>
        <w:t>:</w:t>
      </w:r>
    </w:p>
    <w:p w14:paraId="489FCB43" w14:textId="77777777" w:rsidR="00DD55BA" w:rsidRPr="003E5020" w:rsidRDefault="00DD55BA" w:rsidP="00DD55BA">
      <w:pPr>
        <w:ind w:left="851"/>
        <w:jc w:val="both"/>
        <w:rPr>
          <w:rFonts w:ascii="Times New Roman" w:hAnsi="Times New Roman" w:cs="Times New Roman"/>
          <w:sz w:val="24"/>
          <w:szCs w:val="24"/>
          <w:lang w:val="sr-Cyrl-RS"/>
        </w:rPr>
      </w:pPr>
    </w:p>
    <w:p w14:paraId="0510D73C" w14:textId="321E2E17" w:rsidR="00184630" w:rsidRPr="003E5020" w:rsidRDefault="00036018" w:rsidP="003B7F5F">
      <w:pPr>
        <w:pStyle w:val="ListParagraph"/>
        <w:numPr>
          <w:ilvl w:val="0"/>
          <w:numId w:val="6"/>
        </w:numPr>
        <w:ind w:left="1843"/>
        <w:jc w:val="both"/>
        <w:rPr>
          <w:rFonts w:ascii="Times New Roman" w:hAnsi="Times New Roman" w:cs="Times New Roman"/>
          <w:b/>
          <w:sz w:val="24"/>
          <w:szCs w:val="24"/>
          <w:lang w:val="sr-Cyrl-RS"/>
        </w:rPr>
      </w:pPr>
      <w:r w:rsidRPr="003E5020">
        <w:rPr>
          <w:rFonts w:ascii="Times New Roman" w:hAnsi="Times New Roman" w:cs="Times New Roman"/>
          <w:b/>
          <w:sz w:val="24"/>
          <w:szCs w:val="24"/>
          <w:lang w:val="sr-Cyrl-RS"/>
        </w:rPr>
        <w:t>Јавно оглашена слободна радна места у В</w:t>
      </w:r>
      <w:r w:rsidR="00247BEF" w:rsidRPr="003E5020">
        <w:rPr>
          <w:rFonts w:ascii="Times New Roman" w:hAnsi="Times New Roman" w:cs="Times New Roman"/>
          <w:b/>
          <w:sz w:val="24"/>
          <w:szCs w:val="24"/>
          <w:lang w:val="sr-Cyrl-RS"/>
        </w:rPr>
        <w:t>исоком савету судства</w:t>
      </w:r>
      <w:r w:rsidRPr="003E5020">
        <w:rPr>
          <w:rFonts w:ascii="Times New Roman" w:hAnsi="Times New Roman" w:cs="Times New Roman"/>
          <w:b/>
          <w:sz w:val="24"/>
          <w:szCs w:val="24"/>
          <w:lang w:val="sr-Cyrl-RS"/>
        </w:rPr>
        <w:t>, Д</w:t>
      </w:r>
      <w:r w:rsidR="00247BEF" w:rsidRPr="003E5020">
        <w:rPr>
          <w:rFonts w:ascii="Times New Roman" w:hAnsi="Times New Roman" w:cs="Times New Roman"/>
          <w:b/>
          <w:sz w:val="24"/>
          <w:szCs w:val="24"/>
          <w:lang w:val="sr-Cyrl-RS"/>
        </w:rPr>
        <w:t>ржавном већу тужилаца</w:t>
      </w:r>
      <w:r w:rsidRPr="003E5020">
        <w:rPr>
          <w:rFonts w:ascii="Times New Roman" w:hAnsi="Times New Roman" w:cs="Times New Roman"/>
          <w:b/>
          <w:sz w:val="24"/>
          <w:szCs w:val="24"/>
          <w:lang w:val="sr-Cyrl-RS"/>
        </w:rPr>
        <w:t>, В</w:t>
      </w:r>
      <w:r w:rsidR="00247BEF" w:rsidRPr="003E5020">
        <w:rPr>
          <w:rFonts w:ascii="Times New Roman" w:hAnsi="Times New Roman" w:cs="Times New Roman"/>
          <w:b/>
          <w:sz w:val="24"/>
          <w:szCs w:val="24"/>
          <w:lang w:val="sr-Cyrl-RS"/>
        </w:rPr>
        <w:t>рховном касационом суду</w:t>
      </w:r>
      <w:r w:rsidRPr="003E5020">
        <w:rPr>
          <w:rFonts w:ascii="Times New Roman" w:hAnsi="Times New Roman" w:cs="Times New Roman"/>
          <w:b/>
          <w:sz w:val="24"/>
          <w:szCs w:val="24"/>
          <w:lang w:val="sr-Cyrl-RS"/>
        </w:rPr>
        <w:t>, Р</w:t>
      </w:r>
      <w:r w:rsidR="00247BEF" w:rsidRPr="003E5020">
        <w:rPr>
          <w:rFonts w:ascii="Times New Roman" w:hAnsi="Times New Roman" w:cs="Times New Roman"/>
          <w:b/>
          <w:sz w:val="24"/>
          <w:szCs w:val="24"/>
          <w:lang w:val="sr-Cyrl-RS"/>
        </w:rPr>
        <w:t>епубличком јавном тужилаштву</w:t>
      </w:r>
      <w:r w:rsidRPr="003E5020">
        <w:rPr>
          <w:rFonts w:ascii="Times New Roman" w:hAnsi="Times New Roman" w:cs="Times New Roman"/>
          <w:b/>
          <w:sz w:val="24"/>
          <w:szCs w:val="24"/>
          <w:lang w:val="sr-Cyrl-RS"/>
        </w:rPr>
        <w:t>, П</w:t>
      </w:r>
      <w:r w:rsidR="00247BEF" w:rsidRPr="003E5020">
        <w:rPr>
          <w:rFonts w:ascii="Times New Roman" w:hAnsi="Times New Roman" w:cs="Times New Roman"/>
          <w:b/>
          <w:sz w:val="24"/>
          <w:szCs w:val="24"/>
          <w:lang w:val="sr-Cyrl-RS"/>
        </w:rPr>
        <w:t>равосудној академији</w:t>
      </w:r>
      <w:r w:rsidRPr="003E5020">
        <w:rPr>
          <w:rFonts w:ascii="Times New Roman" w:hAnsi="Times New Roman" w:cs="Times New Roman"/>
          <w:b/>
          <w:sz w:val="24"/>
          <w:szCs w:val="24"/>
          <w:lang w:val="sr-Cyrl-RS"/>
        </w:rPr>
        <w:t xml:space="preserve"> и свим правосудним органима</w:t>
      </w:r>
      <w:r w:rsidR="00DD55BA" w:rsidRPr="003E5020">
        <w:rPr>
          <w:rFonts w:ascii="Times New Roman" w:hAnsi="Times New Roman" w:cs="Times New Roman"/>
          <w:sz w:val="24"/>
          <w:szCs w:val="24"/>
          <w:lang w:val="sr-Cyrl-RS"/>
        </w:rPr>
        <w:t xml:space="preserve">, </w:t>
      </w:r>
      <w:r w:rsidR="00184630" w:rsidRPr="003E5020">
        <w:rPr>
          <w:rFonts w:ascii="Times New Roman" w:hAnsi="Times New Roman" w:cs="Times New Roman"/>
          <w:sz w:val="24"/>
          <w:szCs w:val="24"/>
          <w:lang w:val="sr-Cyrl-RS"/>
        </w:rPr>
        <w:t>а што</w:t>
      </w:r>
      <w:r w:rsidR="00DD55BA" w:rsidRPr="003E5020">
        <w:rPr>
          <w:rFonts w:ascii="Times New Roman" w:hAnsi="Times New Roman" w:cs="Times New Roman"/>
          <w:sz w:val="24"/>
          <w:szCs w:val="24"/>
          <w:lang w:val="sr-Cyrl-RS"/>
        </w:rPr>
        <w:t xml:space="preserve"> се мери у односу на проценат(%)</w:t>
      </w:r>
      <w:r w:rsidR="00247BEF" w:rsidRPr="003E5020">
        <w:rPr>
          <w:rFonts w:ascii="Times New Roman" w:hAnsi="Times New Roman" w:cs="Times New Roman"/>
          <w:sz w:val="24"/>
          <w:szCs w:val="24"/>
          <w:lang w:val="sr-Cyrl-RS"/>
        </w:rPr>
        <w:t xml:space="preserve"> свих слободних радних места која су учињена јавно доступним</w:t>
      </w:r>
      <w:r w:rsidR="00DD55BA" w:rsidRPr="003E5020">
        <w:rPr>
          <w:rFonts w:ascii="Times New Roman" w:hAnsi="Times New Roman" w:cs="Times New Roman"/>
          <w:sz w:val="24"/>
          <w:szCs w:val="24"/>
          <w:lang w:val="sr-Cyrl-RS"/>
        </w:rPr>
        <w:t xml:space="preserve">, при чему се за </w:t>
      </w:r>
      <w:r w:rsidR="00031251" w:rsidRPr="003E5020">
        <w:rPr>
          <w:rFonts w:ascii="Times New Roman" w:hAnsi="Times New Roman" w:cs="Times New Roman"/>
          <w:sz w:val="24"/>
          <w:szCs w:val="24"/>
          <w:lang w:val="sr-Cyrl-RS"/>
        </w:rPr>
        <w:t>почетну</w:t>
      </w:r>
      <w:r w:rsidR="00DD55BA" w:rsidRPr="003E5020">
        <w:rPr>
          <w:rFonts w:ascii="Times New Roman" w:hAnsi="Times New Roman" w:cs="Times New Roman"/>
          <w:sz w:val="24"/>
          <w:szCs w:val="24"/>
          <w:lang w:val="sr-Cyrl-RS"/>
        </w:rPr>
        <w:t xml:space="preserve"> вредност узима проценат свих отворених позиција које су учињене јавно доступним пре почетка имплементације Стратегије. </w:t>
      </w:r>
      <w:r w:rsidR="00312E43" w:rsidRPr="003E5020">
        <w:rPr>
          <w:rFonts w:ascii="Times New Roman" w:hAnsi="Times New Roman" w:cs="Times New Roman"/>
          <w:sz w:val="24"/>
          <w:szCs w:val="24"/>
          <w:lang w:val="sr-Cyrl-RS"/>
        </w:rPr>
        <w:t xml:space="preserve">Циљана вредност за пету годину имплементације је </w:t>
      </w:r>
      <w:r w:rsidR="00247BEF" w:rsidRPr="003E5020">
        <w:rPr>
          <w:rFonts w:ascii="Times New Roman" w:hAnsi="Times New Roman" w:cs="Times New Roman"/>
          <w:sz w:val="24"/>
          <w:szCs w:val="24"/>
          <w:lang w:val="sr-Cyrl-RS"/>
        </w:rPr>
        <w:t>75</w:t>
      </w:r>
      <w:r w:rsidR="00312E43" w:rsidRPr="003E5020">
        <w:rPr>
          <w:rFonts w:ascii="Times New Roman" w:hAnsi="Times New Roman" w:cs="Times New Roman"/>
          <w:sz w:val="24"/>
          <w:szCs w:val="24"/>
          <w:lang w:val="sr-Cyrl-RS"/>
        </w:rPr>
        <w:t xml:space="preserve">% </w:t>
      </w:r>
      <w:r w:rsidR="00247BEF" w:rsidRPr="003E5020">
        <w:rPr>
          <w:rFonts w:ascii="Times New Roman" w:hAnsi="Times New Roman" w:cs="Times New Roman"/>
          <w:sz w:val="24"/>
          <w:szCs w:val="24"/>
          <w:lang w:val="sr-Cyrl-RS"/>
        </w:rPr>
        <w:t>слободних радних места која су учињена јавно доступним</w:t>
      </w:r>
      <w:r w:rsidR="00312E43" w:rsidRPr="003E5020">
        <w:rPr>
          <w:rFonts w:ascii="Times New Roman" w:hAnsi="Times New Roman" w:cs="Times New Roman"/>
          <w:sz w:val="24"/>
          <w:szCs w:val="24"/>
          <w:lang w:val="sr-Cyrl-RS"/>
        </w:rPr>
        <w:t xml:space="preserve">. </w:t>
      </w:r>
      <w:r w:rsidR="00DD55BA" w:rsidRPr="003E5020">
        <w:rPr>
          <w:rFonts w:ascii="Times New Roman" w:hAnsi="Times New Roman" w:cs="Times New Roman"/>
          <w:sz w:val="24"/>
          <w:szCs w:val="24"/>
          <w:lang w:val="sr-Cyrl-RS"/>
        </w:rPr>
        <w:t>Као извор верификације ће служити подаци који су објављен</w:t>
      </w:r>
      <w:r w:rsidR="00EE3152" w:rsidRPr="003E5020">
        <w:rPr>
          <w:rFonts w:ascii="Times New Roman" w:hAnsi="Times New Roman" w:cs="Times New Roman"/>
          <w:sz w:val="24"/>
          <w:szCs w:val="24"/>
          <w:lang w:val="sr-Cyrl-RS"/>
        </w:rPr>
        <w:t>и</w:t>
      </w:r>
      <w:r w:rsidR="00DD55BA" w:rsidRPr="003E5020">
        <w:rPr>
          <w:rFonts w:ascii="Times New Roman" w:hAnsi="Times New Roman" w:cs="Times New Roman"/>
          <w:sz w:val="24"/>
          <w:szCs w:val="24"/>
          <w:lang w:val="sr-Cyrl-RS"/>
        </w:rPr>
        <w:t xml:space="preserve"> од стране </w:t>
      </w:r>
      <w:r w:rsidR="00A34540" w:rsidRPr="003E5020">
        <w:rPr>
          <w:rFonts w:ascii="Times New Roman" w:hAnsi="Times New Roman" w:cs="Times New Roman"/>
          <w:sz w:val="24"/>
          <w:szCs w:val="24"/>
          <w:lang w:val="sr-Cyrl-RS"/>
        </w:rPr>
        <w:t>Министарства правде, односно Високог савета судства и Државног већа тужиоца, Врховног касационог суда</w:t>
      </w:r>
      <w:r w:rsidR="00247BEF" w:rsidRPr="003E5020">
        <w:rPr>
          <w:rFonts w:ascii="Times New Roman" w:hAnsi="Times New Roman" w:cs="Times New Roman"/>
          <w:sz w:val="24"/>
          <w:szCs w:val="24"/>
          <w:lang w:val="sr-Cyrl-RS"/>
        </w:rPr>
        <w:t>, Правосудне академија и свих правосудних органа</w:t>
      </w:r>
      <w:r w:rsidR="00184630" w:rsidRPr="003E5020">
        <w:rPr>
          <w:rFonts w:ascii="Times New Roman" w:hAnsi="Times New Roman" w:cs="Times New Roman"/>
          <w:sz w:val="24"/>
          <w:szCs w:val="24"/>
          <w:lang w:val="sr-Cyrl-RS"/>
        </w:rPr>
        <w:t>.</w:t>
      </w:r>
    </w:p>
    <w:p w14:paraId="068FF387" w14:textId="77777777" w:rsidR="00184630" w:rsidRPr="003E5020" w:rsidRDefault="00184630" w:rsidP="00184630">
      <w:pPr>
        <w:pStyle w:val="ListParagraph"/>
        <w:ind w:left="1843"/>
        <w:jc w:val="both"/>
        <w:rPr>
          <w:rFonts w:ascii="Times New Roman" w:hAnsi="Times New Roman" w:cs="Times New Roman"/>
          <w:sz w:val="24"/>
          <w:szCs w:val="24"/>
          <w:lang w:val="sr-Cyrl-RS"/>
        </w:rPr>
      </w:pPr>
    </w:p>
    <w:p w14:paraId="48C10881" w14:textId="4E9F8D75" w:rsidR="00A34540" w:rsidRPr="003E5020" w:rsidRDefault="005B0054" w:rsidP="005B0054">
      <w:pPr>
        <w:pStyle w:val="ListParagraph"/>
        <w:numPr>
          <w:ilvl w:val="0"/>
          <w:numId w:val="6"/>
        </w:numPr>
        <w:ind w:left="1843"/>
        <w:jc w:val="both"/>
        <w:rPr>
          <w:rFonts w:ascii="Times New Roman" w:hAnsi="Times New Roman" w:cs="Times New Roman"/>
          <w:b/>
          <w:sz w:val="24"/>
          <w:szCs w:val="24"/>
          <w:lang w:val="sr-Cyrl-RS"/>
        </w:rPr>
      </w:pPr>
      <w:r w:rsidRPr="003E5020">
        <w:rPr>
          <w:rFonts w:ascii="Times New Roman" w:hAnsi="Times New Roman" w:cs="Times New Roman"/>
          <w:b/>
          <w:sz w:val="24"/>
          <w:szCs w:val="24"/>
          <w:lang w:val="sr-Cyrl-RS"/>
        </w:rPr>
        <w:t xml:space="preserve">Запослени у правосуђу сматрају да је поступак избора, премештаја и напредовања у највећој мери транспарентан и непристрасан, </w:t>
      </w:r>
      <w:r w:rsidR="00184630" w:rsidRPr="003E5020">
        <w:rPr>
          <w:rFonts w:ascii="Times New Roman" w:hAnsi="Times New Roman" w:cs="Times New Roman"/>
          <w:sz w:val="24"/>
          <w:szCs w:val="24"/>
          <w:lang w:val="sr-Cyrl-RS"/>
        </w:rPr>
        <w:t xml:space="preserve">што се мери у односу свеукупну стопу задовољних поступком у правосуђу, при чему се за </w:t>
      </w:r>
      <w:r w:rsidR="00031251" w:rsidRPr="003E5020">
        <w:rPr>
          <w:rFonts w:ascii="Times New Roman" w:hAnsi="Times New Roman" w:cs="Times New Roman"/>
          <w:sz w:val="24"/>
          <w:szCs w:val="24"/>
          <w:lang w:val="sr-Cyrl-RS"/>
        </w:rPr>
        <w:t>почетну</w:t>
      </w:r>
      <w:r w:rsidR="00184630" w:rsidRPr="003E5020">
        <w:rPr>
          <w:rFonts w:ascii="Times New Roman" w:hAnsi="Times New Roman" w:cs="Times New Roman"/>
          <w:sz w:val="24"/>
          <w:szCs w:val="24"/>
          <w:lang w:val="sr-Cyrl-RS"/>
        </w:rPr>
        <w:t xml:space="preserve"> вредност узима проценат запослених који су задовољни предметним поступком, а који проценат је утврђен пре отпочињања имплементације Стратегије. Циљана вредност за </w:t>
      </w:r>
      <w:r w:rsidR="007E2039" w:rsidRPr="003E5020">
        <w:rPr>
          <w:rFonts w:ascii="Times New Roman" w:hAnsi="Times New Roman" w:cs="Times New Roman"/>
          <w:sz w:val="24"/>
          <w:szCs w:val="24"/>
          <w:lang w:val="sr-Cyrl-RS"/>
        </w:rPr>
        <w:t>период 2023.-2026. година</w:t>
      </w:r>
      <w:r w:rsidR="003A2692" w:rsidRPr="003E5020">
        <w:rPr>
          <w:rFonts w:ascii="Times New Roman" w:hAnsi="Times New Roman" w:cs="Times New Roman"/>
          <w:sz w:val="24"/>
          <w:szCs w:val="24"/>
          <w:lang w:val="sr-Cyrl-RS"/>
        </w:rPr>
        <w:t xml:space="preserve"> је повећање од 5% у односу на претхону годину, при чему </w:t>
      </w:r>
      <w:r w:rsidR="00184630" w:rsidRPr="003E5020">
        <w:rPr>
          <w:rFonts w:ascii="Times New Roman" w:hAnsi="Times New Roman" w:cs="Times New Roman"/>
          <w:sz w:val="24"/>
          <w:szCs w:val="24"/>
          <w:lang w:val="sr-Cyrl-RS"/>
        </w:rPr>
        <w:t>укупно</w:t>
      </w:r>
      <w:r w:rsidR="003A2692" w:rsidRPr="003E5020">
        <w:rPr>
          <w:rFonts w:ascii="Times New Roman" w:hAnsi="Times New Roman" w:cs="Times New Roman"/>
          <w:sz w:val="24"/>
          <w:szCs w:val="24"/>
          <w:lang w:val="sr-Cyrl-RS"/>
        </w:rPr>
        <w:t xml:space="preserve"> п</w:t>
      </w:r>
      <w:r w:rsidR="00184630" w:rsidRPr="003E5020">
        <w:rPr>
          <w:rFonts w:ascii="Times New Roman" w:hAnsi="Times New Roman" w:cs="Times New Roman"/>
          <w:sz w:val="24"/>
          <w:szCs w:val="24"/>
          <w:lang w:val="sr-Cyrl-RS"/>
        </w:rPr>
        <w:t>овећањ</w:t>
      </w:r>
      <w:r w:rsidR="003A2692" w:rsidRPr="003E5020">
        <w:rPr>
          <w:rFonts w:ascii="Times New Roman" w:hAnsi="Times New Roman" w:cs="Times New Roman"/>
          <w:sz w:val="24"/>
          <w:szCs w:val="24"/>
          <w:lang w:val="sr-Cyrl-RS"/>
        </w:rPr>
        <w:t>е</w:t>
      </w:r>
      <w:r w:rsidR="00184630" w:rsidRPr="003E5020">
        <w:rPr>
          <w:rFonts w:ascii="Times New Roman" w:hAnsi="Times New Roman" w:cs="Times New Roman"/>
          <w:sz w:val="24"/>
          <w:szCs w:val="24"/>
          <w:lang w:val="sr-Cyrl-RS"/>
        </w:rPr>
        <w:t xml:space="preserve"> стопе задовољних испитаника у правосуђу </w:t>
      </w:r>
      <w:r w:rsidR="003A2692" w:rsidRPr="003E5020">
        <w:rPr>
          <w:rFonts w:ascii="Times New Roman" w:hAnsi="Times New Roman" w:cs="Times New Roman"/>
          <w:sz w:val="24"/>
          <w:szCs w:val="24"/>
          <w:lang w:val="sr-Cyrl-RS"/>
        </w:rPr>
        <w:t>износи 20%</w:t>
      </w:r>
      <w:r w:rsidR="00184630" w:rsidRPr="003E5020">
        <w:rPr>
          <w:rFonts w:ascii="Times New Roman" w:hAnsi="Times New Roman" w:cs="Times New Roman"/>
          <w:sz w:val="24"/>
          <w:szCs w:val="24"/>
          <w:lang w:val="sr-Cyrl-RS"/>
        </w:rPr>
        <w:t xml:space="preserve">. Као извор верификације ће служити </w:t>
      </w:r>
      <w:r w:rsidR="003A2692" w:rsidRPr="003E5020">
        <w:rPr>
          <w:rFonts w:ascii="Times New Roman" w:hAnsi="Times New Roman" w:cs="Times New Roman"/>
          <w:sz w:val="24"/>
          <w:szCs w:val="24"/>
          <w:lang w:val="sr-Cyrl-RS"/>
        </w:rPr>
        <w:t xml:space="preserve">анонимно </w:t>
      </w:r>
      <w:r w:rsidR="006D6B08" w:rsidRPr="003E5020">
        <w:rPr>
          <w:rFonts w:ascii="Times New Roman" w:hAnsi="Times New Roman" w:cs="Times New Roman"/>
          <w:sz w:val="24"/>
          <w:szCs w:val="24"/>
          <w:lang w:val="sr-Cyrl-RS"/>
        </w:rPr>
        <w:t xml:space="preserve">истраживање задовољства запослених у правосуђу, спроведено </w:t>
      </w:r>
      <w:r w:rsidR="003A2692" w:rsidRPr="003E5020">
        <w:rPr>
          <w:rFonts w:ascii="Times New Roman" w:hAnsi="Times New Roman" w:cs="Times New Roman"/>
          <w:sz w:val="24"/>
          <w:szCs w:val="24"/>
          <w:lang w:val="sr-Cyrl-RS"/>
        </w:rPr>
        <w:t>Високог савета судства и Државног већа тужилаца</w:t>
      </w:r>
      <w:r w:rsidR="006D6B08" w:rsidRPr="003E5020">
        <w:rPr>
          <w:rFonts w:ascii="Times New Roman" w:hAnsi="Times New Roman" w:cs="Times New Roman"/>
          <w:sz w:val="24"/>
          <w:szCs w:val="24"/>
          <w:lang w:val="sr-Cyrl-RS"/>
        </w:rPr>
        <w:t>.</w:t>
      </w:r>
    </w:p>
    <w:p w14:paraId="32C88D1D" w14:textId="77777777" w:rsidR="00184630" w:rsidRPr="003E5020" w:rsidRDefault="00184630" w:rsidP="00A34540">
      <w:pPr>
        <w:ind w:left="1843"/>
        <w:jc w:val="both"/>
        <w:rPr>
          <w:rFonts w:ascii="Times New Roman" w:hAnsi="Times New Roman" w:cs="Times New Roman"/>
          <w:b/>
          <w:sz w:val="24"/>
          <w:szCs w:val="24"/>
          <w:lang w:val="sr-Cyrl-RS"/>
        </w:rPr>
      </w:pPr>
    </w:p>
    <w:p w14:paraId="4A5275AF" w14:textId="5A029B31" w:rsidR="00A34540" w:rsidRPr="003E5020" w:rsidRDefault="0025186A" w:rsidP="001B7AD6">
      <w:pPr>
        <w:pStyle w:val="ListParagraph"/>
        <w:numPr>
          <w:ilvl w:val="0"/>
          <w:numId w:val="6"/>
        </w:numPr>
        <w:ind w:left="1843"/>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Редовно извештавање о  поступцима избора, премештаја и напредовања у правосудним органима</w:t>
      </w:r>
      <w:r w:rsidR="001B7AD6" w:rsidRPr="003E5020">
        <w:rPr>
          <w:rFonts w:ascii="Times New Roman" w:hAnsi="Times New Roman" w:cs="Times New Roman"/>
          <w:b/>
          <w:sz w:val="24"/>
          <w:szCs w:val="24"/>
          <w:lang w:val="sr-Cyrl-RS"/>
        </w:rPr>
        <w:t xml:space="preserve">, </w:t>
      </w:r>
      <w:r w:rsidR="001B7AD6" w:rsidRPr="003E5020">
        <w:rPr>
          <w:rFonts w:ascii="Times New Roman" w:hAnsi="Times New Roman" w:cs="Times New Roman"/>
          <w:sz w:val="24"/>
          <w:szCs w:val="24"/>
          <w:lang w:val="sr-Cyrl-RS"/>
        </w:rPr>
        <w:t xml:space="preserve">што се мери </w:t>
      </w:r>
      <w:r w:rsidRPr="003E5020">
        <w:rPr>
          <w:rFonts w:ascii="Times New Roman" w:hAnsi="Times New Roman" w:cs="Times New Roman"/>
          <w:sz w:val="24"/>
          <w:szCs w:val="24"/>
          <w:lang w:val="sr-Cyrl-RS"/>
        </w:rPr>
        <w:t>објављеним годишњим извештајима правосудних органа</w:t>
      </w:r>
      <w:r w:rsidR="007E2039" w:rsidRPr="003E5020">
        <w:rPr>
          <w:rFonts w:ascii="Times New Roman" w:hAnsi="Times New Roman" w:cs="Times New Roman"/>
          <w:sz w:val="24"/>
          <w:szCs w:val="24"/>
          <w:lang w:val="sr-Cyrl-RS"/>
        </w:rPr>
        <w:t xml:space="preserve"> и повећањем успешно окончаних поступака у односу на претходно извештајну годину. </w:t>
      </w:r>
      <w:r w:rsidR="001B7AD6" w:rsidRPr="003E5020">
        <w:rPr>
          <w:rFonts w:ascii="Times New Roman" w:hAnsi="Times New Roman" w:cs="Times New Roman"/>
          <w:sz w:val="24"/>
          <w:szCs w:val="24"/>
          <w:lang w:val="sr-Cyrl-RS"/>
        </w:rPr>
        <w:t>Циљана вредност</w:t>
      </w:r>
      <w:r w:rsidR="007E2039" w:rsidRPr="003E5020">
        <w:rPr>
          <w:rFonts w:ascii="Times New Roman" w:hAnsi="Times New Roman" w:cs="Times New Roman"/>
          <w:sz w:val="24"/>
          <w:szCs w:val="24"/>
          <w:lang w:val="sr-Cyrl-RS"/>
        </w:rPr>
        <w:t xml:space="preserve"> у 2023. години је показатељ од 60% успешно окончаних поступака, у 2024. години 65%, у 2025. години 70%, док је у 2026., уједно и последњој години примене Стратегије, показатељ 75%</w:t>
      </w:r>
      <w:r w:rsidR="00360256" w:rsidRPr="003E5020">
        <w:rPr>
          <w:rFonts w:ascii="Times New Roman" w:hAnsi="Times New Roman" w:cs="Times New Roman"/>
          <w:sz w:val="24"/>
          <w:szCs w:val="24"/>
          <w:lang w:val="sr-Cyrl-RS"/>
        </w:rPr>
        <w:t xml:space="preserve"> успешно окончаних поступака</w:t>
      </w:r>
      <w:r w:rsidR="001B7AD6" w:rsidRPr="003E5020">
        <w:rPr>
          <w:rFonts w:ascii="Times New Roman" w:hAnsi="Times New Roman" w:cs="Times New Roman"/>
          <w:sz w:val="24"/>
          <w:szCs w:val="24"/>
          <w:lang w:val="sr-Cyrl-RS"/>
        </w:rPr>
        <w:t xml:space="preserve">. Као извор верификације ће служити </w:t>
      </w:r>
      <w:r w:rsidR="00906C11" w:rsidRPr="003E5020">
        <w:rPr>
          <w:rFonts w:ascii="Times New Roman" w:hAnsi="Times New Roman" w:cs="Times New Roman"/>
          <w:sz w:val="24"/>
          <w:szCs w:val="24"/>
          <w:lang w:val="sr-Cyrl-RS"/>
        </w:rPr>
        <w:t>извештаји правосудних органа који спроводе ове поступке.</w:t>
      </w:r>
    </w:p>
    <w:p w14:paraId="5802C1BF" w14:textId="013DC6DA" w:rsidR="00A34540" w:rsidRPr="003E5020" w:rsidRDefault="00A34540" w:rsidP="00E007C7">
      <w:pPr>
        <w:pStyle w:val="ListParagraph"/>
        <w:ind w:left="1843"/>
        <w:jc w:val="both"/>
        <w:rPr>
          <w:rFonts w:ascii="Times New Roman" w:hAnsi="Times New Roman" w:cs="Times New Roman"/>
          <w:sz w:val="24"/>
          <w:szCs w:val="24"/>
          <w:lang w:val="sr-Cyrl-RS"/>
        </w:rPr>
      </w:pPr>
    </w:p>
    <w:p w14:paraId="3A02598F" w14:textId="10EECE37" w:rsidR="00FF691C" w:rsidRPr="003E5020" w:rsidRDefault="00FF691C" w:rsidP="00E007C7">
      <w:pPr>
        <w:pStyle w:val="ListParagraph"/>
        <w:ind w:left="1843"/>
        <w:jc w:val="both"/>
        <w:rPr>
          <w:rFonts w:ascii="Times New Roman" w:hAnsi="Times New Roman" w:cs="Times New Roman"/>
          <w:sz w:val="24"/>
          <w:szCs w:val="24"/>
          <w:lang w:val="sr-Cyrl-RS"/>
        </w:rPr>
      </w:pPr>
    </w:p>
    <w:p w14:paraId="3469DFCF" w14:textId="77777777" w:rsidR="00FF691C" w:rsidRPr="003E5020" w:rsidRDefault="00FF691C" w:rsidP="00E007C7">
      <w:pPr>
        <w:pStyle w:val="ListParagraph"/>
        <w:ind w:left="1843"/>
        <w:jc w:val="both"/>
        <w:rPr>
          <w:rFonts w:ascii="Times New Roman" w:hAnsi="Times New Roman" w:cs="Times New Roman"/>
          <w:sz w:val="24"/>
          <w:szCs w:val="24"/>
          <w:lang w:val="sr-Cyrl-RS"/>
        </w:rPr>
      </w:pPr>
    </w:p>
    <w:p w14:paraId="7F06B75F" w14:textId="321EC69E" w:rsidR="00C21B3A" w:rsidRPr="003E5020" w:rsidRDefault="00220FED" w:rsidP="00220FED">
      <w:pPr>
        <w:pStyle w:val="Heading3"/>
        <w:numPr>
          <w:ilvl w:val="0"/>
          <w:numId w:val="0"/>
        </w:numPr>
        <w:rPr>
          <w:rFonts w:ascii="Times New Roman" w:hAnsi="Times New Roman" w:cs="Times New Roman"/>
          <w:color w:val="auto"/>
          <w:lang w:val="sr-Cyrl-RS"/>
        </w:rPr>
      </w:pPr>
      <w:bookmarkStart w:id="122" w:name="_Toc84778655"/>
      <w:r>
        <w:rPr>
          <w:rFonts w:ascii="Times New Roman" w:hAnsi="Times New Roman" w:cs="Times New Roman"/>
          <w:color w:val="auto"/>
          <w:lang w:val="sr-Cyrl-RS"/>
        </w:rPr>
        <w:t>6.1.3</w:t>
      </w:r>
      <w:r>
        <w:rPr>
          <w:rFonts w:ascii="Times New Roman" w:hAnsi="Times New Roman" w:cs="Times New Roman"/>
          <w:color w:val="auto"/>
          <w:lang w:val="sr-Cyrl-RS"/>
        </w:rPr>
        <w:tab/>
      </w:r>
      <w:r w:rsidR="00243B1F" w:rsidRPr="003E5020">
        <w:rPr>
          <w:rFonts w:ascii="Times New Roman" w:hAnsi="Times New Roman" w:cs="Times New Roman"/>
          <w:color w:val="auto"/>
          <w:lang w:val="sr-Cyrl-RS"/>
        </w:rPr>
        <w:t>Мер</w:t>
      </w:r>
      <w:r w:rsidR="008654BC" w:rsidRPr="003E5020">
        <w:rPr>
          <w:rFonts w:ascii="Times New Roman" w:hAnsi="Times New Roman" w:cs="Times New Roman"/>
          <w:color w:val="auto"/>
          <w:lang w:val="sr-Cyrl-RS"/>
        </w:rPr>
        <w:t>е за постизање</w:t>
      </w:r>
      <w:r w:rsidR="008817A9" w:rsidRPr="003E5020">
        <w:rPr>
          <w:rFonts w:ascii="Times New Roman" w:hAnsi="Times New Roman" w:cs="Times New Roman"/>
          <w:color w:val="auto"/>
          <w:lang w:val="sr-Cyrl-RS"/>
        </w:rPr>
        <w:t xml:space="preserve"> посебног ц</w:t>
      </w:r>
      <w:r w:rsidR="00BA0585" w:rsidRPr="003E5020">
        <w:rPr>
          <w:rFonts w:ascii="Times New Roman" w:hAnsi="Times New Roman" w:cs="Times New Roman"/>
          <w:color w:val="auto"/>
          <w:lang w:val="sr-Cyrl-RS"/>
        </w:rPr>
        <w:t>иља</w:t>
      </w:r>
      <w:r w:rsidR="00596D0C" w:rsidRPr="003E5020">
        <w:rPr>
          <w:rFonts w:ascii="Times New Roman" w:hAnsi="Times New Roman" w:cs="Times New Roman"/>
          <w:color w:val="auto"/>
          <w:lang w:val="sr-Cyrl-RS"/>
        </w:rPr>
        <w:t xml:space="preserve"> 1</w:t>
      </w:r>
      <w:bookmarkEnd w:id="122"/>
    </w:p>
    <w:p w14:paraId="49E859C5" w14:textId="75B41979" w:rsidR="002241D5" w:rsidRPr="003E5020" w:rsidRDefault="002241D5" w:rsidP="00220FED">
      <w:pPr>
        <w:pStyle w:val="ListParagraph"/>
        <w:ind w:left="1224"/>
        <w:jc w:val="both"/>
        <w:rPr>
          <w:rFonts w:ascii="Times New Roman" w:hAnsi="Times New Roman" w:cs="Times New Roman"/>
          <w:vanish/>
          <w:sz w:val="24"/>
          <w:szCs w:val="24"/>
          <w:lang w:val="sr-Cyrl-RS"/>
        </w:rPr>
      </w:pPr>
    </w:p>
    <w:p w14:paraId="53D7B5A0" w14:textId="51B91FDA" w:rsidR="002C6978" w:rsidRPr="003E5020" w:rsidRDefault="00220FED" w:rsidP="00220FED">
      <w:pPr>
        <w:pStyle w:val="Heading4"/>
        <w:numPr>
          <w:ilvl w:val="0"/>
          <w:numId w:val="0"/>
        </w:numPr>
        <w:tabs>
          <w:tab w:val="left" w:pos="1843"/>
        </w:tabs>
        <w:ind w:left="1843" w:hanging="1134"/>
        <w:jc w:val="both"/>
        <w:rPr>
          <w:rFonts w:ascii="Times New Roman" w:hAnsi="Times New Roman" w:cs="Times New Roman"/>
          <w:color w:val="auto"/>
          <w:sz w:val="24"/>
          <w:szCs w:val="24"/>
          <w:lang w:val="sr-Cyrl-RS"/>
        </w:rPr>
      </w:pPr>
      <w:bookmarkStart w:id="123" w:name="_Toc84778656"/>
      <w:r>
        <w:rPr>
          <w:rFonts w:ascii="Times New Roman" w:hAnsi="Times New Roman" w:cs="Times New Roman"/>
          <w:i w:val="0"/>
          <w:iCs w:val="0"/>
          <w:color w:val="auto"/>
          <w:sz w:val="24"/>
          <w:szCs w:val="24"/>
          <w:lang w:val="sr-Cyrl-RS"/>
        </w:rPr>
        <w:t xml:space="preserve">6.1.3.1 </w:t>
      </w:r>
      <w:r>
        <w:rPr>
          <w:rFonts w:ascii="Times New Roman" w:hAnsi="Times New Roman" w:cs="Times New Roman"/>
          <w:i w:val="0"/>
          <w:iCs w:val="0"/>
          <w:color w:val="auto"/>
          <w:sz w:val="24"/>
          <w:szCs w:val="24"/>
          <w:lang w:val="sr-Cyrl-RS"/>
        </w:rPr>
        <w:tab/>
      </w:r>
      <w:r w:rsidR="00360256" w:rsidRPr="003E5020">
        <w:rPr>
          <w:rFonts w:ascii="Times New Roman" w:hAnsi="Times New Roman" w:cs="Times New Roman"/>
          <w:i w:val="0"/>
          <w:iCs w:val="0"/>
          <w:color w:val="auto"/>
          <w:sz w:val="24"/>
          <w:szCs w:val="24"/>
          <w:lang w:val="sr-Cyrl-RS"/>
        </w:rPr>
        <w:t>Утврђивање недостатака постојећег правног оквира (тзв. gap analysis) за одабир, компетенције, премештај и унапређење судског и тужилачког особља,  ради успостављања модерног и ефикасног система управљања људским ресурсима</w:t>
      </w:r>
      <w:r w:rsidR="000160EE" w:rsidRPr="003E5020">
        <w:rPr>
          <w:rFonts w:ascii="Times New Roman" w:hAnsi="Times New Roman" w:cs="Times New Roman"/>
          <w:i w:val="0"/>
          <w:iCs w:val="0"/>
          <w:color w:val="auto"/>
          <w:sz w:val="24"/>
          <w:szCs w:val="24"/>
          <w:lang w:val="sr-Latn-RS"/>
        </w:rPr>
        <w:t>управљања</w:t>
      </w:r>
      <w:r w:rsidR="000160EE" w:rsidRPr="003E5020">
        <w:rPr>
          <w:rFonts w:ascii="Times New Roman" w:hAnsi="Times New Roman" w:cs="Times New Roman"/>
          <w:color w:val="auto"/>
          <w:sz w:val="24"/>
          <w:szCs w:val="24"/>
          <w:lang w:val="sr-Latn-RS"/>
        </w:rPr>
        <w:t xml:space="preserve"> људским ресурсима</w:t>
      </w:r>
      <w:bookmarkEnd w:id="123"/>
    </w:p>
    <w:p w14:paraId="15952BDE" w14:textId="77777777" w:rsidR="00CE6885" w:rsidRPr="003E5020" w:rsidRDefault="00CE6885" w:rsidP="00CE6885">
      <w:pPr>
        <w:pStyle w:val="ListParagraph"/>
        <w:ind w:left="1728"/>
        <w:jc w:val="both"/>
        <w:rPr>
          <w:rFonts w:ascii="Times New Roman" w:hAnsi="Times New Roman" w:cs="Times New Roman"/>
          <w:sz w:val="24"/>
          <w:szCs w:val="24"/>
          <w:lang w:val="sr-Cyrl-RS"/>
        </w:rPr>
      </w:pPr>
    </w:p>
    <w:p w14:paraId="0C957A81" w14:textId="55A255CA" w:rsidR="002C6978" w:rsidRPr="003E5020" w:rsidRDefault="002C697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Анализа ће бити спроведена у </w:t>
      </w:r>
      <w:r w:rsidR="008E4D36" w:rsidRPr="003E5020">
        <w:rPr>
          <w:rFonts w:ascii="Times New Roman" w:hAnsi="Times New Roman" w:cs="Times New Roman"/>
          <w:sz w:val="24"/>
          <w:szCs w:val="24"/>
          <w:lang w:val="sr-Cyrl-RS"/>
        </w:rPr>
        <w:t>првој</w:t>
      </w:r>
      <w:r w:rsidRPr="003E5020">
        <w:rPr>
          <w:rFonts w:ascii="Times New Roman" w:hAnsi="Times New Roman" w:cs="Times New Roman"/>
          <w:sz w:val="24"/>
          <w:szCs w:val="24"/>
          <w:lang w:val="sr-Cyrl-RS"/>
        </w:rPr>
        <w:t xml:space="preserve"> години имплементације Стратегије</w:t>
      </w:r>
      <w:r w:rsidR="008E4D36" w:rsidRPr="003E5020">
        <w:rPr>
          <w:rFonts w:ascii="Times New Roman" w:hAnsi="Times New Roman" w:cs="Times New Roman"/>
          <w:sz w:val="24"/>
          <w:szCs w:val="24"/>
          <w:lang w:val="sr-Cyrl-RS"/>
        </w:rPr>
        <w:t>,</w:t>
      </w:r>
      <w:r w:rsidR="00C16B1C" w:rsidRPr="003E5020">
        <w:rPr>
          <w:rFonts w:ascii="Times New Roman" w:hAnsi="Times New Roman" w:cs="Times New Roman"/>
          <w:sz w:val="24"/>
          <w:szCs w:val="24"/>
          <w:lang w:val="sr-Cyrl-RS"/>
        </w:rPr>
        <w:t xml:space="preserve"> одвојено за сваку од четири наведене категорије </w:t>
      </w:r>
      <w:r w:rsidR="00CF0EB8" w:rsidRPr="003E5020">
        <w:rPr>
          <w:rFonts w:ascii="Times New Roman" w:hAnsi="Times New Roman" w:cs="Times New Roman"/>
          <w:sz w:val="24"/>
          <w:szCs w:val="24"/>
          <w:lang w:val="sr-Cyrl-RS"/>
        </w:rPr>
        <w:t>поступака</w:t>
      </w:r>
      <w:r w:rsidR="00C16B1C" w:rsidRPr="003E5020">
        <w:rPr>
          <w:rFonts w:ascii="Times New Roman" w:hAnsi="Times New Roman" w:cs="Times New Roman"/>
          <w:sz w:val="24"/>
          <w:szCs w:val="24"/>
          <w:lang w:val="sr-Cyrl-RS"/>
        </w:rPr>
        <w:t xml:space="preserve">: </w:t>
      </w:r>
      <w:r w:rsidR="00B5104C" w:rsidRPr="003E5020">
        <w:rPr>
          <w:rFonts w:ascii="Times New Roman" w:hAnsi="Times New Roman" w:cs="Times New Roman"/>
          <w:sz w:val="24"/>
          <w:szCs w:val="24"/>
          <w:lang w:val="sr-Cyrl-RS"/>
        </w:rPr>
        <w:t>одабир</w:t>
      </w:r>
      <w:r w:rsidR="00C16B1C" w:rsidRPr="003E5020">
        <w:rPr>
          <w:rFonts w:ascii="Times New Roman" w:hAnsi="Times New Roman" w:cs="Times New Roman"/>
          <w:sz w:val="24"/>
          <w:szCs w:val="24"/>
          <w:lang w:val="sr-Cyrl-RS"/>
        </w:rPr>
        <w:t xml:space="preserve">, </w:t>
      </w:r>
      <w:r w:rsidR="00B5104C" w:rsidRPr="003E5020">
        <w:rPr>
          <w:rFonts w:ascii="Times New Roman" w:hAnsi="Times New Roman" w:cs="Times New Roman"/>
          <w:sz w:val="24"/>
          <w:szCs w:val="24"/>
          <w:lang w:val="sr-Cyrl-RS"/>
        </w:rPr>
        <w:t>компетенције</w:t>
      </w:r>
      <w:r w:rsidR="008E4D36" w:rsidRPr="003E5020">
        <w:rPr>
          <w:rFonts w:ascii="Times New Roman" w:hAnsi="Times New Roman" w:cs="Times New Roman"/>
          <w:sz w:val="24"/>
          <w:szCs w:val="24"/>
          <w:lang w:val="sr-Cyrl-RS"/>
        </w:rPr>
        <w:t xml:space="preserve">, премештаја и </w:t>
      </w:r>
      <w:r w:rsidR="00B5104C" w:rsidRPr="003E5020">
        <w:rPr>
          <w:rFonts w:ascii="Times New Roman" w:hAnsi="Times New Roman" w:cs="Times New Roman"/>
          <w:sz w:val="24"/>
          <w:szCs w:val="24"/>
          <w:lang w:val="sr-Cyrl-RS"/>
        </w:rPr>
        <w:t>унапређење судског и тужилачког особља</w:t>
      </w:r>
      <w:r w:rsidR="008E4D36" w:rsidRPr="003E5020">
        <w:rPr>
          <w:rFonts w:ascii="Times New Roman" w:hAnsi="Times New Roman" w:cs="Times New Roman"/>
          <w:sz w:val="24"/>
          <w:szCs w:val="24"/>
          <w:lang w:val="sr-Cyrl-RS"/>
        </w:rPr>
        <w:t>, у периоду од</w:t>
      </w:r>
      <w:r w:rsidR="00002E59" w:rsidRPr="003E5020">
        <w:rPr>
          <w:rFonts w:ascii="Times New Roman" w:hAnsi="Times New Roman" w:cs="Times New Roman"/>
          <w:sz w:val="24"/>
          <w:szCs w:val="24"/>
          <w:lang w:val="sr-Cyrl-RS"/>
        </w:rPr>
        <w:t xml:space="preserve"> </w:t>
      </w:r>
      <w:r w:rsidR="003D28A8" w:rsidRPr="003E5020">
        <w:rPr>
          <w:rFonts w:ascii="Times New Roman" w:hAnsi="Times New Roman" w:cs="Times New Roman"/>
          <w:sz w:val="24"/>
          <w:szCs w:val="24"/>
          <w:lang w:val="sr-Cyrl-RS"/>
        </w:rPr>
        <w:t>1</w:t>
      </w:r>
      <w:r w:rsidR="008E4D36" w:rsidRPr="003E5020">
        <w:rPr>
          <w:rFonts w:ascii="Times New Roman" w:hAnsi="Times New Roman" w:cs="Times New Roman"/>
          <w:sz w:val="24"/>
          <w:szCs w:val="24"/>
          <w:lang w:val="sr-Cyrl-RS"/>
        </w:rPr>
        <w:t>.</w:t>
      </w:r>
      <w:r w:rsidR="00002E59" w:rsidRPr="003E5020">
        <w:rPr>
          <w:rFonts w:ascii="Times New Roman" w:hAnsi="Times New Roman" w:cs="Times New Roman"/>
          <w:sz w:val="24"/>
          <w:szCs w:val="24"/>
          <w:lang w:val="sr-Cyrl-RS"/>
        </w:rPr>
        <w:t xml:space="preserve"> до </w:t>
      </w:r>
      <w:r w:rsidR="008974E2" w:rsidRPr="003E5020">
        <w:rPr>
          <w:rFonts w:ascii="Times New Roman" w:hAnsi="Times New Roman" w:cs="Times New Roman"/>
          <w:sz w:val="24"/>
          <w:szCs w:val="24"/>
          <w:lang w:val="sr-Cyrl-RS"/>
        </w:rPr>
        <w:t>3</w:t>
      </w:r>
      <w:r w:rsidR="008E4D36" w:rsidRPr="003E5020">
        <w:rPr>
          <w:rFonts w:ascii="Times New Roman" w:hAnsi="Times New Roman" w:cs="Times New Roman"/>
          <w:sz w:val="24"/>
          <w:szCs w:val="24"/>
          <w:lang w:val="sr-Cyrl-RS"/>
        </w:rPr>
        <w:t xml:space="preserve">. </w:t>
      </w:r>
      <w:r w:rsidR="003D28A8" w:rsidRPr="003E5020">
        <w:rPr>
          <w:rFonts w:ascii="Times New Roman" w:hAnsi="Times New Roman" w:cs="Times New Roman"/>
          <w:sz w:val="24"/>
          <w:szCs w:val="24"/>
          <w:lang w:val="sr-Cyrl-RS"/>
        </w:rPr>
        <w:t>квартала 202</w:t>
      </w:r>
      <w:r w:rsidR="00B5104C" w:rsidRPr="003E5020">
        <w:rPr>
          <w:rFonts w:ascii="Times New Roman" w:hAnsi="Times New Roman" w:cs="Times New Roman"/>
          <w:sz w:val="24"/>
          <w:szCs w:val="24"/>
          <w:lang w:val="sr-Cyrl-RS"/>
        </w:rPr>
        <w:t>2</w:t>
      </w:r>
      <w:r w:rsidR="003D28A8" w:rsidRPr="003E5020">
        <w:rPr>
          <w:rFonts w:ascii="Times New Roman" w:hAnsi="Times New Roman" w:cs="Times New Roman"/>
          <w:sz w:val="24"/>
          <w:szCs w:val="24"/>
          <w:lang w:val="sr-Cyrl-RS"/>
        </w:rPr>
        <w:t>. године</w:t>
      </w:r>
      <w:r w:rsidR="00C32828" w:rsidRPr="003E5020">
        <w:rPr>
          <w:rFonts w:ascii="Times New Roman" w:hAnsi="Times New Roman" w:cs="Times New Roman"/>
          <w:sz w:val="24"/>
          <w:szCs w:val="24"/>
          <w:lang w:val="sr-Cyrl-RS"/>
        </w:rPr>
        <w:t xml:space="preserve">. </w:t>
      </w:r>
    </w:p>
    <w:p w14:paraId="1F4D508F" w14:textId="2463B345" w:rsidR="00002E59" w:rsidRPr="003E5020" w:rsidRDefault="00002E59">
      <w:pPr>
        <w:ind w:left="1985"/>
        <w:jc w:val="both"/>
        <w:rPr>
          <w:rFonts w:ascii="Times New Roman" w:hAnsi="Times New Roman" w:cs="Times New Roman"/>
          <w:sz w:val="24"/>
          <w:szCs w:val="24"/>
          <w:lang w:val="sr-Cyrl-RS"/>
        </w:rPr>
      </w:pPr>
    </w:p>
    <w:p w14:paraId="1FE12FF7" w14:textId="30C9418E" w:rsidR="00002E59" w:rsidRPr="003E5020" w:rsidRDefault="00002E59">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анализе</w:t>
      </w:r>
      <w:r w:rsidR="00857D01" w:rsidRPr="003E5020">
        <w:rPr>
          <w:rFonts w:ascii="Times New Roman" w:hAnsi="Times New Roman" w:cs="Times New Roman"/>
          <w:sz w:val="24"/>
          <w:szCs w:val="24"/>
          <w:lang w:val="sr-Cyrl-RS"/>
        </w:rPr>
        <w:t xml:space="preserve"> </w:t>
      </w:r>
      <w:r w:rsidR="00153514" w:rsidRPr="003E5020">
        <w:rPr>
          <w:rFonts w:ascii="Times New Roman" w:hAnsi="Times New Roman" w:cs="Times New Roman"/>
          <w:sz w:val="24"/>
          <w:szCs w:val="24"/>
          <w:lang w:val="sr-Cyrl-RS"/>
        </w:rPr>
        <w:t xml:space="preserve">са препорукама за унапређење </w:t>
      </w:r>
      <w:r w:rsidRPr="003E5020">
        <w:rPr>
          <w:rFonts w:ascii="Times New Roman" w:hAnsi="Times New Roman" w:cs="Times New Roman"/>
          <w:sz w:val="24"/>
          <w:szCs w:val="24"/>
          <w:lang w:val="sr-Cyrl-RS"/>
        </w:rPr>
        <w:t xml:space="preserve">ће бити представљени у форми </w:t>
      </w:r>
      <w:r w:rsidR="00857D01" w:rsidRPr="003E5020">
        <w:rPr>
          <w:rFonts w:ascii="Times New Roman" w:hAnsi="Times New Roman" w:cs="Times New Roman"/>
          <w:sz w:val="24"/>
          <w:szCs w:val="24"/>
          <w:lang w:val="sr-Cyrl-RS"/>
        </w:rPr>
        <w:t xml:space="preserve">посебних </w:t>
      </w:r>
      <w:r w:rsidRPr="003E5020">
        <w:rPr>
          <w:rFonts w:ascii="Times New Roman" w:hAnsi="Times New Roman" w:cs="Times New Roman"/>
          <w:sz w:val="24"/>
          <w:szCs w:val="24"/>
          <w:lang w:val="sr-Cyrl-RS"/>
        </w:rPr>
        <w:t>извештаја о спроведеној анализи,</w:t>
      </w:r>
      <w:r w:rsidR="00AC1371" w:rsidRPr="003E5020">
        <w:rPr>
          <w:rFonts w:ascii="Times New Roman" w:hAnsi="Times New Roman" w:cs="Times New Roman"/>
          <w:sz w:val="24"/>
          <w:szCs w:val="24"/>
          <w:lang w:val="sr-Cyrl-RS"/>
        </w:rPr>
        <w:t xml:space="preserve"> за све четири категорије </w:t>
      </w:r>
      <w:r w:rsidR="00CF0EB8" w:rsidRPr="003E5020">
        <w:rPr>
          <w:rFonts w:ascii="Times New Roman" w:hAnsi="Times New Roman" w:cs="Times New Roman"/>
          <w:sz w:val="24"/>
          <w:szCs w:val="24"/>
          <w:lang w:val="sr-Cyrl-RS"/>
        </w:rPr>
        <w:t xml:space="preserve">поступака </w:t>
      </w:r>
      <w:r w:rsidR="00AC1371" w:rsidRPr="003E5020">
        <w:rPr>
          <w:rFonts w:ascii="Times New Roman" w:hAnsi="Times New Roman" w:cs="Times New Roman"/>
          <w:sz w:val="24"/>
          <w:szCs w:val="24"/>
          <w:lang w:val="sr-Cyrl-RS"/>
        </w:rPr>
        <w:t>посебно, а</w:t>
      </w:r>
      <w:r w:rsidRPr="003E5020">
        <w:rPr>
          <w:rFonts w:ascii="Times New Roman" w:hAnsi="Times New Roman" w:cs="Times New Roman"/>
          <w:sz w:val="24"/>
          <w:szCs w:val="24"/>
          <w:lang w:val="sr-Cyrl-RS"/>
        </w:rPr>
        <w:t xml:space="preserve"> који</w:t>
      </w:r>
      <w:r w:rsidR="00AC1371" w:rsidRPr="003E5020">
        <w:rPr>
          <w:rFonts w:ascii="Times New Roman" w:hAnsi="Times New Roman" w:cs="Times New Roman"/>
          <w:sz w:val="24"/>
          <w:szCs w:val="24"/>
          <w:lang w:val="sr-Cyrl-RS"/>
        </w:rPr>
        <w:t xml:space="preserve"> извештаји </w:t>
      </w:r>
      <w:r w:rsidRPr="003E5020">
        <w:rPr>
          <w:rFonts w:ascii="Times New Roman" w:hAnsi="Times New Roman" w:cs="Times New Roman"/>
          <w:sz w:val="24"/>
          <w:szCs w:val="24"/>
          <w:lang w:val="sr-Cyrl-RS"/>
        </w:rPr>
        <w:t>ће бити објављен</w:t>
      </w:r>
      <w:r w:rsidR="00857D01" w:rsidRPr="003E5020">
        <w:rPr>
          <w:rFonts w:ascii="Times New Roman" w:hAnsi="Times New Roman" w:cs="Times New Roman"/>
          <w:sz w:val="24"/>
          <w:szCs w:val="24"/>
          <w:lang w:val="sr-Cyrl-RS"/>
        </w:rPr>
        <w:t>и</w:t>
      </w:r>
      <w:r w:rsidR="00C16B1C" w:rsidRPr="003E5020">
        <w:rPr>
          <w:rFonts w:ascii="Times New Roman" w:hAnsi="Times New Roman" w:cs="Times New Roman"/>
          <w:sz w:val="24"/>
          <w:szCs w:val="24"/>
          <w:lang w:val="sr-Cyrl-RS"/>
        </w:rPr>
        <w:t xml:space="preserve"> и јавно доступ</w:t>
      </w:r>
      <w:r w:rsidRPr="003E5020">
        <w:rPr>
          <w:rFonts w:ascii="Times New Roman" w:hAnsi="Times New Roman" w:cs="Times New Roman"/>
          <w:sz w:val="24"/>
          <w:szCs w:val="24"/>
          <w:lang w:val="sr-Cyrl-RS"/>
        </w:rPr>
        <w:t>н</w:t>
      </w:r>
      <w:r w:rsidR="00C16B1C"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w:t>
      </w:r>
    </w:p>
    <w:p w14:paraId="41D41D69" w14:textId="7D618EE1" w:rsidR="00021410" w:rsidRPr="003E5020" w:rsidRDefault="00021410">
      <w:pPr>
        <w:ind w:left="1985"/>
        <w:jc w:val="both"/>
        <w:rPr>
          <w:rFonts w:ascii="Times New Roman" w:hAnsi="Times New Roman" w:cs="Times New Roman"/>
          <w:sz w:val="24"/>
          <w:szCs w:val="24"/>
          <w:lang w:val="sr-Cyrl-RS"/>
        </w:rPr>
      </w:pPr>
    </w:p>
    <w:p w14:paraId="7DD5930B" w14:textId="439F1D21" w:rsidR="00810470" w:rsidRPr="003E5020" w:rsidRDefault="00021410" w:rsidP="0081047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спровођењу ове мере</w:t>
      </w:r>
      <w:r w:rsidRPr="003E5020">
        <w:rPr>
          <w:rFonts w:ascii="Times New Roman" w:hAnsi="Times New Roman" w:cs="Times New Roman"/>
          <w:sz w:val="24"/>
          <w:szCs w:val="24"/>
          <w:lang w:val="sr-Cyrl-RS"/>
        </w:rPr>
        <w:t xml:space="preserve"> ће бити обезбеђено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326F78"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w:t>
      </w:r>
      <w:r w:rsidR="00810470" w:rsidRPr="003E5020">
        <w:rPr>
          <w:rFonts w:ascii="Times New Roman" w:hAnsi="Times New Roman" w:cs="Times New Roman"/>
          <w:sz w:val="24"/>
          <w:szCs w:val="24"/>
          <w:lang w:val="sr-Cyrl-RS"/>
        </w:rPr>
        <w:t xml:space="preserve"> </w:t>
      </w:r>
      <w:r w:rsidR="005B435B" w:rsidRPr="003E5020">
        <w:rPr>
          <w:rFonts w:ascii="Times New Roman" w:hAnsi="Times New Roman" w:cs="Times New Roman"/>
          <w:sz w:val="24"/>
          <w:szCs w:val="24"/>
          <w:lang w:val="sr-Cyrl-RS"/>
        </w:rPr>
        <w:t>С</w:t>
      </w:r>
      <w:r w:rsidR="00810470" w:rsidRPr="003E5020">
        <w:rPr>
          <w:rFonts w:ascii="Times New Roman" w:hAnsi="Times New Roman" w:cs="Times New Roman"/>
          <w:sz w:val="24"/>
          <w:szCs w:val="24"/>
          <w:lang w:val="sr-Cyrl-RS"/>
        </w:rPr>
        <w:t xml:space="preserve">тратегије и  приложен </w:t>
      </w:r>
      <w:r w:rsidR="005B435B" w:rsidRPr="003E5020">
        <w:rPr>
          <w:rFonts w:ascii="Times New Roman" w:hAnsi="Times New Roman" w:cs="Times New Roman"/>
          <w:sz w:val="24"/>
          <w:szCs w:val="24"/>
          <w:lang w:val="sr-Cyrl-RS"/>
        </w:rPr>
        <w:t xml:space="preserve"> је </w:t>
      </w:r>
      <w:r w:rsidR="00810470" w:rsidRPr="003E5020">
        <w:rPr>
          <w:rFonts w:ascii="Times New Roman" w:hAnsi="Times New Roman" w:cs="Times New Roman"/>
          <w:sz w:val="24"/>
          <w:szCs w:val="24"/>
          <w:lang w:val="sr-Cyrl-RS"/>
        </w:rPr>
        <w:t>у форми одвојеног документа (тачка 11.)</w:t>
      </w:r>
      <w:r w:rsidR="005B435B" w:rsidRPr="003E5020">
        <w:rPr>
          <w:rFonts w:ascii="Times New Roman" w:hAnsi="Times New Roman" w:cs="Times New Roman"/>
          <w:sz w:val="24"/>
          <w:szCs w:val="24"/>
          <w:lang w:val="sr-Cyrl-RS"/>
        </w:rPr>
        <w:t>.</w:t>
      </w:r>
    </w:p>
    <w:p w14:paraId="5CB2F6B1" w14:textId="4C0EBFB7" w:rsidR="00021410" w:rsidRPr="003E5020" w:rsidRDefault="00326F7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r w:rsidR="00021410" w:rsidRPr="003E5020">
        <w:rPr>
          <w:rFonts w:ascii="Times New Roman" w:hAnsi="Times New Roman" w:cs="Times New Roman"/>
          <w:sz w:val="24"/>
          <w:szCs w:val="24"/>
          <w:lang w:val="sr-Cyrl-RS"/>
        </w:rPr>
        <w:t>.</w:t>
      </w:r>
      <w:r w:rsidR="00FD1718" w:rsidRPr="003E5020">
        <w:rPr>
          <w:rFonts w:ascii="Times New Roman" w:hAnsi="Times New Roman" w:cs="Times New Roman"/>
          <w:sz w:val="24"/>
          <w:szCs w:val="24"/>
          <w:lang w:val="sr-Cyrl-RS"/>
        </w:rPr>
        <w:t xml:space="preserve"> </w:t>
      </w:r>
    </w:p>
    <w:p w14:paraId="62CD9C38" w14:textId="656B110C" w:rsidR="00B11329" w:rsidRPr="003E5020" w:rsidRDefault="00B11329">
      <w:pPr>
        <w:ind w:left="1985"/>
        <w:jc w:val="both"/>
        <w:rPr>
          <w:rFonts w:ascii="Times New Roman" w:hAnsi="Times New Roman" w:cs="Times New Roman"/>
          <w:sz w:val="24"/>
          <w:szCs w:val="24"/>
          <w:lang w:val="sr-Cyrl-RS"/>
        </w:rPr>
      </w:pPr>
    </w:p>
    <w:p w14:paraId="625BCDE8" w14:textId="2E7808D9" w:rsidR="00B11329" w:rsidRPr="003E5020" w:rsidRDefault="00B11329">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Институције надлежне за надзор и спровођење </w:t>
      </w:r>
      <w:r w:rsidR="00DC1DEE" w:rsidRPr="003E5020">
        <w:rPr>
          <w:rFonts w:ascii="Times New Roman" w:hAnsi="Times New Roman" w:cs="Times New Roman"/>
          <w:sz w:val="24"/>
          <w:szCs w:val="24"/>
          <w:lang w:val="sr-Cyrl-RS"/>
        </w:rPr>
        <w:t xml:space="preserve">ове </w:t>
      </w:r>
      <w:r w:rsidRPr="003E5020">
        <w:rPr>
          <w:rFonts w:ascii="Times New Roman" w:hAnsi="Times New Roman" w:cs="Times New Roman"/>
          <w:sz w:val="24"/>
          <w:szCs w:val="24"/>
          <w:lang w:val="sr-Cyrl-RS"/>
        </w:rPr>
        <w:t>мере су, како следи: Министарство правде, које има и функцију координатора за реализацију мере, Високи савет судства</w:t>
      </w:r>
      <w:r w:rsidR="00C71110" w:rsidRPr="003E5020">
        <w:rPr>
          <w:rFonts w:ascii="Times New Roman" w:hAnsi="Times New Roman" w:cs="Times New Roman"/>
          <w:sz w:val="24"/>
          <w:szCs w:val="24"/>
          <w:lang w:val="sr-Cyrl-RS"/>
        </w:rPr>
        <w:t xml:space="preserve">, </w:t>
      </w:r>
      <w:r w:rsidR="00B5104C" w:rsidRPr="003E5020">
        <w:rPr>
          <w:rFonts w:ascii="Times New Roman" w:hAnsi="Times New Roman" w:cs="Times New Roman"/>
          <w:sz w:val="24"/>
          <w:szCs w:val="24"/>
          <w:lang w:val="sr-Cyrl-RS"/>
        </w:rPr>
        <w:t xml:space="preserve">Врховни касациони суд, </w:t>
      </w:r>
      <w:r w:rsidR="00C71110" w:rsidRPr="003E5020">
        <w:rPr>
          <w:rFonts w:ascii="Times New Roman" w:hAnsi="Times New Roman" w:cs="Times New Roman"/>
          <w:sz w:val="24"/>
          <w:szCs w:val="24"/>
          <w:lang w:val="sr-Cyrl-RS"/>
        </w:rPr>
        <w:t>Републичко јавно тужилаштво</w:t>
      </w:r>
      <w:r w:rsidRPr="003E5020">
        <w:rPr>
          <w:rFonts w:ascii="Times New Roman" w:hAnsi="Times New Roman" w:cs="Times New Roman"/>
          <w:sz w:val="24"/>
          <w:szCs w:val="24"/>
          <w:lang w:val="sr-Cyrl-RS"/>
        </w:rPr>
        <w:t xml:space="preserve"> и </w:t>
      </w:r>
      <w:r w:rsidR="007E4414" w:rsidRPr="003E5020">
        <w:rPr>
          <w:rFonts w:ascii="Times New Roman" w:hAnsi="Times New Roman" w:cs="Times New Roman"/>
          <w:sz w:val="24"/>
          <w:szCs w:val="24"/>
          <w:lang w:val="sr-Cyrl-RS"/>
        </w:rPr>
        <w:t>Државно веће тужилаца</w:t>
      </w:r>
      <w:r w:rsidRPr="003E5020">
        <w:rPr>
          <w:rFonts w:ascii="Times New Roman" w:hAnsi="Times New Roman" w:cs="Times New Roman"/>
          <w:sz w:val="24"/>
          <w:szCs w:val="24"/>
          <w:lang w:val="sr-Cyrl-RS"/>
        </w:rPr>
        <w:t>.</w:t>
      </w:r>
      <w:r w:rsidR="00B5104C" w:rsidRPr="003E5020">
        <w:rPr>
          <w:rFonts w:ascii="Times New Roman" w:hAnsi="Times New Roman" w:cs="Times New Roman"/>
          <w:sz w:val="24"/>
          <w:szCs w:val="24"/>
          <w:lang w:val="sr-Cyrl-RS"/>
        </w:rPr>
        <w:t xml:space="preserve"> </w:t>
      </w:r>
    </w:p>
    <w:p w14:paraId="2FB8B1DC" w14:textId="77777777" w:rsidR="00220FED" w:rsidRDefault="00220FED" w:rsidP="00220FED">
      <w:pPr>
        <w:pStyle w:val="Heading4"/>
        <w:numPr>
          <w:ilvl w:val="0"/>
          <w:numId w:val="0"/>
        </w:numPr>
        <w:ind w:left="1843"/>
        <w:rPr>
          <w:rFonts w:ascii="Times New Roman" w:eastAsiaTheme="minorEastAsia" w:hAnsi="Times New Roman" w:cs="Times New Roman"/>
          <w:i w:val="0"/>
          <w:iCs w:val="0"/>
          <w:color w:val="auto"/>
          <w:sz w:val="24"/>
          <w:szCs w:val="24"/>
          <w:lang w:val="sr-Cyrl-RS"/>
        </w:rPr>
      </w:pPr>
      <w:bookmarkStart w:id="124" w:name="_Toc84778657"/>
    </w:p>
    <w:p w14:paraId="35F44993" w14:textId="5F53FA50" w:rsidR="00100DD6" w:rsidRPr="003E5020" w:rsidRDefault="00220FED" w:rsidP="00356B99">
      <w:pPr>
        <w:pStyle w:val="Heading4"/>
        <w:numPr>
          <w:ilvl w:val="0"/>
          <w:numId w:val="0"/>
        </w:numPr>
        <w:tabs>
          <w:tab w:val="left" w:pos="2694"/>
        </w:tabs>
        <w:ind w:left="1843" w:hanging="992"/>
        <w:rPr>
          <w:rFonts w:ascii="Times New Roman" w:hAnsi="Times New Roman" w:cs="Times New Roman"/>
          <w:i w:val="0"/>
          <w:iCs w:val="0"/>
          <w:color w:val="auto"/>
          <w:sz w:val="24"/>
          <w:szCs w:val="24"/>
          <w:lang w:val="sr-Cyrl-RS"/>
        </w:rPr>
      </w:pPr>
      <w:r>
        <w:rPr>
          <w:rFonts w:ascii="Times New Roman" w:eastAsiaTheme="minorEastAsia" w:hAnsi="Times New Roman" w:cs="Times New Roman"/>
          <w:i w:val="0"/>
          <w:iCs w:val="0"/>
          <w:color w:val="auto"/>
          <w:sz w:val="24"/>
          <w:szCs w:val="24"/>
          <w:lang w:val="sr-Cyrl-RS"/>
        </w:rPr>
        <w:t xml:space="preserve">6.1.3.2 </w:t>
      </w:r>
      <w:r>
        <w:rPr>
          <w:rFonts w:ascii="Times New Roman" w:eastAsiaTheme="minorEastAsia" w:hAnsi="Times New Roman" w:cs="Times New Roman"/>
          <w:i w:val="0"/>
          <w:iCs w:val="0"/>
          <w:color w:val="auto"/>
          <w:sz w:val="24"/>
          <w:szCs w:val="24"/>
          <w:lang w:val="sr-Cyrl-RS"/>
        </w:rPr>
        <w:tab/>
      </w:r>
      <w:r w:rsidR="00B5104C" w:rsidRPr="003E5020">
        <w:rPr>
          <w:rFonts w:ascii="Times New Roman" w:hAnsi="Times New Roman" w:cs="Times New Roman"/>
          <w:i w:val="0"/>
          <w:iCs w:val="0"/>
          <w:color w:val="auto"/>
          <w:sz w:val="24"/>
          <w:szCs w:val="24"/>
          <w:lang w:val="sr-Cyrl-RS"/>
        </w:rPr>
        <w:t>Припрема и усвајање правног оквира за успостављање и одрживи развој система управљања људским ресурсима у правосуђу</w:t>
      </w:r>
      <w:bookmarkEnd w:id="124"/>
    </w:p>
    <w:p w14:paraId="50A4B50F" w14:textId="418DE02F" w:rsidR="002314B1" w:rsidRPr="003E5020" w:rsidRDefault="002314B1">
      <w:pPr>
        <w:jc w:val="both"/>
        <w:rPr>
          <w:rFonts w:ascii="Times New Roman" w:hAnsi="Times New Roman" w:cs="Times New Roman"/>
          <w:sz w:val="24"/>
          <w:szCs w:val="24"/>
          <w:lang w:val="sr-Cyrl-RS"/>
        </w:rPr>
      </w:pPr>
    </w:p>
    <w:p w14:paraId="61F83B02" w14:textId="0E656B5A" w:rsidR="00AC1371" w:rsidRPr="003E5020" w:rsidRDefault="00B5104C">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Правни </w:t>
      </w:r>
      <w:r w:rsidR="00BF35A4" w:rsidRPr="003E5020">
        <w:rPr>
          <w:rFonts w:ascii="Times New Roman" w:hAnsi="Times New Roman" w:cs="Times New Roman"/>
          <w:sz w:val="24"/>
          <w:szCs w:val="24"/>
          <w:lang w:val="sr-Cyrl-RS"/>
        </w:rPr>
        <w:t>оквир ће бити припремљен и усвојен у форми одговарајућих прописа</w:t>
      </w:r>
      <w:r w:rsidR="00DF39E8" w:rsidRPr="003E5020">
        <w:rPr>
          <w:rFonts w:ascii="Times New Roman" w:hAnsi="Times New Roman" w:cs="Times New Roman"/>
          <w:sz w:val="24"/>
          <w:szCs w:val="24"/>
          <w:lang w:val="sr-Cyrl-RS"/>
        </w:rPr>
        <w:t>, у периоду</w:t>
      </w:r>
      <w:r w:rsidR="000431E7" w:rsidRPr="003E5020">
        <w:rPr>
          <w:rFonts w:ascii="Times New Roman" w:hAnsi="Times New Roman" w:cs="Times New Roman"/>
          <w:sz w:val="24"/>
          <w:szCs w:val="24"/>
          <w:lang w:val="sr-Cyrl-RS"/>
        </w:rPr>
        <w:t xml:space="preserve"> од </w:t>
      </w:r>
      <w:r w:rsidR="004C47A1" w:rsidRPr="003E5020">
        <w:rPr>
          <w:rFonts w:ascii="Times New Roman" w:hAnsi="Times New Roman" w:cs="Times New Roman"/>
          <w:sz w:val="24"/>
          <w:szCs w:val="24"/>
          <w:lang w:val="sr-Cyrl-RS"/>
        </w:rPr>
        <w:t>1</w:t>
      </w:r>
      <w:r w:rsidR="00DF39E8" w:rsidRPr="003E5020">
        <w:rPr>
          <w:rFonts w:ascii="Times New Roman" w:hAnsi="Times New Roman" w:cs="Times New Roman"/>
          <w:sz w:val="24"/>
          <w:szCs w:val="24"/>
          <w:lang w:val="sr-Cyrl-RS"/>
        </w:rPr>
        <w:t>.</w:t>
      </w:r>
      <w:r w:rsidR="00367D76" w:rsidRPr="003E5020">
        <w:rPr>
          <w:rFonts w:ascii="Times New Roman" w:hAnsi="Times New Roman" w:cs="Times New Roman"/>
          <w:sz w:val="24"/>
          <w:szCs w:val="24"/>
          <w:lang w:val="sr-Cyrl-RS"/>
        </w:rPr>
        <w:t xml:space="preserve"> </w:t>
      </w:r>
      <w:r w:rsidR="000805D1" w:rsidRPr="003E5020">
        <w:rPr>
          <w:rFonts w:ascii="Times New Roman" w:hAnsi="Times New Roman" w:cs="Times New Roman"/>
          <w:sz w:val="24"/>
          <w:szCs w:val="24"/>
          <w:lang w:val="sr-Cyrl-RS"/>
        </w:rPr>
        <w:t xml:space="preserve">до краја </w:t>
      </w:r>
      <w:r w:rsidRPr="003E5020">
        <w:rPr>
          <w:rFonts w:ascii="Times New Roman" w:hAnsi="Times New Roman" w:cs="Times New Roman"/>
          <w:sz w:val="24"/>
          <w:szCs w:val="24"/>
          <w:lang w:val="sr-Cyrl-RS"/>
        </w:rPr>
        <w:t>3</w:t>
      </w:r>
      <w:r w:rsidR="000805D1" w:rsidRPr="003E5020">
        <w:rPr>
          <w:rFonts w:ascii="Times New Roman" w:hAnsi="Times New Roman" w:cs="Times New Roman"/>
          <w:sz w:val="24"/>
          <w:szCs w:val="24"/>
          <w:lang w:val="sr-Cyrl-RS"/>
        </w:rPr>
        <w:t>.</w:t>
      </w:r>
      <w:r w:rsidR="00367D76" w:rsidRPr="003E5020">
        <w:rPr>
          <w:rFonts w:ascii="Times New Roman" w:hAnsi="Times New Roman" w:cs="Times New Roman"/>
          <w:sz w:val="24"/>
          <w:szCs w:val="24"/>
          <w:lang w:val="sr-Cyrl-RS"/>
        </w:rPr>
        <w:t xml:space="preserve"> квартала 202</w:t>
      </w:r>
      <w:r w:rsidRPr="003E5020">
        <w:rPr>
          <w:rFonts w:ascii="Times New Roman" w:hAnsi="Times New Roman" w:cs="Times New Roman"/>
          <w:sz w:val="24"/>
          <w:szCs w:val="24"/>
          <w:lang w:val="sr-Cyrl-RS"/>
        </w:rPr>
        <w:t>3</w:t>
      </w:r>
      <w:r w:rsidR="00367D76" w:rsidRPr="003E5020">
        <w:rPr>
          <w:rFonts w:ascii="Times New Roman" w:hAnsi="Times New Roman" w:cs="Times New Roman"/>
          <w:sz w:val="24"/>
          <w:szCs w:val="24"/>
          <w:lang w:val="sr-Cyrl-RS"/>
        </w:rPr>
        <w:t>. године</w:t>
      </w:r>
      <w:r w:rsidR="00AC1371" w:rsidRPr="003E5020">
        <w:rPr>
          <w:rFonts w:ascii="Times New Roman" w:hAnsi="Times New Roman" w:cs="Times New Roman"/>
          <w:sz w:val="24"/>
          <w:szCs w:val="24"/>
          <w:lang w:val="sr-Cyrl-RS"/>
        </w:rPr>
        <w:t>.</w:t>
      </w:r>
    </w:p>
    <w:p w14:paraId="0AFCB749" w14:textId="77777777" w:rsidR="00AC1371" w:rsidRPr="003E5020" w:rsidRDefault="00AC1371">
      <w:pPr>
        <w:ind w:left="1843"/>
        <w:jc w:val="both"/>
        <w:rPr>
          <w:rFonts w:ascii="Times New Roman" w:hAnsi="Times New Roman" w:cs="Times New Roman"/>
          <w:sz w:val="24"/>
          <w:szCs w:val="24"/>
          <w:lang w:val="sr-Cyrl-RS"/>
        </w:rPr>
      </w:pPr>
    </w:p>
    <w:p w14:paraId="1C103327" w14:textId="63D42400" w:rsidR="00AC1371" w:rsidRPr="003E5020" w:rsidRDefault="00BF35A4">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w:t>
      </w:r>
      <w:r w:rsidR="00D2053E" w:rsidRPr="003E5020">
        <w:rPr>
          <w:rFonts w:ascii="Times New Roman" w:hAnsi="Times New Roman" w:cs="Times New Roman"/>
          <w:sz w:val="24"/>
          <w:szCs w:val="24"/>
          <w:lang w:val="sr-Cyrl-RS"/>
        </w:rPr>
        <w:t>с</w:t>
      </w:r>
      <w:r w:rsidRPr="003E5020">
        <w:rPr>
          <w:rFonts w:ascii="Times New Roman" w:hAnsi="Times New Roman" w:cs="Times New Roman"/>
          <w:sz w:val="24"/>
          <w:szCs w:val="24"/>
          <w:lang w:val="sr-Cyrl-RS"/>
        </w:rPr>
        <w:t>војен</w:t>
      </w:r>
      <w:r w:rsidR="00D2053E" w:rsidRPr="003E5020">
        <w:rPr>
          <w:rFonts w:ascii="Times New Roman" w:hAnsi="Times New Roman" w:cs="Times New Roman"/>
          <w:sz w:val="24"/>
          <w:szCs w:val="24"/>
          <w:lang w:val="sr-Cyrl-RS"/>
        </w:rPr>
        <w:t>и</w:t>
      </w:r>
      <w:r w:rsidRPr="003E5020">
        <w:rPr>
          <w:rFonts w:ascii="Times New Roman" w:hAnsi="Times New Roman" w:cs="Times New Roman"/>
          <w:sz w:val="24"/>
          <w:szCs w:val="24"/>
          <w:lang w:val="sr-Cyrl-RS"/>
        </w:rPr>
        <w:t xml:space="preserve"> </w:t>
      </w:r>
      <w:r w:rsidR="00B5104C" w:rsidRPr="003E5020">
        <w:rPr>
          <w:rFonts w:ascii="Times New Roman" w:hAnsi="Times New Roman" w:cs="Times New Roman"/>
          <w:sz w:val="24"/>
          <w:szCs w:val="24"/>
          <w:lang w:val="sr-Cyrl-RS"/>
        </w:rPr>
        <w:t xml:space="preserve">правни </w:t>
      </w:r>
      <w:r w:rsidRPr="003E5020">
        <w:rPr>
          <w:rFonts w:ascii="Times New Roman" w:hAnsi="Times New Roman" w:cs="Times New Roman"/>
          <w:sz w:val="24"/>
          <w:szCs w:val="24"/>
          <w:lang w:val="sr-Cyrl-RS"/>
        </w:rPr>
        <w:t>оквир</w:t>
      </w:r>
      <w:r w:rsidR="00AC1371" w:rsidRPr="003E5020">
        <w:rPr>
          <w:rFonts w:ascii="Times New Roman" w:hAnsi="Times New Roman" w:cs="Times New Roman"/>
          <w:sz w:val="24"/>
          <w:szCs w:val="24"/>
          <w:lang w:val="sr-Cyrl-RS"/>
        </w:rPr>
        <w:t xml:space="preserve"> ће бити објављен и јавно доступ</w:t>
      </w:r>
      <w:r w:rsidR="00D2053E" w:rsidRPr="003E5020">
        <w:rPr>
          <w:rFonts w:ascii="Times New Roman" w:hAnsi="Times New Roman" w:cs="Times New Roman"/>
          <w:sz w:val="24"/>
          <w:szCs w:val="24"/>
          <w:lang w:val="sr-Cyrl-RS"/>
        </w:rPr>
        <w:t>ан</w:t>
      </w:r>
      <w:r w:rsidR="00AC1371" w:rsidRPr="003E5020">
        <w:rPr>
          <w:rFonts w:ascii="Times New Roman" w:hAnsi="Times New Roman" w:cs="Times New Roman"/>
          <w:sz w:val="24"/>
          <w:szCs w:val="24"/>
          <w:lang w:val="sr-Cyrl-RS"/>
        </w:rPr>
        <w:t>.</w:t>
      </w:r>
    </w:p>
    <w:p w14:paraId="34872B85" w14:textId="77777777" w:rsidR="00AC1371" w:rsidRPr="003E5020" w:rsidRDefault="00AC1371">
      <w:pPr>
        <w:ind w:left="1985"/>
        <w:jc w:val="both"/>
        <w:rPr>
          <w:rFonts w:ascii="Times New Roman" w:hAnsi="Times New Roman" w:cs="Times New Roman"/>
          <w:sz w:val="24"/>
          <w:szCs w:val="24"/>
          <w:lang w:val="sr-Cyrl-RS"/>
        </w:rPr>
      </w:pPr>
    </w:p>
    <w:p w14:paraId="4B488BCC" w14:textId="24D9933D" w:rsidR="005B435B" w:rsidRPr="003E5020" w:rsidRDefault="00AC1371" w:rsidP="005B435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 xml:space="preserve">на спровођењу ове мере </w:t>
      </w:r>
      <w:r w:rsidRPr="003E5020">
        <w:rPr>
          <w:rFonts w:ascii="Times New Roman" w:hAnsi="Times New Roman" w:cs="Times New Roman"/>
          <w:sz w:val="24"/>
          <w:szCs w:val="24"/>
          <w:lang w:val="sr-Cyrl-RS"/>
        </w:rPr>
        <w:t xml:space="preserve">ће бити обезбеђено </w:t>
      </w:r>
      <w:r w:rsidR="000431E7" w:rsidRPr="003E5020">
        <w:rPr>
          <w:rFonts w:ascii="Times New Roman" w:hAnsi="Times New Roman" w:cs="Times New Roman"/>
          <w:sz w:val="24"/>
          <w:szCs w:val="24"/>
          <w:lang w:val="sr-Cyrl-RS"/>
        </w:rPr>
        <w:t xml:space="preserve">делом </w:t>
      </w:r>
      <w:r w:rsidRPr="003E5020">
        <w:rPr>
          <w:rFonts w:ascii="Times New Roman" w:hAnsi="Times New Roman" w:cs="Times New Roman"/>
          <w:sz w:val="24"/>
          <w:szCs w:val="24"/>
          <w:lang w:val="sr-Cyrl-RS"/>
        </w:rPr>
        <w:t>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bookmarkStart w:id="125" w:name="_Hlk90459981"/>
      <w:r w:rsidRPr="003E5020">
        <w:rPr>
          <w:rFonts w:ascii="Times New Roman" w:hAnsi="Times New Roman" w:cs="Times New Roman"/>
          <w:sz w:val="24"/>
          <w:szCs w:val="24"/>
          <w:lang w:val="sr-Cyrl-RS"/>
        </w:rPr>
        <w:t>)</w:t>
      </w:r>
      <w:r w:rsidR="005B435B"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bookmarkEnd w:id="125"/>
    </w:p>
    <w:p w14:paraId="409D6AAD" w14:textId="3689AD3D" w:rsidR="00AC1371" w:rsidRPr="003E5020" w:rsidRDefault="00AC1371">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7212551F" w14:textId="77777777" w:rsidR="00AC1371" w:rsidRPr="003E5020" w:rsidRDefault="00AC1371">
      <w:pPr>
        <w:ind w:left="1985"/>
        <w:jc w:val="both"/>
        <w:rPr>
          <w:rFonts w:ascii="Times New Roman" w:hAnsi="Times New Roman" w:cs="Times New Roman"/>
          <w:sz w:val="24"/>
          <w:szCs w:val="24"/>
          <w:lang w:val="sr-Cyrl-RS"/>
        </w:rPr>
      </w:pPr>
    </w:p>
    <w:p w14:paraId="44588424" w14:textId="5C75F8B4" w:rsidR="00AC1371" w:rsidRPr="003E5020" w:rsidRDefault="00AC1371">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Институције надлежне за надзор и спровођење </w:t>
      </w:r>
      <w:r w:rsidR="00DC1DEE" w:rsidRPr="003E5020">
        <w:rPr>
          <w:rFonts w:ascii="Times New Roman" w:hAnsi="Times New Roman" w:cs="Times New Roman"/>
          <w:sz w:val="24"/>
          <w:szCs w:val="24"/>
          <w:lang w:val="sr-Cyrl-RS"/>
        </w:rPr>
        <w:t xml:space="preserve">ове </w:t>
      </w:r>
      <w:r w:rsidRPr="003E5020">
        <w:rPr>
          <w:rFonts w:ascii="Times New Roman" w:hAnsi="Times New Roman" w:cs="Times New Roman"/>
          <w:sz w:val="24"/>
          <w:szCs w:val="24"/>
          <w:lang w:val="sr-Cyrl-RS"/>
        </w:rPr>
        <w:t>мере су, како следи: Министарство правде, које има и функцију координатора за реализацију мере, Високи савет судства</w:t>
      </w:r>
      <w:r w:rsidR="00FF0489" w:rsidRPr="003E5020">
        <w:rPr>
          <w:rFonts w:ascii="Times New Roman" w:hAnsi="Times New Roman" w:cs="Times New Roman"/>
          <w:sz w:val="24"/>
          <w:szCs w:val="24"/>
          <w:lang w:val="sr-Cyrl-RS"/>
        </w:rPr>
        <w:t xml:space="preserve">, </w:t>
      </w:r>
      <w:r w:rsidR="00A66EDB" w:rsidRPr="003E5020">
        <w:rPr>
          <w:rFonts w:ascii="Times New Roman" w:hAnsi="Times New Roman" w:cs="Times New Roman"/>
          <w:sz w:val="24"/>
          <w:szCs w:val="24"/>
          <w:lang w:val="sr-Cyrl-RS"/>
        </w:rPr>
        <w:t xml:space="preserve">Врховни касациони суд, </w:t>
      </w:r>
      <w:r w:rsidR="00FF0489" w:rsidRPr="003E5020">
        <w:rPr>
          <w:rFonts w:ascii="Times New Roman" w:hAnsi="Times New Roman" w:cs="Times New Roman"/>
          <w:sz w:val="24"/>
          <w:szCs w:val="24"/>
          <w:lang w:val="sr-Cyrl-RS"/>
        </w:rPr>
        <w:t>Републичко јавно тужилаштво</w:t>
      </w:r>
      <w:r w:rsidR="00A66EDB"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7E4414" w:rsidRPr="003E5020">
        <w:rPr>
          <w:rFonts w:ascii="Times New Roman" w:hAnsi="Times New Roman" w:cs="Times New Roman"/>
          <w:sz w:val="24"/>
          <w:szCs w:val="24"/>
          <w:lang w:val="sr-Cyrl-RS"/>
        </w:rPr>
        <w:t>Државно веће тужилаца</w:t>
      </w:r>
      <w:r w:rsidR="00A66EDB" w:rsidRPr="003E5020">
        <w:rPr>
          <w:rFonts w:ascii="Times New Roman" w:hAnsi="Times New Roman" w:cs="Times New Roman"/>
          <w:sz w:val="24"/>
          <w:szCs w:val="24"/>
          <w:lang w:val="sr-Cyrl-RS"/>
        </w:rPr>
        <w:t xml:space="preserve"> и Министарство финансија</w:t>
      </w:r>
      <w:r w:rsidRPr="003E5020">
        <w:rPr>
          <w:rFonts w:ascii="Times New Roman" w:hAnsi="Times New Roman" w:cs="Times New Roman"/>
          <w:sz w:val="24"/>
          <w:szCs w:val="24"/>
          <w:lang w:val="sr-Cyrl-RS"/>
        </w:rPr>
        <w:t>.</w:t>
      </w:r>
    </w:p>
    <w:p w14:paraId="35DFD2DC" w14:textId="2EB02D6B" w:rsidR="00362FE2" w:rsidRPr="003E5020" w:rsidRDefault="00362FE2">
      <w:pPr>
        <w:jc w:val="both"/>
        <w:rPr>
          <w:rFonts w:ascii="Times New Roman" w:hAnsi="Times New Roman" w:cs="Times New Roman"/>
          <w:sz w:val="24"/>
          <w:szCs w:val="24"/>
          <w:lang w:val="sr-Cyrl-RS"/>
        </w:rPr>
      </w:pPr>
    </w:p>
    <w:p w14:paraId="3645B018" w14:textId="77DBFE64" w:rsidR="005A7F38" w:rsidRPr="003E5020" w:rsidRDefault="00356B99" w:rsidP="00356B99">
      <w:pPr>
        <w:pStyle w:val="Heading4"/>
        <w:numPr>
          <w:ilvl w:val="0"/>
          <w:numId w:val="0"/>
        </w:numPr>
        <w:tabs>
          <w:tab w:val="left" w:pos="2835"/>
        </w:tabs>
        <w:ind w:left="1843" w:hanging="992"/>
        <w:rPr>
          <w:rFonts w:ascii="Times New Roman" w:hAnsi="Times New Roman" w:cs="Times New Roman"/>
          <w:color w:val="auto"/>
          <w:sz w:val="24"/>
          <w:szCs w:val="24"/>
          <w:lang w:val="sr-Cyrl-RS"/>
        </w:rPr>
      </w:pPr>
      <w:bookmarkStart w:id="126" w:name="_Toc84778658"/>
      <w:r>
        <w:rPr>
          <w:rFonts w:ascii="Times New Roman" w:hAnsi="Times New Roman" w:cs="Times New Roman"/>
          <w:i w:val="0"/>
          <w:iCs w:val="0"/>
          <w:color w:val="auto"/>
          <w:sz w:val="24"/>
          <w:szCs w:val="24"/>
          <w:lang w:val="sr-Cyrl-RS"/>
        </w:rPr>
        <w:t xml:space="preserve">6.1.3.3 </w:t>
      </w:r>
      <w:r>
        <w:rPr>
          <w:rFonts w:ascii="Times New Roman" w:hAnsi="Times New Roman" w:cs="Times New Roman"/>
          <w:i w:val="0"/>
          <w:iCs w:val="0"/>
          <w:color w:val="auto"/>
          <w:sz w:val="24"/>
          <w:szCs w:val="24"/>
          <w:lang w:val="sr-Cyrl-RS"/>
        </w:rPr>
        <w:tab/>
      </w:r>
      <w:r w:rsidR="00E51725" w:rsidRPr="003E5020">
        <w:rPr>
          <w:rFonts w:ascii="Times New Roman" w:hAnsi="Times New Roman" w:cs="Times New Roman"/>
          <w:i w:val="0"/>
          <w:iCs w:val="0"/>
          <w:color w:val="auto"/>
          <w:sz w:val="24"/>
          <w:szCs w:val="24"/>
          <w:lang w:val="sr-Cyrl-RS"/>
        </w:rPr>
        <w:t>Анализа ефеката примене унапређеног правног оквира за успостављање и одрживи развој система управљања људским ресурсима у правосуђу из оквира мере из тачке 6.</w:t>
      </w:r>
      <w:r w:rsidR="002241D5" w:rsidRPr="003E5020">
        <w:rPr>
          <w:rFonts w:ascii="Times New Roman" w:hAnsi="Times New Roman" w:cs="Times New Roman"/>
          <w:i w:val="0"/>
          <w:iCs w:val="0"/>
          <w:color w:val="auto"/>
          <w:sz w:val="24"/>
          <w:szCs w:val="24"/>
          <w:lang w:val="sr-Cyrl-RS"/>
        </w:rPr>
        <w:t>1</w:t>
      </w:r>
      <w:r w:rsidR="00E51725" w:rsidRPr="003E5020">
        <w:rPr>
          <w:rFonts w:ascii="Times New Roman" w:hAnsi="Times New Roman" w:cs="Times New Roman"/>
          <w:i w:val="0"/>
          <w:iCs w:val="0"/>
          <w:color w:val="auto"/>
          <w:sz w:val="24"/>
          <w:szCs w:val="24"/>
          <w:lang w:val="sr-Cyrl-RS"/>
        </w:rPr>
        <w:t>.</w:t>
      </w:r>
      <w:r w:rsidR="002241D5" w:rsidRPr="003E5020">
        <w:rPr>
          <w:rFonts w:ascii="Times New Roman" w:hAnsi="Times New Roman" w:cs="Times New Roman"/>
          <w:i w:val="0"/>
          <w:iCs w:val="0"/>
          <w:color w:val="auto"/>
          <w:sz w:val="24"/>
          <w:szCs w:val="24"/>
          <w:lang w:val="sr-Cyrl-RS"/>
        </w:rPr>
        <w:t>3</w:t>
      </w:r>
      <w:r w:rsidR="00E51725" w:rsidRPr="003E5020">
        <w:rPr>
          <w:rFonts w:ascii="Times New Roman" w:hAnsi="Times New Roman" w:cs="Times New Roman"/>
          <w:i w:val="0"/>
          <w:iCs w:val="0"/>
          <w:color w:val="auto"/>
          <w:sz w:val="24"/>
          <w:szCs w:val="24"/>
          <w:lang w:val="sr-Cyrl-RS"/>
        </w:rPr>
        <w:t>.2</w:t>
      </w:r>
      <w:r w:rsidR="002241D5" w:rsidRPr="003E5020">
        <w:rPr>
          <w:rFonts w:ascii="Times New Roman" w:hAnsi="Times New Roman" w:cs="Times New Roman"/>
          <w:color w:val="auto"/>
          <w:sz w:val="24"/>
          <w:szCs w:val="24"/>
          <w:lang w:val="sr-Cyrl-RS"/>
        </w:rPr>
        <w:t>.</w:t>
      </w:r>
      <w:bookmarkEnd w:id="126"/>
    </w:p>
    <w:p w14:paraId="2A81627C" w14:textId="77777777" w:rsidR="005A7F38" w:rsidRPr="003E5020" w:rsidRDefault="005A7F38">
      <w:pPr>
        <w:jc w:val="both"/>
        <w:rPr>
          <w:rFonts w:ascii="Times New Roman" w:hAnsi="Times New Roman" w:cs="Times New Roman"/>
          <w:sz w:val="24"/>
          <w:szCs w:val="24"/>
          <w:lang w:val="sr-Cyrl-RS"/>
        </w:rPr>
      </w:pPr>
    </w:p>
    <w:p w14:paraId="40ABF9C0" w14:textId="0EB90CA2" w:rsidR="005A7F38" w:rsidRPr="003E5020" w:rsidRDefault="005A7F3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Анализа ефеката ће бити спроведена</w:t>
      </w:r>
      <w:r w:rsidR="009B5944" w:rsidRPr="003E5020">
        <w:rPr>
          <w:rFonts w:ascii="Times New Roman" w:hAnsi="Times New Roman" w:cs="Times New Roman"/>
          <w:sz w:val="24"/>
          <w:szCs w:val="24"/>
          <w:lang w:val="sr-Cyrl-RS"/>
        </w:rPr>
        <w:t xml:space="preserve"> у периоду од</w:t>
      </w:r>
      <w:r w:rsidR="005916C7" w:rsidRPr="003E5020">
        <w:rPr>
          <w:rFonts w:ascii="Times New Roman" w:hAnsi="Times New Roman" w:cs="Times New Roman"/>
          <w:sz w:val="24"/>
          <w:szCs w:val="24"/>
          <w:lang w:val="sr-Cyrl-RS"/>
        </w:rPr>
        <w:t xml:space="preserve"> </w:t>
      </w:r>
      <w:r w:rsidR="00F14331" w:rsidRPr="003E5020">
        <w:rPr>
          <w:rFonts w:ascii="Times New Roman" w:hAnsi="Times New Roman" w:cs="Times New Roman"/>
          <w:sz w:val="24"/>
          <w:szCs w:val="24"/>
          <w:lang w:val="sr-Cyrl-RS"/>
        </w:rPr>
        <w:t>4</w:t>
      </w:r>
      <w:r w:rsidR="005916C7" w:rsidRPr="003E5020">
        <w:rPr>
          <w:rFonts w:ascii="Times New Roman" w:hAnsi="Times New Roman" w:cs="Times New Roman"/>
          <w:sz w:val="24"/>
          <w:szCs w:val="24"/>
          <w:lang w:val="sr-Cyrl-RS"/>
        </w:rPr>
        <w:t>. квартала 202</w:t>
      </w:r>
      <w:r w:rsidR="00287420" w:rsidRPr="003E5020">
        <w:rPr>
          <w:rFonts w:ascii="Times New Roman" w:hAnsi="Times New Roman" w:cs="Times New Roman"/>
          <w:sz w:val="24"/>
          <w:szCs w:val="24"/>
          <w:lang w:val="sr-Cyrl-RS"/>
        </w:rPr>
        <w:t>4</w:t>
      </w:r>
      <w:r w:rsidR="005916C7" w:rsidRPr="003E5020">
        <w:rPr>
          <w:rFonts w:ascii="Times New Roman" w:hAnsi="Times New Roman" w:cs="Times New Roman"/>
          <w:sz w:val="24"/>
          <w:szCs w:val="24"/>
          <w:lang w:val="sr-Cyrl-RS"/>
        </w:rPr>
        <w:t>. до</w:t>
      </w:r>
      <w:r w:rsidR="00F14331" w:rsidRPr="003E5020">
        <w:rPr>
          <w:rFonts w:ascii="Times New Roman" w:hAnsi="Times New Roman" w:cs="Times New Roman"/>
          <w:sz w:val="24"/>
          <w:szCs w:val="24"/>
          <w:lang w:val="sr-Cyrl-RS"/>
        </w:rPr>
        <w:t xml:space="preserve"> краја</w:t>
      </w:r>
      <w:r w:rsidR="005916C7" w:rsidRPr="003E5020">
        <w:rPr>
          <w:rFonts w:ascii="Times New Roman" w:hAnsi="Times New Roman" w:cs="Times New Roman"/>
          <w:sz w:val="24"/>
          <w:szCs w:val="24"/>
          <w:lang w:val="sr-Cyrl-RS"/>
        </w:rPr>
        <w:t xml:space="preserve"> </w:t>
      </w:r>
      <w:r w:rsidR="00F14331" w:rsidRPr="003E5020">
        <w:rPr>
          <w:rFonts w:ascii="Times New Roman" w:hAnsi="Times New Roman" w:cs="Times New Roman"/>
          <w:sz w:val="24"/>
          <w:szCs w:val="24"/>
          <w:lang w:val="sr-Cyrl-RS"/>
        </w:rPr>
        <w:t>2</w:t>
      </w:r>
      <w:r w:rsidR="005916C7" w:rsidRPr="003E5020">
        <w:rPr>
          <w:rFonts w:ascii="Times New Roman" w:hAnsi="Times New Roman" w:cs="Times New Roman"/>
          <w:sz w:val="24"/>
          <w:szCs w:val="24"/>
          <w:lang w:val="sr-Cyrl-RS"/>
        </w:rPr>
        <w:t>. квартала 202</w:t>
      </w:r>
      <w:r w:rsidR="00287420" w:rsidRPr="003E5020">
        <w:rPr>
          <w:rFonts w:ascii="Times New Roman" w:hAnsi="Times New Roman" w:cs="Times New Roman"/>
          <w:sz w:val="24"/>
          <w:szCs w:val="24"/>
          <w:lang w:val="sr-Cyrl-RS"/>
        </w:rPr>
        <w:t>5</w:t>
      </w:r>
      <w:r w:rsidR="005916C7" w:rsidRPr="003E5020">
        <w:rPr>
          <w:rFonts w:ascii="Times New Roman" w:hAnsi="Times New Roman" w:cs="Times New Roman"/>
          <w:sz w:val="24"/>
          <w:szCs w:val="24"/>
          <w:lang w:val="sr-Cyrl-RS"/>
        </w:rPr>
        <w:t>. године</w:t>
      </w:r>
      <w:r w:rsidRPr="003E5020">
        <w:rPr>
          <w:rFonts w:ascii="Times New Roman" w:hAnsi="Times New Roman" w:cs="Times New Roman"/>
          <w:sz w:val="24"/>
          <w:szCs w:val="24"/>
          <w:lang w:val="sr-Cyrl-RS"/>
        </w:rPr>
        <w:t xml:space="preserve">. </w:t>
      </w:r>
    </w:p>
    <w:p w14:paraId="20991843" w14:textId="77777777" w:rsidR="005A7F38" w:rsidRPr="003E5020" w:rsidRDefault="005A7F38">
      <w:pPr>
        <w:ind w:left="1843"/>
        <w:jc w:val="both"/>
        <w:rPr>
          <w:rFonts w:ascii="Times New Roman" w:hAnsi="Times New Roman" w:cs="Times New Roman"/>
          <w:sz w:val="24"/>
          <w:szCs w:val="24"/>
          <w:lang w:val="sr-Cyrl-RS"/>
        </w:rPr>
      </w:pPr>
    </w:p>
    <w:p w14:paraId="2C449031" w14:textId="2EE299DB" w:rsidR="005A7F38" w:rsidRPr="003E5020" w:rsidRDefault="005A7F3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анализе ће бити представљени у форми извештаја о спроведеној анализи ефеката, који ће бити објављени и јавно доступан.</w:t>
      </w:r>
    </w:p>
    <w:p w14:paraId="5D5C7713" w14:textId="77777777" w:rsidR="005A7F38" w:rsidRPr="003E5020" w:rsidRDefault="005A7F38">
      <w:pPr>
        <w:ind w:left="2268"/>
        <w:jc w:val="both"/>
        <w:rPr>
          <w:rFonts w:ascii="Times New Roman" w:hAnsi="Times New Roman" w:cs="Times New Roman"/>
          <w:sz w:val="24"/>
          <w:szCs w:val="24"/>
          <w:lang w:val="sr-Cyrl-RS"/>
        </w:rPr>
      </w:pPr>
    </w:p>
    <w:p w14:paraId="60897F8B" w14:textId="77777777" w:rsidR="00D76901" w:rsidRPr="003E5020" w:rsidRDefault="005A7F3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 xml:space="preserve">на спровођењу ове мере </w:t>
      </w:r>
      <w:r w:rsidRPr="003E5020">
        <w:rPr>
          <w:rFonts w:ascii="Times New Roman" w:hAnsi="Times New Roman" w:cs="Times New Roman"/>
          <w:sz w:val="24"/>
          <w:szCs w:val="24"/>
          <w:lang w:val="sr-Cyrl-RS"/>
        </w:rPr>
        <w:t>ће бити обезбеђено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D76901"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3F50F47C" w14:textId="53A45752" w:rsidR="005A7F38" w:rsidRPr="003E5020" w:rsidRDefault="005A7F3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1FC0180F" w14:textId="77777777" w:rsidR="005A7F38" w:rsidRPr="003E5020" w:rsidRDefault="005A7F38">
      <w:pPr>
        <w:ind w:left="2268"/>
        <w:jc w:val="both"/>
        <w:rPr>
          <w:rFonts w:ascii="Times New Roman" w:hAnsi="Times New Roman" w:cs="Times New Roman"/>
          <w:sz w:val="24"/>
          <w:szCs w:val="24"/>
          <w:lang w:val="sr-Cyrl-RS"/>
        </w:rPr>
      </w:pPr>
    </w:p>
    <w:p w14:paraId="2767B737" w14:textId="3EE7FDB7" w:rsidR="005A7F38" w:rsidRPr="003E5020" w:rsidRDefault="005A7F3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 које има и функцију координатора за реализацију мере, Високи савет судства</w:t>
      </w:r>
      <w:r w:rsidR="006F37C2" w:rsidRPr="003E5020">
        <w:rPr>
          <w:rFonts w:ascii="Times New Roman" w:hAnsi="Times New Roman" w:cs="Times New Roman"/>
          <w:sz w:val="24"/>
          <w:szCs w:val="24"/>
          <w:lang w:val="sr-Cyrl-RS"/>
        </w:rPr>
        <w:t xml:space="preserve">, </w:t>
      </w:r>
      <w:r w:rsidR="00E51725" w:rsidRPr="003E5020">
        <w:rPr>
          <w:rFonts w:ascii="Times New Roman" w:hAnsi="Times New Roman" w:cs="Times New Roman"/>
          <w:sz w:val="24"/>
          <w:szCs w:val="24"/>
          <w:lang w:val="sr-Cyrl-RS"/>
        </w:rPr>
        <w:t xml:space="preserve">Врховни касациони суд, </w:t>
      </w:r>
      <w:r w:rsidR="006F37C2" w:rsidRPr="003E5020">
        <w:rPr>
          <w:rFonts w:ascii="Times New Roman" w:hAnsi="Times New Roman" w:cs="Times New Roman"/>
          <w:sz w:val="24"/>
          <w:szCs w:val="24"/>
          <w:lang w:val="sr-Cyrl-RS"/>
        </w:rPr>
        <w:t>Републичко јавно тужилаштво</w:t>
      </w:r>
      <w:r w:rsidR="00E51725" w:rsidRPr="003E5020">
        <w:rPr>
          <w:rFonts w:ascii="Times New Roman" w:hAnsi="Times New Roman" w:cs="Times New Roman"/>
          <w:sz w:val="24"/>
          <w:szCs w:val="24"/>
          <w:lang w:val="sr-Cyrl-RS"/>
        </w:rPr>
        <w:t xml:space="preserve">, </w:t>
      </w:r>
      <w:r w:rsidR="007E4414" w:rsidRPr="003E5020">
        <w:rPr>
          <w:rFonts w:ascii="Times New Roman" w:hAnsi="Times New Roman" w:cs="Times New Roman"/>
          <w:sz w:val="24"/>
          <w:szCs w:val="24"/>
          <w:lang w:val="sr-Cyrl-RS"/>
        </w:rPr>
        <w:t>Државно веће тужилаца</w:t>
      </w:r>
      <w:r w:rsidR="00E51725" w:rsidRPr="003E5020">
        <w:rPr>
          <w:rFonts w:ascii="Times New Roman" w:hAnsi="Times New Roman" w:cs="Times New Roman"/>
          <w:sz w:val="24"/>
          <w:szCs w:val="24"/>
          <w:lang w:val="sr-Cyrl-RS"/>
        </w:rPr>
        <w:t xml:space="preserve"> и Министарство финансија</w:t>
      </w:r>
      <w:r w:rsidRPr="003E5020">
        <w:rPr>
          <w:rFonts w:ascii="Times New Roman" w:hAnsi="Times New Roman" w:cs="Times New Roman"/>
          <w:sz w:val="24"/>
          <w:szCs w:val="24"/>
          <w:lang w:val="sr-Cyrl-RS"/>
        </w:rPr>
        <w:t>.</w:t>
      </w:r>
    </w:p>
    <w:p w14:paraId="30C6A9BF" w14:textId="1A5B2D4F" w:rsidR="00391F30" w:rsidRPr="003E5020" w:rsidRDefault="00391F30">
      <w:pPr>
        <w:jc w:val="both"/>
        <w:rPr>
          <w:rFonts w:ascii="Times New Roman" w:eastAsiaTheme="majorEastAsia" w:hAnsi="Times New Roman" w:cs="Times New Roman"/>
          <w:sz w:val="24"/>
          <w:szCs w:val="24"/>
          <w:lang w:val="sr-Cyrl-RS"/>
        </w:rPr>
      </w:pPr>
      <w:bookmarkStart w:id="127" w:name="_Циљ_2._-"/>
      <w:bookmarkEnd w:id="127"/>
    </w:p>
    <w:p w14:paraId="36E5E918" w14:textId="77777777" w:rsidR="00FF691C" w:rsidRPr="003E5020" w:rsidRDefault="00FF691C">
      <w:pPr>
        <w:jc w:val="both"/>
        <w:rPr>
          <w:rFonts w:ascii="Times New Roman" w:eastAsiaTheme="majorEastAsia" w:hAnsi="Times New Roman" w:cs="Times New Roman"/>
          <w:sz w:val="24"/>
          <w:szCs w:val="24"/>
          <w:lang w:val="sr-Cyrl-RS"/>
        </w:rPr>
      </w:pPr>
    </w:p>
    <w:p w14:paraId="1DE4FA06" w14:textId="26BBF52B" w:rsidR="00C37FEB" w:rsidRPr="003E5020" w:rsidRDefault="00C37FEB" w:rsidP="00356B99">
      <w:pPr>
        <w:pStyle w:val="Heading2"/>
        <w:numPr>
          <w:ilvl w:val="1"/>
          <w:numId w:val="2"/>
        </w:numPr>
        <w:spacing w:before="0"/>
        <w:ind w:left="851" w:hanging="851"/>
        <w:rPr>
          <w:rFonts w:ascii="Times New Roman" w:hAnsi="Times New Roman" w:cs="Times New Roman"/>
          <w:b/>
          <w:bCs/>
          <w:iCs/>
          <w:color w:val="auto"/>
          <w:sz w:val="24"/>
          <w:szCs w:val="24"/>
          <w:lang w:val="sr-Cyrl-RS"/>
        </w:rPr>
      </w:pPr>
      <w:bookmarkStart w:id="128" w:name="_Toc84778659"/>
      <w:r w:rsidRPr="003E5020">
        <w:rPr>
          <w:rFonts w:ascii="Times New Roman" w:hAnsi="Times New Roman" w:cs="Times New Roman"/>
          <w:b/>
          <w:bCs/>
          <w:iCs/>
          <w:color w:val="auto"/>
          <w:sz w:val="24"/>
          <w:szCs w:val="24"/>
          <w:lang w:val="sr-Cyrl-RS"/>
        </w:rPr>
        <w:t>Циљ 2. Успостављене везе између транспарентног и делотворног система управљања, оцењивања, каријерног развоја и стручног усавршавања судског и тужилачког особља</w:t>
      </w:r>
      <w:bookmarkEnd w:id="128"/>
    </w:p>
    <w:p w14:paraId="303A3C71" w14:textId="77777777" w:rsidR="00B66665" w:rsidRPr="003E5020" w:rsidRDefault="00B66665" w:rsidP="00B66665">
      <w:pPr>
        <w:jc w:val="both"/>
        <w:rPr>
          <w:rFonts w:ascii="Times New Roman" w:hAnsi="Times New Roman" w:cs="Times New Roman"/>
          <w:sz w:val="24"/>
          <w:szCs w:val="24"/>
          <w:lang w:val="sr-Cyrl-RS"/>
        </w:rPr>
      </w:pPr>
    </w:p>
    <w:p w14:paraId="001B785D" w14:textId="51A053D7" w:rsidR="00C37FEB" w:rsidRPr="003E5020" w:rsidRDefault="00356B99" w:rsidP="00356B99">
      <w:pPr>
        <w:pStyle w:val="Heading3"/>
        <w:numPr>
          <w:ilvl w:val="0"/>
          <w:numId w:val="0"/>
        </w:numPr>
        <w:tabs>
          <w:tab w:val="left" w:pos="1418"/>
        </w:tabs>
        <w:ind w:left="851" w:hanging="851"/>
        <w:rPr>
          <w:rFonts w:ascii="Times New Roman" w:hAnsi="Times New Roman" w:cs="Times New Roman"/>
          <w:color w:val="auto"/>
          <w:lang w:val="sr-Cyrl-RS"/>
        </w:rPr>
      </w:pPr>
      <w:bookmarkStart w:id="129" w:name="_Toc84778660"/>
      <w:r>
        <w:rPr>
          <w:rFonts w:ascii="Times New Roman" w:hAnsi="Times New Roman" w:cs="Times New Roman"/>
          <w:color w:val="auto"/>
          <w:lang w:val="sr-Cyrl-RS"/>
        </w:rPr>
        <w:t xml:space="preserve">6.2.1 </w:t>
      </w:r>
      <w:r>
        <w:rPr>
          <w:rFonts w:ascii="Times New Roman" w:hAnsi="Times New Roman" w:cs="Times New Roman"/>
          <w:color w:val="auto"/>
          <w:lang w:val="sr-Cyrl-RS"/>
        </w:rPr>
        <w:tab/>
      </w:r>
      <w:r w:rsidR="00C37FEB" w:rsidRPr="003E5020">
        <w:rPr>
          <w:rFonts w:ascii="Times New Roman" w:hAnsi="Times New Roman" w:cs="Times New Roman"/>
          <w:color w:val="auto"/>
          <w:lang w:val="sr-Cyrl-RS"/>
        </w:rPr>
        <w:t>Институције задужене за спровођење и надзор</w:t>
      </w:r>
      <w:bookmarkEnd w:id="129"/>
    </w:p>
    <w:p w14:paraId="53540F35" w14:textId="77777777" w:rsidR="00C37FEB" w:rsidRPr="003E5020" w:rsidRDefault="00C37FEB" w:rsidP="00C37FEB">
      <w:pPr>
        <w:rPr>
          <w:rFonts w:ascii="Times New Roman" w:hAnsi="Times New Roman" w:cs="Times New Roman"/>
          <w:sz w:val="24"/>
          <w:szCs w:val="24"/>
          <w:lang w:val="sr-Cyrl-RS"/>
        </w:rPr>
      </w:pPr>
    </w:p>
    <w:p w14:paraId="2DE40A86" w14:textId="17D9676D" w:rsidR="0009646A" w:rsidRPr="003E5020" w:rsidRDefault="0009646A">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правде, које има и функцију координатора за реализацију мере;</w:t>
      </w:r>
    </w:p>
    <w:p w14:paraId="2074898D" w14:textId="4E8F6786" w:rsidR="0009646A" w:rsidRPr="003E5020" w:rsidRDefault="0009646A">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Високи савет судства;</w:t>
      </w:r>
    </w:p>
    <w:p w14:paraId="6E835026" w14:textId="2CF0485F" w:rsidR="005C47ED" w:rsidRPr="003E5020" w:rsidRDefault="005C47ED">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Врховни касациони суд;</w:t>
      </w:r>
    </w:p>
    <w:p w14:paraId="39A45371" w14:textId="6280DE0A" w:rsidR="006F37C2" w:rsidRPr="003E5020" w:rsidRDefault="006F37C2">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Републичко јавно тужилаштво;</w:t>
      </w:r>
    </w:p>
    <w:p w14:paraId="15167F6E" w14:textId="2AC11490" w:rsidR="00EE3152" w:rsidRPr="003E5020" w:rsidRDefault="007E4414">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Државно веће тужилаца</w:t>
      </w:r>
      <w:r w:rsidR="00532962" w:rsidRPr="003E5020">
        <w:rPr>
          <w:rFonts w:ascii="Times New Roman" w:hAnsi="Times New Roman" w:cs="Times New Roman"/>
          <w:sz w:val="24"/>
          <w:szCs w:val="24"/>
          <w:lang w:val="sr-Cyrl-RS"/>
        </w:rPr>
        <w:t>;</w:t>
      </w:r>
    </w:p>
    <w:p w14:paraId="4C3E9D2C" w14:textId="64FD23AB" w:rsidR="00532962" w:rsidRPr="003E5020" w:rsidRDefault="00532962">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Правосудна академија</w:t>
      </w:r>
      <w:r w:rsidR="00237C34" w:rsidRPr="003E5020">
        <w:rPr>
          <w:rFonts w:ascii="Times New Roman" w:hAnsi="Times New Roman" w:cs="Times New Roman"/>
          <w:sz w:val="24"/>
          <w:szCs w:val="24"/>
          <w:lang w:val="sr-Cyrl-RS"/>
        </w:rPr>
        <w:t>; и</w:t>
      </w:r>
    </w:p>
    <w:p w14:paraId="2B2A25AC" w14:textId="12AE1C6C" w:rsidR="00237C34" w:rsidRPr="003E5020" w:rsidRDefault="00237C34">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финансија</w:t>
      </w:r>
      <w:r w:rsidR="00001F30" w:rsidRPr="003E5020">
        <w:rPr>
          <w:rFonts w:ascii="Times New Roman" w:hAnsi="Times New Roman" w:cs="Times New Roman"/>
          <w:sz w:val="24"/>
          <w:szCs w:val="24"/>
          <w:lang w:val="sr-Cyrl-RS"/>
        </w:rPr>
        <w:t>.</w:t>
      </w:r>
    </w:p>
    <w:p w14:paraId="3CB2BE78" w14:textId="77777777" w:rsidR="0009646A" w:rsidRPr="003E5020" w:rsidRDefault="0009646A">
      <w:pPr>
        <w:jc w:val="both"/>
        <w:rPr>
          <w:rFonts w:ascii="Times New Roman" w:hAnsi="Times New Roman" w:cs="Times New Roman"/>
          <w:i/>
          <w:sz w:val="24"/>
          <w:szCs w:val="24"/>
          <w:lang w:val="sr-Cyrl-RS"/>
        </w:rPr>
      </w:pPr>
    </w:p>
    <w:p w14:paraId="3041D358" w14:textId="42A5A760" w:rsidR="0009646A" w:rsidRPr="003E5020" w:rsidRDefault="00356B99" w:rsidP="00356B99">
      <w:pPr>
        <w:pStyle w:val="Heading3"/>
        <w:numPr>
          <w:ilvl w:val="0"/>
          <w:numId w:val="0"/>
        </w:numPr>
        <w:tabs>
          <w:tab w:val="left" w:pos="1560"/>
        </w:tabs>
        <w:ind w:left="851" w:hanging="851"/>
        <w:rPr>
          <w:rFonts w:ascii="Times New Roman" w:hAnsi="Times New Roman" w:cs="Times New Roman"/>
          <w:color w:val="auto"/>
          <w:lang w:val="sr-Cyrl-RS"/>
        </w:rPr>
      </w:pPr>
      <w:bookmarkStart w:id="130" w:name="_Toc84778661"/>
      <w:r>
        <w:rPr>
          <w:rFonts w:ascii="Times New Roman" w:hAnsi="Times New Roman" w:cs="Times New Roman"/>
          <w:color w:val="auto"/>
          <w:lang w:val="sr-Cyrl-RS"/>
        </w:rPr>
        <w:t xml:space="preserve">6.2.2 </w:t>
      </w:r>
      <w:r>
        <w:rPr>
          <w:rFonts w:ascii="Times New Roman" w:hAnsi="Times New Roman" w:cs="Times New Roman"/>
          <w:color w:val="auto"/>
          <w:lang w:val="sr-Cyrl-RS"/>
        </w:rPr>
        <w:tab/>
      </w:r>
      <w:r w:rsidR="0009646A" w:rsidRPr="003E5020">
        <w:rPr>
          <w:rFonts w:ascii="Times New Roman" w:hAnsi="Times New Roman" w:cs="Times New Roman"/>
          <w:color w:val="auto"/>
          <w:lang w:val="sr-Cyrl-RS"/>
        </w:rPr>
        <w:t>Показатељи учинка</w:t>
      </w:r>
      <w:r w:rsidR="00A4137A" w:rsidRPr="003E5020">
        <w:rPr>
          <w:rFonts w:ascii="Times New Roman" w:hAnsi="Times New Roman" w:cs="Times New Roman"/>
          <w:color w:val="auto"/>
          <w:lang w:val="sr-Cyrl-RS"/>
        </w:rPr>
        <w:t xml:space="preserve"> за посебни циљ 2</w:t>
      </w:r>
      <w:bookmarkEnd w:id="130"/>
    </w:p>
    <w:p w14:paraId="0A70B048" w14:textId="67AF5334" w:rsidR="00AE4C8B" w:rsidRPr="003E5020" w:rsidRDefault="00AE4C8B">
      <w:pPr>
        <w:jc w:val="both"/>
        <w:rPr>
          <w:rFonts w:ascii="Times New Roman" w:hAnsi="Times New Roman" w:cs="Times New Roman"/>
          <w:sz w:val="24"/>
          <w:szCs w:val="24"/>
          <w:lang w:val="sr-Cyrl-RS"/>
        </w:rPr>
      </w:pPr>
    </w:p>
    <w:p w14:paraId="443DD761" w14:textId="00D5B091" w:rsidR="00AE4C8B" w:rsidRPr="003E5020" w:rsidRDefault="00AE4C8B" w:rsidP="00AE4C8B">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 нивоу посебног циља 2, Стратегија идентификује следеће показатеље учинка (укључује утврђивање почетне вредности, циљане вредности и извор верификације):</w:t>
      </w:r>
    </w:p>
    <w:p w14:paraId="137C7670" w14:textId="77777777" w:rsidR="00AE4C8B" w:rsidRPr="003E5020" w:rsidRDefault="00AE4C8B" w:rsidP="00AE4C8B">
      <w:pPr>
        <w:ind w:left="851"/>
        <w:jc w:val="both"/>
        <w:rPr>
          <w:rFonts w:ascii="Times New Roman" w:hAnsi="Times New Roman" w:cs="Times New Roman"/>
          <w:sz w:val="24"/>
          <w:szCs w:val="24"/>
          <w:lang w:val="sr-Cyrl-RS"/>
        </w:rPr>
      </w:pPr>
    </w:p>
    <w:p w14:paraId="7E408C61" w14:textId="6BF8F4CF" w:rsidR="00A122C2" w:rsidRPr="003E5020" w:rsidRDefault="00237C34" w:rsidP="003E283B">
      <w:pPr>
        <w:pStyle w:val="ListParagraph"/>
        <w:numPr>
          <w:ilvl w:val="0"/>
          <w:numId w:val="6"/>
        </w:numPr>
        <w:ind w:left="1843"/>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Повећана ефикасност у раду суда односно јавних тужилаштва</w:t>
      </w:r>
      <w:r w:rsidR="00AE4C8B" w:rsidRPr="003E5020">
        <w:rPr>
          <w:rFonts w:ascii="Times New Roman" w:hAnsi="Times New Roman" w:cs="Times New Roman"/>
          <w:b/>
          <w:sz w:val="24"/>
          <w:szCs w:val="24"/>
          <w:lang w:val="sr-Cyrl-RS"/>
        </w:rPr>
        <w:t xml:space="preserve">, </w:t>
      </w:r>
      <w:r w:rsidR="00AE4C8B" w:rsidRPr="003E5020">
        <w:rPr>
          <w:rFonts w:ascii="Times New Roman" w:hAnsi="Times New Roman" w:cs="Times New Roman"/>
          <w:sz w:val="24"/>
          <w:szCs w:val="24"/>
          <w:lang w:val="sr-Cyrl-RS"/>
        </w:rPr>
        <w:t xml:space="preserve">а што се мери </w:t>
      </w:r>
      <w:r w:rsidRPr="003E5020">
        <w:rPr>
          <w:rFonts w:ascii="Times New Roman" w:hAnsi="Times New Roman" w:cs="Times New Roman"/>
          <w:sz w:val="24"/>
          <w:szCs w:val="24"/>
          <w:lang w:val="sr-Cyrl-RS"/>
        </w:rPr>
        <w:t>путем објављених годишњих извештаја правосудних органа и упоређивањем стања у односу на претходну извештајну годину</w:t>
      </w:r>
      <w:r w:rsidR="00AE4C8B" w:rsidRPr="003E5020">
        <w:rPr>
          <w:rFonts w:ascii="Times New Roman" w:hAnsi="Times New Roman" w:cs="Times New Roman"/>
          <w:sz w:val="24"/>
          <w:szCs w:val="24"/>
          <w:lang w:val="sr-Cyrl-RS"/>
        </w:rPr>
        <w:t xml:space="preserve">. Циљана вредност </w:t>
      </w:r>
      <w:r w:rsidRPr="003E5020">
        <w:rPr>
          <w:rFonts w:ascii="Times New Roman" w:hAnsi="Times New Roman" w:cs="Times New Roman"/>
          <w:sz w:val="24"/>
          <w:szCs w:val="24"/>
          <w:lang w:val="sr-Cyrl-RS"/>
        </w:rPr>
        <w:t xml:space="preserve">се мери путем повећане ефикасности рада судова, односно јавних тужилаштва у одређеном проценту, тако да се бележи повећање ефикасности до 3% за сваку годину примене Стратегије, тачније укупно 12% у </w:t>
      </w:r>
      <w:r w:rsidR="00AE4C8B" w:rsidRPr="003E5020">
        <w:rPr>
          <w:rFonts w:ascii="Times New Roman" w:hAnsi="Times New Roman" w:cs="Times New Roman"/>
          <w:sz w:val="24"/>
          <w:szCs w:val="24"/>
          <w:lang w:val="sr-Cyrl-RS"/>
        </w:rPr>
        <w:t>пет</w:t>
      </w:r>
      <w:r w:rsidRPr="003E5020">
        <w:rPr>
          <w:rFonts w:ascii="Times New Roman" w:hAnsi="Times New Roman" w:cs="Times New Roman"/>
          <w:sz w:val="24"/>
          <w:szCs w:val="24"/>
          <w:lang w:val="sr-Cyrl-RS"/>
        </w:rPr>
        <w:t>ој</w:t>
      </w:r>
      <w:r w:rsidR="00AE4C8B" w:rsidRPr="003E5020">
        <w:rPr>
          <w:rFonts w:ascii="Times New Roman" w:hAnsi="Times New Roman" w:cs="Times New Roman"/>
          <w:sz w:val="24"/>
          <w:szCs w:val="24"/>
          <w:lang w:val="sr-Cyrl-RS"/>
        </w:rPr>
        <w:t xml:space="preserve"> годин</w:t>
      </w:r>
      <w:r w:rsidRPr="003E5020">
        <w:rPr>
          <w:rFonts w:ascii="Times New Roman" w:hAnsi="Times New Roman" w:cs="Times New Roman"/>
          <w:sz w:val="24"/>
          <w:szCs w:val="24"/>
          <w:lang w:val="sr-Cyrl-RS"/>
        </w:rPr>
        <w:t>и</w:t>
      </w:r>
      <w:r w:rsidR="00AE4C8B" w:rsidRPr="003E5020">
        <w:rPr>
          <w:rFonts w:ascii="Times New Roman" w:hAnsi="Times New Roman" w:cs="Times New Roman"/>
          <w:sz w:val="24"/>
          <w:szCs w:val="24"/>
          <w:lang w:val="sr-Cyrl-RS"/>
        </w:rPr>
        <w:t xml:space="preserve"> </w:t>
      </w:r>
      <w:r w:rsidR="00145C0F" w:rsidRPr="003E5020">
        <w:rPr>
          <w:rFonts w:ascii="Times New Roman" w:hAnsi="Times New Roman" w:cs="Times New Roman"/>
          <w:sz w:val="24"/>
          <w:szCs w:val="24"/>
          <w:lang w:val="sr-Cyrl-RS"/>
        </w:rPr>
        <w:t>њене примене</w:t>
      </w:r>
      <w:r w:rsidR="00AE4C8B" w:rsidRPr="003E5020">
        <w:rPr>
          <w:rFonts w:ascii="Times New Roman" w:hAnsi="Times New Roman" w:cs="Times New Roman"/>
          <w:sz w:val="24"/>
          <w:szCs w:val="24"/>
          <w:lang w:val="sr-Cyrl-RS"/>
        </w:rPr>
        <w:t>. Као извор верификације ће служити објављен</w:t>
      </w:r>
      <w:r w:rsidR="00145C0F" w:rsidRPr="003E5020">
        <w:rPr>
          <w:rFonts w:ascii="Times New Roman" w:hAnsi="Times New Roman" w:cs="Times New Roman"/>
          <w:sz w:val="24"/>
          <w:szCs w:val="24"/>
          <w:lang w:val="sr-Cyrl-RS"/>
        </w:rPr>
        <w:t>и</w:t>
      </w:r>
      <w:r w:rsidR="00AE4C8B" w:rsidRPr="003E5020">
        <w:rPr>
          <w:rFonts w:ascii="Times New Roman" w:hAnsi="Times New Roman" w:cs="Times New Roman"/>
          <w:sz w:val="24"/>
          <w:szCs w:val="24"/>
          <w:lang w:val="sr-Cyrl-RS"/>
        </w:rPr>
        <w:t xml:space="preserve"> </w:t>
      </w:r>
      <w:r w:rsidR="00145C0F" w:rsidRPr="003E5020">
        <w:rPr>
          <w:rFonts w:ascii="Times New Roman" w:hAnsi="Times New Roman" w:cs="Times New Roman"/>
          <w:sz w:val="24"/>
          <w:szCs w:val="24"/>
          <w:lang w:val="sr-Cyrl-RS"/>
        </w:rPr>
        <w:t>годишњи извештаји правосудних органа</w:t>
      </w:r>
      <w:r w:rsidR="00AE4C8B" w:rsidRPr="003E5020">
        <w:rPr>
          <w:rFonts w:ascii="Times New Roman" w:hAnsi="Times New Roman" w:cs="Times New Roman"/>
          <w:sz w:val="24"/>
          <w:szCs w:val="24"/>
          <w:lang w:val="sr-Cyrl-RS"/>
        </w:rPr>
        <w:t>.</w:t>
      </w:r>
    </w:p>
    <w:p w14:paraId="35E9C7C1" w14:textId="77777777" w:rsidR="0009646A" w:rsidRPr="003E5020" w:rsidRDefault="0009646A">
      <w:pPr>
        <w:ind w:left="2268"/>
        <w:jc w:val="both"/>
        <w:rPr>
          <w:rFonts w:ascii="Times New Roman" w:hAnsi="Times New Roman" w:cs="Times New Roman"/>
          <w:sz w:val="24"/>
          <w:szCs w:val="24"/>
          <w:lang w:val="sr-Cyrl-RS"/>
        </w:rPr>
      </w:pPr>
    </w:p>
    <w:p w14:paraId="264D6AE8" w14:textId="21DB2183" w:rsidR="009A6982" w:rsidRPr="003E5020" w:rsidRDefault="00145C0F" w:rsidP="00BF5929">
      <w:pPr>
        <w:pStyle w:val="ListParagraph"/>
        <w:numPr>
          <w:ilvl w:val="0"/>
          <w:numId w:val="6"/>
        </w:numPr>
        <w:ind w:left="1843"/>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Транспарентан систем каријерног напредовања и развоја судског и тужилачког особља</w:t>
      </w:r>
      <w:r w:rsidR="00AE4C8B" w:rsidRPr="003E5020">
        <w:rPr>
          <w:rFonts w:ascii="Times New Roman" w:hAnsi="Times New Roman" w:cs="Times New Roman"/>
          <w:sz w:val="24"/>
          <w:szCs w:val="24"/>
          <w:lang w:val="sr-Cyrl-RS"/>
        </w:rPr>
        <w:t xml:space="preserve">, што се мери у односу </w:t>
      </w:r>
      <w:r w:rsidRPr="003E5020">
        <w:rPr>
          <w:rFonts w:ascii="Times New Roman" w:hAnsi="Times New Roman" w:cs="Times New Roman"/>
          <w:sz w:val="24"/>
          <w:szCs w:val="24"/>
          <w:lang w:val="sr-Cyrl-RS"/>
        </w:rPr>
        <w:t>постојеће стање у 2021. години</w:t>
      </w:r>
      <w:r w:rsidR="00AE4C8B" w:rsidRPr="003E5020">
        <w:rPr>
          <w:rFonts w:ascii="Times New Roman" w:hAnsi="Times New Roman" w:cs="Times New Roman"/>
          <w:sz w:val="24"/>
          <w:szCs w:val="24"/>
          <w:lang w:val="sr-Cyrl-RS"/>
        </w:rPr>
        <w:t xml:space="preserve">. Циљана вредност за пету годину имплементације је </w:t>
      </w:r>
      <w:r w:rsidR="009B44B9" w:rsidRPr="003E5020">
        <w:rPr>
          <w:rFonts w:ascii="Times New Roman" w:hAnsi="Times New Roman" w:cs="Times New Roman"/>
          <w:sz w:val="24"/>
          <w:szCs w:val="24"/>
          <w:lang w:val="sr-Cyrl-RS"/>
        </w:rPr>
        <w:t>нов процес евалуације запослених у правосуђу који је имплементиран.</w:t>
      </w:r>
      <w:r w:rsidR="00AE4C8B" w:rsidRPr="003E5020">
        <w:rPr>
          <w:rFonts w:ascii="Times New Roman" w:hAnsi="Times New Roman" w:cs="Times New Roman"/>
          <w:sz w:val="24"/>
          <w:szCs w:val="24"/>
          <w:lang w:val="sr-Cyrl-RS"/>
        </w:rPr>
        <w:t xml:space="preserve"> Као извор верификације ће служити </w:t>
      </w:r>
      <w:r w:rsidR="00B45ED2" w:rsidRPr="003E5020">
        <w:rPr>
          <w:rFonts w:ascii="Times New Roman" w:hAnsi="Times New Roman" w:cs="Times New Roman"/>
          <w:sz w:val="24"/>
          <w:szCs w:val="24"/>
          <w:lang w:val="sr-Cyrl-RS"/>
        </w:rPr>
        <w:t>објављен</w:t>
      </w:r>
      <w:r w:rsidR="00615EB0" w:rsidRPr="003E5020">
        <w:rPr>
          <w:rFonts w:ascii="Times New Roman" w:hAnsi="Times New Roman" w:cs="Times New Roman"/>
          <w:sz w:val="24"/>
          <w:szCs w:val="24"/>
          <w:lang w:val="sr-Cyrl-RS"/>
        </w:rPr>
        <w:t xml:space="preserve"> извештаји Високог савета судства и Државног већа тужилаца</w:t>
      </w:r>
      <w:r w:rsidR="00AE4C8B" w:rsidRPr="003E5020">
        <w:rPr>
          <w:rFonts w:ascii="Times New Roman" w:hAnsi="Times New Roman" w:cs="Times New Roman"/>
          <w:sz w:val="24"/>
          <w:szCs w:val="24"/>
          <w:lang w:val="sr-Cyrl-RS"/>
        </w:rPr>
        <w:t>.</w:t>
      </w:r>
    </w:p>
    <w:p w14:paraId="1764E0B8" w14:textId="655C5E45" w:rsidR="00975714" w:rsidRPr="003E5020" w:rsidRDefault="00975714">
      <w:pPr>
        <w:jc w:val="both"/>
        <w:rPr>
          <w:rFonts w:ascii="Times New Roman" w:hAnsi="Times New Roman" w:cs="Times New Roman"/>
          <w:sz w:val="24"/>
          <w:szCs w:val="24"/>
          <w:lang w:val="sr-Cyrl-RS"/>
        </w:rPr>
      </w:pPr>
    </w:p>
    <w:p w14:paraId="23995782" w14:textId="5D7D30E8" w:rsidR="00FF691C" w:rsidRPr="003E5020" w:rsidRDefault="00FF691C">
      <w:pPr>
        <w:jc w:val="both"/>
        <w:rPr>
          <w:rFonts w:ascii="Times New Roman" w:hAnsi="Times New Roman" w:cs="Times New Roman"/>
          <w:sz w:val="24"/>
          <w:szCs w:val="24"/>
          <w:lang w:val="sr-Cyrl-RS"/>
        </w:rPr>
      </w:pPr>
    </w:p>
    <w:p w14:paraId="26CA2E57" w14:textId="77777777" w:rsidR="00FF691C" w:rsidRPr="003E5020" w:rsidRDefault="00FF691C">
      <w:pPr>
        <w:jc w:val="both"/>
        <w:rPr>
          <w:rFonts w:ascii="Times New Roman" w:hAnsi="Times New Roman" w:cs="Times New Roman"/>
          <w:sz w:val="24"/>
          <w:szCs w:val="24"/>
          <w:lang w:val="sr-Cyrl-RS"/>
        </w:rPr>
      </w:pPr>
    </w:p>
    <w:p w14:paraId="05D4E881" w14:textId="34EB762E" w:rsidR="00975714" w:rsidRPr="003E5020" w:rsidRDefault="00356B99" w:rsidP="00356B99">
      <w:pPr>
        <w:pStyle w:val="Heading3"/>
        <w:numPr>
          <w:ilvl w:val="0"/>
          <w:numId w:val="0"/>
        </w:numPr>
        <w:tabs>
          <w:tab w:val="left" w:pos="1701"/>
        </w:tabs>
        <w:ind w:left="851" w:hanging="851"/>
        <w:rPr>
          <w:rFonts w:ascii="Times New Roman" w:hAnsi="Times New Roman" w:cs="Times New Roman"/>
          <w:color w:val="auto"/>
          <w:lang w:val="sr-Cyrl-RS"/>
        </w:rPr>
      </w:pPr>
      <w:bookmarkStart w:id="131" w:name="_Toc84778662"/>
      <w:r>
        <w:rPr>
          <w:rFonts w:ascii="Times New Roman" w:hAnsi="Times New Roman" w:cs="Times New Roman"/>
          <w:color w:val="auto"/>
          <w:lang w:val="sr-Cyrl-RS"/>
        </w:rPr>
        <w:t xml:space="preserve">6.2.3 </w:t>
      </w:r>
      <w:r>
        <w:rPr>
          <w:rFonts w:ascii="Times New Roman" w:hAnsi="Times New Roman" w:cs="Times New Roman"/>
          <w:color w:val="auto"/>
          <w:lang w:val="sr-Cyrl-RS"/>
        </w:rPr>
        <w:tab/>
      </w:r>
      <w:r w:rsidR="00975714" w:rsidRPr="003E5020">
        <w:rPr>
          <w:rFonts w:ascii="Times New Roman" w:hAnsi="Times New Roman" w:cs="Times New Roman"/>
          <w:color w:val="auto"/>
          <w:lang w:val="sr-Cyrl-RS"/>
        </w:rPr>
        <w:t>Мер</w:t>
      </w:r>
      <w:r w:rsidR="008654BC" w:rsidRPr="003E5020">
        <w:rPr>
          <w:rFonts w:ascii="Times New Roman" w:hAnsi="Times New Roman" w:cs="Times New Roman"/>
          <w:color w:val="auto"/>
          <w:lang w:val="sr-Cyrl-RS"/>
        </w:rPr>
        <w:t xml:space="preserve">е за постизање </w:t>
      </w:r>
      <w:r w:rsidR="00973BC2" w:rsidRPr="003E5020">
        <w:rPr>
          <w:rFonts w:ascii="Times New Roman" w:hAnsi="Times New Roman" w:cs="Times New Roman"/>
          <w:color w:val="auto"/>
          <w:lang w:val="sr-Cyrl-RS"/>
        </w:rPr>
        <w:t>посебног ц</w:t>
      </w:r>
      <w:r w:rsidR="00975714" w:rsidRPr="003E5020">
        <w:rPr>
          <w:rFonts w:ascii="Times New Roman" w:hAnsi="Times New Roman" w:cs="Times New Roman"/>
          <w:color w:val="auto"/>
          <w:lang w:val="sr-Cyrl-RS"/>
        </w:rPr>
        <w:t>иља 2</w:t>
      </w:r>
      <w:bookmarkEnd w:id="131"/>
    </w:p>
    <w:p w14:paraId="5BB31A03" w14:textId="77777777" w:rsidR="00E20923" w:rsidRPr="003E5020" w:rsidRDefault="00E20923" w:rsidP="00E20923">
      <w:pPr>
        <w:ind w:left="1843"/>
        <w:jc w:val="both"/>
        <w:rPr>
          <w:rFonts w:ascii="Times New Roman" w:hAnsi="Times New Roman" w:cs="Times New Roman"/>
          <w:sz w:val="24"/>
          <w:szCs w:val="24"/>
          <w:lang w:val="sr-Cyrl-RS"/>
        </w:rPr>
      </w:pPr>
    </w:p>
    <w:p w14:paraId="42ECF058" w14:textId="017F8690" w:rsidR="00B12B33" w:rsidRPr="003E5020" w:rsidRDefault="00356B99" w:rsidP="00356B99">
      <w:pPr>
        <w:pStyle w:val="Heading4"/>
        <w:numPr>
          <w:ilvl w:val="0"/>
          <w:numId w:val="0"/>
        </w:numPr>
        <w:tabs>
          <w:tab w:val="left" w:pos="2552"/>
        </w:tabs>
        <w:ind w:left="1843" w:hanging="850"/>
        <w:rPr>
          <w:rFonts w:ascii="Times New Roman" w:hAnsi="Times New Roman" w:cs="Times New Roman"/>
          <w:i w:val="0"/>
          <w:iCs w:val="0"/>
          <w:color w:val="auto"/>
          <w:sz w:val="24"/>
          <w:szCs w:val="24"/>
          <w:lang w:val="sr-Cyrl-RS"/>
        </w:rPr>
      </w:pPr>
      <w:bookmarkStart w:id="132" w:name="_Toc84778663"/>
      <w:r w:rsidRPr="00FC01DF">
        <w:rPr>
          <w:rFonts w:ascii="Times New Roman" w:hAnsi="Times New Roman" w:cs="Times New Roman"/>
          <w:i w:val="0"/>
          <w:iCs w:val="0"/>
          <w:color w:val="auto"/>
          <w:sz w:val="24"/>
          <w:szCs w:val="24"/>
          <w:lang w:val="sr-Cyrl-RS"/>
        </w:rPr>
        <w:t xml:space="preserve">6.2.3.1   </w:t>
      </w:r>
      <w:r w:rsidR="0043624C" w:rsidRPr="003E5020">
        <w:rPr>
          <w:rFonts w:ascii="Times New Roman" w:hAnsi="Times New Roman" w:cs="Times New Roman"/>
          <w:i w:val="0"/>
          <w:iCs w:val="0"/>
          <w:color w:val="auto"/>
          <w:sz w:val="24"/>
          <w:szCs w:val="24"/>
          <w:lang w:val="sr-Cyrl-RS"/>
        </w:rPr>
        <w:t>Испитивање делотворности постојећег поступка оцењивања судијских помоћника</w:t>
      </w:r>
      <w:bookmarkEnd w:id="132"/>
    </w:p>
    <w:p w14:paraId="42000FFB" w14:textId="77777777" w:rsidR="00B12B33" w:rsidRPr="003E5020" w:rsidRDefault="00B12B33" w:rsidP="00E20923">
      <w:pPr>
        <w:rPr>
          <w:rFonts w:ascii="Times New Roman" w:hAnsi="Times New Roman" w:cs="Times New Roman"/>
          <w:sz w:val="24"/>
          <w:szCs w:val="24"/>
          <w:lang w:val="sr-Cyrl-RS"/>
        </w:rPr>
      </w:pPr>
    </w:p>
    <w:p w14:paraId="4824595C" w14:textId="218F997E" w:rsidR="00B12B33" w:rsidRPr="003E5020" w:rsidRDefault="00153514" w:rsidP="00A138A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До сада</w:t>
      </w:r>
      <w:r w:rsidR="00B12B33" w:rsidRPr="003E5020">
        <w:rPr>
          <w:rFonts w:ascii="Times New Roman" w:hAnsi="Times New Roman" w:cs="Times New Roman"/>
          <w:sz w:val="24"/>
          <w:szCs w:val="24"/>
          <w:lang w:val="sr-Cyrl-RS"/>
        </w:rPr>
        <w:t xml:space="preserve"> ниједно слично испитивање није спроведено.</w:t>
      </w:r>
    </w:p>
    <w:p w14:paraId="358504DA" w14:textId="77777777" w:rsidR="00B12B33" w:rsidRPr="003E5020" w:rsidRDefault="00B12B33" w:rsidP="00A138AD">
      <w:pPr>
        <w:ind w:left="1843"/>
        <w:jc w:val="both"/>
        <w:rPr>
          <w:rFonts w:ascii="Times New Roman" w:hAnsi="Times New Roman" w:cs="Times New Roman"/>
          <w:sz w:val="24"/>
          <w:szCs w:val="24"/>
          <w:lang w:val="sr-Cyrl-RS"/>
        </w:rPr>
      </w:pPr>
    </w:p>
    <w:p w14:paraId="4B17DE49" w14:textId="0289AEFD" w:rsidR="00B12B33" w:rsidRPr="003E5020" w:rsidRDefault="00B12B33" w:rsidP="00A138A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Мера ће бити спроведена у периоду од </w:t>
      </w:r>
      <w:r w:rsidR="0043624C"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xml:space="preserve">. </w:t>
      </w:r>
      <w:r w:rsidR="009C6C53" w:rsidRPr="003E5020">
        <w:rPr>
          <w:rFonts w:ascii="Times New Roman" w:hAnsi="Times New Roman" w:cs="Times New Roman"/>
          <w:sz w:val="24"/>
          <w:szCs w:val="24"/>
          <w:lang w:val="sr-Cyrl-RS"/>
        </w:rPr>
        <w:t xml:space="preserve">до 4. </w:t>
      </w:r>
      <w:r w:rsidRPr="003E5020">
        <w:rPr>
          <w:rFonts w:ascii="Times New Roman" w:hAnsi="Times New Roman" w:cs="Times New Roman"/>
          <w:sz w:val="24"/>
          <w:szCs w:val="24"/>
          <w:lang w:val="sr-Cyrl-RS"/>
        </w:rPr>
        <w:t>квартала 2022. године.</w:t>
      </w:r>
    </w:p>
    <w:p w14:paraId="6DB76E1C" w14:textId="77777777" w:rsidR="00B12B33" w:rsidRPr="003E5020" w:rsidRDefault="00B12B33" w:rsidP="00A138AD">
      <w:pPr>
        <w:ind w:left="1843"/>
        <w:jc w:val="both"/>
        <w:rPr>
          <w:rFonts w:ascii="Times New Roman" w:hAnsi="Times New Roman" w:cs="Times New Roman"/>
          <w:sz w:val="24"/>
          <w:szCs w:val="24"/>
          <w:lang w:val="sr-Cyrl-RS"/>
        </w:rPr>
      </w:pPr>
    </w:p>
    <w:p w14:paraId="31080EFA" w14:textId="33D7AB0F" w:rsidR="00B12B33" w:rsidRPr="003E5020" w:rsidRDefault="00B12B33" w:rsidP="00A138A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испитивања ће бити представљени у форми посебног извештаја</w:t>
      </w:r>
      <w:r w:rsidR="0043624C" w:rsidRPr="003E5020">
        <w:rPr>
          <w:rFonts w:ascii="Times New Roman" w:hAnsi="Times New Roman" w:cs="Times New Roman"/>
          <w:sz w:val="24"/>
          <w:szCs w:val="24"/>
          <w:lang w:val="sr-Cyrl-RS"/>
        </w:rPr>
        <w:t xml:space="preserve"> о спроведеној анализи,</w:t>
      </w:r>
      <w:r w:rsidRPr="003E5020">
        <w:rPr>
          <w:rFonts w:ascii="Times New Roman" w:hAnsi="Times New Roman" w:cs="Times New Roman"/>
          <w:sz w:val="24"/>
          <w:szCs w:val="24"/>
          <w:lang w:val="sr-Cyrl-RS"/>
        </w:rPr>
        <w:t xml:space="preserve"> који ће бити јавно објављен и доступан.</w:t>
      </w:r>
    </w:p>
    <w:p w14:paraId="1D334864" w14:textId="77777777" w:rsidR="00B12B33" w:rsidRPr="003E5020" w:rsidRDefault="00B12B33" w:rsidP="00A138AD">
      <w:pPr>
        <w:ind w:left="1843"/>
        <w:jc w:val="both"/>
        <w:rPr>
          <w:rFonts w:ascii="Times New Roman" w:hAnsi="Times New Roman" w:cs="Times New Roman"/>
          <w:sz w:val="24"/>
          <w:szCs w:val="24"/>
          <w:lang w:val="sr-Cyrl-RS"/>
        </w:rPr>
      </w:pPr>
    </w:p>
    <w:p w14:paraId="7DAF2353" w14:textId="77777777" w:rsidR="00D76901" w:rsidRPr="003E5020" w:rsidRDefault="00B12B33" w:rsidP="00A138A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Финансирање рада на спровођењу ове мере 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D76901"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536CE750" w14:textId="04D63126" w:rsidR="00B12B33" w:rsidRPr="003E5020" w:rsidRDefault="00B12B33" w:rsidP="00A138A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13F2D0BE" w14:textId="77777777" w:rsidR="00B12B33" w:rsidRPr="003E5020" w:rsidRDefault="00B12B33" w:rsidP="00E20923">
      <w:pPr>
        <w:rPr>
          <w:rFonts w:ascii="Times New Roman" w:hAnsi="Times New Roman" w:cs="Times New Roman"/>
          <w:sz w:val="24"/>
          <w:szCs w:val="24"/>
          <w:lang w:val="sr-Cyrl-RS"/>
        </w:rPr>
      </w:pPr>
    </w:p>
    <w:p w14:paraId="653EB2FB" w14:textId="770ACAEA" w:rsidR="00B12B33" w:rsidRPr="003E5020" w:rsidRDefault="00B12B33" w:rsidP="00B12B33">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w:t>
      </w:r>
      <w:r w:rsidR="0043624C"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Високи савет судства</w:t>
      </w:r>
      <w:r w:rsidR="0043624C" w:rsidRPr="003E5020">
        <w:rPr>
          <w:rFonts w:ascii="Times New Roman" w:hAnsi="Times New Roman" w:cs="Times New Roman"/>
          <w:sz w:val="24"/>
          <w:szCs w:val="24"/>
          <w:lang w:val="sr-Cyrl-RS"/>
        </w:rPr>
        <w:t xml:space="preserve"> и Врховни касациони суд</w:t>
      </w:r>
      <w:r w:rsidRPr="003E5020">
        <w:rPr>
          <w:rFonts w:ascii="Times New Roman" w:hAnsi="Times New Roman" w:cs="Times New Roman"/>
          <w:sz w:val="24"/>
          <w:szCs w:val="24"/>
          <w:lang w:val="sr-Cyrl-RS"/>
        </w:rPr>
        <w:t>.</w:t>
      </w:r>
    </w:p>
    <w:p w14:paraId="5E780139" w14:textId="3CD3E37D" w:rsidR="00B12B33" w:rsidRPr="003E5020" w:rsidRDefault="00B12B33" w:rsidP="00B12B33">
      <w:pPr>
        <w:ind w:left="1843"/>
        <w:jc w:val="both"/>
        <w:rPr>
          <w:rFonts w:ascii="Times New Roman" w:hAnsi="Times New Roman" w:cs="Times New Roman"/>
          <w:sz w:val="24"/>
          <w:szCs w:val="24"/>
          <w:lang w:val="sr-Cyrl-RS"/>
        </w:rPr>
      </w:pPr>
    </w:p>
    <w:p w14:paraId="6ED793CA" w14:textId="608581BE" w:rsidR="003634C5" w:rsidRPr="003E5020" w:rsidRDefault="00964DCB" w:rsidP="00FC01DF">
      <w:pPr>
        <w:pStyle w:val="Heading4"/>
        <w:numPr>
          <w:ilvl w:val="0"/>
          <w:numId w:val="0"/>
        </w:numPr>
        <w:tabs>
          <w:tab w:val="left" w:pos="1843"/>
        </w:tabs>
        <w:ind w:left="1843" w:hanging="850"/>
        <w:rPr>
          <w:rFonts w:ascii="Times New Roman" w:hAnsi="Times New Roman" w:cs="Times New Roman"/>
          <w:i w:val="0"/>
          <w:iCs w:val="0"/>
          <w:color w:val="auto"/>
          <w:sz w:val="24"/>
          <w:szCs w:val="24"/>
          <w:lang w:val="sr-Cyrl-RS"/>
        </w:rPr>
      </w:pPr>
      <w:bookmarkStart w:id="133" w:name="_Toc84778664"/>
      <w:bookmarkStart w:id="134" w:name="_Hlk75021326"/>
      <w:r>
        <w:rPr>
          <w:rFonts w:ascii="Times New Roman" w:hAnsi="Times New Roman" w:cs="Times New Roman"/>
          <w:i w:val="0"/>
          <w:iCs w:val="0"/>
          <w:color w:val="auto"/>
          <w:sz w:val="24"/>
          <w:szCs w:val="24"/>
          <w:lang w:val="sr-Cyrl-RS"/>
        </w:rPr>
        <w:t xml:space="preserve">6.2.3.2 </w:t>
      </w:r>
      <w:r>
        <w:rPr>
          <w:rFonts w:ascii="Times New Roman" w:hAnsi="Times New Roman" w:cs="Times New Roman"/>
          <w:i w:val="0"/>
          <w:iCs w:val="0"/>
          <w:color w:val="auto"/>
          <w:sz w:val="24"/>
          <w:szCs w:val="24"/>
          <w:lang w:val="sr-Cyrl-RS"/>
        </w:rPr>
        <w:tab/>
      </w:r>
      <w:r w:rsidR="009C6C53" w:rsidRPr="003E5020">
        <w:rPr>
          <w:rFonts w:ascii="Times New Roman" w:hAnsi="Times New Roman" w:cs="Times New Roman"/>
          <w:i w:val="0"/>
          <w:iCs w:val="0"/>
          <w:color w:val="auto"/>
          <w:sz w:val="24"/>
          <w:szCs w:val="24"/>
          <w:lang w:val="sr-Cyrl-RS"/>
        </w:rPr>
        <w:t>Испитивање делотворности постојећег поступка оцењивања тужилачких помоћника</w:t>
      </w:r>
      <w:bookmarkEnd w:id="133"/>
      <w:bookmarkEnd w:id="134"/>
    </w:p>
    <w:p w14:paraId="004A9851" w14:textId="77777777" w:rsidR="003634C5" w:rsidRPr="003E5020" w:rsidRDefault="003634C5" w:rsidP="003634C5">
      <w:pPr>
        <w:ind w:left="1843"/>
        <w:jc w:val="both"/>
        <w:rPr>
          <w:rFonts w:ascii="Times New Roman" w:hAnsi="Times New Roman" w:cs="Times New Roman"/>
          <w:sz w:val="24"/>
          <w:szCs w:val="24"/>
          <w:lang w:val="sr-Cyrl-RS"/>
        </w:rPr>
      </w:pPr>
      <w:bookmarkStart w:id="135" w:name="_Hlk75021744"/>
    </w:p>
    <w:p w14:paraId="13AEE46C" w14:textId="77777777" w:rsidR="00C8133B"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До сада ниједно слично испитивање није спроведено.</w:t>
      </w:r>
    </w:p>
    <w:p w14:paraId="377DB37D" w14:textId="77777777" w:rsidR="00C8133B" w:rsidRPr="003E5020" w:rsidRDefault="00C8133B" w:rsidP="00C8133B">
      <w:pPr>
        <w:ind w:left="1843"/>
        <w:jc w:val="both"/>
        <w:rPr>
          <w:rFonts w:ascii="Times New Roman" w:hAnsi="Times New Roman" w:cs="Times New Roman"/>
          <w:sz w:val="24"/>
          <w:szCs w:val="24"/>
          <w:lang w:val="sr-Cyrl-RS"/>
        </w:rPr>
      </w:pPr>
    </w:p>
    <w:p w14:paraId="6C5B9B59" w14:textId="77777777" w:rsidR="00C8133B"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Мера ће бити спроведена у периоду од 2. до 4. квартала 2022. године.</w:t>
      </w:r>
    </w:p>
    <w:p w14:paraId="1163967A" w14:textId="77777777" w:rsidR="00C8133B" w:rsidRPr="003E5020" w:rsidRDefault="00C8133B" w:rsidP="00C8133B">
      <w:pPr>
        <w:ind w:left="1985"/>
        <w:jc w:val="both"/>
        <w:rPr>
          <w:rFonts w:ascii="Times New Roman" w:hAnsi="Times New Roman" w:cs="Times New Roman"/>
          <w:sz w:val="24"/>
          <w:szCs w:val="24"/>
          <w:lang w:val="sr-Cyrl-RS"/>
        </w:rPr>
      </w:pPr>
    </w:p>
    <w:p w14:paraId="34908496" w14:textId="77777777" w:rsidR="00C8133B"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испитивања ће бити представљени у форми посебног извештаја о спроведеној анализи, који ће бити јавно објављен и доступан.</w:t>
      </w:r>
    </w:p>
    <w:p w14:paraId="273B4629" w14:textId="77777777" w:rsidR="00C8133B" w:rsidRPr="003E5020" w:rsidRDefault="00C8133B" w:rsidP="00C8133B">
      <w:pPr>
        <w:ind w:left="1985"/>
        <w:jc w:val="both"/>
        <w:rPr>
          <w:rFonts w:ascii="Times New Roman" w:hAnsi="Times New Roman" w:cs="Times New Roman"/>
          <w:sz w:val="24"/>
          <w:szCs w:val="24"/>
          <w:lang w:val="sr-Cyrl-RS"/>
        </w:rPr>
      </w:pPr>
    </w:p>
    <w:p w14:paraId="6A944476" w14:textId="77777777" w:rsidR="00F2490D"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Финансирање рада на спровођењу ове мере 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27FF5A4E" w14:textId="66C2F97F" w:rsidR="00C8133B"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0A3819C9" w14:textId="77777777" w:rsidR="00C8133B" w:rsidRPr="003E5020" w:rsidRDefault="00C8133B" w:rsidP="00C8133B">
      <w:pPr>
        <w:ind w:left="1985"/>
        <w:jc w:val="both"/>
        <w:rPr>
          <w:rFonts w:ascii="Times New Roman" w:hAnsi="Times New Roman" w:cs="Times New Roman"/>
          <w:sz w:val="24"/>
          <w:szCs w:val="24"/>
          <w:lang w:val="sr-Cyrl-RS"/>
        </w:rPr>
      </w:pPr>
    </w:p>
    <w:p w14:paraId="2541F762" w14:textId="7287B77E" w:rsidR="00C8133B" w:rsidRPr="003E5020" w:rsidRDefault="00C8133B" w:rsidP="00C8133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Институције надлежне за надзор и спровођење ове мере су, како следи: Министарство правде, које има и функцију координатора за реализацију мере, </w:t>
      </w:r>
      <w:r w:rsidR="00A744CF" w:rsidRPr="003E5020">
        <w:rPr>
          <w:rFonts w:ascii="Times New Roman" w:hAnsi="Times New Roman" w:cs="Times New Roman"/>
          <w:sz w:val="24"/>
          <w:szCs w:val="24"/>
          <w:lang w:val="sr-Cyrl-RS"/>
        </w:rPr>
        <w:t>Републичко јавно тужилаштво и Државно веће тужилаца</w:t>
      </w:r>
      <w:r w:rsidRPr="003E5020">
        <w:rPr>
          <w:rFonts w:ascii="Times New Roman" w:hAnsi="Times New Roman" w:cs="Times New Roman"/>
          <w:sz w:val="24"/>
          <w:szCs w:val="24"/>
          <w:lang w:val="sr-Cyrl-RS"/>
        </w:rPr>
        <w:t>.</w:t>
      </w:r>
    </w:p>
    <w:bookmarkEnd w:id="135"/>
    <w:p w14:paraId="16B4DAE9" w14:textId="77777777" w:rsidR="003634C5" w:rsidRPr="003E5020" w:rsidRDefault="003634C5" w:rsidP="003634C5">
      <w:pPr>
        <w:ind w:left="1843"/>
        <w:jc w:val="both"/>
        <w:rPr>
          <w:rFonts w:ascii="Times New Roman" w:hAnsi="Times New Roman" w:cs="Times New Roman"/>
          <w:sz w:val="24"/>
          <w:szCs w:val="24"/>
          <w:lang w:val="sr-Cyrl-RS"/>
        </w:rPr>
      </w:pPr>
    </w:p>
    <w:p w14:paraId="4BDF12E1" w14:textId="4FAA7B9F" w:rsidR="003634C5" w:rsidRPr="003E5020" w:rsidRDefault="00FC01DF" w:rsidP="00FC01DF">
      <w:pPr>
        <w:pStyle w:val="Heading4"/>
        <w:numPr>
          <w:ilvl w:val="0"/>
          <w:numId w:val="0"/>
        </w:numPr>
        <w:tabs>
          <w:tab w:val="left" w:pos="2694"/>
        </w:tabs>
        <w:ind w:left="1843" w:hanging="850"/>
        <w:rPr>
          <w:rFonts w:ascii="Times New Roman" w:hAnsi="Times New Roman" w:cs="Times New Roman"/>
          <w:i w:val="0"/>
          <w:iCs w:val="0"/>
          <w:color w:val="auto"/>
          <w:sz w:val="24"/>
          <w:szCs w:val="24"/>
          <w:lang w:val="sr-Cyrl-RS"/>
        </w:rPr>
      </w:pPr>
      <w:bookmarkStart w:id="136" w:name="_Toc84778665"/>
      <w:r>
        <w:rPr>
          <w:rFonts w:ascii="Times New Roman" w:hAnsi="Times New Roman" w:cs="Times New Roman"/>
          <w:i w:val="0"/>
          <w:iCs w:val="0"/>
          <w:color w:val="auto"/>
          <w:sz w:val="24"/>
          <w:szCs w:val="24"/>
          <w:lang w:val="sr-Cyrl-RS"/>
        </w:rPr>
        <w:t>6.2.3.3</w:t>
      </w:r>
      <w:r>
        <w:rPr>
          <w:rFonts w:ascii="Times New Roman" w:hAnsi="Times New Roman" w:cs="Times New Roman"/>
          <w:i w:val="0"/>
          <w:iCs w:val="0"/>
          <w:color w:val="auto"/>
          <w:sz w:val="24"/>
          <w:szCs w:val="24"/>
          <w:lang w:val="sr-Cyrl-RS"/>
        </w:rPr>
        <w:tab/>
      </w:r>
      <w:r w:rsidR="008B7837" w:rsidRPr="003E5020">
        <w:rPr>
          <w:rFonts w:ascii="Times New Roman" w:hAnsi="Times New Roman" w:cs="Times New Roman"/>
          <w:i w:val="0"/>
          <w:iCs w:val="0"/>
          <w:color w:val="auto"/>
          <w:sz w:val="24"/>
          <w:szCs w:val="24"/>
          <w:lang w:val="sr-Cyrl-RS"/>
        </w:rPr>
        <w:t>Испитивање делотворности постојећег поступка оцењивања осталог судског и тужилачког особља</w:t>
      </w:r>
      <w:bookmarkEnd w:id="136"/>
    </w:p>
    <w:p w14:paraId="4AD0EB48" w14:textId="77777777" w:rsidR="003634C5" w:rsidRPr="003E5020" w:rsidRDefault="003634C5" w:rsidP="003634C5">
      <w:pPr>
        <w:ind w:left="1843"/>
        <w:jc w:val="both"/>
        <w:rPr>
          <w:rFonts w:ascii="Times New Roman" w:hAnsi="Times New Roman" w:cs="Times New Roman"/>
          <w:sz w:val="24"/>
          <w:szCs w:val="24"/>
          <w:lang w:val="sr-Cyrl-RS"/>
        </w:rPr>
      </w:pPr>
    </w:p>
    <w:p w14:paraId="2AAA8F15" w14:textId="625F71C9" w:rsidR="003634C5" w:rsidRPr="003E5020" w:rsidRDefault="00375BFB"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До сада ниједно слично испитивање није спроведено</w:t>
      </w:r>
      <w:r w:rsidR="003634C5" w:rsidRPr="003E5020">
        <w:rPr>
          <w:rFonts w:ascii="Times New Roman" w:hAnsi="Times New Roman" w:cs="Times New Roman"/>
          <w:sz w:val="24"/>
          <w:szCs w:val="24"/>
          <w:lang w:val="sr-Cyrl-RS"/>
        </w:rPr>
        <w:t>.</w:t>
      </w:r>
    </w:p>
    <w:p w14:paraId="6C3FE01C" w14:textId="77777777" w:rsidR="003634C5" w:rsidRPr="003E5020" w:rsidRDefault="003634C5" w:rsidP="003634C5">
      <w:pPr>
        <w:ind w:left="1843"/>
        <w:jc w:val="both"/>
        <w:rPr>
          <w:rFonts w:ascii="Times New Roman" w:hAnsi="Times New Roman" w:cs="Times New Roman"/>
          <w:sz w:val="24"/>
          <w:szCs w:val="24"/>
          <w:lang w:val="sr-Cyrl-RS"/>
        </w:rPr>
      </w:pPr>
    </w:p>
    <w:p w14:paraId="4D68C2F0" w14:textId="088C1F45" w:rsidR="00E256A1" w:rsidRPr="003E5020" w:rsidRDefault="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Мера ће бити спроведена у периоду од</w:t>
      </w:r>
      <w:r w:rsidRPr="003E5020" w:rsidDel="005D3220">
        <w:rPr>
          <w:rFonts w:ascii="Times New Roman" w:hAnsi="Times New Roman" w:cs="Times New Roman"/>
          <w:sz w:val="24"/>
          <w:szCs w:val="24"/>
          <w:lang w:val="sr-Cyrl-RS"/>
        </w:rPr>
        <w:t xml:space="preserve"> </w:t>
      </w:r>
      <w:r w:rsidR="008B7837"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xml:space="preserve">. </w:t>
      </w:r>
      <w:r w:rsidR="008B7837" w:rsidRPr="003E5020">
        <w:rPr>
          <w:rFonts w:ascii="Times New Roman" w:hAnsi="Times New Roman" w:cs="Times New Roman"/>
          <w:sz w:val="24"/>
          <w:szCs w:val="24"/>
          <w:lang w:val="sr-Cyrl-RS"/>
        </w:rPr>
        <w:t xml:space="preserve">до 4. </w:t>
      </w:r>
      <w:r w:rsidRPr="003E5020">
        <w:rPr>
          <w:rFonts w:ascii="Times New Roman" w:hAnsi="Times New Roman" w:cs="Times New Roman"/>
          <w:sz w:val="24"/>
          <w:szCs w:val="24"/>
          <w:lang w:val="sr-Cyrl-RS"/>
        </w:rPr>
        <w:t>квартала 202</w:t>
      </w:r>
      <w:r w:rsidR="008B7837"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xml:space="preserve">. </w:t>
      </w:r>
      <w:r w:rsidR="00097446" w:rsidRPr="003E5020">
        <w:rPr>
          <w:rFonts w:ascii="Times New Roman" w:hAnsi="Times New Roman" w:cs="Times New Roman"/>
          <w:sz w:val="24"/>
          <w:szCs w:val="24"/>
          <w:lang w:val="sr-Cyrl-RS"/>
        </w:rPr>
        <w:t>године</w:t>
      </w:r>
      <w:r w:rsidR="00E256A1" w:rsidRPr="003E5020">
        <w:rPr>
          <w:rFonts w:ascii="Times New Roman" w:hAnsi="Times New Roman" w:cs="Times New Roman"/>
          <w:sz w:val="24"/>
          <w:szCs w:val="24"/>
          <w:lang w:val="sr-Cyrl-RS"/>
        </w:rPr>
        <w:t xml:space="preserve">. </w:t>
      </w:r>
    </w:p>
    <w:p w14:paraId="1C8B7C04" w14:textId="77777777" w:rsidR="00A138AD" w:rsidRPr="003E5020" w:rsidRDefault="00A138AD" w:rsidP="00375BFB">
      <w:pPr>
        <w:ind w:left="1843"/>
        <w:jc w:val="both"/>
        <w:rPr>
          <w:rFonts w:ascii="Times New Roman" w:hAnsi="Times New Roman" w:cs="Times New Roman"/>
          <w:sz w:val="24"/>
          <w:szCs w:val="24"/>
          <w:lang w:val="sr-Cyrl-RS"/>
        </w:rPr>
      </w:pPr>
    </w:p>
    <w:p w14:paraId="080025F2" w14:textId="74D14D32" w:rsidR="00375BFB" w:rsidRPr="003E5020" w:rsidRDefault="00375BFB" w:rsidP="00375BF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испитивања ће бити представљени у форми посебног извештаја о спроведеној анализи, који ће бити јавно објављен и доступан.</w:t>
      </w:r>
    </w:p>
    <w:p w14:paraId="08BC6433" w14:textId="77777777" w:rsidR="00375BFB" w:rsidRPr="003E5020" w:rsidRDefault="00375BFB" w:rsidP="00375BFB">
      <w:pPr>
        <w:ind w:left="1985"/>
        <w:jc w:val="both"/>
        <w:rPr>
          <w:rFonts w:ascii="Times New Roman" w:hAnsi="Times New Roman" w:cs="Times New Roman"/>
          <w:sz w:val="24"/>
          <w:szCs w:val="24"/>
          <w:lang w:val="sr-Cyrl-RS"/>
        </w:rPr>
      </w:pPr>
    </w:p>
    <w:p w14:paraId="3E5C9D3E" w14:textId="53743C88" w:rsidR="00375BFB" w:rsidRPr="003E5020" w:rsidRDefault="00375BFB" w:rsidP="00375BF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Финансирање рада на спровођењу ове мере 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02092D84" w14:textId="77777777" w:rsidR="00375BFB" w:rsidRPr="003E5020" w:rsidRDefault="00375BFB" w:rsidP="00375BFB">
      <w:pPr>
        <w:ind w:left="1985"/>
        <w:jc w:val="both"/>
        <w:rPr>
          <w:rFonts w:ascii="Times New Roman" w:hAnsi="Times New Roman" w:cs="Times New Roman"/>
          <w:sz w:val="24"/>
          <w:szCs w:val="24"/>
          <w:lang w:val="sr-Cyrl-RS"/>
        </w:rPr>
      </w:pPr>
    </w:p>
    <w:p w14:paraId="3523DA33" w14:textId="77777777" w:rsidR="00375BFB" w:rsidRPr="003E5020" w:rsidRDefault="00375BFB" w:rsidP="00375BF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 Републичко јавно тужилаштво и Државно веће тужилаца.</w:t>
      </w:r>
    </w:p>
    <w:p w14:paraId="59E0BD2D" w14:textId="2A2A8505" w:rsidR="003634C5" w:rsidRPr="003E5020" w:rsidRDefault="003634C5" w:rsidP="003634C5">
      <w:pPr>
        <w:pStyle w:val="ListParagraph"/>
        <w:ind w:left="1843"/>
        <w:jc w:val="both"/>
        <w:rPr>
          <w:rFonts w:ascii="Times New Roman" w:hAnsi="Times New Roman" w:cs="Times New Roman"/>
          <w:sz w:val="24"/>
          <w:szCs w:val="24"/>
          <w:lang w:val="sr-Cyrl-RS"/>
        </w:rPr>
      </w:pPr>
    </w:p>
    <w:p w14:paraId="61C3972E" w14:textId="79476CD6" w:rsidR="005C1353" w:rsidRPr="003E5020" w:rsidRDefault="00FC01DF" w:rsidP="00FC01DF">
      <w:pPr>
        <w:pStyle w:val="Heading4"/>
        <w:numPr>
          <w:ilvl w:val="0"/>
          <w:numId w:val="0"/>
        </w:numPr>
        <w:tabs>
          <w:tab w:val="left" w:pos="2694"/>
        </w:tabs>
        <w:ind w:left="1843" w:hanging="850"/>
        <w:rPr>
          <w:rFonts w:ascii="Times New Roman" w:hAnsi="Times New Roman" w:cs="Times New Roman"/>
          <w:i w:val="0"/>
          <w:iCs w:val="0"/>
          <w:color w:val="auto"/>
          <w:sz w:val="24"/>
          <w:szCs w:val="24"/>
          <w:lang w:val="sr-Cyrl-RS"/>
        </w:rPr>
      </w:pPr>
      <w:bookmarkStart w:id="137" w:name="_Toc84778666"/>
      <w:bookmarkStart w:id="138" w:name="_Toc84778667"/>
      <w:bookmarkEnd w:id="137"/>
      <w:r>
        <w:rPr>
          <w:rFonts w:ascii="Times New Roman" w:hAnsi="Times New Roman" w:cs="Times New Roman"/>
          <w:i w:val="0"/>
          <w:iCs w:val="0"/>
          <w:color w:val="auto"/>
          <w:sz w:val="24"/>
          <w:szCs w:val="24"/>
          <w:lang w:val="sr-Cyrl-RS"/>
        </w:rPr>
        <w:t>6.2.3.4</w:t>
      </w:r>
      <w:r>
        <w:rPr>
          <w:rFonts w:ascii="Times New Roman" w:hAnsi="Times New Roman" w:cs="Times New Roman"/>
          <w:i w:val="0"/>
          <w:iCs w:val="0"/>
          <w:color w:val="auto"/>
          <w:sz w:val="24"/>
          <w:szCs w:val="24"/>
          <w:lang w:val="sr-Cyrl-RS"/>
        </w:rPr>
        <w:tab/>
      </w:r>
      <w:r w:rsidR="00E07954" w:rsidRPr="003E5020">
        <w:rPr>
          <w:rFonts w:ascii="Times New Roman" w:hAnsi="Times New Roman" w:cs="Times New Roman"/>
          <w:i w:val="0"/>
          <w:iCs w:val="0"/>
          <w:color w:val="auto"/>
          <w:sz w:val="24"/>
          <w:szCs w:val="24"/>
          <w:lang w:val="sr-Cyrl-RS"/>
        </w:rPr>
        <w:t>Анализа ефеката примене унапређеног поступка планирања и развоја каријере, као и система за стручно усавршавање судског и тужилачког особља</w:t>
      </w:r>
      <w:bookmarkEnd w:id="138"/>
    </w:p>
    <w:p w14:paraId="2C741680" w14:textId="32F82601" w:rsidR="00B12B33" w:rsidRPr="003E5020" w:rsidRDefault="00B12B33" w:rsidP="00B12B33">
      <w:pPr>
        <w:ind w:left="1843"/>
        <w:jc w:val="both"/>
        <w:rPr>
          <w:rFonts w:ascii="Times New Roman" w:hAnsi="Times New Roman" w:cs="Times New Roman"/>
          <w:sz w:val="24"/>
          <w:szCs w:val="24"/>
          <w:lang w:val="sr-Cyrl-RS"/>
        </w:rPr>
      </w:pPr>
    </w:p>
    <w:p w14:paraId="4E8F5752" w14:textId="7BBDE8F5" w:rsidR="003634C5" w:rsidRPr="003E5020" w:rsidRDefault="00BA3E07"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Не постоји слична анализа ефеката која је до сада спроведена</w:t>
      </w:r>
      <w:r w:rsidR="003634C5" w:rsidRPr="003E5020">
        <w:rPr>
          <w:rFonts w:ascii="Times New Roman" w:hAnsi="Times New Roman" w:cs="Times New Roman"/>
          <w:sz w:val="24"/>
          <w:szCs w:val="24"/>
          <w:lang w:val="sr-Cyrl-RS"/>
        </w:rPr>
        <w:t>.</w:t>
      </w:r>
    </w:p>
    <w:p w14:paraId="6C15D541" w14:textId="77777777" w:rsidR="003634C5" w:rsidRPr="003E5020" w:rsidRDefault="003634C5" w:rsidP="003634C5">
      <w:pPr>
        <w:ind w:left="1843"/>
        <w:jc w:val="both"/>
        <w:rPr>
          <w:rFonts w:ascii="Times New Roman" w:hAnsi="Times New Roman" w:cs="Times New Roman"/>
          <w:sz w:val="24"/>
          <w:szCs w:val="24"/>
          <w:lang w:val="sr-Cyrl-RS"/>
        </w:rPr>
      </w:pPr>
    </w:p>
    <w:p w14:paraId="1CA3111B" w14:textId="7620A090" w:rsidR="003634C5" w:rsidRPr="003E5020" w:rsidRDefault="003634C5"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Мера ће бити спроведена у периоду од </w:t>
      </w:r>
      <w:r w:rsidR="004F2517"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квартала 202</w:t>
      </w:r>
      <w:r w:rsidR="004F2517" w:rsidRPr="003E5020">
        <w:rPr>
          <w:rFonts w:ascii="Times New Roman" w:hAnsi="Times New Roman" w:cs="Times New Roman"/>
          <w:sz w:val="24"/>
          <w:szCs w:val="24"/>
          <w:lang w:val="sr-Cyrl-RS"/>
        </w:rPr>
        <w:t>4</w:t>
      </w:r>
      <w:r w:rsidRPr="003E5020">
        <w:rPr>
          <w:rFonts w:ascii="Times New Roman" w:hAnsi="Times New Roman" w:cs="Times New Roman"/>
          <w:sz w:val="24"/>
          <w:szCs w:val="24"/>
          <w:lang w:val="sr-Cyrl-RS"/>
        </w:rPr>
        <w:t xml:space="preserve">. године до </w:t>
      </w:r>
      <w:r w:rsidR="00205F4A"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квартала 202</w:t>
      </w:r>
      <w:r w:rsidR="00205F4A" w:rsidRPr="003E5020">
        <w:rPr>
          <w:rFonts w:ascii="Times New Roman" w:hAnsi="Times New Roman" w:cs="Times New Roman"/>
          <w:sz w:val="24"/>
          <w:szCs w:val="24"/>
          <w:lang w:val="sr-Cyrl-RS"/>
        </w:rPr>
        <w:t>6</w:t>
      </w:r>
      <w:r w:rsidRPr="003E5020">
        <w:rPr>
          <w:rFonts w:ascii="Times New Roman" w:hAnsi="Times New Roman" w:cs="Times New Roman"/>
          <w:sz w:val="24"/>
          <w:szCs w:val="24"/>
          <w:lang w:val="sr-Cyrl-RS"/>
        </w:rPr>
        <w:t>. године.</w:t>
      </w:r>
    </w:p>
    <w:p w14:paraId="36D40144" w14:textId="77777777" w:rsidR="003634C5" w:rsidRPr="003E5020" w:rsidRDefault="003634C5" w:rsidP="003634C5">
      <w:pPr>
        <w:ind w:left="1985"/>
        <w:jc w:val="both"/>
        <w:rPr>
          <w:rFonts w:ascii="Times New Roman" w:hAnsi="Times New Roman" w:cs="Times New Roman"/>
          <w:sz w:val="24"/>
          <w:szCs w:val="24"/>
          <w:lang w:val="sr-Cyrl-RS"/>
        </w:rPr>
      </w:pPr>
    </w:p>
    <w:p w14:paraId="7E4159FA" w14:textId="629DC995" w:rsidR="003634C5" w:rsidRPr="003E5020" w:rsidRDefault="003634C5"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Резултати испитивања ће бити представљени у форми посебног извештаја </w:t>
      </w:r>
      <w:r w:rsidR="00BA3E07" w:rsidRPr="003E5020">
        <w:rPr>
          <w:rFonts w:ascii="Times New Roman" w:hAnsi="Times New Roman" w:cs="Times New Roman"/>
          <w:sz w:val="24"/>
          <w:szCs w:val="24"/>
          <w:lang w:val="sr-Cyrl-RS"/>
        </w:rPr>
        <w:t xml:space="preserve">о спроведеној анализи ефеката, </w:t>
      </w:r>
      <w:r w:rsidRPr="003E5020">
        <w:rPr>
          <w:rFonts w:ascii="Times New Roman" w:hAnsi="Times New Roman" w:cs="Times New Roman"/>
          <w:sz w:val="24"/>
          <w:szCs w:val="24"/>
          <w:lang w:val="sr-Cyrl-RS"/>
        </w:rPr>
        <w:t>који ће бити јавно објављен и доступан.</w:t>
      </w:r>
    </w:p>
    <w:p w14:paraId="2C25C894" w14:textId="77777777" w:rsidR="003634C5" w:rsidRPr="003E5020" w:rsidRDefault="003634C5" w:rsidP="003634C5">
      <w:pPr>
        <w:ind w:left="1985"/>
        <w:jc w:val="both"/>
        <w:rPr>
          <w:rFonts w:ascii="Times New Roman" w:hAnsi="Times New Roman" w:cs="Times New Roman"/>
          <w:sz w:val="24"/>
          <w:szCs w:val="24"/>
          <w:lang w:val="sr-Cyrl-RS"/>
        </w:rPr>
      </w:pPr>
    </w:p>
    <w:p w14:paraId="6CF8047C" w14:textId="15A6B8D7" w:rsidR="003634C5" w:rsidRPr="003E5020" w:rsidRDefault="003634C5"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Финансирање рада на спровођењу ове мере 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w:t>
      </w:r>
      <w:r w:rsidR="00AE3468">
        <w:rPr>
          <w:rFonts w:ascii="Times New Roman" w:hAnsi="Times New Roman" w:cs="Times New Roman"/>
          <w:sz w:val="24"/>
          <w:szCs w:val="24"/>
          <w:lang w:val="sr-Cyrl-RS"/>
        </w:rPr>
        <w:t>двојеног документа (тачка 11.).</w:t>
      </w:r>
    </w:p>
    <w:p w14:paraId="6F80C935" w14:textId="3AB3F3FC" w:rsidR="003634C5" w:rsidRPr="003E5020" w:rsidRDefault="003634C5" w:rsidP="003634C5">
      <w:pPr>
        <w:ind w:left="1843"/>
        <w:jc w:val="both"/>
        <w:rPr>
          <w:rFonts w:ascii="Times New Roman" w:hAnsi="Times New Roman" w:cs="Times New Roman"/>
          <w:sz w:val="24"/>
          <w:szCs w:val="24"/>
          <w:lang w:val="sr-Cyrl-RS"/>
        </w:rPr>
      </w:pPr>
    </w:p>
    <w:p w14:paraId="24A3DC98" w14:textId="5CBCB9AF" w:rsidR="003634C5" w:rsidRPr="003E5020" w:rsidRDefault="003634C5" w:rsidP="003634C5">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w:t>
      </w:r>
      <w:r w:rsidR="006F37C2" w:rsidRPr="003E5020">
        <w:rPr>
          <w:rFonts w:ascii="Times New Roman" w:hAnsi="Times New Roman" w:cs="Times New Roman"/>
          <w:sz w:val="24"/>
          <w:szCs w:val="24"/>
          <w:lang w:val="sr-Cyrl-RS"/>
        </w:rPr>
        <w:t>,</w:t>
      </w:r>
      <w:r w:rsidR="00BA3E07" w:rsidRPr="003E5020">
        <w:rPr>
          <w:rFonts w:ascii="Times New Roman" w:hAnsi="Times New Roman" w:cs="Times New Roman"/>
          <w:sz w:val="24"/>
          <w:szCs w:val="24"/>
          <w:lang w:val="sr-Cyrl-RS"/>
        </w:rPr>
        <w:t xml:space="preserve"> Високи савет судства, Врховни касациони суд,</w:t>
      </w:r>
      <w:r w:rsidR="006F37C2" w:rsidRPr="003E5020">
        <w:rPr>
          <w:rFonts w:ascii="Times New Roman" w:hAnsi="Times New Roman" w:cs="Times New Roman"/>
          <w:sz w:val="24"/>
          <w:szCs w:val="24"/>
          <w:lang w:val="sr-Cyrl-RS"/>
        </w:rPr>
        <w:t xml:space="preserve"> Републичко јавно тужилаштво</w:t>
      </w:r>
      <w:r w:rsidR="00BA3E07" w:rsidRPr="003E50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 Државно веће тужилаца</w:t>
      </w:r>
      <w:r w:rsidR="00BA3E07" w:rsidRPr="003E5020">
        <w:rPr>
          <w:rFonts w:ascii="Times New Roman" w:hAnsi="Times New Roman" w:cs="Times New Roman"/>
          <w:sz w:val="24"/>
          <w:szCs w:val="24"/>
          <w:lang w:val="sr-Cyrl-RS"/>
        </w:rPr>
        <w:t xml:space="preserve"> и Правосудна академија</w:t>
      </w:r>
      <w:r w:rsidR="009329F1" w:rsidRPr="003E5020">
        <w:rPr>
          <w:rFonts w:ascii="Times New Roman" w:hAnsi="Times New Roman" w:cs="Times New Roman"/>
          <w:sz w:val="24"/>
          <w:szCs w:val="24"/>
          <w:lang w:val="sr-Cyrl-RS"/>
        </w:rPr>
        <w:t>.</w:t>
      </w:r>
    </w:p>
    <w:p w14:paraId="28ECEAB0" w14:textId="4667701E" w:rsidR="005E1980" w:rsidRPr="003E5020" w:rsidRDefault="005E1980">
      <w:pPr>
        <w:jc w:val="both"/>
        <w:rPr>
          <w:rFonts w:ascii="Times New Roman" w:hAnsi="Times New Roman" w:cs="Times New Roman"/>
          <w:sz w:val="24"/>
          <w:szCs w:val="24"/>
          <w:lang w:val="sr-Cyrl-RS"/>
        </w:rPr>
      </w:pPr>
    </w:p>
    <w:p w14:paraId="0944FE8D" w14:textId="77777777" w:rsidR="00FF691C" w:rsidRPr="003E5020" w:rsidRDefault="00FF691C">
      <w:pPr>
        <w:jc w:val="both"/>
        <w:rPr>
          <w:rFonts w:ascii="Times New Roman" w:hAnsi="Times New Roman" w:cs="Times New Roman"/>
          <w:sz w:val="24"/>
          <w:szCs w:val="24"/>
          <w:lang w:val="sr-Cyrl-RS"/>
        </w:rPr>
      </w:pPr>
    </w:p>
    <w:p w14:paraId="475B0F94" w14:textId="67065D68" w:rsidR="000E4519" w:rsidRPr="003E5020" w:rsidRDefault="000E4519" w:rsidP="00FC01DF">
      <w:pPr>
        <w:pStyle w:val="Heading2"/>
        <w:numPr>
          <w:ilvl w:val="1"/>
          <w:numId w:val="2"/>
        </w:numPr>
        <w:spacing w:before="0"/>
        <w:ind w:left="851" w:hanging="851"/>
        <w:rPr>
          <w:rFonts w:ascii="Times New Roman" w:hAnsi="Times New Roman" w:cs="Times New Roman"/>
          <w:b/>
          <w:bCs/>
          <w:iCs/>
          <w:color w:val="auto"/>
          <w:sz w:val="24"/>
          <w:szCs w:val="24"/>
          <w:lang w:val="sr-Cyrl-RS"/>
        </w:rPr>
      </w:pPr>
      <w:bookmarkStart w:id="139" w:name="_Циљ_3._–"/>
      <w:bookmarkStart w:id="140" w:name="_Toc84778668"/>
      <w:bookmarkEnd w:id="139"/>
      <w:r w:rsidRPr="003E5020">
        <w:rPr>
          <w:rFonts w:ascii="Times New Roman" w:hAnsi="Times New Roman" w:cs="Times New Roman"/>
          <w:b/>
          <w:bCs/>
          <w:iCs/>
          <w:color w:val="auto"/>
          <w:sz w:val="24"/>
          <w:szCs w:val="24"/>
          <w:lang w:val="sr-Cyrl-RS"/>
        </w:rPr>
        <w:t xml:space="preserve">Циљ </w:t>
      </w:r>
      <w:r w:rsidR="00D611FE" w:rsidRPr="003E5020">
        <w:rPr>
          <w:rFonts w:ascii="Times New Roman" w:hAnsi="Times New Roman" w:cs="Times New Roman"/>
          <w:b/>
          <w:bCs/>
          <w:iCs/>
          <w:color w:val="auto"/>
          <w:sz w:val="24"/>
          <w:szCs w:val="24"/>
          <w:lang w:val="sr-Cyrl-RS"/>
        </w:rPr>
        <w:t>3</w:t>
      </w:r>
      <w:r w:rsidR="00FF691C" w:rsidRPr="003E5020">
        <w:rPr>
          <w:rFonts w:ascii="Times New Roman" w:hAnsi="Times New Roman" w:cs="Times New Roman"/>
          <w:b/>
          <w:bCs/>
          <w:iCs/>
          <w:color w:val="auto"/>
          <w:sz w:val="24"/>
          <w:szCs w:val="24"/>
          <w:lang w:val="sr-Cyrl-RS"/>
        </w:rPr>
        <w:t xml:space="preserve">. </w:t>
      </w:r>
      <w:r w:rsidR="00405E5C" w:rsidRPr="003E5020">
        <w:rPr>
          <w:rFonts w:ascii="Times New Roman" w:hAnsi="Times New Roman" w:cs="Times New Roman"/>
          <w:b/>
          <w:bCs/>
          <w:iCs/>
          <w:color w:val="auto"/>
          <w:sz w:val="24"/>
          <w:szCs w:val="24"/>
          <w:lang w:val="sr-Cyrl-RS"/>
        </w:rPr>
        <w:t xml:space="preserve"> Успостављен систем стратешког планирања потреба за људским ресурсима у правосуђу, који је усклађен са обимом и структуром посла правосуђа, као и средњорочном пројекцијом буџетских средстава правосуђа и других неопходних ресурса</w:t>
      </w:r>
      <w:bookmarkEnd w:id="140"/>
    </w:p>
    <w:p w14:paraId="00212AF8" w14:textId="54E529BA" w:rsidR="000E4519" w:rsidRPr="003E5020" w:rsidRDefault="000E4519">
      <w:pPr>
        <w:jc w:val="both"/>
        <w:rPr>
          <w:rFonts w:ascii="Times New Roman" w:hAnsi="Times New Roman" w:cs="Times New Roman"/>
          <w:sz w:val="24"/>
          <w:szCs w:val="24"/>
          <w:lang w:val="sr-Cyrl-RS"/>
        </w:rPr>
      </w:pPr>
    </w:p>
    <w:p w14:paraId="079B01B4" w14:textId="1BC1B44F" w:rsidR="000C2DFC" w:rsidRPr="003E5020" w:rsidRDefault="00FC01DF" w:rsidP="00FC01DF">
      <w:pPr>
        <w:pStyle w:val="Heading3"/>
        <w:numPr>
          <w:ilvl w:val="0"/>
          <w:numId w:val="0"/>
        </w:numPr>
        <w:tabs>
          <w:tab w:val="left" w:pos="1276"/>
        </w:tabs>
        <w:ind w:left="851" w:hanging="851"/>
        <w:rPr>
          <w:rFonts w:ascii="Times New Roman" w:hAnsi="Times New Roman" w:cs="Times New Roman"/>
          <w:iCs/>
          <w:color w:val="auto"/>
          <w:lang w:val="sr-Cyrl-RS"/>
        </w:rPr>
      </w:pPr>
      <w:bookmarkStart w:id="141" w:name="_Toc84778669"/>
      <w:r>
        <w:rPr>
          <w:rFonts w:ascii="Times New Roman" w:hAnsi="Times New Roman" w:cs="Times New Roman"/>
          <w:iCs/>
          <w:color w:val="auto"/>
          <w:lang w:val="sr-Cyrl-RS"/>
        </w:rPr>
        <w:t xml:space="preserve">6.3.1 </w:t>
      </w:r>
      <w:r>
        <w:rPr>
          <w:rFonts w:ascii="Times New Roman" w:hAnsi="Times New Roman" w:cs="Times New Roman"/>
          <w:iCs/>
          <w:color w:val="auto"/>
          <w:lang w:val="sr-Cyrl-RS"/>
        </w:rPr>
        <w:tab/>
      </w:r>
      <w:r w:rsidR="000C2DFC" w:rsidRPr="003E5020">
        <w:rPr>
          <w:rFonts w:ascii="Times New Roman" w:hAnsi="Times New Roman" w:cs="Times New Roman"/>
          <w:iCs/>
          <w:color w:val="auto"/>
          <w:lang w:val="sr-Cyrl-RS"/>
        </w:rPr>
        <w:t>Институције задужене за спровођење и надзор</w:t>
      </w:r>
      <w:bookmarkEnd w:id="141"/>
      <w:r w:rsidR="00A4137A" w:rsidRPr="003E5020">
        <w:rPr>
          <w:rFonts w:ascii="Times New Roman" w:hAnsi="Times New Roman" w:cs="Times New Roman"/>
          <w:iCs/>
          <w:color w:val="auto"/>
          <w:lang w:val="sr-Cyrl-RS"/>
        </w:rPr>
        <w:t xml:space="preserve"> </w:t>
      </w:r>
    </w:p>
    <w:p w14:paraId="609D08AA" w14:textId="77777777" w:rsidR="000C2DFC" w:rsidRPr="003E5020" w:rsidRDefault="000C2DFC">
      <w:pPr>
        <w:jc w:val="both"/>
        <w:rPr>
          <w:rFonts w:ascii="Times New Roman" w:hAnsi="Times New Roman" w:cs="Times New Roman"/>
          <w:sz w:val="24"/>
          <w:szCs w:val="24"/>
          <w:lang w:val="sr-Cyrl-RS"/>
        </w:rPr>
      </w:pPr>
    </w:p>
    <w:p w14:paraId="03625D65" w14:textId="0819E1B9" w:rsidR="000C2DFC" w:rsidRPr="003E5020" w:rsidRDefault="000C2DFC">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правде, које има и функцију координатора за реализацију мере;</w:t>
      </w:r>
    </w:p>
    <w:p w14:paraId="6FA593ED" w14:textId="6F245F18" w:rsidR="000C2DFC" w:rsidRPr="003E5020" w:rsidRDefault="000C2DFC">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Високи савет судства;</w:t>
      </w:r>
    </w:p>
    <w:p w14:paraId="6161206A" w14:textId="23A95CB1" w:rsidR="00EC043E" w:rsidRPr="003E5020" w:rsidRDefault="00EC043E">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Врховни касациони суд;</w:t>
      </w:r>
    </w:p>
    <w:p w14:paraId="625859B0" w14:textId="26AAAF29" w:rsidR="0039116E" w:rsidRPr="003E5020" w:rsidRDefault="0039116E">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Републичко јавно тужилаштво;</w:t>
      </w:r>
    </w:p>
    <w:p w14:paraId="3E28D9B1" w14:textId="26B259F2" w:rsidR="000C2DFC" w:rsidRPr="003E5020" w:rsidRDefault="007E4414">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Државно веће тужилаца</w:t>
      </w:r>
      <w:r w:rsidR="00EC043E" w:rsidRPr="003E5020">
        <w:rPr>
          <w:rFonts w:ascii="Times New Roman" w:hAnsi="Times New Roman" w:cs="Times New Roman"/>
          <w:sz w:val="24"/>
          <w:szCs w:val="24"/>
          <w:lang w:val="sr-Cyrl-RS"/>
        </w:rPr>
        <w:t>; и</w:t>
      </w:r>
    </w:p>
    <w:p w14:paraId="115DD2A0" w14:textId="51587324" w:rsidR="00EC043E" w:rsidRPr="003E5020" w:rsidRDefault="00EC043E">
      <w:pPr>
        <w:pStyle w:val="ListParagraph"/>
        <w:numPr>
          <w:ilvl w:val="0"/>
          <w:numId w:val="6"/>
        </w:numPr>
        <w:ind w:left="1560" w:hanging="426"/>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Министарство финансија</w:t>
      </w:r>
      <w:r w:rsidR="00001F30" w:rsidRPr="003E5020">
        <w:rPr>
          <w:rFonts w:ascii="Times New Roman" w:hAnsi="Times New Roman" w:cs="Times New Roman"/>
          <w:sz w:val="24"/>
          <w:szCs w:val="24"/>
          <w:lang w:val="sr-Cyrl-RS"/>
        </w:rPr>
        <w:t>.</w:t>
      </w:r>
    </w:p>
    <w:p w14:paraId="2142ABD2" w14:textId="77777777" w:rsidR="001C5FEA" w:rsidRPr="003E5020" w:rsidRDefault="001C5FEA">
      <w:pPr>
        <w:jc w:val="both"/>
        <w:rPr>
          <w:rFonts w:ascii="Times New Roman" w:hAnsi="Times New Roman" w:cs="Times New Roman"/>
          <w:sz w:val="24"/>
          <w:szCs w:val="24"/>
          <w:lang w:val="sr-Cyrl-RS"/>
        </w:rPr>
      </w:pPr>
    </w:p>
    <w:p w14:paraId="62C79B50" w14:textId="39BA6898" w:rsidR="000C2DFC" w:rsidRPr="003E5020" w:rsidRDefault="00FA3FB4" w:rsidP="00FA3FB4">
      <w:pPr>
        <w:pStyle w:val="Heading3"/>
        <w:numPr>
          <w:ilvl w:val="0"/>
          <w:numId w:val="0"/>
        </w:numPr>
        <w:tabs>
          <w:tab w:val="left" w:pos="1701"/>
        </w:tabs>
        <w:ind w:left="851" w:hanging="851"/>
        <w:rPr>
          <w:rFonts w:ascii="Times New Roman" w:hAnsi="Times New Roman" w:cs="Times New Roman"/>
          <w:iCs/>
          <w:color w:val="auto"/>
          <w:lang w:val="sr-Cyrl-RS"/>
        </w:rPr>
      </w:pPr>
      <w:bookmarkStart w:id="142" w:name="_Toc84778670"/>
      <w:r>
        <w:rPr>
          <w:rFonts w:ascii="Times New Roman" w:hAnsi="Times New Roman" w:cs="Times New Roman"/>
          <w:iCs/>
          <w:color w:val="auto"/>
          <w:lang w:val="sr-Cyrl-RS"/>
        </w:rPr>
        <w:t xml:space="preserve">6.3.2. </w:t>
      </w:r>
      <w:r>
        <w:rPr>
          <w:rFonts w:ascii="Times New Roman" w:hAnsi="Times New Roman" w:cs="Times New Roman"/>
          <w:iCs/>
          <w:color w:val="auto"/>
          <w:lang w:val="sr-Cyrl-RS"/>
        </w:rPr>
        <w:tab/>
      </w:r>
      <w:r w:rsidR="000C2DFC" w:rsidRPr="003E5020">
        <w:rPr>
          <w:rFonts w:ascii="Times New Roman" w:hAnsi="Times New Roman" w:cs="Times New Roman"/>
          <w:iCs/>
          <w:color w:val="auto"/>
          <w:lang w:val="sr-Cyrl-RS"/>
        </w:rPr>
        <w:t>Показатељи учинка</w:t>
      </w:r>
      <w:r w:rsidR="00A4137A" w:rsidRPr="003E5020">
        <w:rPr>
          <w:rFonts w:ascii="Times New Roman" w:hAnsi="Times New Roman" w:cs="Times New Roman"/>
          <w:iCs/>
          <w:color w:val="auto"/>
          <w:lang w:val="sr-Cyrl-RS"/>
        </w:rPr>
        <w:t xml:space="preserve"> за посебни циљ 3</w:t>
      </w:r>
      <w:bookmarkEnd w:id="142"/>
    </w:p>
    <w:p w14:paraId="26E988C8" w14:textId="46451831" w:rsidR="00FE7FAF" w:rsidRPr="003E5020" w:rsidRDefault="00FE7FAF">
      <w:pPr>
        <w:jc w:val="both"/>
        <w:rPr>
          <w:rFonts w:ascii="Times New Roman" w:hAnsi="Times New Roman" w:cs="Times New Roman"/>
          <w:sz w:val="24"/>
          <w:szCs w:val="24"/>
          <w:lang w:val="sr-Cyrl-RS"/>
        </w:rPr>
      </w:pPr>
    </w:p>
    <w:p w14:paraId="06FB233B" w14:textId="0804B29F" w:rsidR="00FE7FAF" w:rsidRPr="003E5020" w:rsidRDefault="00FE7FAF" w:rsidP="00FE7FAF">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На нивоу посебног циља 3, Стратегија идентификује следеће показатеље учинка (укључује утврђивање почетне вредности, циљане вредности и извор верификације):</w:t>
      </w:r>
    </w:p>
    <w:p w14:paraId="63BDE9F0" w14:textId="77777777" w:rsidR="00FE7FAF" w:rsidRPr="003E5020" w:rsidRDefault="00FE7FAF">
      <w:pPr>
        <w:jc w:val="both"/>
        <w:rPr>
          <w:rFonts w:ascii="Times New Roman" w:hAnsi="Times New Roman" w:cs="Times New Roman"/>
          <w:sz w:val="24"/>
          <w:szCs w:val="24"/>
          <w:lang w:val="sr-Cyrl-RS"/>
        </w:rPr>
      </w:pPr>
    </w:p>
    <w:p w14:paraId="445E4D3B" w14:textId="2C66E702" w:rsidR="00FE7FAF" w:rsidRPr="003E5020" w:rsidRDefault="00702768" w:rsidP="00FE7FAF">
      <w:pPr>
        <w:pStyle w:val="ListParagraph"/>
        <w:numPr>
          <w:ilvl w:val="0"/>
          <w:numId w:val="6"/>
        </w:numPr>
        <w:ind w:left="1843"/>
        <w:jc w:val="both"/>
        <w:rPr>
          <w:rFonts w:ascii="Times New Roman" w:hAnsi="Times New Roman" w:cs="Times New Roman"/>
          <w:sz w:val="24"/>
          <w:szCs w:val="24"/>
          <w:lang w:val="sr-Cyrl-RS"/>
        </w:rPr>
      </w:pPr>
      <w:r w:rsidRPr="003E5020">
        <w:rPr>
          <w:rFonts w:ascii="Times New Roman" w:hAnsi="Times New Roman" w:cs="Times New Roman"/>
          <w:b/>
          <w:sz w:val="24"/>
          <w:szCs w:val="24"/>
          <w:lang w:val="sr-Cyrl-RS"/>
        </w:rPr>
        <w:t>Систематично периодично извештавање у току године, које омогућава Високом савету судства, Државном већу тужилаца, Републичком јавном тужилаштву и Министарству правде да врше правилну координацију и распоређивање  запослених лица на свим радним местима</w:t>
      </w:r>
      <w:r w:rsidR="00FE7FAF" w:rsidRPr="003E5020">
        <w:rPr>
          <w:rFonts w:ascii="Times New Roman" w:hAnsi="Times New Roman" w:cs="Times New Roman"/>
          <w:b/>
          <w:sz w:val="24"/>
          <w:szCs w:val="24"/>
          <w:lang w:val="sr-Cyrl-RS"/>
        </w:rPr>
        <w:t xml:space="preserve">, </w:t>
      </w:r>
      <w:r w:rsidR="00FE7FAF" w:rsidRPr="003E5020">
        <w:rPr>
          <w:rFonts w:ascii="Times New Roman" w:hAnsi="Times New Roman" w:cs="Times New Roman"/>
          <w:sz w:val="24"/>
          <w:szCs w:val="24"/>
          <w:lang w:val="sr-Cyrl-RS"/>
        </w:rPr>
        <w:t xml:space="preserve">а што се мери у односу на степен </w:t>
      </w:r>
      <w:r w:rsidRPr="003E5020">
        <w:rPr>
          <w:rFonts w:ascii="Times New Roman" w:hAnsi="Times New Roman" w:cs="Times New Roman"/>
          <w:sz w:val="24"/>
          <w:szCs w:val="24"/>
          <w:lang w:val="sr-Cyrl-RS"/>
        </w:rPr>
        <w:t>повезаности постојећег извештавања са будућом тражњом за запосленима, проценом слободних радних места, као и потребом за променом прописа и технологије</w:t>
      </w:r>
      <w:r w:rsidR="00FE7FAF" w:rsidRPr="003E5020">
        <w:rPr>
          <w:rFonts w:ascii="Times New Roman" w:hAnsi="Times New Roman" w:cs="Times New Roman"/>
          <w:sz w:val="24"/>
          <w:szCs w:val="24"/>
          <w:lang w:val="sr-Cyrl-RS"/>
        </w:rPr>
        <w:t xml:space="preserve">. </w:t>
      </w:r>
      <w:r w:rsidR="003F6058" w:rsidRPr="003E5020">
        <w:rPr>
          <w:rFonts w:ascii="Times New Roman" w:hAnsi="Times New Roman" w:cs="Times New Roman"/>
          <w:sz w:val="24"/>
          <w:szCs w:val="24"/>
          <w:lang w:val="sr-Cyrl-RS"/>
        </w:rPr>
        <w:t xml:space="preserve">Циљана вредност </w:t>
      </w:r>
      <w:r w:rsidR="001E43D2" w:rsidRPr="003E5020">
        <w:rPr>
          <w:rFonts w:ascii="Times New Roman" w:hAnsi="Times New Roman" w:cs="Times New Roman"/>
          <w:sz w:val="24"/>
          <w:szCs w:val="24"/>
          <w:lang w:val="sr-Cyrl-RS"/>
        </w:rPr>
        <w:t xml:space="preserve">представља проценат усклађености стварног обима и структуре посла правосуђа и пројекције буџетских средстава, с једне стране и новоуспостаљеног система стратешког планирања, с друге стране, а који проценат  ће у </w:t>
      </w:r>
      <w:r w:rsidR="001F567B" w:rsidRPr="003E5020">
        <w:rPr>
          <w:rFonts w:ascii="Times New Roman" w:hAnsi="Times New Roman" w:cs="Times New Roman"/>
          <w:sz w:val="24"/>
          <w:szCs w:val="24"/>
          <w:lang w:val="sr-Cyrl-RS"/>
        </w:rPr>
        <w:t xml:space="preserve">2023. години </w:t>
      </w:r>
      <w:r w:rsidR="001E43D2" w:rsidRPr="003E5020">
        <w:rPr>
          <w:rFonts w:ascii="Times New Roman" w:hAnsi="Times New Roman" w:cs="Times New Roman"/>
          <w:sz w:val="24"/>
          <w:szCs w:val="24"/>
          <w:lang w:val="sr-Cyrl-RS"/>
        </w:rPr>
        <w:t>бити на нивоу од</w:t>
      </w:r>
      <w:r w:rsidR="001F567B" w:rsidRPr="003E5020">
        <w:rPr>
          <w:rFonts w:ascii="Times New Roman" w:hAnsi="Times New Roman" w:cs="Times New Roman"/>
          <w:sz w:val="24"/>
          <w:szCs w:val="24"/>
          <w:lang w:val="sr-Cyrl-RS"/>
        </w:rPr>
        <w:t xml:space="preserve"> 60%, у 2024. години </w:t>
      </w:r>
      <w:r w:rsidR="001E43D2" w:rsidRPr="003E5020">
        <w:rPr>
          <w:rFonts w:ascii="Times New Roman" w:hAnsi="Times New Roman" w:cs="Times New Roman"/>
          <w:sz w:val="24"/>
          <w:szCs w:val="24"/>
          <w:lang w:val="sr-Cyrl-RS"/>
        </w:rPr>
        <w:t xml:space="preserve">на нивоу од </w:t>
      </w:r>
      <w:r w:rsidR="001F567B" w:rsidRPr="003E5020">
        <w:rPr>
          <w:rFonts w:ascii="Times New Roman" w:hAnsi="Times New Roman" w:cs="Times New Roman"/>
          <w:sz w:val="24"/>
          <w:szCs w:val="24"/>
          <w:lang w:val="sr-Cyrl-RS"/>
        </w:rPr>
        <w:t>70%, у 2025. години</w:t>
      </w:r>
      <w:r w:rsidR="001E43D2" w:rsidRPr="003E5020">
        <w:rPr>
          <w:rFonts w:ascii="Times New Roman" w:hAnsi="Times New Roman" w:cs="Times New Roman"/>
          <w:sz w:val="24"/>
          <w:szCs w:val="24"/>
          <w:lang w:val="sr-Cyrl-RS"/>
        </w:rPr>
        <w:t xml:space="preserve"> на нивоу од</w:t>
      </w:r>
      <w:r w:rsidR="001F567B" w:rsidRPr="003E5020">
        <w:rPr>
          <w:rFonts w:ascii="Times New Roman" w:hAnsi="Times New Roman" w:cs="Times New Roman"/>
          <w:sz w:val="24"/>
          <w:szCs w:val="24"/>
          <w:lang w:val="sr-Cyrl-RS"/>
        </w:rPr>
        <w:t xml:space="preserve"> 80% и у 2026. години</w:t>
      </w:r>
      <w:r w:rsidR="001E43D2" w:rsidRPr="003E5020">
        <w:rPr>
          <w:rFonts w:ascii="Times New Roman" w:hAnsi="Times New Roman" w:cs="Times New Roman"/>
          <w:sz w:val="24"/>
          <w:szCs w:val="24"/>
          <w:lang w:val="sr-Cyrl-RS"/>
        </w:rPr>
        <w:t xml:space="preserve"> на нивоу од</w:t>
      </w:r>
      <w:r w:rsidR="001F567B" w:rsidRPr="003E5020">
        <w:rPr>
          <w:rFonts w:ascii="Times New Roman" w:hAnsi="Times New Roman" w:cs="Times New Roman"/>
          <w:sz w:val="24"/>
          <w:szCs w:val="24"/>
          <w:lang w:val="sr-Cyrl-RS"/>
        </w:rPr>
        <w:t xml:space="preserve"> 90%</w:t>
      </w:r>
      <w:r w:rsidR="001E43D2" w:rsidRPr="003E5020">
        <w:rPr>
          <w:rFonts w:ascii="Times New Roman" w:hAnsi="Times New Roman" w:cs="Times New Roman"/>
          <w:sz w:val="24"/>
          <w:szCs w:val="24"/>
          <w:lang w:val="sr-Cyrl-RS"/>
        </w:rPr>
        <w:t xml:space="preserve"> међусобне усклађености</w:t>
      </w:r>
      <w:r w:rsidR="001F567B" w:rsidRPr="003E5020">
        <w:rPr>
          <w:rFonts w:ascii="Times New Roman" w:hAnsi="Times New Roman" w:cs="Times New Roman"/>
          <w:sz w:val="24"/>
          <w:szCs w:val="24"/>
          <w:lang w:val="sr-Cyrl-RS"/>
        </w:rPr>
        <w:t xml:space="preserve">. </w:t>
      </w:r>
      <w:r w:rsidR="00FE7FAF" w:rsidRPr="003E5020">
        <w:rPr>
          <w:rFonts w:ascii="Times New Roman" w:hAnsi="Times New Roman" w:cs="Times New Roman"/>
          <w:sz w:val="24"/>
          <w:szCs w:val="24"/>
          <w:lang w:val="sr-Cyrl-RS"/>
        </w:rPr>
        <w:t>Као извор верификације ће служити објављен извештај о стратешком планирању запослених у правосуђу, од стране Министарства правде.</w:t>
      </w:r>
    </w:p>
    <w:p w14:paraId="4C67D9B1" w14:textId="370ADC93" w:rsidR="00391F30" w:rsidRPr="003E5020" w:rsidRDefault="00391F30">
      <w:pPr>
        <w:jc w:val="both"/>
        <w:rPr>
          <w:rFonts w:ascii="Times New Roman" w:hAnsi="Times New Roman" w:cs="Times New Roman"/>
          <w:b/>
          <w:sz w:val="24"/>
          <w:szCs w:val="24"/>
          <w:lang w:val="sr-Cyrl-RS"/>
        </w:rPr>
      </w:pPr>
    </w:p>
    <w:p w14:paraId="1DB8C9FD" w14:textId="10AD4850" w:rsidR="00307346" w:rsidRPr="003E5020" w:rsidRDefault="00FA3FB4" w:rsidP="00FA3FB4">
      <w:pPr>
        <w:pStyle w:val="Heading3"/>
        <w:numPr>
          <w:ilvl w:val="0"/>
          <w:numId w:val="0"/>
        </w:numPr>
        <w:tabs>
          <w:tab w:val="left" w:pos="1418"/>
        </w:tabs>
        <w:ind w:left="851" w:hanging="851"/>
        <w:rPr>
          <w:rFonts w:ascii="Times New Roman" w:hAnsi="Times New Roman" w:cs="Times New Roman"/>
          <w:iCs/>
          <w:color w:val="auto"/>
          <w:lang w:val="sr-Cyrl-RS"/>
        </w:rPr>
      </w:pPr>
      <w:bookmarkStart w:id="143" w:name="_Toc84778671"/>
      <w:r>
        <w:rPr>
          <w:rFonts w:ascii="Times New Roman" w:hAnsi="Times New Roman" w:cs="Times New Roman"/>
          <w:iCs/>
          <w:color w:val="auto"/>
          <w:lang w:val="sr-Cyrl-RS"/>
        </w:rPr>
        <w:t xml:space="preserve">6.3.3 </w:t>
      </w:r>
      <w:r>
        <w:rPr>
          <w:rFonts w:ascii="Times New Roman" w:hAnsi="Times New Roman" w:cs="Times New Roman"/>
          <w:iCs/>
          <w:color w:val="auto"/>
          <w:lang w:val="sr-Cyrl-RS"/>
        </w:rPr>
        <w:tab/>
      </w:r>
      <w:r w:rsidR="00307346" w:rsidRPr="003E5020">
        <w:rPr>
          <w:rFonts w:ascii="Times New Roman" w:hAnsi="Times New Roman" w:cs="Times New Roman"/>
          <w:iCs/>
          <w:color w:val="auto"/>
          <w:lang w:val="sr-Cyrl-RS"/>
        </w:rPr>
        <w:t xml:space="preserve">Мере за постизање </w:t>
      </w:r>
      <w:r w:rsidR="00973BC2" w:rsidRPr="003E5020">
        <w:rPr>
          <w:rFonts w:ascii="Times New Roman" w:hAnsi="Times New Roman" w:cs="Times New Roman"/>
          <w:iCs/>
          <w:color w:val="auto"/>
          <w:lang w:val="sr-Cyrl-RS"/>
        </w:rPr>
        <w:t>посебног ц</w:t>
      </w:r>
      <w:r w:rsidR="00307346" w:rsidRPr="003E5020">
        <w:rPr>
          <w:rFonts w:ascii="Times New Roman" w:hAnsi="Times New Roman" w:cs="Times New Roman"/>
          <w:iCs/>
          <w:color w:val="auto"/>
          <w:lang w:val="sr-Cyrl-RS"/>
        </w:rPr>
        <w:t>иља 3</w:t>
      </w:r>
      <w:bookmarkEnd w:id="143"/>
    </w:p>
    <w:p w14:paraId="5529AC93" w14:textId="77777777" w:rsidR="00307346" w:rsidRPr="003E5020" w:rsidRDefault="00307346">
      <w:pPr>
        <w:jc w:val="both"/>
        <w:rPr>
          <w:rFonts w:ascii="Times New Roman" w:hAnsi="Times New Roman" w:cs="Times New Roman"/>
          <w:sz w:val="24"/>
          <w:szCs w:val="24"/>
          <w:lang w:val="sr-Cyrl-RS"/>
        </w:rPr>
      </w:pPr>
    </w:p>
    <w:p w14:paraId="3ACE700D" w14:textId="75DFAC81" w:rsidR="00307346" w:rsidRPr="003E5020" w:rsidRDefault="00FA3FB4" w:rsidP="00FA3FB4">
      <w:pPr>
        <w:pStyle w:val="Heading4"/>
        <w:numPr>
          <w:ilvl w:val="0"/>
          <w:numId w:val="0"/>
        </w:numPr>
        <w:tabs>
          <w:tab w:val="left" w:pos="2694"/>
        </w:tabs>
        <w:spacing w:before="0"/>
        <w:ind w:left="1843" w:hanging="850"/>
        <w:rPr>
          <w:rFonts w:ascii="Times New Roman" w:hAnsi="Times New Roman" w:cs="Times New Roman"/>
          <w:i w:val="0"/>
          <w:iCs w:val="0"/>
          <w:color w:val="auto"/>
          <w:sz w:val="24"/>
          <w:szCs w:val="24"/>
          <w:lang w:val="sr-Cyrl-RS"/>
        </w:rPr>
      </w:pPr>
      <w:bookmarkStart w:id="144" w:name="_Toc84778672"/>
      <w:r>
        <w:rPr>
          <w:rFonts w:ascii="Times New Roman" w:hAnsi="Times New Roman" w:cs="Times New Roman"/>
          <w:i w:val="0"/>
          <w:iCs w:val="0"/>
          <w:color w:val="auto"/>
          <w:sz w:val="24"/>
          <w:szCs w:val="24"/>
          <w:lang w:val="sr-Cyrl-RS"/>
        </w:rPr>
        <w:t xml:space="preserve">6.3.3.1 </w:t>
      </w:r>
      <w:r>
        <w:rPr>
          <w:rFonts w:ascii="Times New Roman" w:hAnsi="Times New Roman" w:cs="Times New Roman"/>
          <w:i w:val="0"/>
          <w:iCs w:val="0"/>
          <w:color w:val="auto"/>
          <w:sz w:val="24"/>
          <w:szCs w:val="24"/>
          <w:lang w:val="sr-Cyrl-RS"/>
        </w:rPr>
        <w:tab/>
      </w:r>
      <w:r w:rsidR="00E92CF5" w:rsidRPr="003E5020">
        <w:rPr>
          <w:rFonts w:ascii="Times New Roman" w:hAnsi="Times New Roman" w:cs="Times New Roman"/>
          <w:i w:val="0"/>
          <w:iCs w:val="0"/>
          <w:color w:val="auto"/>
          <w:sz w:val="24"/>
          <w:szCs w:val="24"/>
          <w:lang w:val="sr-Cyrl-RS"/>
        </w:rPr>
        <w:t>Испитивање делотворности постојећег процеса стратешког планирања потреба за људским ресурсима у правосуђу који је усклађен са обимом и структуром посла правосуђа, као и средњорочном пројекцијом буџетских средстава правосуђа и других неопходних ресурса</w:t>
      </w:r>
      <w:bookmarkEnd w:id="144"/>
    </w:p>
    <w:p w14:paraId="1CAD64BD" w14:textId="77777777" w:rsidR="00307346" w:rsidRPr="003E5020" w:rsidRDefault="00307346">
      <w:pPr>
        <w:jc w:val="both"/>
        <w:rPr>
          <w:rFonts w:ascii="Times New Roman" w:hAnsi="Times New Roman" w:cs="Times New Roman"/>
          <w:sz w:val="24"/>
          <w:szCs w:val="24"/>
          <w:lang w:val="sr-Cyrl-RS"/>
        </w:rPr>
      </w:pPr>
    </w:p>
    <w:p w14:paraId="42FE5B1C" w14:textId="2720C3CC" w:rsidR="00307346" w:rsidRPr="003E5020" w:rsidRDefault="00505986">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До сада </w:t>
      </w:r>
      <w:r w:rsidR="00307346" w:rsidRPr="003E5020">
        <w:rPr>
          <w:rFonts w:ascii="Times New Roman" w:hAnsi="Times New Roman" w:cs="Times New Roman"/>
          <w:sz w:val="24"/>
          <w:szCs w:val="24"/>
          <w:lang w:val="sr-Cyrl-RS"/>
        </w:rPr>
        <w:t>ниједно слично испитивање није спроведено.</w:t>
      </w:r>
    </w:p>
    <w:p w14:paraId="32FA20B5" w14:textId="77777777" w:rsidR="00307346" w:rsidRPr="003E5020" w:rsidRDefault="00307346">
      <w:pPr>
        <w:ind w:left="1843"/>
        <w:jc w:val="both"/>
        <w:rPr>
          <w:rFonts w:ascii="Times New Roman" w:hAnsi="Times New Roman" w:cs="Times New Roman"/>
          <w:sz w:val="24"/>
          <w:szCs w:val="24"/>
          <w:lang w:val="sr-Cyrl-RS"/>
        </w:rPr>
      </w:pPr>
    </w:p>
    <w:p w14:paraId="45B8481E" w14:textId="1A6817F4" w:rsidR="009077C8" w:rsidRPr="003E5020" w:rsidRDefault="009077C8" w:rsidP="009077C8">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Мера ће бити спроведена у периоду </w:t>
      </w:r>
      <w:r w:rsidR="00E92CF5" w:rsidRPr="003E5020">
        <w:rPr>
          <w:rFonts w:ascii="Times New Roman" w:hAnsi="Times New Roman" w:cs="Times New Roman"/>
          <w:sz w:val="24"/>
          <w:szCs w:val="24"/>
          <w:lang w:val="sr-Cyrl-RS"/>
        </w:rPr>
        <w:t>до</w:t>
      </w:r>
      <w:r w:rsidR="00E92CF5" w:rsidRPr="003E5020" w:rsidDel="005D32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4. квартала 202</w:t>
      </w:r>
      <w:r w:rsidR="00D3443D" w:rsidRPr="003E5020">
        <w:rPr>
          <w:rFonts w:ascii="Times New Roman" w:hAnsi="Times New Roman" w:cs="Times New Roman"/>
          <w:sz w:val="24"/>
          <w:szCs w:val="24"/>
          <w:lang w:val="sr-Cyrl-RS"/>
        </w:rPr>
        <w:t>2</w:t>
      </w:r>
      <w:r w:rsidRPr="003E5020">
        <w:rPr>
          <w:rFonts w:ascii="Times New Roman" w:hAnsi="Times New Roman" w:cs="Times New Roman"/>
          <w:sz w:val="24"/>
          <w:szCs w:val="24"/>
          <w:lang w:val="sr-Cyrl-RS"/>
        </w:rPr>
        <w:t>. године.</w:t>
      </w:r>
    </w:p>
    <w:p w14:paraId="754968EB" w14:textId="77777777" w:rsidR="00307346" w:rsidRPr="003E5020" w:rsidRDefault="00307346">
      <w:pPr>
        <w:ind w:left="1985"/>
        <w:jc w:val="both"/>
        <w:rPr>
          <w:rFonts w:ascii="Times New Roman" w:hAnsi="Times New Roman" w:cs="Times New Roman"/>
          <w:sz w:val="24"/>
          <w:szCs w:val="24"/>
          <w:lang w:val="sr-Cyrl-RS"/>
        </w:rPr>
      </w:pPr>
    </w:p>
    <w:p w14:paraId="1C4AEA12" w14:textId="77777777" w:rsidR="00307346" w:rsidRPr="003E5020" w:rsidRDefault="00307346">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испитивања ће бити представљени у форми посебног извештаја који ће бити јавно објављен и доступан.</w:t>
      </w:r>
    </w:p>
    <w:p w14:paraId="01028132" w14:textId="77777777" w:rsidR="00307346" w:rsidRPr="003E5020" w:rsidRDefault="00307346">
      <w:pPr>
        <w:ind w:left="1985"/>
        <w:jc w:val="both"/>
        <w:rPr>
          <w:rFonts w:ascii="Times New Roman" w:hAnsi="Times New Roman" w:cs="Times New Roman"/>
          <w:sz w:val="24"/>
          <w:szCs w:val="24"/>
          <w:lang w:val="sr-Cyrl-RS"/>
        </w:rPr>
      </w:pPr>
    </w:p>
    <w:p w14:paraId="4FC74277" w14:textId="77777777" w:rsidR="00F2490D" w:rsidRPr="003E5020" w:rsidRDefault="00307346">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 xml:space="preserve">на спровођењу ове мере </w:t>
      </w:r>
      <w:r w:rsidRPr="003E5020">
        <w:rPr>
          <w:rFonts w:ascii="Times New Roman" w:hAnsi="Times New Roman" w:cs="Times New Roman"/>
          <w:sz w:val="24"/>
          <w:szCs w:val="24"/>
          <w:lang w:val="sr-Cyrl-RS"/>
        </w:rPr>
        <w:t>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52EA2747" w14:textId="446C96D4" w:rsidR="00307346" w:rsidRPr="003E5020" w:rsidRDefault="00307346" w:rsidP="00E07099">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5B1158DB" w14:textId="667B9C45" w:rsidR="00FA3FB4" w:rsidRDefault="00307346">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 Високи савет судства</w:t>
      </w:r>
      <w:r w:rsidR="0039116E" w:rsidRPr="003E5020">
        <w:rPr>
          <w:rFonts w:ascii="Times New Roman" w:hAnsi="Times New Roman" w:cs="Times New Roman"/>
          <w:sz w:val="24"/>
          <w:szCs w:val="24"/>
          <w:lang w:val="sr-Cyrl-RS"/>
        </w:rPr>
        <w:t xml:space="preserve">, </w:t>
      </w:r>
      <w:r w:rsidR="00E92CF5" w:rsidRPr="003E5020">
        <w:rPr>
          <w:rFonts w:ascii="Times New Roman" w:hAnsi="Times New Roman" w:cs="Times New Roman"/>
          <w:sz w:val="24"/>
          <w:szCs w:val="24"/>
          <w:lang w:val="sr-Cyrl-RS"/>
        </w:rPr>
        <w:t xml:space="preserve">Врховни касациони суд, </w:t>
      </w:r>
      <w:r w:rsidR="0039116E" w:rsidRPr="003E5020">
        <w:rPr>
          <w:rFonts w:ascii="Times New Roman" w:hAnsi="Times New Roman" w:cs="Times New Roman"/>
          <w:sz w:val="24"/>
          <w:szCs w:val="24"/>
          <w:lang w:val="sr-Cyrl-RS"/>
        </w:rPr>
        <w:t>Републичко јавно тужилаштво</w:t>
      </w:r>
      <w:r w:rsidRPr="003E5020">
        <w:rPr>
          <w:rFonts w:ascii="Times New Roman" w:hAnsi="Times New Roman" w:cs="Times New Roman"/>
          <w:sz w:val="24"/>
          <w:szCs w:val="24"/>
          <w:lang w:val="sr-Cyrl-RS"/>
        </w:rPr>
        <w:t xml:space="preserve"> и </w:t>
      </w:r>
      <w:r w:rsidR="007E4414" w:rsidRPr="003E5020">
        <w:rPr>
          <w:rFonts w:ascii="Times New Roman" w:hAnsi="Times New Roman" w:cs="Times New Roman"/>
          <w:sz w:val="24"/>
          <w:szCs w:val="24"/>
          <w:lang w:val="sr-Cyrl-RS"/>
        </w:rPr>
        <w:t>Државно веће тужилаца</w:t>
      </w:r>
      <w:r w:rsidRPr="003E5020">
        <w:rPr>
          <w:rFonts w:ascii="Times New Roman" w:hAnsi="Times New Roman" w:cs="Times New Roman"/>
          <w:sz w:val="24"/>
          <w:szCs w:val="24"/>
          <w:lang w:val="sr-Cyrl-RS"/>
        </w:rPr>
        <w:t>.</w:t>
      </w:r>
    </w:p>
    <w:p w14:paraId="2F26FC60" w14:textId="5C7EC73D" w:rsidR="00FA3FB4" w:rsidRDefault="00FA3FB4">
      <w:pPr>
        <w:ind w:left="1843"/>
        <w:jc w:val="both"/>
        <w:rPr>
          <w:rFonts w:ascii="Times New Roman" w:hAnsi="Times New Roman" w:cs="Times New Roman"/>
          <w:sz w:val="24"/>
          <w:szCs w:val="24"/>
          <w:lang w:val="sr-Cyrl-RS"/>
        </w:rPr>
      </w:pPr>
    </w:p>
    <w:p w14:paraId="06AE5597" w14:textId="646787C7" w:rsidR="00FA3FB4" w:rsidRDefault="00FA3FB4">
      <w:pPr>
        <w:ind w:left="1843"/>
        <w:jc w:val="both"/>
        <w:rPr>
          <w:rFonts w:ascii="Times New Roman" w:hAnsi="Times New Roman" w:cs="Times New Roman"/>
          <w:sz w:val="24"/>
          <w:szCs w:val="24"/>
          <w:lang w:val="sr-Cyrl-RS"/>
        </w:rPr>
      </w:pPr>
    </w:p>
    <w:p w14:paraId="72D0D074" w14:textId="73124181" w:rsidR="00FA3FB4" w:rsidRDefault="00FA3FB4">
      <w:pPr>
        <w:ind w:left="1843"/>
        <w:jc w:val="both"/>
        <w:rPr>
          <w:rFonts w:ascii="Times New Roman" w:hAnsi="Times New Roman" w:cs="Times New Roman"/>
          <w:sz w:val="24"/>
          <w:szCs w:val="24"/>
          <w:lang w:val="sr-Cyrl-RS"/>
        </w:rPr>
      </w:pPr>
    </w:p>
    <w:p w14:paraId="1E67E2B5" w14:textId="3B26C6ED" w:rsidR="00FA3FB4" w:rsidRDefault="00FA3FB4">
      <w:pPr>
        <w:ind w:left="1843"/>
        <w:jc w:val="both"/>
        <w:rPr>
          <w:rFonts w:ascii="Times New Roman" w:hAnsi="Times New Roman" w:cs="Times New Roman"/>
          <w:sz w:val="24"/>
          <w:szCs w:val="24"/>
          <w:lang w:val="sr-Cyrl-RS"/>
        </w:rPr>
      </w:pPr>
    </w:p>
    <w:p w14:paraId="6406F92C" w14:textId="2C6D2DE8" w:rsidR="00A9054B" w:rsidRPr="003E5020" w:rsidRDefault="00FA3FB4" w:rsidP="00FA3FB4">
      <w:pPr>
        <w:pStyle w:val="Heading4"/>
        <w:numPr>
          <w:ilvl w:val="0"/>
          <w:numId w:val="0"/>
        </w:numPr>
        <w:tabs>
          <w:tab w:val="left" w:pos="2552"/>
        </w:tabs>
        <w:spacing w:before="0"/>
        <w:ind w:left="1843" w:hanging="850"/>
        <w:rPr>
          <w:rFonts w:ascii="Times New Roman" w:hAnsi="Times New Roman" w:cs="Times New Roman"/>
          <w:i w:val="0"/>
          <w:iCs w:val="0"/>
          <w:color w:val="auto"/>
          <w:sz w:val="24"/>
          <w:szCs w:val="24"/>
          <w:lang w:val="sr-Cyrl-RS"/>
        </w:rPr>
      </w:pPr>
      <w:bookmarkStart w:id="145" w:name="_Toc84778673"/>
      <w:r>
        <w:rPr>
          <w:rFonts w:ascii="Times New Roman" w:hAnsi="Times New Roman" w:cs="Times New Roman"/>
          <w:i w:val="0"/>
          <w:iCs w:val="0"/>
          <w:color w:val="auto"/>
          <w:sz w:val="24"/>
          <w:szCs w:val="24"/>
          <w:lang w:val="sr-Cyrl-RS"/>
        </w:rPr>
        <w:t xml:space="preserve">6.3.3.2 </w:t>
      </w:r>
      <w:r>
        <w:rPr>
          <w:rFonts w:ascii="Times New Roman" w:hAnsi="Times New Roman" w:cs="Times New Roman"/>
          <w:i w:val="0"/>
          <w:iCs w:val="0"/>
          <w:color w:val="auto"/>
          <w:sz w:val="24"/>
          <w:szCs w:val="24"/>
          <w:lang w:val="sr-Cyrl-RS"/>
        </w:rPr>
        <w:tab/>
      </w:r>
      <w:r w:rsidR="00A72FD5" w:rsidRPr="003E5020">
        <w:rPr>
          <w:rFonts w:ascii="Times New Roman" w:hAnsi="Times New Roman" w:cs="Times New Roman"/>
          <w:i w:val="0"/>
          <w:iCs w:val="0"/>
          <w:color w:val="auto"/>
          <w:sz w:val="24"/>
          <w:szCs w:val="24"/>
          <w:lang w:val="sr-Cyrl-RS"/>
        </w:rPr>
        <w:t>Нормативно успостављање и примена стратешког планирања људских ресурса на средњорочном нивоу</w:t>
      </w:r>
      <w:bookmarkEnd w:id="145"/>
    </w:p>
    <w:p w14:paraId="0BCA0638" w14:textId="311A965B" w:rsidR="00A9054B" w:rsidRPr="003E5020" w:rsidRDefault="00A9054B">
      <w:pPr>
        <w:ind w:left="1843"/>
        <w:jc w:val="both"/>
        <w:rPr>
          <w:rFonts w:ascii="Times New Roman" w:hAnsi="Times New Roman" w:cs="Times New Roman"/>
          <w:sz w:val="24"/>
          <w:szCs w:val="24"/>
          <w:lang w:val="sr-Cyrl-RS"/>
        </w:rPr>
      </w:pPr>
    </w:p>
    <w:p w14:paraId="78E58CCD" w14:textId="3EBD9FC0" w:rsidR="00894116" w:rsidRPr="003E5020" w:rsidRDefault="00A9054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Тренутно не постоји слич</w:t>
      </w:r>
      <w:r w:rsidR="00A82E3E" w:rsidRPr="003E5020">
        <w:rPr>
          <w:rFonts w:ascii="Times New Roman" w:hAnsi="Times New Roman" w:cs="Times New Roman"/>
          <w:sz w:val="24"/>
          <w:szCs w:val="24"/>
          <w:lang w:val="sr-Cyrl-RS"/>
        </w:rPr>
        <w:t>а</w:t>
      </w:r>
      <w:r w:rsidRPr="003E5020">
        <w:rPr>
          <w:rFonts w:ascii="Times New Roman" w:hAnsi="Times New Roman" w:cs="Times New Roman"/>
          <w:sz w:val="24"/>
          <w:szCs w:val="24"/>
          <w:lang w:val="sr-Cyrl-RS"/>
        </w:rPr>
        <w:t>н</w:t>
      </w:r>
      <w:r w:rsidR="00A82E3E" w:rsidRPr="003E5020">
        <w:rPr>
          <w:rFonts w:ascii="Times New Roman" w:hAnsi="Times New Roman" w:cs="Times New Roman"/>
          <w:sz w:val="24"/>
          <w:szCs w:val="24"/>
          <w:lang w:val="sr-Cyrl-RS"/>
        </w:rPr>
        <w:t xml:space="preserve"> </w:t>
      </w:r>
      <w:r w:rsidR="0017453F" w:rsidRPr="003E5020">
        <w:rPr>
          <w:rFonts w:ascii="Times New Roman" w:hAnsi="Times New Roman" w:cs="Times New Roman"/>
          <w:sz w:val="24"/>
          <w:szCs w:val="24"/>
          <w:lang w:val="sr-Cyrl-RS"/>
        </w:rPr>
        <w:t>нормативни оквир</w:t>
      </w:r>
      <w:r w:rsidRPr="003E5020">
        <w:rPr>
          <w:rFonts w:ascii="Times New Roman" w:hAnsi="Times New Roman" w:cs="Times New Roman"/>
          <w:sz w:val="24"/>
          <w:szCs w:val="24"/>
          <w:lang w:val="sr-Cyrl-RS"/>
        </w:rPr>
        <w:t>.</w:t>
      </w:r>
    </w:p>
    <w:p w14:paraId="4E9F31CD" w14:textId="77777777" w:rsidR="00894116" w:rsidRPr="003E5020" w:rsidRDefault="00894116">
      <w:pPr>
        <w:ind w:left="1843"/>
        <w:jc w:val="both"/>
        <w:rPr>
          <w:rFonts w:ascii="Times New Roman" w:hAnsi="Times New Roman" w:cs="Times New Roman"/>
          <w:sz w:val="24"/>
          <w:szCs w:val="24"/>
          <w:lang w:val="sr-Cyrl-RS"/>
        </w:rPr>
      </w:pPr>
    </w:p>
    <w:p w14:paraId="16C55882" w14:textId="00A97771" w:rsidR="00A9054B" w:rsidRPr="003E5020" w:rsidRDefault="00894116" w:rsidP="00651E79">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Мера ће бити спроведена у периоду од</w:t>
      </w:r>
      <w:r w:rsidRPr="003E5020" w:rsidDel="005D3220">
        <w:rPr>
          <w:rFonts w:ascii="Times New Roman" w:hAnsi="Times New Roman" w:cs="Times New Roman"/>
          <w:sz w:val="24"/>
          <w:szCs w:val="24"/>
          <w:lang w:val="sr-Cyrl-RS"/>
        </w:rPr>
        <w:t xml:space="preserve"> </w:t>
      </w:r>
      <w:r w:rsidRPr="003E5020">
        <w:rPr>
          <w:rFonts w:ascii="Times New Roman" w:hAnsi="Times New Roman" w:cs="Times New Roman"/>
          <w:sz w:val="24"/>
          <w:szCs w:val="24"/>
          <w:lang w:val="sr-Cyrl-RS"/>
        </w:rPr>
        <w:t xml:space="preserve">2. </w:t>
      </w:r>
      <w:r w:rsidR="00096F5E" w:rsidRPr="003E5020">
        <w:rPr>
          <w:rFonts w:ascii="Times New Roman" w:hAnsi="Times New Roman" w:cs="Times New Roman"/>
          <w:sz w:val="24"/>
          <w:szCs w:val="24"/>
          <w:lang w:val="sr-Cyrl-RS"/>
        </w:rPr>
        <w:t xml:space="preserve">квартала </w:t>
      </w:r>
      <w:r w:rsidRPr="003E5020">
        <w:rPr>
          <w:rFonts w:ascii="Times New Roman" w:hAnsi="Times New Roman" w:cs="Times New Roman"/>
          <w:sz w:val="24"/>
          <w:szCs w:val="24"/>
          <w:lang w:val="sr-Cyrl-RS"/>
        </w:rPr>
        <w:t>202</w:t>
      </w:r>
      <w:r w:rsidR="00D3443D" w:rsidRPr="003E5020">
        <w:rPr>
          <w:rFonts w:ascii="Times New Roman" w:hAnsi="Times New Roman" w:cs="Times New Roman"/>
          <w:sz w:val="24"/>
          <w:szCs w:val="24"/>
          <w:lang w:val="sr-Cyrl-RS"/>
        </w:rPr>
        <w:t>3</w:t>
      </w:r>
      <w:r w:rsidRPr="003E5020">
        <w:rPr>
          <w:rFonts w:ascii="Times New Roman" w:hAnsi="Times New Roman" w:cs="Times New Roman"/>
          <w:sz w:val="24"/>
          <w:szCs w:val="24"/>
          <w:lang w:val="sr-Cyrl-RS"/>
        </w:rPr>
        <w:t>. године</w:t>
      </w:r>
      <w:r w:rsidR="00205F4A" w:rsidRPr="003E5020">
        <w:rPr>
          <w:rFonts w:ascii="Times New Roman" w:hAnsi="Times New Roman" w:cs="Times New Roman"/>
          <w:sz w:val="24"/>
          <w:szCs w:val="24"/>
          <w:lang w:val="sr-Cyrl-RS"/>
        </w:rPr>
        <w:t xml:space="preserve"> до 2. квартала 2024. године</w:t>
      </w:r>
      <w:r w:rsidRPr="003E5020">
        <w:rPr>
          <w:rFonts w:ascii="Times New Roman" w:hAnsi="Times New Roman" w:cs="Times New Roman"/>
          <w:sz w:val="24"/>
          <w:szCs w:val="24"/>
          <w:lang w:val="sr-Cyrl-RS"/>
        </w:rPr>
        <w:t>.</w:t>
      </w:r>
    </w:p>
    <w:p w14:paraId="44CD5F78" w14:textId="77777777" w:rsidR="00F73DE7" w:rsidRPr="003E5020" w:rsidRDefault="00F73DE7">
      <w:pPr>
        <w:ind w:left="1843"/>
        <w:jc w:val="both"/>
        <w:rPr>
          <w:rFonts w:ascii="Times New Roman" w:hAnsi="Times New Roman" w:cs="Times New Roman"/>
          <w:sz w:val="24"/>
          <w:szCs w:val="24"/>
          <w:lang w:val="sr-Cyrl-RS"/>
        </w:rPr>
      </w:pPr>
    </w:p>
    <w:p w14:paraId="2BE133AB" w14:textId="378357D5" w:rsidR="00A9054B" w:rsidRPr="003E5020" w:rsidRDefault="00A9054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Резултат спровођења ове мере ће бити </w:t>
      </w:r>
      <w:r w:rsidR="00213377" w:rsidRPr="003E5020">
        <w:rPr>
          <w:rFonts w:ascii="Times New Roman" w:hAnsi="Times New Roman" w:cs="Times New Roman"/>
          <w:sz w:val="24"/>
          <w:szCs w:val="24"/>
          <w:lang w:val="sr-Cyrl-RS"/>
        </w:rPr>
        <w:t>нормативни оквир који регулише</w:t>
      </w:r>
      <w:r w:rsidRPr="003E5020">
        <w:rPr>
          <w:rFonts w:ascii="Times New Roman" w:hAnsi="Times New Roman" w:cs="Times New Roman"/>
          <w:sz w:val="24"/>
          <w:szCs w:val="24"/>
          <w:lang w:val="sr-Cyrl-RS"/>
        </w:rPr>
        <w:t xml:space="preserve"> </w:t>
      </w:r>
      <w:r w:rsidR="003E4096" w:rsidRPr="003E5020">
        <w:rPr>
          <w:rFonts w:ascii="Times New Roman" w:hAnsi="Times New Roman" w:cs="Times New Roman"/>
          <w:sz w:val="24"/>
          <w:szCs w:val="24"/>
          <w:lang w:val="sr-Cyrl-RS"/>
        </w:rPr>
        <w:t xml:space="preserve">поступак </w:t>
      </w:r>
      <w:r w:rsidR="00436D97" w:rsidRPr="003E5020">
        <w:rPr>
          <w:rFonts w:ascii="Times New Roman" w:hAnsi="Times New Roman" w:cs="Times New Roman"/>
          <w:sz w:val="24"/>
          <w:szCs w:val="24"/>
          <w:lang w:val="sr-Cyrl-RS"/>
        </w:rPr>
        <w:t>стратешког планирања људских ресурса у правосуђу</w:t>
      </w:r>
      <w:r w:rsidR="00257243" w:rsidRPr="003E5020">
        <w:rPr>
          <w:rFonts w:ascii="Times New Roman" w:hAnsi="Times New Roman" w:cs="Times New Roman"/>
          <w:sz w:val="24"/>
          <w:szCs w:val="24"/>
          <w:lang w:val="sr-Cyrl-RS"/>
        </w:rPr>
        <w:t>, као и одговарајући кадровски план потреба правосуђа</w:t>
      </w:r>
      <w:r w:rsidRPr="003E5020">
        <w:rPr>
          <w:rFonts w:ascii="Times New Roman" w:hAnsi="Times New Roman" w:cs="Times New Roman"/>
          <w:sz w:val="24"/>
          <w:szCs w:val="24"/>
          <w:lang w:val="sr-Cyrl-RS"/>
        </w:rPr>
        <w:t>.</w:t>
      </w:r>
    </w:p>
    <w:p w14:paraId="7987E2B0" w14:textId="77777777" w:rsidR="00A9054B" w:rsidRPr="003E5020" w:rsidRDefault="00A9054B">
      <w:pPr>
        <w:ind w:left="1985"/>
        <w:jc w:val="both"/>
        <w:rPr>
          <w:rFonts w:ascii="Times New Roman" w:hAnsi="Times New Roman" w:cs="Times New Roman"/>
          <w:sz w:val="24"/>
          <w:szCs w:val="24"/>
          <w:lang w:val="sr-Cyrl-RS"/>
        </w:rPr>
      </w:pPr>
    </w:p>
    <w:p w14:paraId="3343CF20" w14:textId="77777777" w:rsidR="00F2490D" w:rsidRPr="003E5020" w:rsidRDefault="00A9054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 xml:space="preserve">на спровођењу ове мере </w:t>
      </w:r>
      <w:r w:rsidRPr="003E5020">
        <w:rPr>
          <w:rFonts w:ascii="Times New Roman" w:hAnsi="Times New Roman" w:cs="Times New Roman"/>
          <w:sz w:val="24"/>
          <w:szCs w:val="24"/>
          <w:lang w:val="sr-Cyrl-RS"/>
        </w:rPr>
        <w:t>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6D106349" w14:textId="5A2F06A9" w:rsidR="00A9054B" w:rsidRPr="003E5020" w:rsidRDefault="00A9054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28BDD059" w14:textId="77777777" w:rsidR="00A9054B" w:rsidRPr="003E5020" w:rsidRDefault="00A9054B">
      <w:pPr>
        <w:ind w:left="1985"/>
        <w:jc w:val="both"/>
        <w:rPr>
          <w:rFonts w:ascii="Times New Roman" w:hAnsi="Times New Roman" w:cs="Times New Roman"/>
          <w:sz w:val="24"/>
          <w:szCs w:val="24"/>
          <w:lang w:val="sr-Cyrl-RS"/>
        </w:rPr>
      </w:pPr>
    </w:p>
    <w:p w14:paraId="14EE9E4E" w14:textId="266BA38A" w:rsidR="00A9054B" w:rsidRPr="003E5020" w:rsidRDefault="00A9054B">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 Високи савет судства</w:t>
      </w:r>
      <w:r w:rsidR="0039116E" w:rsidRPr="003E5020">
        <w:rPr>
          <w:rFonts w:ascii="Times New Roman" w:hAnsi="Times New Roman" w:cs="Times New Roman"/>
          <w:sz w:val="24"/>
          <w:szCs w:val="24"/>
          <w:lang w:val="sr-Cyrl-RS"/>
        </w:rPr>
        <w:t>,</w:t>
      </w:r>
      <w:r w:rsidR="00E40967" w:rsidRPr="003E5020">
        <w:rPr>
          <w:rFonts w:ascii="Times New Roman" w:hAnsi="Times New Roman" w:cs="Times New Roman"/>
          <w:sz w:val="24"/>
          <w:szCs w:val="24"/>
          <w:lang w:val="sr-Cyrl-RS"/>
        </w:rPr>
        <w:t xml:space="preserve"> Врховни касациони суд,</w:t>
      </w:r>
      <w:r w:rsidR="0039116E" w:rsidRPr="003E5020">
        <w:rPr>
          <w:rFonts w:ascii="Times New Roman" w:hAnsi="Times New Roman" w:cs="Times New Roman"/>
          <w:sz w:val="24"/>
          <w:szCs w:val="24"/>
          <w:lang w:val="sr-Cyrl-RS"/>
        </w:rPr>
        <w:t xml:space="preserve"> Републичко јавно тужилаштво</w:t>
      </w:r>
      <w:r w:rsidR="00E40967"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7E4414" w:rsidRPr="003E5020">
        <w:rPr>
          <w:rFonts w:ascii="Times New Roman" w:hAnsi="Times New Roman" w:cs="Times New Roman"/>
          <w:sz w:val="24"/>
          <w:szCs w:val="24"/>
          <w:lang w:val="sr-Cyrl-RS"/>
        </w:rPr>
        <w:t>Државно веће тужилаца</w:t>
      </w:r>
      <w:r w:rsidR="00E40967" w:rsidRPr="003E5020">
        <w:rPr>
          <w:rFonts w:ascii="Times New Roman" w:hAnsi="Times New Roman" w:cs="Times New Roman"/>
          <w:sz w:val="24"/>
          <w:szCs w:val="24"/>
          <w:lang w:val="sr-Cyrl-RS"/>
        </w:rPr>
        <w:t xml:space="preserve"> и Министарство финансија</w:t>
      </w:r>
      <w:r w:rsidRPr="003E5020">
        <w:rPr>
          <w:rFonts w:ascii="Times New Roman" w:hAnsi="Times New Roman" w:cs="Times New Roman"/>
          <w:sz w:val="24"/>
          <w:szCs w:val="24"/>
          <w:lang w:val="sr-Cyrl-RS"/>
        </w:rPr>
        <w:t>.</w:t>
      </w:r>
    </w:p>
    <w:p w14:paraId="7F1344AF" w14:textId="22AA23D4" w:rsidR="00307346" w:rsidRPr="003E5020" w:rsidRDefault="00307346">
      <w:pPr>
        <w:jc w:val="both"/>
        <w:rPr>
          <w:rFonts w:ascii="Times New Roman" w:hAnsi="Times New Roman" w:cs="Times New Roman"/>
          <w:b/>
          <w:sz w:val="24"/>
          <w:szCs w:val="24"/>
          <w:lang w:val="sr-Cyrl-RS"/>
        </w:rPr>
      </w:pPr>
    </w:p>
    <w:p w14:paraId="31DE5E50" w14:textId="59641A1B" w:rsidR="00E3086F" w:rsidRPr="003E5020" w:rsidRDefault="00FA3FB4" w:rsidP="00FA3FB4">
      <w:pPr>
        <w:pStyle w:val="Heading4"/>
        <w:numPr>
          <w:ilvl w:val="0"/>
          <w:numId w:val="0"/>
        </w:numPr>
        <w:tabs>
          <w:tab w:val="left" w:pos="2835"/>
        </w:tabs>
        <w:spacing w:before="0"/>
        <w:ind w:left="1843" w:hanging="850"/>
        <w:rPr>
          <w:rFonts w:ascii="Times New Roman" w:hAnsi="Times New Roman" w:cs="Times New Roman"/>
          <w:i w:val="0"/>
          <w:iCs w:val="0"/>
          <w:color w:val="auto"/>
          <w:sz w:val="24"/>
          <w:szCs w:val="24"/>
          <w:lang w:val="sr-Cyrl-RS"/>
        </w:rPr>
      </w:pPr>
      <w:bookmarkStart w:id="146" w:name="_Toc84778674"/>
      <w:r>
        <w:rPr>
          <w:rFonts w:ascii="Times New Roman" w:hAnsi="Times New Roman" w:cs="Times New Roman"/>
          <w:i w:val="0"/>
          <w:iCs w:val="0"/>
          <w:color w:val="auto"/>
          <w:sz w:val="24"/>
          <w:szCs w:val="24"/>
          <w:lang w:val="sr-Cyrl-RS"/>
        </w:rPr>
        <w:t xml:space="preserve">6.3.3.3 </w:t>
      </w:r>
      <w:r>
        <w:rPr>
          <w:rFonts w:ascii="Times New Roman" w:hAnsi="Times New Roman" w:cs="Times New Roman"/>
          <w:i w:val="0"/>
          <w:iCs w:val="0"/>
          <w:color w:val="auto"/>
          <w:sz w:val="24"/>
          <w:szCs w:val="24"/>
          <w:lang w:val="sr-Cyrl-RS"/>
        </w:rPr>
        <w:tab/>
      </w:r>
      <w:r w:rsidR="00F73DE7" w:rsidRPr="003E5020">
        <w:rPr>
          <w:rFonts w:ascii="Times New Roman" w:hAnsi="Times New Roman" w:cs="Times New Roman"/>
          <w:i w:val="0"/>
          <w:iCs w:val="0"/>
          <w:color w:val="auto"/>
          <w:sz w:val="24"/>
          <w:szCs w:val="24"/>
          <w:lang w:val="sr-Cyrl-RS"/>
        </w:rPr>
        <w:t>Спровести анализу ефеката примене новог поступка стратешког планирања људских ресурса у правосуђу у односу на постојећи правни оквир и резултате рада правосуђа</w:t>
      </w:r>
      <w:bookmarkEnd w:id="146"/>
    </w:p>
    <w:p w14:paraId="3AD4E620" w14:textId="77777777" w:rsidR="00E3086F" w:rsidRPr="003E5020" w:rsidRDefault="00E3086F">
      <w:pPr>
        <w:rPr>
          <w:rFonts w:ascii="Times New Roman" w:hAnsi="Times New Roman" w:cs="Times New Roman"/>
          <w:sz w:val="24"/>
          <w:szCs w:val="24"/>
          <w:lang w:val="sr-Cyrl-RS"/>
        </w:rPr>
      </w:pPr>
    </w:p>
    <w:p w14:paraId="148D22E8" w14:textId="77777777" w:rsidR="00E3086F" w:rsidRPr="003E5020" w:rsidRDefault="00E3086F">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Предметна анализа ефеката до сада није рађена.</w:t>
      </w:r>
    </w:p>
    <w:p w14:paraId="0580EA7D" w14:textId="77777777" w:rsidR="00E3086F" w:rsidRPr="003E5020" w:rsidRDefault="00E3086F">
      <w:pPr>
        <w:ind w:left="1843"/>
        <w:jc w:val="both"/>
        <w:rPr>
          <w:rFonts w:ascii="Times New Roman" w:hAnsi="Times New Roman" w:cs="Times New Roman"/>
          <w:sz w:val="24"/>
          <w:szCs w:val="24"/>
          <w:lang w:val="sr-Cyrl-RS"/>
        </w:rPr>
      </w:pPr>
    </w:p>
    <w:p w14:paraId="77F2DF61" w14:textId="2C6A08FB" w:rsidR="00356625" w:rsidRPr="003E5020" w:rsidRDefault="00356625" w:rsidP="00760A7E">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Мера ће бити спроведена у периоду од</w:t>
      </w:r>
      <w:r w:rsidRPr="003E5020" w:rsidDel="005D3220">
        <w:rPr>
          <w:rFonts w:ascii="Times New Roman" w:hAnsi="Times New Roman" w:cs="Times New Roman"/>
          <w:sz w:val="24"/>
          <w:szCs w:val="24"/>
          <w:lang w:val="sr-Cyrl-RS"/>
        </w:rPr>
        <w:t xml:space="preserve"> </w:t>
      </w:r>
      <w:r w:rsidR="00B61A83" w:rsidRPr="003E5020">
        <w:rPr>
          <w:rFonts w:ascii="Times New Roman" w:hAnsi="Times New Roman" w:cs="Times New Roman"/>
          <w:sz w:val="24"/>
          <w:szCs w:val="24"/>
          <w:lang w:val="sr-Cyrl-RS"/>
        </w:rPr>
        <w:t>1</w:t>
      </w:r>
      <w:r w:rsidRPr="003E5020">
        <w:rPr>
          <w:rFonts w:ascii="Times New Roman" w:hAnsi="Times New Roman" w:cs="Times New Roman"/>
          <w:sz w:val="24"/>
          <w:szCs w:val="24"/>
          <w:lang w:val="sr-Cyrl-RS"/>
        </w:rPr>
        <w:t>. квартала 202</w:t>
      </w:r>
      <w:r w:rsidR="00F73DE7" w:rsidRPr="003E5020">
        <w:rPr>
          <w:rFonts w:ascii="Times New Roman" w:hAnsi="Times New Roman" w:cs="Times New Roman"/>
          <w:sz w:val="24"/>
          <w:szCs w:val="24"/>
          <w:lang w:val="sr-Cyrl-RS"/>
        </w:rPr>
        <w:t>5</w:t>
      </w:r>
      <w:r w:rsidRPr="003E5020">
        <w:rPr>
          <w:rFonts w:ascii="Times New Roman" w:hAnsi="Times New Roman" w:cs="Times New Roman"/>
          <w:sz w:val="24"/>
          <w:szCs w:val="24"/>
          <w:lang w:val="sr-Cyrl-RS"/>
        </w:rPr>
        <w:t xml:space="preserve">. до краја </w:t>
      </w:r>
      <w:r w:rsidR="00316967" w:rsidRPr="003E5020">
        <w:rPr>
          <w:rFonts w:ascii="Times New Roman" w:hAnsi="Times New Roman" w:cs="Times New Roman"/>
          <w:sz w:val="24"/>
          <w:szCs w:val="24"/>
          <w:lang w:val="sr-Cyrl-RS"/>
        </w:rPr>
        <w:t>1</w:t>
      </w:r>
      <w:r w:rsidRPr="003E5020">
        <w:rPr>
          <w:rFonts w:ascii="Times New Roman" w:hAnsi="Times New Roman" w:cs="Times New Roman"/>
          <w:sz w:val="24"/>
          <w:szCs w:val="24"/>
          <w:lang w:val="sr-Cyrl-RS"/>
        </w:rPr>
        <w:t>. квартала 202</w:t>
      </w:r>
      <w:r w:rsidR="00B61A83" w:rsidRPr="003E5020">
        <w:rPr>
          <w:rFonts w:ascii="Times New Roman" w:hAnsi="Times New Roman" w:cs="Times New Roman"/>
          <w:sz w:val="24"/>
          <w:szCs w:val="24"/>
          <w:lang w:val="sr-Cyrl-RS"/>
        </w:rPr>
        <w:t>6</w:t>
      </w:r>
      <w:r w:rsidRPr="003E5020">
        <w:rPr>
          <w:rFonts w:ascii="Times New Roman" w:hAnsi="Times New Roman" w:cs="Times New Roman"/>
          <w:sz w:val="24"/>
          <w:szCs w:val="24"/>
          <w:lang w:val="sr-Cyrl-RS"/>
        </w:rPr>
        <w:t>. године.</w:t>
      </w:r>
      <w:r w:rsidRPr="003E5020" w:rsidDel="00356625">
        <w:rPr>
          <w:rFonts w:ascii="Times New Roman" w:hAnsi="Times New Roman" w:cs="Times New Roman"/>
          <w:sz w:val="24"/>
          <w:szCs w:val="24"/>
          <w:lang w:val="sr-Cyrl-RS"/>
        </w:rPr>
        <w:t xml:space="preserve"> </w:t>
      </w:r>
    </w:p>
    <w:p w14:paraId="3357F81D" w14:textId="77777777" w:rsidR="00E3086F" w:rsidRPr="003E5020" w:rsidRDefault="00E3086F">
      <w:pPr>
        <w:ind w:left="1843"/>
        <w:jc w:val="both"/>
        <w:rPr>
          <w:rFonts w:ascii="Times New Roman" w:hAnsi="Times New Roman" w:cs="Times New Roman"/>
          <w:sz w:val="24"/>
          <w:szCs w:val="24"/>
          <w:lang w:val="sr-Cyrl-RS"/>
        </w:rPr>
      </w:pPr>
    </w:p>
    <w:p w14:paraId="50D6474D" w14:textId="77777777" w:rsidR="00E3086F" w:rsidRPr="003E5020" w:rsidRDefault="00E3086F">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Резултати анализе ће бити представљени у форми извештаја о спроведеној анализи ефеката, који ће бити објављен и јавно доступан.</w:t>
      </w:r>
    </w:p>
    <w:p w14:paraId="477A3BD9" w14:textId="77777777" w:rsidR="00E3086F" w:rsidRPr="003E5020" w:rsidRDefault="00E3086F">
      <w:pPr>
        <w:ind w:left="2268"/>
        <w:jc w:val="both"/>
        <w:rPr>
          <w:rFonts w:ascii="Times New Roman" w:hAnsi="Times New Roman" w:cs="Times New Roman"/>
          <w:sz w:val="24"/>
          <w:szCs w:val="24"/>
          <w:lang w:val="sr-Cyrl-RS"/>
        </w:rPr>
      </w:pPr>
    </w:p>
    <w:p w14:paraId="1EC55DF2" w14:textId="77777777" w:rsidR="00F2490D" w:rsidRPr="003E5020" w:rsidRDefault="00E3086F" w:rsidP="00F2490D">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Финансирање рада </w:t>
      </w:r>
      <w:r w:rsidR="00E63E66" w:rsidRPr="003E5020">
        <w:rPr>
          <w:rFonts w:ascii="Times New Roman" w:hAnsi="Times New Roman" w:cs="Times New Roman"/>
          <w:sz w:val="24"/>
          <w:szCs w:val="24"/>
          <w:lang w:val="sr-Cyrl-RS"/>
        </w:rPr>
        <w:t xml:space="preserve">на спровођењу ове мере </w:t>
      </w:r>
      <w:r w:rsidRPr="003E5020">
        <w:rPr>
          <w:rFonts w:ascii="Times New Roman" w:hAnsi="Times New Roman" w:cs="Times New Roman"/>
          <w:sz w:val="24"/>
          <w:szCs w:val="24"/>
          <w:lang w:val="sr-Cyrl-RS"/>
        </w:rPr>
        <w:t>ће бити обезбеђено делом из буџета Републике Србије, а делом из пројеката и програма финансираних из средстава развојне помоћи (укључујући потенцијално и средства прет-приступних фондова Европске уније)</w:t>
      </w:r>
      <w:r w:rsidR="00F2490D" w:rsidRPr="003E5020">
        <w:rPr>
          <w:rFonts w:ascii="Times New Roman" w:hAnsi="Times New Roman" w:cs="Times New Roman"/>
          <w:sz w:val="24"/>
          <w:szCs w:val="24"/>
          <w:lang w:val="sr-Cyrl-RS"/>
        </w:rPr>
        <w:t>, што је садржано у посебном акционом плану за спровођење ове стратегије, који је саставни део Стратегије и  приложен  је у форми одвојеног документа (тачка 11.).</w:t>
      </w:r>
    </w:p>
    <w:p w14:paraId="2DC2F521" w14:textId="22575598" w:rsidR="00E75313" w:rsidRPr="003E5020" w:rsidRDefault="00E3086F">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 </w:t>
      </w:r>
    </w:p>
    <w:p w14:paraId="437128F2" w14:textId="7AE74325" w:rsidR="00E3086F" w:rsidRPr="003E5020" w:rsidRDefault="00E3086F">
      <w:pPr>
        <w:ind w:left="1843"/>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Институције надлежне за надзор и спровођење ове мере су, како следи: Министарство правде, које има и функцију координатора за реализацију мере, Високи савет судства</w:t>
      </w:r>
      <w:r w:rsidR="0039116E" w:rsidRPr="003E5020">
        <w:rPr>
          <w:rFonts w:ascii="Times New Roman" w:hAnsi="Times New Roman" w:cs="Times New Roman"/>
          <w:sz w:val="24"/>
          <w:szCs w:val="24"/>
          <w:lang w:val="sr-Cyrl-RS"/>
        </w:rPr>
        <w:t xml:space="preserve">, </w:t>
      </w:r>
      <w:r w:rsidR="00952829" w:rsidRPr="003E5020">
        <w:rPr>
          <w:rFonts w:ascii="Times New Roman" w:hAnsi="Times New Roman" w:cs="Times New Roman"/>
          <w:sz w:val="24"/>
          <w:szCs w:val="24"/>
          <w:lang w:val="sr-Cyrl-RS"/>
        </w:rPr>
        <w:t xml:space="preserve">Врховни касациони суд, </w:t>
      </w:r>
      <w:r w:rsidR="0039116E" w:rsidRPr="003E5020">
        <w:rPr>
          <w:rFonts w:ascii="Times New Roman" w:hAnsi="Times New Roman" w:cs="Times New Roman"/>
          <w:sz w:val="24"/>
          <w:szCs w:val="24"/>
          <w:lang w:val="sr-Cyrl-RS"/>
        </w:rPr>
        <w:t>Републичко јавно тужилаштво</w:t>
      </w:r>
      <w:r w:rsidR="00952829"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w:t>
      </w:r>
      <w:r w:rsidR="007E4414" w:rsidRPr="003E5020">
        <w:rPr>
          <w:rFonts w:ascii="Times New Roman" w:hAnsi="Times New Roman" w:cs="Times New Roman"/>
          <w:sz w:val="24"/>
          <w:szCs w:val="24"/>
          <w:lang w:val="sr-Cyrl-RS"/>
        </w:rPr>
        <w:t>Државно веће тужилаца</w:t>
      </w:r>
      <w:r w:rsidR="00952829" w:rsidRPr="003E5020">
        <w:rPr>
          <w:rFonts w:ascii="Times New Roman" w:hAnsi="Times New Roman" w:cs="Times New Roman"/>
          <w:sz w:val="24"/>
          <w:szCs w:val="24"/>
          <w:lang w:val="sr-Cyrl-RS"/>
        </w:rPr>
        <w:t xml:space="preserve"> и Министарство финансија</w:t>
      </w:r>
      <w:r w:rsidRPr="003E5020">
        <w:rPr>
          <w:rFonts w:ascii="Times New Roman" w:hAnsi="Times New Roman" w:cs="Times New Roman"/>
          <w:sz w:val="24"/>
          <w:szCs w:val="24"/>
          <w:lang w:val="sr-Cyrl-RS"/>
        </w:rPr>
        <w:t>.</w:t>
      </w:r>
    </w:p>
    <w:p w14:paraId="459F52E0" w14:textId="77777777" w:rsidR="00566917" w:rsidRPr="003E5020" w:rsidRDefault="00566917" w:rsidP="001F0B5B">
      <w:pPr>
        <w:jc w:val="both"/>
        <w:rPr>
          <w:rFonts w:ascii="Times New Roman" w:hAnsi="Times New Roman" w:cs="Times New Roman"/>
          <w:b/>
          <w:sz w:val="24"/>
          <w:szCs w:val="24"/>
          <w:lang w:val="sr-Cyrl-RS"/>
        </w:rPr>
      </w:pPr>
    </w:p>
    <w:p w14:paraId="64EBAC61" w14:textId="77777777" w:rsidR="00D01A14" w:rsidRPr="003E5020" w:rsidRDefault="00D01A14">
      <w:pPr>
        <w:jc w:val="both"/>
        <w:rPr>
          <w:rFonts w:ascii="Times New Roman" w:hAnsi="Times New Roman" w:cs="Times New Roman"/>
          <w:sz w:val="24"/>
          <w:szCs w:val="24"/>
          <w:lang w:val="sr-Cyrl-RS"/>
        </w:rPr>
      </w:pPr>
      <w:bookmarkStart w:id="147" w:name="_Циљ_4._–"/>
      <w:bookmarkStart w:id="148" w:name="_Циљ_5._–"/>
      <w:bookmarkStart w:id="149" w:name="_Hlk29571065"/>
      <w:bookmarkEnd w:id="147"/>
      <w:bookmarkEnd w:id="148"/>
    </w:p>
    <w:p w14:paraId="42AE165D" w14:textId="053D6B06" w:rsidR="00580E9E" w:rsidRPr="003E5020" w:rsidRDefault="00074DD3" w:rsidP="005A323E">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50" w:name="_Toc84778683"/>
      <w:bookmarkEnd w:id="149"/>
      <w:r w:rsidRPr="003E5020">
        <w:rPr>
          <w:rFonts w:ascii="Times New Roman" w:hAnsi="Times New Roman" w:cs="Times New Roman"/>
          <w:color w:val="auto"/>
          <w:sz w:val="24"/>
          <w:szCs w:val="24"/>
          <w:lang w:val="sr-Cyrl-RS"/>
        </w:rPr>
        <w:t>И</w:t>
      </w:r>
      <w:r w:rsidR="00580E9E" w:rsidRPr="003E5020">
        <w:rPr>
          <w:rFonts w:ascii="Times New Roman" w:hAnsi="Times New Roman" w:cs="Times New Roman"/>
          <w:color w:val="auto"/>
          <w:sz w:val="24"/>
          <w:szCs w:val="24"/>
          <w:lang w:val="sr-Cyrl-RS"/>
        </w:rPr>
        <w:t>ЗВЕШТАВАЊЕ О РЕЗУЛТАТИМА</w:t>
      </w:r>
      <w:bookmarkEnd w:id="150"/>
    </w:p>
    <w:p w14:paraId="0F29D919" w14:textId="77777777" w:rsidR="00183B55" w:rsidRPr="003E5020" w:rsidRDefault="00580E9E">
      <w:pPr>
        <w:jc w:val="both"/>
        <w:rPr>
          <w:rFonts w:ascii="Times New Roman" w:hAnsi="Times New Roman" w:cs="Times New Roman"/>
          <w:sz w:val="24"/>
          <w:szCs w:val="24"/>
          <w:lang w:val="sr-Latn-RS"/>
        </w:rPr>
      </w:pPr>
      <w:r w:rsidRPr="003E5020">
        <w:rPr>
          <w:rFonts w:ascii="Times New Roman" w:hAnsi="Times New Roman" w:cs="Times New Roman"/>
          <w:sz w:val="24"/>
          <w:szCs w:val="24"/>
          <w:lang w:val="sr-Cyrl-RS"/>
        </w:rPr>
        <w:t> </w:t>
      </w:r>
    </w:p>
    <w:p w14:paraId="114EE912" w14:textId="74AFA6E6" w:rsidR="00BC2C32" w:rsidRPr="003E5020" w:rsidRDefault="00BC2C3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Радна група је задужена за праћење реализације Стратегије и извештавање </w:t>
      </w:r>
      <w:r w:rsidR="00B854D4" w:rsidRPr="003E5020">
        <w:rPr>
          <w:rFonts w:ascii="Times New Roman" w:hAnsi="Times New Roman" w:cs="Times New Roman"/>
          <w:sz w:val="24"/>
          <w:szCs w:val="24"/>
          <w:lang w:val="sr-Cyrl-RS"/>
        </w:rPr>
        <w:t>Министарства правде, као и</w:t>
      </w:r>
      <w:r w:rsidRPr="003E5020">
        <w:rPr>
          <w:rFonts w:ascii="Times New Roman" w:hAnsi="Times New Roman" w:cs="Times New Roman"/>
          <w:sz w:val="24"/>
          <w:szCs w:val="24"/>
          <w:lang w:val="sr-Cyrl-RS"/>
        </w:rPr>
        <w:t xml:space="preserve"> Високог савета судства</w:t>
      </w:r>
      <w:r w:rsidR="00CC3984" w:rsidRPr="003E5020">
        <w:rPr>
          <w:rFonts w:ascii="Times New Roman" w:hAnsi="Times New Roman" w:cs="Times New Roman"/>
          <w:sz w:val="24"/>
          <w:szCs w:val="24"/>
          <w:lang w:val="sr-Cyrl-RS"/>
        </w:rPr>
        <w:t>, Републичког јавног тужилаштва</w:t>
      </w:r>
      <w:r w:rsidRPr="003E5020">
        <w:rPr>
          <w:rFonts w:ascii="Times New Roman" w:hAnsi="Times New Roman" w:cs="Times New Roman"/>
          <w:sz w:val="24"/>
          <w:szCs w:val="24"/>
          <w:lang w:val="sr-Cyrl-RS"/>
        </w:rPr>
        <w:t xml:space="preserve"> и Државног већа </w:t>
      </w:r>
      <w:r w:rsidR="00CC3984" w:rsidRPr="003E5020">
        <w:rPr>
          <w:rFonts w:ascii="Times New Roman" w:hAnsi="Times New Roman" w:cs="Times New Roman"/>
          <w:sz w:val="24"/>
          <w:szCs w:val="24"/>
          <w:lang w:val="sr-Cyrl-RS"/>
        </w:rPr>
        <w:t>тужилаца</w:t>
      </w:r>
      <w:r w:rsidRPr="003E5020">
        <w:rPr>
          <w:rFonts w:ascii="Times New Roman" w:hAnsi="Times New Roman" w:cs="Times New Roman"/>
          <w:sz w:val="24"/>
          <w:szCs w:val="24"/>
          <w:lang w:val="sr-Cyrl-RS"/>
        </w:rPr>
        <w:t xml:space="preserve">. </w:t>
      </w:r>
      <w:r w:rsidR="00B854D4" w:rsidRPr="003E5020">
        <w:rPr>
          <w:rFonts w:ascii="Times New Roman" w:hAnsi="Times New Roman" w:cs="Times New Roman"/>
          <w:sz w:val="24"/>
          <w:szCs w:val="24"/>
          <w:lang w:val="sr-Cyrl-RS"/>
        </w:rPr>
        <w:t>Извештавање о реализацији Стратегије и оствареним резултатима од стране Радне групе ће се вршити на</w:t>
      </w:r>
      <w:r w:rsidRPr="003E5020">
        <w:rPr>
          <w:rFonts w:ascii="Times New Roman" w:hAnsi="Times New Roman" w:cs="Times New Roman"/>
          <w:sz w:val="24"/>
          <w:szCs w:val="24"/>
          <w:lang w:val="sr-Cyrl-RS"/>
        </w:rPr>
        <w:t xml:space="preserve"> шестомесечном нивоу, </w:t>
      </w:r>
      <w:r w:rsidR="00B854D4" w:rsidRPr="003E5020">
        <w:rPr>
          <w:rFonts w:ascii="Times New Roman" w:hAnsi="Times New Roman" w:cs="Times New Roman"/>
          <w:sz w:val="24"/>
          <w:szCs w:val="24"/>
          <w:lang w:val="sr-Cyrl-RS"/>
        </w:rPr>
        <w:t xml:space="preserve">док ће Министарство правде </w:t>
      </w:r>
      <w:r w:rsidRPr="003E5020">
        <w:rPr>
          <w:rFonts w:ascii="Times New Roman" w:hAnsi="Times New Roman" w:cs="Times New Roman"/>
          <w:sz w:val="24"/>
          <w:szCs w:val="24"/>
          <w:lang w:val="sr-Cyrl-RS"/>
        </w:rPr>
        <w:t>једном годишње извештавати Владу Републике Србије о статусу реализације</w:t>
      </w:r>
      <w:r w:rsidR="00B854D4" w:rsidRPr="003E5020">
        <w:rPr>
          <w:rFonts w:ascii="Times New Roman" w:hAnsi="Times New Roman" w:cs="Times New Roman"/>
          <w:sz w:val="24"/>
          <w:szCs w:val="24"/>
          <w:lang w:val="sr-Cyrl-RS"/>
        </w:rPr>
        <w:t xml:space="preserve"> Стратегије</w:t>
      </w:r>
      <w:r w:rsidRPr="003E5020">
        <w:rPr>
          <w:rFonts w:ascii="Times New Roman" w:hAnsi="Times New Roman" w:cs="Times New Roman"/>
          <w:sz w:val="24"/>
          <w:szCs w:val="24"/>
          <w:lang w:val="sr-Cyrl-RS"/>
        </w:rPr>
        <w:t xml:space="preserve">, као и о потенцијалним приликама или ризицима за </w:t>
      </w:r>
      <w:r w:rsidR="00B854D4" w:rsidRPr="003E5020">
        <w:rPr>
          <w:rFonts w:ascii="Times New Roman" w:hAnsi="Times New Roman" w:cs="Times New Roman"/>
          <w:sz w:val="24"/>
          <w:szCs w:val="24"/>
          <w:lang w:val="sr-Cyrl-RS"/>
        </w:rPr>
        <w:t xml:space="preserve">њено </w:t>
      </w:r>
      <w:r w:rsidRPr="003E5020">
        <w:rPr>
          <w:rFonts w:ascii="Times New Roman" w:hAnsi="Times New Roman" w:cs="Times New Roman"/>
          <w:sz w:val="24"/>
          <w:szCs w:val="24"/>
          <w:lang w:val="sr-Cyrl-RS"/>
        </w:rPr>
        <w:t xml:space="preserve">спровођење. </w:t>
      </w:r>
    </w:p>
    <w:p w14:paraId="55575D73" w14:textId="77777777" w:rsidR="00BC2C32" w:rsidRPr="003E5020" w:rsidRDefault="00BC2C32">
      <w:pPr>
        <w:ind w:left="851"/>
        <w:jc w:val="both"/>
        <w:rPr>
          <w:rFonts w:ascii="Times New Roman" w:hAnsi="Times New Roman" w:cs="Times New Roman"/>
          <w:sz w:val="24"/>
          <w:szCs w:val="24"/>
          <w:lang w:val="sr-Cyrl-RS"/>
        </w:rPr>
      </w:pPr>
    </w:p>
    <w:p w14:paraId="013850C7" w14:textId="1006389B" w:rsidR="00E07099" w:rsidRPr="003E5020" w:rsidRDefault="00B854D4" w:rsidP="008D6A3A">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Путем Јединственог и</w:t>
      </w:r>
      <w:r w:rsidR="00BC2C32" w:rsidRPr="003E5020">
        <w:rPr>
          <w:rFonts w:ascii="Times New Roman" w:hAnsi="Times New Roman" w:cs="Times New Roman"/>
          <w:sz w:val="24"/>
          <w:szCs w:val="24"/>
          <w:lang w:val="sr-Cyrl-RS"/>
        </w:rPr>
        <w:t xml:space="preserve">нформационог система за планирање, праћење спровођења, координацију јавних политика и извештавање, </w:t>
      </w:r>
      <w:r w:rsidR="008B3C33" w:rsidRPr="003E5020">
        <w:rPr>
          <w:rFonts w:ascii="Times New Roman" w:hAnsi="Times New Roman" w:cs="Times New Roman"/>
          <w:sz w:val="24"/>
          <w:szCs w:val="24"/>
          <w:lang w:val="sr-Cyrl-RS"/>
        </w:rPr>
        <w:t xml:space="preserve">из члана 47 Закона о планском систему, </w:t>
      </w:r>
      <w:r w:rsidR="00BC2C32" w:rsidRPr="003E5020">
        <w:rPr>
          <w:rFonts w:ascii="Times New Roman" w:hAnsi="Times New Roman" w:cs="Times New Roman"/>
          <w:sz w:val="24"/>
          <w:szCs w:val="24"/>
          <w:lang w:val="sr-Cyrl-RS"/>
        </w:rPr>
        <w:t xml:space="preserve">Министарство </w:t>
      </w:r>
      <w:r w:rsidR="008B3C33" w:rsidRPr="003E5020">
        <w:rPr>
          <w:rFonts w:ascii="Times New Roman" w:hAnsi="Times New Roman" w:cs="Times New Roman"/>
          <w:sz w:val="24"/>
          <w:szCs w:val="24"/>
          <w:lang w:val="sr-Cyrl-RS"/>
        </w:rPr>
        <w:t xml:space="preserve">правде </w:t>
      </w:r>
      <w:r w:rsidR="00BC2C32" w:rsidRPr="003E5020">
        <w:rPr>
          <w:rFonts w:ascii="Times New Roman" w:hAnsi="Times New Roman" w:cs="Times New Roman"/>
          <w:sz w:val="24"/>
          <w:szCs w:val="24"/>
          <w:lang w:val="sr-Cyrl-RS"/>
        </w:rPr>
        <w:t xml:space="preserve">ће остваривати сарадњу са надлежним министарствима, надлежним органима и организацијама, </w:t>
      </w:r>
      <w:r w:rsidRPr="003E5020">
        <w:rPr>
          <w:rFonts w:ascii="Times New Roman" w:hAnsi="Times New Roman" w:cs="Times New Roman"/>
          <w:sz w:val="24"/>
          <w:szCs w:val="24"/>
          <w:lang w:val="sr-Cyrl-RS"/>
        </w:rPr>
        <w:t>организацијама цивилног друштва</w:t>
      </w:r>
      <w:r w:rsidR="00BC2C32" w:rsidRPr="003E5020">
        <w:rPr>
          <w:rFonts w:ascii="Times New Roman" w:hAnsi="Times New Roman" w:cs="Times New Roman"/>
          <w:sz w:val="24"/>
          <w:szCs w:val="24"/>
          <w:lang w:val="sr-Cyrl-RS"/>
        </w:rPr>
        <w:t xml:space="preserve"> и факултетима на националном и локалном нивоу. </w:t>
      </w:r>
    </w:p>
    <w:p w14:paraId="584CF291" w14:textId="39655DC8" w:rsidR="009B7C66" w:rsidRPr="003E5020" w:rsidRDefault="009B7C66">
      <w:pPr>
        <w:jc w:val="both"/>
        <w:rPr>
          <w:rFonts w:ascii="Times New Roman" w:hAnsi="Times New Roman" w:cs="Times New Roman"/>
          <w:sz w:val="24"/>
          <w:szCs w:val="24"/>
          <w:lang w:val="sr-Cyrl-RS"/>
        </w:rPr>
      </w:pPr>
    </w:p>
    <w:p w14:paraId="00CB90EF" w14:textId="77777777" w:rsidR="009B7C66" w:rsidRPr="003E5020" w:rsidRDefault="009B7C66">
      <w:pPr>
        <w:jc w:val="both"/>
        <w:rPr>
          <w:rFonts w:ascii="Times New Roman" w:hAnsi="Times New Roman" w:cs="Times New Roman"/>
          <w:sz w:val="24"/>
          <w:szCs w:val="24"/>
          <w:lang w:val="sr-Cyrl-RS"/>
        </w:rPr>
      </w:pPr>
    </w:p>
    <w:p w14:paraId="391611A0" w14:textId="18988F29" w:rsidR="00580E9E" w:rsidRPr="003E5020" w:rsidRDefault="00580E9E" w:rsidP="00BD0D30">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51" w:name="_Toc84778684"/>
      <w:r w:rsidRPr="003E5020">
        <w:rPr>
          <w:rFonts w:ascii="Times New Roman" w:hAnsi="Times New Roman" w:cs="Times New Roman"/>
          <w:color w:val="auto"/>
          <w:sz w:val="24"/>
          <w:szCs w:val="24"/>
          <w:lang w:val="sr-Cyrl-RS"/>
        </w:rPr>
        <w:t>СПРОВЕДЕН</w:t>
      </w:r>
      <w:r w:rsidR="001D0924" w:rsidRPr="003E5020">
        <w:rPr>
          <w:rFonts w:ascii="Times New Roman" w:hAnsi="Times New Roman" w:cs="Times New Roman"/>
          <w:color w:val="auto"/>
          <w:sz w:val="24"/>
          <w:szCs w:val="24"/>
          <w:lang w:val="sr-Cyrl-RS"/>
        </w:rPr>
        <w:t>E</w:t>
      </w:r>
      <w:r w:rsidRPr="003E5020">
        <w:rPr>
          <w:rFonts w:ascii="Times New Roman" w:hAnsi="Times New Roman" w:cs="Times New Roman"/>
          <w:color w:val="auto"/>
          <w:sz w:val="24"/>
          <w:szCs w:val="24"/>
          <w:lang w:val="sr-Cyrl-RS"/>
        </w:rPr>
        <w:t xml:space="preserve"> КОНСУЛТАЦИЈ</w:t>
      </w:r>
      <w:r w:rsidR="001D0924" w:rsidRPr="003E5020">
        <w:rPr>
          <w:rFonts w:ascii="Times New Roman" w:hAnsi="Times New Roman" w:cs="Times New Roman"/>
          <w:color w:val="auto"/>
          <w:sz w:val="24"/>
          <w:szCs w:val="24"/>
          <w:lang w:val="sr-Cyrl-RS"/>
        </w:rPr>
        <w:t>E</w:t>
      </w:r>
      <w:bookmarkEnd w:id="151"/>
    </w:p>
    <w:p w14:paraId="4B2D08E3" w14:textId="77777777" w:rsidR="003959FC" w:rsidRPr="003E5020" w:rsidRDefault="003959FC">
      <w:pPr>
        <w:jc w:val="both"/>
        <w:rPr>
          <w:rFonts w:ascii="Times New Roman" w:hAnsi="Times New Roman" w:cs="Times New Roman"/>
          <w:sz w:val="24"/>
          <w:szCs w:val="24"/>
          <w:lang w:val="sr-Cyrl-RS"/>
        </w:rPr>
      </w:pPr>
    </w:p>
    <w:p w14:paraId="001B3A00" w14:textId="25B6CD18" w:rsidR="001C781A" w:rsidRPr="003E5020" w:rsidRDefault="00E07099" w:rsidP="001A4C67">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У току процес</w:t>
      </w:r>
      <w:r w:rsidR="0034669F" w:rsidRPr="003E5020">
        <w:rPr>
          <w:rFonts w:ascii="Times New Roman" w:hAnsi="Times New Roman" w:cs="Times New Roman"/>
          <w:sz w:val="24"/>
          <w:szCs w:val="24"/>
          <w:lang w:val="sr-Cyrl-RS"/>
        </w:rPr>
        <w:t>а израде Стратегије, у својству чланова Радне групе за израду Стратегије консултовани су Врховни касациони суд, Републичко јавно тужилаштво,</w:t>
      </w:r>
      <w:r w:rsidRPr="003E5020">
        <w:rPr>
          <w:rFonts w:ascii="Times New Roman" w:hAnsi="Times New Roman" w:cs="Times New Roman"/>
          <w:sz w:val="24"/>
          <w:szCs w:val="24"/>
          <w:lang w:val="sr-Cyrl-RS"/>
        </w:rPr>
        <w:t xml:space="preserve"> </w:t>
      </w:r>
      <w:r w:rsidR="0034669F" w:rsidRPr="003E5020">
        <w:rPr>
          <w:rFonts w:ascii="Times New Roman" w:hAnsi="Times New Roman" w:cs="Times New Roman"/>
          <w:sz w:val="24"/>
          <w:szCs w:val="24"/>
          <w:lang w:val="sr-Cyrl-RS"/>
        </w:rPr>
        <w:t>Високи савет судства, Државно већ</w:t>
      </w:r>
      <w:r w:rsidRPr="003E5020">
        <w:rPr>
          <w:rFonts w:ascii="Times New Roman" w:hAnsi="Times New Roman" w:cs="Times New Roman"/>
          <w:sz w:val="24"/>
          <w:szCs w:val="24"/>
          <w:lang w:val="sr-Cyrl-RS"/>
        </w:rPr>
        <w:t>е тужилаца,</w:t>
      </w:r>
      <w:r w:rsidR="0034669F" w:rsidRPr="003E5020">
        <w:rPr>
          <w:rFonts w:ascii="Times New Roman" w:hAnsi="Times New Roman" w:cs="Times New Roman"/>
          <w:sz w:val="24"/>
          <w:szCs w:val="24"/>
          <w:lang w:val="sr-Cyrl-RS"/>
        </w:rPr>
        <w:t xml:space="preserve"> Правосудна академија</w:t>
      </w:r>
      <w:r w:rsidR="008D6A3A" w:rsidRPr="003E5020">
        <w:rPr>
          <w:rFonts w:ascii="Times New Roman" w:hAnsi="Times New Roman" w:cs="Times New Roman"/>
          <w:sz w:val="24"/>
          <w:szCs w:val="24"/>
          <w:lang w:val="sr-Latn-RS"/>
        </w:rPr>
        <w:t xml:space="preserve">. </w:t>
      </w:r>
      <w:r w:rsidR="008D6A3A" w:rsidRPr="003E5020">
        <w:rPr>
          <w:rFonts w:ascii="Times New Roman" w:hAnsi="Times New Roman" w:cs="Times New Roman"/>
          <w:sz w:val="24"/>
          <w:szCs w:val="24"/>
          <w:lang w:val="sr-Cyrl-RS"/>
        </w:rPr>
        <w:t>Додатно, консултован је</w:t>
      </w:r>
      <w:r w:rsidRPr="003E5020">
        <w:rPr>
          <w:rFonts w:ascii="Times New Roman" w:hAnsi="Times New Roman" w:cs="Times New Roman"/>
          <w:sz w:val="24"/>
          <w:szCs w:val="24"/>
          <w:lang w:val="sr-Cyrl-RS"/>
        </w:rPr>
        <w:t xml:space="preserve"> и Синдикат правосуђа Србије</w:t>
      </w:r>
      <w:r w:rsidR="0034669F" w:rsidRPr="003E5020">
        <w:rPr>
          <w:rFonts w:ascii="Times New Roman" w:hAnsi="Times New Roman" w:cs="Times New Roman"/>
          <w:sz w:val="24"/>
          <w:szCs w:val="24"/>
          <w:lang w:val="sr-Cyrl-RS"/>
        </w:rPr>
        <w:t>. Сви изнети предлози су узети у разматрање и прихваћени.</w:t>
      </w:r>
    </w:p>
    <w:p w14:paraId="38FEA9D6" w14:textId="77777777" w:rsidR="00580E9E" w:rsidRPr="003E5020" w:rsidRDefault="00580E9E">
      <w:pPr>
        <w:jc w:val="both"/>
        <w:rPr>
          <w:rFonts w:ascii="Times New Roman" w:hAnsi="Times New Roman" w:cs="Times New Roman"/>
          <w:sz w:val="24"/>
          <w:szCs w:val="24"/>
          <w:lang w:val="sr-Cyrl-RS"/>
        </w:rPr>
      </w:pPr>
    </w:p>
    <w:p w14:paraId="1CC64F16" w14:textId="5CBA9285" w:rsidR="002D20AD" w:rsidRPr="003E5020" w:rsidRDefault="002D20AD" w:rsidP="00BD0D30">
      <w:pPr>
        <w:pStyle w:val="Heading1"/>
        <w:numPr>
          <w:ilvl w:val="0"/>
          <w:numId w:val="2"/>
        </w:numPr>
        <w:spacing w:before="0"/>
        <w:ind w:left="851" w:hanging="851"/>
        <w:jc w:val="both"/>
        <w:rPr>
          <w:rFonts w:ascii="Times New Roman" w:hAnsi="Times New Roman" w:cs="Times New Roman"/>
          <w:color w:val="auto"/>
          <w:sz w:val="24"/>
          <w:szCs w:val="24"/>
          <w:lang w:val="sr-Cyrl-RS"/>
        </w:rPr>
      </w:pPr>
      <w:r w:rsidRPr="003E5020">
        <w:rPr>
          <w:rFonts w:ascii="Times New Roman" w:hAnsi="Times New Roman" w:cs="Times New Roman"/>
          <w:color w:val="auto"/>
          <w:sz w:val="24"/>
          <w:szCs w:val="24"/>
          <w:lang w:val="sr-Cyrl-RS"/>
        </w:rPr>
        <w:t xml:space="preserve"> </w:t>
      </w:r>
      <w:bookmarkStart w:id="152" w:name="_Toc84778685"/>
      <w:r w:rsidRPr="003E5020">
        <w:rPr>
          <w:rFonts w:ascii="Times New Roman" w:hAnsi="Times New Roman" w:cs="Times New Roman"/>
          <w:color w:val="auto"/>
          <w:sz w:val="24"/>
          <w:szCs w:val="24"/>
          <w:lang w:val="sr-Cyrl-RS"/>
        </w:rPr>
        <w:t>ЈАВНА РАСПРАВА</w:t>
      </w:r>
      <w:bookmarkEnd w:id="152"/>
    </w:p>
    <w:p w14:paraId="7ED4B862" w14:textId="77777777" w:rsidR="002D20AD" w:rsidRPr="003E5020" w:rsidRDefault="002D20AD">
      <w:pPr>
        <w:jc w:val="both"/>
        <w:rPr>
          <w:rFonts w:ascii="Times New Roman" w:hAnsi="Times New Roman" w:cs="Times New Roman"/>
          <w:sz w:val="24"/>
          <w:szCs w:val="24"/>
          <w:lang w:val="sr-Cyrl-RS"/>
        </w:rPr>
      </w:pPr>
    </w:p>
    <w:p w14:paraId="6B877B1E" w14:textId="77777777" w:rsidR="008D6A3A" w:rsidRPr="003E5020" w:rsidRDefault="008D6A3A" w:rsidP="008D6A3A">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Одбор за правни систем и државне органе је на седници одржаној дана 17. новембра 2021. године, одредио спровођење јавне расправе о тексту Предлога стратегије људских ресурса у правосуђу за период 2022. до 2026. године са Акционим планом за спровођење Стратегије људских ресурса у правосуђу за период 2022. до 2026. године (у даљем тексту Предлог стратегије), и утврдио Програм јавне расправе о тексту Предлога стратегије, сходно којем је Министарство правде спровело јавну расправу.</w:t>
      </w:r>
    </w:p>
    <w:p w14:paraId="478B18AC" w14:textId="77777777" w:rsidR="008D6A3A" w:rsidRPr="003E5020" w:rsidRDefault="008D6A3A" w:rsidP="008D6A3A">
      <w:pPr>
        <w:ind w:left="851"/>
        <w:jc w:val="both"/>
        <w:rPr>
          <w:rFonts w:ascii="Times New Roman" w:hAnsi="Times New Roman" w:cs="Times New Roman"/>
          <w:sz w:val="24"/>
          <w:szCs w:val="24"/>
          <w:lang w:val="sr-Cyrl-RS"/>
        </w:rPr>
      </w:pPr>
    </w:p>
    <w:p w14:paraId="122F0601" w14:textId="3E3E522E" w:rsidR="001C781A" w:rsidRPr="003E5020" w:rsidRDefault="008D6A3A" w:rsidP="008D6A3A">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Јавна расправа о Предлогу стратегије спроведена је у периоду од 19. новембра 2021. године до 10. децембра 2021. године, а текст Предлога стратегије је постављен на интернет страници Министарства правде. У току јавне расправе није запримљен ниједан коментар.</w:t>
      </w:r>
    </w:p>
    <w:p w14:paraId="3BDBEC14" w14:textId="77777777" w:rsidR="002D20AD" w:rsidRPr="003E5020" w:rsidRDefault="002D20AD">
      <w:pPr>
        <w:jc w:val="both"/>
        <w:rPr>
          <w:rFonts w:ascii="Times New Roman" w:hAnsi="Times New Roman" w:cs="Times New Roman"/>
          <w:sz w:val="24"/>
          <w:szCs w:val="24"/>
          <w:lang w:val="sr-Cyrl-RS"/>
        </w:rPr>
      </w:pPr>
    </w:p>
    <w:p w14:paraId="7EFC7FBF" w14:textId="56254E41" w:rsidR="00580E9E" w:rsidRPr="003E5020" w:rsidRDefault="00580E9E" w:rsidP="00BD0D30">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53" w:name="_Toc84778686"/>
      <w:r w:rsidRPr="003E5020">
        <w:rPr>
          <w:rFonts w:ascii="Times New Roman" w:hAnsi="Times New Roman" w:cs="Times New Roman"/>
          <w:color w:val="auto"/>
          <w:sz w:val="24"/>
          <w:szCs w:val="24"/>
          <w:lang w:val="sr-Cyrl-RS"/>
        </w:rPr>
        <w:t>ПРОЦЕНА ФИНАНСИЈСКИХ ЕФЕКАТА</w:t>
      </w:r>
      <w:bookmarkEnd w:id="153"/>
    </w:p>
    <w:p w14:paraId="37BDC357" w14:textId="77777777" w:rsidR="00C61C2B" w:rsidRPr="003E5020" w:rsidRDefault="00C61C2B">
      <w:pPr>
        <w:jc w:val="both"/>
        <w:rPr>
          <w:rFonts w:ascii="Times New Roman" w:hAnsi="Times New Roman" w:cs="Times New Roman"/>
          <w:sz w:val="24"/>
          <w:szCs w:val="24"/>
          <w:lang w:val="sr-Cyrl-RS"/>
        </w:rPr>
      </w:pPr>
    </w:p>
    <w:p w14:paraId="7FC3E5F0" w14:textId="50AEACC8" w:rsidR="008F3335" w:rsidRPr="003E5020" w:rsidRDefault="008F3335" w:rsidP="001A4C67">
      <w:pPr>
        <w:ind w:left="851"/>
        <w:jc w:val="both"/>
        <w:rPr>
          <w:rFonts w:ascii="Times New Roman" w:hAnsi="Times New Roman" w:cs="Times New Roman"/>
          <w:sz w:val="24"/>
          <w:szCs w:val="24"/>
          <w:lang w:val="sr-Cyrl-RS"/>
        </w:rPr>
      </w:pPr>
    </w:p>
    <w:p w14:paraId="573373D1" w14:textId="57F72222" w:rsidR="004245CD" w:rsidRDefault="008F3335" w:rsidP="00BB679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 xml:space="preserve">За спровођење Стратегије људских ресурса извршена је процена финансијских ефеката </w:t>
      </w:r>
      <w:r w:rsidR="00EF6826" w:rsidRPr="003E5020">
        <w:rPr>
          <w:rFonts w:ascii="Times New Roman" w:hAnsi="Times New Roman" w:cs="Times New Roman"/>
          <w:sz w:val="24"/>
          <w:szCs w:val="24"/>
          <w:lang w:val="sr-Cyrl-RS"/>
        </w:rPr>
        <w:t xml:space="preserve">сваке </w:t>
      </w:r>
      <w:r w:rsidR="00DD5D40" w:rsidRPr="003E5020">
        <w:rPr>
          <w:rFonts w:ascii="Times New Roman" w:hAnsi="Times New Roman" w:cs="Times New Roman"/>
          <w:sz w:val="24"/>
          <w:szCs w:val="24"/>
          <w:lang w:val="sr-Cyrl-RS"/>
        </w:rPr>
        <w:t>о</w:t>
      </w:r>
      <w:r w:rsidR="00EF6826" w:rsidRPr="003E5020">
        <w:rPr>
          <w:rFonts w:ascii="Times New Roman" w:hAnsi="Times New Roman" w:cs="Times New Roman"/>
          <w:sz w:val="24"/>
          <w:szCs w:val="24"/>
          <w:lang w:val="sr-Cyrl-RS"/>
        </w:rPr>
        <w:t>д мера на буџет,</w:t>
      </w:r>
      <w:r w:rsidR="00E211B0" w:rsidRPr="003E5020">
        <w:rPr>
          <w:rFonts w:ascii="Times New Roman" w:hAnsi="Times New Roman" w:cs="Times New Roman"/>
          <w:sz w:val="24"/>
          <w:szCs w:val="24"/>
          <w:lang w:val="sr-Cyrl-RS"/>
        </w:rPr>
        <w:t xml:space="preserve"> кој</w:t>
      </w:r>
      <w:r w:rsidR="00F5325B" w:rsidRPr="003E5020">
        <w:rPr>
          <w:rFonts w:ascii="Times New Roman" w:hAnsi="Times New Roman" w:cs="Times New Roman"/>
          <w:sz w:val="24"/>
          <w:szCs w:val="24"/>
          <w:lang w:val="sr-Cyrl-RS"/>
        </w:rPr>
        <w:t>и су приказани</w:t>
      </w:r>
      <w:r w:rsidR="00E211B0" w:rsidRPr="003E5020">
        <w:rPr>
          <w:rFonts w:ascii="Times New Roman" w:hAnsi="Times New Roman" w:cs="Times New Roman"/>
          <w:sz w:val="24"/>
          <w:szCs w:val="24"/>
          <w:lang w:val="sr-Cyrl-RS"/>
        </w:rPr>
        <w:t xml:space="preserve"> у посебном планском документу  - </w:t>
      </w:r>
      <w:r w:rsidR="004245CD" w:rsidRPr="003E5020">
        <w:rPr>
          <w:rFonts w:ascii="Times New Roman" w:hAnsi="Times New Roman" w:cs="Times New Roman"/>
          <w:sz w:val="24"/>
          <w:szCs w:val="24"/>
          <w:lang w:val="sr-Cyrl-RS"/>
        </w:rPr>
        <w:t xml:space="preserve">Акционом плану за период 2022–2026. годинa за примену Стратегије </w:t>
      </w:r>
      <w:bookmarkStart w:id="154" w:name="_Hlk90364074"/>
      <w:r w:rsidR="004245CD" w:rsidRPr="003E5020">
        <w:rPr>
          <w:rFonts w:ascii="Times New Roman" w:hAnsi="Times New Roman" w:cs="Times New Roman"/>
          <w:sz w:val="24"/>
          <w:szCs w:val="24"/>
          <w:lang w:val="sr-Cyrl-RS"/>
        </w:rPr>
        <w:t xml:space="preserve">људских ресурса у правосуђу Републике Србије, за период 2022–2026. године (у даљем тексту: Акциони план), сходно </w:t>
      </w:r>
      <w:bookmarkEnd w:id="154"/>
      <w:r w:rsidR="004245CD" w:rsidRPr="003E5020">
        <w:rPr>
          <w:rFonts w:ascii="Times New Roman" w:hAnsi="Times New Roman" w:cs="Times New Roman"/>
          <w:sz w:val="24"/>
          <w:szCs w:val="24"/>
          <w:lang w:val="sr-Cyrl-RS"/>
        </w:rPr>
        <w:t>члану 38. став 1. Закона о планском систему.</w:t>
      </w:r>
    </w:p>
    <w:p w14:paraId="29085848" w14:textId="77777777" w:rsidR="003716D7" w:rsidRPr="003E5020" w:rsidRDefault="003716D7" w:rsidP="00BB6792">
      <w:pPr>
        <w:ind w:left="851"/>
        <w:jc w:val="both"/>
        <w:rPr>
          <w:rFonts w:ascii="Times New Roman" w:hAnsi="Times New Roman" w:cs="Times New Roman"/>
          <w:sz w:val="24"/>
          <w:szCs w:val="24"/>
          <w:lang w:val="sr-Cyrl-RS"/>
        </w:rPr>
      </w:pPr>
    </w:p>
    <w:p w14:paraId="1165F512" w14:textId="77777777" w:rsidR="00BB6792" w:rsidRPr="003E5020" w:rsidRDefault="00BB6792" w:rsidP="00E07099">
      <w:pPr>
        <w:ind w:left="851"/>
        <w:jc w:val="both"/>
        <w:rPr>
          <w:rFonts w:ascii="Times New Roman" w:hAnsi="Times New Roman" w:cs="Times New Roman"/>
          <w:sz w:val="24"/>
          <w:szCs w:val="24"/>
          <w:lang w:val="sr-Cyrl-RS"/>
        </w:rPr>
      </w:pPr>
    </w:p>
    <w:p w14:paraId="02368F98" w14:textId="59DA7154" w:rsidR="000E3C03" w:rsidRPr="003E5020" w:rsidRDefault="00F75F0A" w:rsidP="00BB6792">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Проце</w:t>
      </w:r>
      <w:r w:rsidR="00DC6573" w:rsidRPr="003E5020">
        <w:rPr>
          <w:rFonts w:ascii="Times New Roman" w:hAnsi="Times New Roman" w:cs="Times New Roman"/>
          <w:sz w:val="24"/>
          <w:szCs w:val="24"/>
          <w:lang w:val="sr-Cyrl-RS"/>
        </w:rPr>
        <w:t>н</w:t>
      </w:r>
      <w:r w:rsidR="00E07099" w:rsidRPr="003E5020">
        <w:rPr>
          <w:rFonts w:ascii="Times New Roman" w:hAnsi="Times New Roman" w:cs="Times New Roman"/>
          <w:sz w:val="24"/>
          <w:szCs w:val="24"/>
          <w:lang w:val="sr-Cyrl-RS"/>
        </w:rPr>
        <w:t>е</w:t>
      </w:r>
      <w:r w:rsidR="00DC6573" w:rsidRPr="003E5020">
        <w:rPr>
          <w:rFonts w:ascii="Times New Roman" w:hAnsi="Times New Roman" w:cs="Times New Roman"/>
          <w:sz w:val="24"/>
          <w:szCs w:val="24"/>
          <w:lang w:val="sr-Cyrl-RS"/>
        </w:rPr>
        <w:t xml:space="preserve"> финансијских </w:t>
      </w:r>
      <w:r w:rsidR="00E07099" w:rsidRPr="003E5020">
        <w:rPr>
          <w:rFonts w:ascii="Times New Roman" w:hAnsi="Times New Roman" w:cs="Times New Roman"/>
          <w:sz w:val="24"/>
          <w:szCs w:val="24"/>
          <w:lang w:val="sr-Cyrl-RS"/>
        </w:rPr>
        <w:t>ефеката</w:t>
      </w:r>
      <w:r w:rsidR="004245CD" w:rsidRPr="003E5020">
        <w:rPr>
          <w:rFonts w:ascii="Times New Roman" w:hAnsi="Times New Roman" w:cs="Times New Roman"/>
          <w:sz w:val="24"/>
          <w:szCs w:val="24"/>
          <w:lang w:val="sr-Cyrl-RS"/>
        </w:rPr>
        <w:t xml:space="preserve"> </w:t>
      </w:r>
      <w:r w:rsidR="00DC6573" w:rsidRPr="003E5020">
        <w:rPr>
          <w:rFonts w:ascii="Times New Roman" w:hAnsi="Times New Roman" w:cs="Times New Roman"/>
          <w:sz w:val="24"/>
          <w:szCs w:val="24"/>
          <w:lang w:val="sr-Cyrl-RS"/>
        </w:rPr>
        <w:t>су</w:t>
      </w:r>
      <w:r w:rsidR="001F5372" w:rsidRPr="003E5020">
        <w:rPr>
          <w:rFonts w:ascii="Times New Roman" w:hAnsi="Times New Roman" w:cs="Times New Roman"/>
          <w:sz w:val="24"/>
          <w:szCs w:val="24"/>
          <w:lang w:val="sr-Cyrl-RS"/>
        </w:rPr>
        <w:t xml:space="preserve"> у Акционом плану </w:t>
      </w:r>
      <w:r w:rsidRPr="003E5020">
        <w:rPr>
          <w:rFonts w:ascii="Times New Roman" w:hAnsi="Times New Roman" w:cs="Times New Roman"/>
          <w:sz w:val="24"/>
          <w:szCs w:val="24"/>
          <w:lang w:val="sr-Cyrl-RS"/>
        </w:rPr>
        <w:t>приказан</w:t>
      </w:r>
      <w:r w:rsidR="00DC6573" w:rsidRPr="003E5020">
        <w:rPr>
          <w:rFonts w:ascii="Times New Roman" w:hAnsi="Times New Roman" w:cs="Times New Roman"/>
          <w:sz w:val="24"/>
          <w:szCs w:val="24"/>
          <w:lang w:val="sr-Cyrl-RS"/>
        </w:rPr>
        <w:t>е</w:t>
      </w:r>
      <w:r w:rsidR="001F5372" w:rsidRPr="003E5020">
        <w:rPr>
          <w:rFonts w:ascii="Times New Roman" w:hAnsi="Times New Roman" w:cs="Times New Roman"/>
          <w:sz w:val="24"/>
          <w:szCs w:val="24"/>
          <w:lang w:val="sr-Cyrl-RS"/>
        </w:rPr>
        <w:t xml:space="preserve"> по појединачним активностима и мерама</w:t>
      </w:r>
      <w:r w:rsidRPr="003E5020">
        <w:rPr>
          <w:rFonts w:ascii="Times New Roman" w:hAnsi="Times New Roman" w:cs="Times New Roman"/>
          <w:sz w:val="24"/>
          <w:szCs w:val="24"/>
          <w:lang w:val="sr-Cyrl-RS"/>
        </w:rPr>
        <w:t xml:space="preserve">, </w:t>
      </w:r>
      <w:r w:rsidR="00EF6826" w:rsidRPr="003E5020">
        <w:rPr>
          <w:rFonts w:ascii="Times New Roman" w:hAnsi="Times New Roman" w:cs="Times New Roman"/>
          <w:sz w:val="24"/>
          <w:szCs w:val="24"/>
          <w:lang w:val="sr-Cyrl-RS"/>
        </w:rPr>
        <w:t>у складу са Законом о буџетском систему („Службени гласник РС</w:t>
      </w:r>
      <w:r w:rsidR="00701BFF">
        <w:rPr>
          <w:rFonts w:ascii="Times New Roman" w:hAnsi="Times New Roman" w:cs="Times New Roman"/>
          <w:sz w:val="24"/>
          <w:szCs w:val="24"/>
          <w:lang w:val="sr-Cyrl-RS"/>
        </w:rPr>
        <w:t>ˮ</w:t>
      </w:r>
      <w:r w:rsidR="00EF6826" w:rsidRPr="003E5020">
        <w:rPr>
          <w:rFonts w:ascii="Times New Roman" w:hAnsi="Times New Roman" w:cs="Times New Roman"/>
          <w:sz w:val="24"/>
          <w:szCs w:val="24"/>
          <w:lang w:val="sr-Cyrl-RS"/>
        </w:rPr>
        <w:t xml:space="preserve">, бр. </w:t>
      </w:r>
      <w:r w:rsidR="003716D7">
        <w:rPr>
          <w:rFonts w:ascii="Times New Roman" w:hAnsi="Times New Roman" w:cs="Times New Roman"/>
          <w:sz w:val="24"/>
          <w:szCs w:val="24"/>
          <w:lang w:val="sr-Cyrl-RS"/>
        </w:rPr>
        <w:t>54/09 и 118/</w:t>
      </w:r>
      <w:r w:rsidR="00DD5D40" w:rsidRPr="003E5020">
        <w:rPr>
          <w:rFonts w:ascii="Times New Roman" w:hAnsi="Times New Roman" w:cs="Times New Roman"/>
          <w:sz w:val="24"/>
          <w:szCs w:val="24"/>
          <w:lang w:val="sr-Cyrl-RS"/>
        </w:rPr>
        <w:t>21 – др. закон)</w:t>
      </w:r>
      <w:r w:rsidR="004245CD" w:rsidRPr="003E5020">
        <w:rPr>
          <w:rFonts w:ascii="Times New Roman" w:hAnsi="Times New Roman" w:cs="Times New Roman"/>
          <w:sz w:val="24"/>
          <w:szCs w:val="24"/>
          <w:lang w:val="sr-Cyrl-RS"/>
        </w:rPr>
        <w:t xml:space="preserve"> и</w:t>
      </w:r>
      <w:r w:rsidR="007F7861" w:rsidRPr="003E5020">
        <w:rPr>
          <w:rFonts w:ascii="Times New Roman" w:hAnsi="Times New Roman" w:cs="Times New Roman"/>
          <w:sz w:val="24"/>
          <w:szCs w:val="24"/>
          <w:lang w:val="sr-Cyrl-RS"/>
        </w:rPr>
        <w:t xml:space="preserve">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w:t>
      </w:r>
      <w:r w:rsidR="000E3C03" w:rsidRPr="003E5020">
        <w:rPr>
          <w:rFonts w:ascii="Times New Roman" w:hAnsi="Times New Roman" w:cs="Times New Roman"/>
          <w:sz w:val="24"/>
          <w:szCs w:val="24"/>
          <w:lang w:val="sr-Cyrl-RS"/>
        </w:rPr>
        <w:t>(„Службени гласник РС</w:t>
      </w:r>
      <w:r w:rsidR="00701BFF">
        <w:rPr>
          <w:rFonts w:ascii="Times New Roman" w:hAnsi="Times New Roman" w:cs="Times New Roman"/>
          <w:sz w:val="24"/>
          <w:szCs w:val="24"/>
          <w:lang w:val="sr-Cyrl-RS"/>
        </w:rPr>
        <w:t>ˮ</w:t>
      </w:r>
      <w:r w:rsidR="003716D7">
        <w:rPr>
          <w:rFonts w:ascii="Times New Roman" w:hAnsi="Times New Roman" w:cs="Times New Roman"/>
          <w:sz w:val="24"/>
          <w:szCs w:val="24"/>
          <w:lang w:val="sr-Cyrl-RS"/>
        </w:rPr>
        <w:t>, број 32/</w:t>
      </w:r>
      <w:r w:rsidR="000E3C03" w:rsidRPr="003E5020">
        <w:rPr>
          <w:rFonts w:ascii="Times New Roman" w:hAnsi="Times New Roman" w:cs="Times New Roman"/>
          <w:sz w:val="24"/>
          <w:szCs w:val="24"/>
          <w:lang w:val="sr-Cyrl-RS"/>
        </w:rPr>
        <w:t>15)</w:t>
      </w:r>
      <w:r w:rsidR="00DC6573" w:rsidRPr="003E5020">
        <w:rPr>
          <w:rFonts w:ascii="Times New Roman" w:hAnsi="Times New Roman" w:cs="Times New Roman"/>
          <w:sz w:val="24"/>
          <w:szCs w:val="24"/>
          <w:lang w:val="sr-Cyrl-RS"/>
        </w:rPr>
        <w:t xml:space="preserve"> и попуњеним одговарајућим ПФЕ обрасцима</w:t>
      </w:r>
      <w:r w:rsidR="004A3DE5" w:rsidRPr="003E5020">
        <w:rPr>
          <w:rFonts w:ascii="Times New Roman" w:hAnsi="Times New Roman" w:cs="Times New Roman"/>
          <w:sz w:val="24"/>
          <w:szCs w:val="24"/>
          <w:lang w:val="sr-Cyrl-RS"/>
        </w:rPr>
        <w:t xml:space="preserve"> од стране органа носилаца активности из Акционог плана</w:t>
      </w:r>
      <w:r w:rsidR="000E3C03" w:rsidRPr="003E5020">
        <w:rPr>
          <w:rFonts w:ascii="Times New Roman" w:hAnsi="Times New Roman" w:cs="Times New Roman"/>
          <w:sz w:val="24"/>
          <w:szCs w:val="24"/>
          <w:lang w:val="sr-Cyrl-RS"/>
        </w:rPr>
        <w:t>.</w:t>
      </w:r>
      <w:r w:rsidR="004245CD" w:rsidRPr="003E5020">
        <w:rPr>
          <w:rFonts w:ascii="Times New Roman" w:hAnsi="Times New Roman" w:cs="Times New Roman"/>
          <w:sz w:val="24"/>
          <w:szCs w:val="24"/>
          <w:lang w:val="sr-Cyrl-RS"/>
        </w:rPr>
        <w:t xml:space="preserve"> </w:t>
      </w:r>
    </w:p>
    <w:p w14:paraId="5AE76FAC" w14:textId="77777777" w:rsidR="00BB6792" w:rsidRPr="003E5020" w:rsidRDefault="00BB6792" w:rsidP="00E07099">
      <w:pPr>
        <w:ind w:left="851"/>
        <w:jc w:val="both"/>
        <w:rPr>
          <w:rFonts w:ascii="Times New Roman" w:hAnsi="Times New Roman" w:cs="Times New Roman"/>
          <w:sz w:val="24"/>
          <w:szCs w:val="24"/>
          <w:lang w:val="sr-Cyrl-RS"/>
        </w:rPr>
      </w:pPr>
    </w:p>
    <w:p w14:paraId="574567C1" w14:textId="4F2C9E5C" w:rsidR="008F3335" w:rsidRPr="003E5020" w:rsidRDefault="000E3C03" w:rsidP="00E07099">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Процењена средства</w:t>
      </w:r>
      <w:r w:rsidR="008F3335" w:rsidRPr="003E5020">
        <w:rPr>
          <w:rFonts w:ascii="Times New Roman" w:hAnsi="Times New Roman" w:cs="Times New Roman"/>
          <w:sz w:val="24"/>
          <w:szCs w:val="24"/>
          <w:lang w:val="sr-Cyrl-RS"/>
        </w:rPr>
        <w:t xml:space="preserve"> су планирана Законoм о буџету Републике Србије за 2022. годину („Службени гласник РС</w:t>
      </w:r>
      <w:r w:rsidR="00701BFF">
        <w:rPr>
          <w:rFonts w:ascii="Times New Roman" w:hAnsi="Times New Roman" w:cs="Times New Roman"/>
          <w:sz w:val="24"/>
          <w:szCs w:val="24"/>
          <w:lang w:val="sr-Cyrl-RS"/>
        </w:rPr>
        <w:t>ˮ</w:t>
      </w:r>
      <w:r w:rsidR="008F3335" w:rsidRPr="003E5020">
        <w:rPr>
          <w:rFonts w:ascii="Times New Roman" w:hAnsi="Times New Roman" w:cs="Times New Roman"/>
          <w:sz w:val="24"/>
          <w:szCs w:val="24"/>
          <w:lang w:val="sr-Cyrl-RS"/>
        </w:rPr>
        <w:t xml:space="preserve">, </w:t>
      </w:r>
      <w:bookmarkStart w:id="155" w:name="_Hlk89431499"/>
      <w:r w:rsidR="008F3335" w:rsidRPr="003E5020">
        <w:rPr>
          <w:rFonts w:ascii="Times New Roman" w:hAnsi="Times New Roman" w:cs="Times New Roman"/>
          <w:sz w:val="24"/>
          <w:szCs w:val="24"/>
          <w:lang w:val="sr-Cyrl-RS"/>
        </w:rPr>
        <w:t>број 110/21</w:t>
      </w:r>
      <w:bookmarkEnd w:id="155"/>
      <w:r w:rsidR="008F3335" w:rsidRPr="003E5020">
        <w:rPr>
          <w:rFonts w:ascii="Times New Roman" w:hAnsi="Times New Roman" w:cs="Times New Roman"/>
          <w:sz w:val="24"/>
          <w:szCs w:val="24"/>
          <w:lang w:val="sr-Cyrl-RS"/>
        </w:rPr>
        <w:t>)</w:t>
      </w:r>
      <w:r w:rsidRPr="003E5020">
        <w:rPr>
          <w:rFonts w:ascii="Times New Roman" w:hAnsi="Times New Roman" w:cs="Times New Roman"/>
          <w:sz w:val="24"/>
          <w:szCs w:val="24"/>
          <w:lang w:val="sr-Cyrl-RS"/>
        </w:rPr>
        <w:t xml:space="preserve"> и </w:t>
      </w:r>
      <w:r w:rsidR="008F3335" w:rsidRPr="003E5020">
        <w:rPr>
          <w:rFonts w:ascii="Times New Roman" w:hAnsi="Times New Roman" w:cs="Times New Roman"/>
          <w:sz w:val="24"/>
          <w:szCs w:val="24"/>
          <w:lang w:val="sr-Cyrl-RS"/>
        </w:rPr>
        <w:t xml:space="preserve"> обезбеђена </w:t>
      </w:r>
      <w:r w:rsidR="004A3DE5" w:rsidRPr="003E5020">
        <w:rPr>
          <w:rFonts w:ascii="Times New Roman" w:hAnsi="Times New Roman" w:cs="Times New Roman"/>
          <w:sz w:val="24"/>
          <w:szCs w:val="24"/>
          <w:lang w:val="sr-Cyrl-RS"/>
        </w:rPr>
        <w:t xml:space="preserve">су </w:t>
      </w:r>
      <w:r w:rsidR="008F3335" w:rsidRPr="003E5020">
        <w:rPr>
          <w:rFonts w:ascii="Times New Roman" w:hAnsi="Times New Roman" w:cs="Times New Roman"/>
          <w:sz w:val="24"/>
          <w:szCs w:val="24"/>
          <w:lang w:val="sr-Cyrl-RS"/>
        </w:rPr>
        <w:t>у  оквиру раздела надлежних министарстава или других државних органа који су носиоци појединачних активности из овог акционог плана</w:t>
      </w:r>
      <w:r w:rsidR="00FF2DB6" w:rsidRPr="003E5020">
        <w:rPr>
          <w:rFonts w:ascii="Times New Roman" w:hAnsi="Times New Roman" w:cs="Times New Roman"/>
          <w:sz w:val="24"/>
          <w:szCs w:val="24"/>
          <w:lang w:val="sr-Cyrl-RS"/>
        </w:rPr>
        <w:t xml:space="preserve">, док се процењена средства за наредне године крећу </w:t>
      </w:r>
      <w:r w:rsidR="008F3335" w:rsidRPr="003E5020">
        <w:rPr>
          <w:rFonts w:ascii="Times New Roman" w:hAnsi="Times New Roman" w:cs="Times New Roman"/>
          <w:sz w:val="24"/>
          <w:szCs w:val="24"/>
          <w:lang w:val="sr-Cyrl-RS"/>
        </w:rPr>
        <w:t>у оквиру  дозвољених вишегодишњих буџетских лимита које одређује Министарство финансија за све буџетске кориснике.</w:t>
      </w:r>
    </w:p>
    <w:p w14:paraId="5BC6839A" w14:textId="77777777" w:rsidR="008F3335" w:rsidRPr="003E5020" w:rsidRDefault="008F3335" w:rsidP="001A4C67">
      <w:pPr>
        <w:ind w:left="851"/>
        <w:jc w:val="both"/>
        <w:rPr>
          <w:rFonts w:ascii="Times New Roman" w:hAnsi="Times New Roman" w:cs="Times New Roman"/>
          <w:sz w:val="24"/>
          <w:szCs w:val="24"/>
          <w:lang w:val="sr-Cyrl-RS"/>
        </w:rPr>
      </w:pPr>
    </w:p>
    <w:p w14:paraId="22E7D336" w14:textId="77777777" w:rsidR="00B23873" w:rsidRPr="003E5020" w:rsidRDefault="00B23873">
      <w:pPr>
        <w:jc w:val="both"/>
        <w:rPr>
          <w:rFonts w:ascii="Times New Roman" w:hAnsi="Times New Roman" w:cs="Times New Roman"/>
          <w:sz w:val="24"/>
          <w:szCs w:val="24"/>
          <w:lang w:val="sr-Cyrl-RS"/>
        </w:rPr>
      </w:pPr>
    </w:p>
    <w:p w14:paraId="5FBF3E2D" w14:textId="7C75A580" w:rsidR="00580E9E" w:rsidRPr="003E5020" w:rsidRDefault="00580E9E" w:rsidP="00BD0D30">
      <w:pPr>
        <w:pStyle w:val="Heading1"/>
        <w:numPr>
          <w:ilvl w:val="0"/>
          <w:numId w:val="2"/>
        </w:numPr>
        <w:spacing w:before="0"/>
        <w:ind w:left="851" w:hanging="851"/>
        <w:jc w:val="both"/>
        <w:rPr>
          <w:rFonts w:ascii="Times New Roman" w:hAnsi="Times New Roman" w:cs="Times New Roman"/>
          <w:color w:val="auto"/>
          <w:sz w:val="24"/>
          <w:szCs w:val="24"/>
          <w:lang w:val="sr-Cyrl-RS"/>
        </w:rPr>
      </w:pPr>
      <w:bookmarkStart w:id="156" w:name="_АКЦИОНИ_ПЛАН"/>
      <w:bookmarkStart w:id="157" w:name="_Toc84778688"/>
      <w:bookmarkEnd w:id="156"/>
      <w:r w:rsidRPr="003E5020">
        <w:rPr>
          <w:rFonts w:ascii="Times New Roman" w:hAnsi="Times New Roman" w:cs="Times New Roman"/>
          <w:color w:val="auto"/>
          <w:sz w:val="24"/>
          <w:szCs w:val="24"/>
          <w:lang w:val="sr-Cyrl-RS"/>
        </w:rPr>
        <w:t>АКЦИОНИ ПЛАН</w:t>
      </w:r>
      <w:bookmarkEnd w:id="157"/>
    </w:p>
    <w:p w14:paraId="485B1A28" w14:textId="520F7164" w:rsidR="0063699D" w:rsidRPr="003E5020" w:rsidRDefault="0063699D">
      <w:pPr>
        <w:rPr>
          <w:rFonts w:ascii="Times New Roman" w:hAnsi="Times New Roman" w:cs="Times New Roman"/>
          <w:sz w:val="24"/>
          <w:szCs w:val="24"/>
          <w:lang w:val="sr-Cyrl-RS"/>
        </w:rPr>
      </w:pPr>
    </w:p>
    <w:p w14:paraId="5D7F772D" w14:textId="0C290C0E" w:rsidR="003716D7" w:rsidRDefault="00454F4E" w:rsidP="00454F4E">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Акцио</w:t>
      </w:r>
      <w:r w:rsidR="003716D7">
        <w:rPr>
          <w:rFonts w:ascii="Times New Roman" w:hAnsi="Times New Roman" w:cs="Times New Roman"/>
          <w:sz w:val="24"/>
          <w:szCs w:val="24"/>
          <w:lang w:val="sr-Cyrl-RS"/>
        </w:rPr>
        <w:t>ни план за примену ове стратегије је истовремено и њен саставни део.</w:t>
      </w:r>
    </w:p>
    <w:p w14:paraId="7CCDD7DF" w14:textId="77777777" w:rsidR="003716D7" w:rsidRDefault="003716D7" w:rsidP="00454F4E">
      <w:pPr>
        <w:ind w:left="851"/>
        <w:jc w:val="both"/>
        <w:rPr>
          <w:rFonts w:ascii="Times New Roman" w:hAnsi="Times New Roman" w:cs="Times New Roman"/>
          <w:sz w:val="24"/>
          <w:szCs w:val="24"/>
          <w:lang w:val="sr-Cyrl-RS"/>
        </w:rPr>
      </w:pPr>
    </w:p>
    <w:p w14:paraId="35241D69" w14:textId="77777777" w:rsidR="003E5020" w:rsidRPr="003E5020" w:rsidRDefault="003E5020" w:rsidP="00454F4E">
      <w:pPr>
        <w:ind w:left="851"/>
        <w:jc w:val="both"/>
        <w:rPr>
          <w:rFonts w:ascii="Times New Roman" w:hAnsi="Times New Roman" w:cs="Times New Roman"/>
          <w:sz w:val="24"/>
          <w:szCs w:val="24"/>
          <w:lang w:val="sr-Cyrl-RS"/>
        </w:rPr>
      </w:pPr>
      <w:bookmarkStart w:id="158" w:name="_Hlk90459853"/>
    </w:p>
    <w:bookmarkEnd w:id="158"/>
    <w:p w14:paraId="08495E55" w14:textId="249A2EBF" w:rsidR="00AB3E8B" w:rsidRDefault="003E5020" w:rsidP="003E5020">
      <w:pPr>
        <w:pStyle w:val="Heading1"/>
        <w:numPr>
          <w:ilvl w:val="0"/>
          <w:numId w:val="2"/>
        </w:numPr>
        <w:spacing w:before="0"/>
        <w:ind w:left="851" w:hanging="851"/>
        <w:jc w:val="both"/>
        <w:rPr>
          <w:rFonts w:ascii="Times New Roman" w:hAnsi="Times New Roman" w:cs="Times New Roman"/>
          <w:color w:val="auto"/>
          <w:sz w:val="24"/>
          <w:szCs w:val="24"/>
          <w:lang w:val="sr-Cyrl-RS"/>
        </w:rPr>
      </w:pPr>
      <w:r w:rsidRPr="003E5020">
        <w:rPr>
          <w:rFonts w:ascii="Times New Roman" w:hAnsi="Times New Roman" w:cs="Times New Roman"/>
          <w:color w:val="auto"/>
          <w:sz w:val="24"/>
          <w:szCs w:val="24"/>
          <w:lang w:val="sr-Cyrl-RS"/>
        </w:rPr>
        <w:t>ОБЈАВЉИВАЊЕ</w:t>
      </w:r>
    </w:p>
    <w:p w14:paraId="15D919DB" w14:textId="77777777" w:rsidR="003E5020" w:rsidRDefault="003E5020" w:rsidP="003E5020">
      <w:pPr>
        <w:rPr>
          <w:lang w:val="sr-Cyrl-RS"/>
        </w:rPr>
      </w:pPr>
      <w:bookmarkStart w:id="159" w:name="_GoBack"/>
      <w:bookmarkEnd w:id="159"/>
    </w:p>
    <w:p w14:paraId="0609AF2C" w14:textId="0174DE7F" w:rsidR="003E5020" w:rsidRDefault="003E5020" w:rsidP="003E502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Ову стратегију и Aкциони план објавити на интернет стра</w:t>
      </w:r>
      <w:r>
        <w:rPr>
          <w:rFonts w:ascii="Times New Roman" w:hAnsi="Times New Roman" w:cs="Times New Roman"/>
          <w:sz w:val="24"/>
          <w:szCs w:val="24"/>
          <w:lang w:val="sr-Cyrl-RS"/>
        </w:rPr>
        <w:t xml:space="preserve">ници Владе, на порталу </w:t>
      </w:r>
      <w:r w:rsidR="003716D7">
        <w:rPr>
          <w:rFonts w:ascii="Times New Roman" w:hAnsi="Times New Roman" w:cs="Times New Roman"/>
          <w:sz w:val="24"/>
          <w:szCs w:val="24"/>
          <w:lang w:val="sr-Cyrl-RS"/>
        </w:rPr>
        <w:br/>
      </w:r>
      <w:r>
        <w:rPr>
          <w:rFonts w:ascii="Times New Roman" w:hAnsi="Times New Roman" w:cs="Times New Roman"/>
          <w:sz w:val="24"/>
          <w:szCs w:val="24"/>
          <w:lang w:val="sr-Cyrl-RS"/>
        </w:rPr>
        <w:t xml:space="preserve">е-Управа </w:t>
      </w:r>
      <w:r w:rsidRPr="003E5020">
        <w:rPr>
          <w:rFonts w:ascii="Times New Roman" w:hAnsi="Times New Roman" w:cs="Times New Roman"/>
          <w:sz w:val="24"/>
          <w:szCs w:val="24"/>
          <w:lang w:val="sr-Cyrl-RS"/>
        </w:rPr>
        <w:t>и на интернет страници Министарствa правде у року од сед</w:t>
      </w:r>
      <w:r>
        <w:rPr>
          <w:rFonts w:ascii="Times New Roman" w:hAnsi="Times New Roman" w:cs="Times New Roman"/>
          <w:sz w:val="24"/>
          <w:szCs w:val="24"/>
          <w:lang w:val="sr-Cyrl-RS"/>
        </w:rPr>
        <w:t xml:space="preserve">ам радних дана од дана усвајања </w:t>
      </w:r>
      <w:r w:rsidRPr="003E5020">
        <w:rPr>
          <w:rFonts w:ascii="Times New Roman" w:hAnsi="Times New Roman" w:cs="Times New Roman"/>
          <w:sz w:val="24"/>
          <w:szCs w:val="24"/>
          <w:lang w:val="sr-Cyrl-RS"/>
        </w:rPr>
        <w:t>Стратегије и Aкционог плана.</w:t>
      </w:r>
    </w:p>
    <w:p w14:paraId="4DFC0BD4" w14:textId="77777777" w:rsidR="003E5020" w:rsidRPr="003E5020" w:rsidRDefault="003E5020" w:rsidP="003E5020">
      <w:pPr>
        <w:ind w:left="851"/>
        <w:jc w:val="both"/>
        <w:rPr>
          <w:rFonts w:ascii="Times New Roman" w:hAnsi="Times New Roman" w:cs="Times New Roman"/>
          <w:sz w:val="24"/>
          <w:szCs w:val="24"/>
          <w:lang w:val="sr-Cyrl-RS"/>
        </w:rPr>
      </w:pPr>
    </w:p>
    <w:p w14:paraId="44C1B4EF" w14:textId="3C91D206" w:rsidR="003E5020" w:rsidRPr="003E5020" w:rsidRDefault="003E5020" w:rsidP="003E5020">
      <w:pPr>
        <w:ind w:left="851"/>
        <w:jc w:val="both"/>
        <w:rPr>
          <w:rFonts w:ascii="Times New Roman" w:hAnsi="Times New Roman" w:cs="Times New Roman"/>
          <w:sz w:val="24"/>
          <w:szCs w:val="24"/>
          <w:lang w:val="sr-Cyrl-RS"/>
        </w:rPr>
      </w:pPr>
      <w:r w:rsidRPr="003E5020">
        <w:rPr>
          <w:rFonts w:ascii="Times New Roman" w:hAnsi="Times New Roman" w:cs="Times New Roman"/>
          <w:sz w:val="24"/>
          <w:szCs w:val="24"/>
          <w:lang w:val="sr-Cyrl-RS"/>
        </w:rPr>
        <w:t>Ову стратегију и Акциони план објавити у „Службеном гласнику Републике Србије”.</w:t>
      </w:r>
    </w:p>
    <w:p w14:paraId="69597A01" w14:textId="77777777" w:rsidR="00AD7521" w:rsidRDefault="00AD7521">
      <w:pPr>
        <w:jc w:val="both"/>
        <w:rPr>
          <w:rFonts w:ascii="Times New Roman" w:hAnsi="Times New Roman" w:cs="Times New Roman"/>
          <w:sz w:val="24"/>
          <w:szCs w:val="24"/>
        </w:rPr>
      </w:pPr>
    </w:p>
    <w:p w14:paraId="4958C6E0" w14:textId="77777777" w:rsidR="00AD7521" w:rsidRDefault="00AD7521">
      <w:pPr>
        <w:jc w:val="both"/>
        <w:rPr>
          <w:rFonts w:ascii="Times New Roman" w:hAnsi="Times New Roman" w:cs="Times New Roman"/>
          <w:sz w:val="24"/>
          <w:szCs w:val="24"/>
        </w:rPr>
      </w:pPr>
    </w:p>
    <w:p w14:paraId="04CEA1AF" w14:textId="77777777" w:rsidR="00AD7521" w:rsidRPr="00AD7521" w:rsidRDefault="00AD7521">
      <w:pPr>
        <w:jc w:val="both"/>
        <w:rPr>
          <w:rFonts w:ascii="Times New Roman" w:hAnsi="Times New Roman" w:cs="Times New Roman"/>
          <w:sz w:val="24"/>
          <w:szCs w:val="24"/>
        </w:rPr>
      </w:pPr>
    </w:p>
    <w:p w14:paraId="394FD1B6" w14:textId="20483C2E" w:rsidR="00AD7521" w:rsidRPr="005E3D98" w:rsidRDefault="009A5EBA">
      <w:pPr>
        <w:rPr>
          <w:rFonts w:ascii="Times New Roman" w:hAnsi="Times New Roman" w:cs="Times New Roman"/>
          <w:sz w:val="24"/>
          <w:szCs w:val="24"/>
          <w:lang w:val="sr-Cyrl-RS"/>
        </w:rPr>
      </w:pPr>
      <w:r>
        <w:rPr>
          <w:rFonts w:ascii="Times New Roman" w:hAnsi="Times New Roman" w:cs="Times New Roman"/>
          <w:sz w:val="24"/>
          <w:szCs w:val="24"/>
        </w:rPr>
        <w:tab/>
      </w:r>
      <w:r w:rsidR="00AD7521" w:rsidRPr="00AD7521">
        <w:rPr>
          <w:rFonts w:ascii="Times New Roman" w:hAnsi="Times New Roman" w:cs="Times New Roman"/>
          <w:sz w:val="24"/>
          <w:szCs w:val="24"/>
        </w:rPr>
        <w:t>05 Број:</w:t>
      </w:r>
      <w:r>
        <w:rPr>
          <w:rFonts w:ascii="Times New Roman" w:hAnsi="Times New Roman" w:cs="Times New Roman"/>
          <w:sz w:val="24"/>
          <w:szCs w:val="24"/>
          <w:lang w:val="sr-Cyrl-RS"/>
        </w:rPr>
        <w:t xml:space="preserve"> </w:t>
      </w:r>
      <w:r>
        <w:rPr>
          <w:rFonts w:ascii="Times New Roman" w:hAnsi="Times New Roman" w:cs="Times New Roman"/>
          <w:sz w:val="24"/>
          <w:szCs w:val="24"/>
        </w:rPr>
        <w:t>021-12092/2021</w:t>
      </w:r>
      <w:r w:rsidR="005E3D98">
        <w:rPr>
          <w:rFonts w:ascii="Times New Roman" w:hAnsi="Times New Roman" w:cs="Times New Roman"/>
          <w:sz w:val="24"/>
          <w:szCs w:val="24"/>
          <w:lang w:val="sr-Cyrl-RS"/>
        </w:rPr>
        <w:t>-1</w:t>
      </w:r>
    </w:p>
    <w:p w14:paraId="462D0A90" w14:textId="782E7122" w:rsidR="00AD7521" w:rsidRPr="00AD7521" w:rsidRDefault="009A5EBA">
      <w:pPr>
        <w:rPr>
          <w:rFonts w:ascii="Times New Roman" w:hAnsi="Times New Roman" w:cs="Times New Roman"/>
          <w:sz w:val="24"/>
          <w:szCs w:val="24"/>
          <w:lang w:val="sr-Latn-CS"/>
        </w:rPr>
      </w:pPr>
      <w:r>
        <w:rPr>
          <w:rFonts w:ascii="Times New Roman" w:hAnsi="Times New Roman" w:cs="Times New Roman"/>
          <w:sz w:val="24"/>
          <w:szCs w:val="24"/>
        </w:rPr>
        <w:tab/>
      </w:r>
      <w:r w:rsidR="00AD7521" w:rsidRPr="00AD7521">
        <w:rPr>
          <w:rFonts w:ascii="Times New Roman" w:hAnsi="Times New Roman" w:cs="Times New Roman"/>
          <w:sz w:val="24"/>
          <w:szCs w:val="24"/>
        </w:rPr>
        <w:t>У</w:t>
      </w:r>
      <w:r w:rsidR="00AD7521" w:rsidRPr="00AD7521">
        <w:rPr>
          <w:rFonts w:ascii="Times New Roman" w:hAnsi="Times New Roman" w:cs="Times New Roman"/>
          <w:sz w:val="24"/>
          <w:szCs w:val="24"/>
          <w:lang w:val="sr-Latn-CS"/>
        </w:rPr>
        <w:t xml:space="preserve"> </w:t>
      </w:r>
      <w:r w:rsidR="00AD7521" w:rsidRPr="00AD7521">
        <w:rPr>
          <w:rFonts w:ascii="Times New Roman" w:hAnsi="Times New Roman" w:cs="Times New Roman"/>
          <w:sz w:val="24"/>
          <w:szCs w:val="24"/>
        </w:rPr>
        <w:t>Београду</w:t>
      </w:r>
      <w:r w:rsidR="00AD7521" w:rsidRPr="00AD7521">
        <w:rPr>
          <w:rFonts w:ascii="Times New Roman" w:hAnsi="Times New Roman" w:cs="Times New Roman"/>
          <w:sz w:val="24"/>
          <w:szCs w:val="24"/>
          <w:lang w:val="sr-Latn-CS"/>
        </w:rPr>
        <w:t>,</w:t>
      </w:r>
      <w:r w:rsidR="00AD7521" w:rsidRPr="00AD7521">
        <w:rPr>
          <w:rFonts w:ascii="Times New Roman" w:hAnsi="Times New Roman" w:cs="Times New Roman"/>
          <w:sz w:val="24"/>
          <w:szCs w:val="24"/>
          <w:lang w:val="sr-Cyrl-RS"/>
        </w:rPr>
        <w:t xml:space="preserve"> </w:t>
      </w:r>
      <w:r w:rsidR="005E3D98">
        <w:rPr>
          <w:rFonts w:ascii="Times New Roman" w:hAnsi="Times New Roman" w:cs="Times New Roman"/>
          <w:sz w:val="24"/>
          <w:szCs w:val="24"/>
          <w:lang w:val="sr-Cyrl-RS"/>
        </w:rPr>
        <w:t>29</w:t>
      </w:r>
      <w:r>
        <w:rPr>
          <w:rFonts w:ascii="Times New Roman" w:hAnsi="Times New Roman" w:cs="Times New Roman"/>
          <w:sz w:val="24"/>
          <w:szCs w:val="24"/>
          <w:lang w:val="sr-Cyrl-RS"/>
        </w:rPr>
        <w:t xml:space="preserve">. </w:t>
      </w:r>
      <w:r w:rsidR="00AD7521" w:rsidRPr="00AD7521">
        <w:rPr>
          <w:rFonts w:ascii="Times New Roman" w:hAnsi="Times New Roman" w:cs="Times New Roman"/>
          <w:sz w:val="24"/>
          <w:szCs w:val="24"/>
          <w:lang w:val="sr-Cyrl-RS"/>
        </w:rPr>
        <w:t xml:space="preserve">децембра </w:t>
      </w:r>
      <w:r w:rsidR="00AD7521" w:rsidRPr="00AD7521">
        <w:rPr>
          <w:rFonts w:ascii="Times New Roman" w:hAnsi="Times New Roman" w:cs="Times New Roman"/>
          <w:sz w:val="24"/>
          <w:szCs w:val="24"/>
          <w:lang w:val="sr-Latn-CS"/>
        </w:rPr>
        <w:t>20</w:t>
      </w:r>
      <w:r w:rsidR="00AD7521" w:rsidRPr="00AD7521">
        <w:rPr>
          <w:rFonts w:ascii="Times New Roman" w:hAnsi="Times New Roman" w:cs="Times New Roman"/>
          <w:sz w:val="24"/>
          <w:szCs w:val="24"/>
          <w:lang w:val="sr-Cyrl-RS"/>
        </w:rPr>
        <w:t>2</w:t>
      </w:r>
      <w:r w:rsidR="00AD7521" w:rsidRPr="00AD7521">
        <w:rPr>
          <w:rFonts w:ascii="Times New Roman" w:hAnsi="Times New Roman" w:cs="Times New Roman"/>
          <w:sz w:val="24"/>
          <w:szCs w:val="24"/>
          <w:lang w:val="sr-Latn-CS"/>
        </w:rPr>
        <w:t xml:space="preserve">1. </w:t>
      </w:r>
      <w:r w:rsidR="00AD7521" w:rsidRPr="00AD7521">
        <w:rPr>
          <w:rFonts w:ascii="Times New Roman" w:hAnsi="Times New Roman" w:cs="Times New Roman"/>
          <w:sz w:val="24"/>
          <w:szCs w:val="24"/>
        </w:rPr>
        <w:t>године</w:t>
      </w:r>
    </w:p>
    <w:p w14:paraId="48FAFFD1" w14:textId="77777777" w:rsidR="00AD7521" w:rsidRPr="00AD7521" w:rsidRDefault="00AD7521">
      <w:pPr>
        <w:rPr>
          <w:rFonts w:ascii="Times New Roman" w:hAnsi="Times New Roman" w:cs="Times New Roman"/>
          <w:sz w:val="24"/>
          <w:szCs w:val="24"/>
        </w:rPr>
      </w:pPr>
    </w:p>
    <w:p w14:paraId="6034D608" w14:textId="77777777" w:rsidR="00AD7521" w:rsidRPr="00AD7521" w:rsidRDefault="00AD7521" w:rsidP="009A5EBA">
      <w:pPr>
        <w:pStyle w:val="1tekst"/>
        <w:jc w:val="center"/>
        <w:rPr>
          <w:spacing w:val="40"/>
          <w:szCs w:val="24"/>
          <w:lang w:val="sr-Cyrl-CS"/>
        </w:rPr>
      </w:pPr>
      <w:r w:rsidRPr="00AD7521">
        <w:rPr>
          <w:spacing w:val="40"/>
          <w:szCs w:val="24"/>
          <w:lang w:val="sr-Cyrl-CS"/>
        </w:rPr>
        <w:t>В</w:t>
      </w:r>
      <w:r w:rsidRPr="00AD7521">
        <w:rPr>
          <w:spacing w:val="40"/>
          <w:szCs w:val="24"/>
          <w:lang w:val="sr-Latn-CS"/>
        </w:rPr>
        <w:t xml:space="preserve"> </w:t>
      </w:r>
      <w:r w:rsidRPr="00AD7521">
        <w:rPr>
          <w:spacing w:val="40"/>
          <w:szCs w:val="24"/>
          <w:lang w:val="sr-Cyrl-CS"/>
        </w:rPr>
        <w:t>Л</w:t>
      </w:r>
      <w:r w:rsidRPr="00AD7521">
        <w:rPr>
          <w:spacing w:val="40"/>
          <w:szCs w:val="24"/>
          <w:lang w:val="sr-Latn-CS"/>
        </w:rPr>
        <w:t xml:space="preserve"> </w:t>
      </w:r>
      <w:r w:rsidRPr="00AD7521">
        <w:rPr>
          <w:spacing w:val="40"/>
          <w:szCs w:val="24"/>
          <w:lang w:val="sr-Cyrl-CS"/>
        </w:rPr>
        <w:t>А</w:t>
      </w:r>
      <w:r w:rsidRPr="00AD7521">
        <w:rPr>
          <w:spacing w:val="40"/>
          <w:szCs w:val="24"/>
          <w:lang w:val="sr-Latn-CS"/>
        </w:rPr>
        <w:t xml:space="preserve"> </w:t>
      </w:r>
      <w:r w:rsidRPr="00AD7521">
        <w:rPr>
          <w:spacing w:val="40"/>
          <w:szCs w:val="24"/>
          <w:lang w:val="sr-Cyrl-CS"/>
        </w:rPr>
        <w:t>Д</w:t>
      </w:r>
      <w:r w:rsidRPr="00AD7521">
        <w:rPr>
          <w:spacing w:val="40"/>
          <w:szCs w:val="24"/>
          <w:lang w:val="sr-Latn-CS"/>
        </w:rPr>
        <w:t xml:space="preserve"> </w:t>
      </w:r>
      <w:r w:rsidRPr="00AD7521">
        <w:rPr>
          <w:spacing w:val="40"/>
          <w:szCs w:val="24"/>
          <w:lang w:val="sr-Cyrl-CS"/>
        </w:rPr>
        <w:t>А</w:t>
      </w:r>
    </w:p>
    <w:p w14:paraId="6603DA54" w14:textId="77777777" w:rsidR="00AD7521" w:rsidRPr="00AD7521" w:rsidRDefault="00AD7521">
      <w:pPr>
        <w:pStyle w:val="1tekst"/>
        <w:spacing w:before="0" w:after="0"/>
        <w:ind w:hanging="26"/>
        <w:jc w:val="center"/>
        <w:rPr>
          <w:spacing w:val="40"/>
          <w:szCs w:val="24"/>
          <w:lang w:val="sr-Cyrl-CS"/>
        </w:rPr>
      </w:pPr>
    </w:p>
    <w:tbl>
      <w:tblPr>
        <w:tblW w:w="0" w:type="auto"/>
        <w:tblInd w:w="822" w:type="dxa"/>
        <w:tblLayout w:type="fixed"/>
        <w:tblLook w:val="0000" w:firstRow="0" w:lastRow="0" w:firstColumn="0" w:lastColumn="0" w:noHBand="0" w:noVBand="0"/>
      </w:tblPr>
      <w:tblGrid>
        <w:gridCol w:w="4256"/>
        <w:gridCol w:w="4689"/>
      </w:tblGrid>
      <w:tr w:rsidR="00AD7521" w:rsidRPr="00AD7521" w14:paraId="5712FFD2" w14:textId="77777777" w:rsidTr="009A5EBA">
        <w:tc>
          <w:tcPr>
            <w:tcW w:w="4256" w:type="dxa"/>
          </w:tcPr>
          <w:p w14:paraId="3CDBB829" w14:textId="77777777" w:rsidR="00AD7521" w:rsidRPr="00AD7521" w:rsidRDefault="00AD7521">
            <w:pPr>
              <w:jc w:val="center"/>
              <w:rPr>
                <w:rFonts w:ascii="Times New Roman" w:hAnsi="Times New Roman" w:cs="Times New Roman"/>
                <w:sz w:val="24"/>
                <w:szCs w:val="24"/>
                <w:lang w:val="ru-RU"/>
              </w:rPr>
            </w:pPr>
          </w:p>
        </w:tc>
        <w:tc>
          <w:tcPr>
            <w:tcW w:w="4689" w:type="dxa"/>
          </w:tcPr>
          <w:p w14:paraId="5434C918" w14:textId="77777777" w:rsidR="00AD7521" w:rsidRPr="00AD7521" w:rsidRDefault="00AD7521">
            <w:pPr>
              <w:jc w:val="center"/>
              <w:rPr>
                <w:rFonts w:ascii="Times New Roman" w:hAnsi="Times New Roman" w:cs="Times New Roman"/>
                <w:sz w:val="24"/>
                <w:szCs w:val="24"/>
                <w:lang w:val="ru-RU"/>
              </w:rPr>
            </w:pPr>
          </w:p>
          <w:p w14:paraId="08139382" w14:textId="77777777" w:rsidR="00AD7521" w:rsidRPr="00AD7521" w:rsidRDefault="00AD7521">
            <w:pPr>
              <w:jc w:val="center"/>
              <w:rPr>
                <w:rFonts w:ascii="Times New Roman" w:hAnsi="Times New Roman" w:cs="Times New Roman"/>
                <w:sz w:val="24"/>
                <w:szCs w:val="24"/>
                <w:lang w:val="ru-RU"/>
              </w:rPr>
            </w:pPr>
            <w:r w:rsidRPr="00AD7521">
              <w:rPr>
                <w:rFonts w:ascii="Times New Roman" w:hAnsi="Times New Roman" w:cs="Times New Roman"/>
                <w:sz w:val="24"/>
                <w:szCs w:val="24"/>
                <w:lang w:val="ru-RU"/>
              </w:rPr>
              <w:t>ПРЕДСЕДНИК</w:t>
            </w:r>
          </w:p>
          <w:p w14:paraId="720EAA61" w14:textId="77777777" w:rsidR="00AD7521" w:rsidRPr="00AD7521" w:rsidRDefault="00AD7521">
            <w:pPr>
              <w:rPr>
                <w:rFonts w:ascii="Times New Roman" w:hAnsi="Times New Roman" w:cs="Times New Roman"/>
                <w:sz w:val="24"/>
                <w:szCs w:val="24"/>
              </w:rPr>
            </w:pPr>
          </w:p>
          <w:p w14:paraId="37AB485F" w14:textId="77777777" w:rsidR="00AD7521" w:rsidRPr="00AD7521" w:rsidRDefault="00AD7521">
            <w:pPr>
              <w:rPr>
                <w:rFonts w:ascii="Times New Roman" w:hAnsi="Times New Roman" w:cs="Times New Roman"/>
                <w:sz w:val="24"/>
                <w:szCs w:val="24"/>
              </w:rPr>
            </w:pPr>
          </w:p>
          <w:p w14:paraId="4104252D" w14:textId="77777777" w:rsidR="00AD7521" w:rsidRPr="00AD7521" w:rsidRDefault="00AD7521">
            <w:pPr>
              <w:pStyle w:val="Footer"/>
              <w:jc w:val="center"/>
              <w:rPr>
                <w:rFonts w:ascii="Times New Roman" w:hAnsi="Times New Roman" w:cs="Times New Roman"/>
                <w:sz w:val="24"/>
                <w:szCs w:val="24"/>
              </w:rPr>
            </w:pPr>
            <w:r w:rsidRPr="00AD7521">
              <w:rPr>
                <w:rFonts w:ascii="Times New Roman" w:hAnsi="Times New Roman" w:cs="Times New Roman"/>
                <w:sz w:val="24"/>
                <w:szCs w:val="24"/>
                <w:lang w:val="ru-RU"/>
              </w:rPr>
              <w:t>Ана Брнабић</w:t>
            </w:r>
          </w:p>
        </w:tc>
      </w:tr>
    </w:tbl>
    <w:p w14:paraId="0EECF847" w14:textId="77777777" w:rsidR="00AD7521" w:rsidRPr="00AD7521" w:rsidRDefault="00AD7521" w:rsidP="00D2017F">
      <w:pPr>
        <w:rPr>
          <w:rFonts w:ascii="Times New Roman" w:hAnsi="Times New Roman" w:cs="Times New Roman"/>
          <w:sz w:val="24"/>
          <w:szCs w:val="24"/>
          <w:lang w:val="sr-Cyrl-RS"/>
        </w:rPr>
      </w:pPr>
    </w:p>
    <w:p w14:paraId="1B238678" w14:textId="01AF334D" w:rsidR="00AD7521" w:rsidRPr="00AD7521" w:rsidRDefault="00AD7521">
      <w:pPr>
        <w:jc w:val="both"/>
        <w:rPr>
          <w:rFonts w:ascii="Times New Roman" w:hAnsi="Times New Roman" w:cs="Times New Roman"/>
          <w:sz w:val="24"/>
          <w:szCs w:val="24"/>
          <w:lang w:val="sr-Cyrl-RS"/>
        </w:rPr>
      </w:pPr>
    </w:p>
    <w:p w14:paraId="1AD061E8" w14:textId="77777777" w:rsidR="00AD7521" w:rsidRDefault="00AD7521">
      <w:pPr>
        <w:jc w:val="both"/>
        <w:rPr>
          <w:rFonts w:ascii="Times New Roman" w:hAnsi="Times New Roman" w:cs="Times New Roman"/>
          <w:sz w:val="24"/>
          <w:szCs w:val="24"/>
        </w:rPr>
      </w:pPr>
    </w:p>
    <w:p w14:paraId="52C42007" w14:textId="6C4B3873" w:rsidR="002149D4" w:rsidRPr="002149D4" w:rsidRDefault="002149D4">
      <w:pPr>
        <w:jc w:val="both"/>
        <w:rPr>
          <w:rFonts w:ascii="Times New Roman" w:hAnsi="Times New Roman" w:cs="Times New Roman"/>
          <w:sz w:val="24"/>
          <w:szCs w:val="24"/>
        </w:rPr>
      </w:pPr>
    </w:p>
    <w:sectPr w:rsidR="002149D4" w:rsidRPr="002149D4" w:rsidSect="00E80E0B">
      <w:headerReference w:type="default" r:id="rId9"/>
      <w:footerReference w:type="default" r:id="rId10"/>
      <w:pgSz w:w="11907" w:h="16840" w:code="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8F054" w14:textId="77777777" w:rsidR="00D2017F" w:rsidRDefault="00D2017F" w:rsidP="00580E9E">
      <w:pPr>
        <w:spacing w:line="240" w:lineRule="auto"/>
      </w:pPr>
      <w:r>
        <w:separator/>
      </w:r>
    </w:p>
    <w:p w14:paraId="0008AFDE" w14:textId="77777777" w:rsidR="00D2017F" w:rsidRDefault="00D2017F"/>
  </w:endnote>
  <w:endnote w:type="continuationSeparator" w:id="0">
    <w:p w14:paraId="50D242B1" w14:textId="77777777" w:rsidR="00D2017F" w:rsidRDefault="00D2017F" w:rsidP="00580E9E">
      <w:pPr>
        <w:spacing w:line="240" w:lineRule="auto"/>
      </w:pPr>
      <w:r>
        <w:continuationSeparator/>
      </w:r>
    </w:p>
    <w:p w14:paraId="2D555CFD" w14:textId="77777777" w:rsidR="00D2017F" w:rsidRDefault="00D2017F"/>
  </w:endnote>
  <w:endnote w:type="continuationNotice" w:id="1">
    <w:p w14:paraId="44B49EFC" w14:textId="77777777" w:rsidR="00D2017F" w:rsidRDefault="00D2017F">
      <w:pPr>
        <w:spacing w:line="240" w:lineRule="auto"/>
      </w:pPr>
    </w:p>
    <w:p w14:paraId="60440602" w14:textId="77777777" w:rsidR="00D2017F" w:rsidRDefault="00D20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SimSun"/>
    <w:panose1 w:val="02010600030101010101"/>
    <w:charset w:val="86"/>
    <w:family w:val="auto"/>
    <w:pitch w:val="variable"/>
    <w:sig w:usb0="00000000"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F6A6" w14:textId="515E572C" w:rsidR="00D2017F" w:rsidRPr="00A1716A" w:rsidRDefault="00D2017F">
    <w:pPr>
      <w:pStyle w:val="Footer"/>
      <w:jc w:val="right"/>
      <w:rPr>
        <w:rFonts w:ascii="Cambria" w:hAnsi="Cambria"/>
      </w:rPr>
    </w:pPr>
  </w:p>
  <w:p w14:paraId="74A51E96" w14:textId="77777777" w:rsidR="00D2017F" w:rsidRDefault="00D2017F">
    <w:pPr>
      <w:pStyle w:val="Footer"/>
    </w:pPr>
  </w:p>
  <w:p w14:paraId="45C94C58" w14:textId="77777777" w:rsidR="00D2017F" w:rsidRDefault="00D201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6A858" w14:textId="77777777" w:rsidR="00D2017F" w:rsidRDefault="00D2017F" w:rsidP="00580E9E">
      <w:pPr>
        <w:spacing w:line="240" w:lineRule="auto"/>
      </w:pPr>
      <w:r>
        <w:separator/>
      </w:r>
    </w:p>
    <w:p w14:paraId="54151481" w14:textId="77777777" w:rsidR="00D2017F" w:rsidRDefault="00D2017F"/>
  </w:footnote>
  <w:footnote w:type="continuationSeparator" w:id="0">
    <w:p w14:paraId="3EDD3F77" w14:textId="77777777" w:rsidR="00D2017F" w:rsidRDefault="00D2017F" w:rsidP="00580E9E">
      <w:pPr>
        <w:spacing w:line="240" w:lineRule="auto"/>
      </w:pPr>
      <w:r>
        <w:continuationSeparator/>
      </w:r>
    </w:p>
    <w:p w14:paraId="48D893F1" w14:textId="77777777" w:rsidR="00D2017F" w:rsidRDefault="00D2017F"/>
  </w:footnote>
  <w:footnote w:type="continuationNotice" w:id="1">
    <w:p w14:paraId="0604DE47" w14:textId="77777777" w:rsidR="00D2017F" w:rsidRDefault="00D2017F">
      <w:pPr>
        <w:spacing w:line="240" w:lineRule="auto"/>
      </w:pPr>
    </w:p>
    <w:p w14:paraId="03CFFB06" w14:textId="77777777" w:rsidR="00D2017F" w:rsidRDefault="00D2017F"/>
  </w:footnote>
  <w:footnote w:id="2">
    <w:p w14:paraId="321D19F2" w14:textId="77777777" w:rsidR="00D2017F" w:rsidRPr="001C016F" w:rsidRDefault="00D2017F" w:rsidP="00AB3577">
      <w:pPr>
        <w:pStyle w:val="FootnoteText"/>
        <w:rPr>
          <w:lang w:val="sr-Cyrl-RS"/>
        </w:rPr>
      </w:pPr>
      <w:r>
        <w:rPr>
          <w:rStyle w:val="FootnoteReference"/>
        </w:rPr>
        <w:footnoteRef/>
      </w:r>
      <w:r>
        <w:t xml:space="preserve"> </w:t>
      </w:r>
      <w:r>
        <w:rPr>
          <w:rFonts w:ascii="Cambria" w:hAnsi="Cambria"/>
          <w:lang w:val="sr-Cyrl-RS"/>
        </w:rPr>
        <w:t>В</w:t>
      </w:r>
      <w:r w:rsidRPr="002F7AD3">
        <w:rPr>
          <w:rFonts w:ascii="Cambria" w:hAnsi="Cambria"/>
          <w:lang w:val="sr-Cyrl-RS"/>
        </w:rPr>
        <w:t xml:space="preserve">идети </w:t>
      </w:r>
      <w:r>
        <w:rPr>
          <w:rFonts w:ascii="Cambria" w:hAnsi="Cambria"/>
          <w:lang w:val="sr-Cyrl-RS"/>
        </w:rPr>
        <w:t>тачку 3</w:t>
      </w:r>
      <w:r w:rsidRPr="002F7AD3">
        <w:rPr>
          <w:rFonts w:ascii="Cambria" w:hAnsi="Cambria"/>
          <w:lang w:val="sr-Cyrl-RS"/>
        </w:rPr>
        <w:t xml:space="preserve"> - </w:t>
      </w:r>
      <w:r w:rsidRPr="000E0847">
        <w:rPr>
          <w:rFonts w:ascii="Cambria" w:hAnsi="Cambria"/>
          <w:i/>
          <w:lang w:val="sr-Cyrl-RS"/>
        </w:rPr>
        <w:t>Опис постојећег стања</w:t>
      </w:r>
      <w:r w:rsidRPr="002F7AD3">
        <w:rPr>
          <w:rFonts w:ascii="Cambria" w:hAnsi="Cambria"/>
          <w:i/>
          <w:lang w:val="sr-Cyrl-RS"/>
        </w:rPr>
        <w:t xml:space="preserve"> </w:t>
      </w:r>
    </w:p>
  </w:footnote>
  <w:footnote w:id="3">
    <w:p w14:paraId="41692A1D" w14:textId="77777777" w:rsidR="00D2017F" w:rsidRPr="00115597" w:rsidRDefault="00D2017F" w:rsidP="00AB3577">
      <w:pPr>
        <w:pStyle w:val="FootnoteText"/>
        <w:rPr>
          <w:lang w:val="sr-Cyrl-RS"/>
        </w:rPr>
      </w:pPr>
      <w:r>
        <w:rPr>
          <w:rStyle w:val="FootnoteReference"/>
        </w:rPr>
        <w:footnoteRef/>
      </w:r>
      <w:r w:rsidRPr="00A23055">
        <w:rPr>
          <w:lang w:val="sr-Cyrl-RS"/>
        </w:rPr>
        <w:t xml:space="preserve"> </w:t>
      </w:r>
      <w:r>
        <w:rPr>
          <w:lang w:val="sr-Cyrl-RS"/>
        </w:rPr>
        <w:t>З</w:t>
      </w:r>
      <w:r w:rsidRPr="002F7AD3">
        <w:rPr>
          <w:rFonts w:ascii="Cambria" w:hAnsi="Cambria"/>
          <w:lang w:val="sr-Cyrl-RS"/>
        </w:rPr>
        <w:t xml:space="preserve">а детаље, видети </w:t>
      </w:r>
      <w:hyperlink w:anchor="_ПОСЕБНИ_ЦИЉЕВИ" w:history="1">
        <w:r w:rsidRPr="002F7AD3">
          <w:rPr>
            <w:rStyle w:val="Hyperlink"/>
            <w:rFonts w:ascii="Cambria" w:hAnsi="Cambria"/>
            <w:lang w:val="sr-Cyrl-RS"/>
          </w:rPr>
          <w:t>тачку 6</w:t>
        </w:r>
      </w:hyperlink>
      <w:r w:rsidRPr="002F7AD3">
        <w:rPr>
          <w:rFonts w:ascii="Cambria" w:hAnsi="Cambria"/>
          <w:lang w:val="sr-Cyrl-RS"/>
        </w:rPr>
        <w:t xml:space="preserve"> – </w:t>
      </w:r>
      <w:r w:rsidRPr="000E0847">
        <w:rPr>
          <w:rFonts w:ascii="Cambria" w:hAnsi="Cambria"/>
          <w:i/>
          <w:lang w:val="sr-Cyrl-RS"/>
        </w:rPr>
        <w:t>Посебни циљеви</w:t>
      </w:r>
      <w:r>
        <w:rPr>
          <w:rFonts w:ascii="Cambria" w:hAnsi="Cambria"/>
          <w:lang w:val="sr-Cyrl-RS"/>
        </w:rPr>
        <w:t xml:space="preserve"> </w:t>
      </w:r>
    </w:p>
  </w:footnote>
  <w:footnote w:id="4">
    <w:p w14:paraId="7A817160" w14:textId="0CFF834D" w:rsidR="00D2017F" w:rsidRPr="00BC31DB" w:rsidRDefault="00D2017F" w:rsidP="00AB3577">
      <w:pPr>
        <w:pStyle w:val="FootnoteText"/>
        <w:rPr>
          <w:lang w:val="sr-Cyrl-RS"/>
        </w:rPr>
      </w:pPr>
      <w:r>
        <w:rPr>
          <w:rStyle w:val="FootnoteReference"/>
        </w:rPr>
        <w:footnoteRef/>
      </w:r>
      <w:r w:rsidRPr="00115597">
        <w:rPr>
          <w:lang w:val="sr-Cyrl-RS"/>
        </w:rPr>
        <w:t xml:space="preserve"> </w:t>
      </w:r>
      <w:r>
        <w:rPr>
          <w:rFonts w:ascii="Cambria" w:hAnsi="Cambria"/>
          <w:lang w:val="sr-Cyrl-RS"/>
        </w:rPr>
        <w:t>З</w:t>
      </w:r>
      <w:r w:rsidRPr="002F7AD3">
        <w:rPr>
          <w:rFonts w:ascii="Cambria" w:hAnsi="Cambria"/>
          <w:lang w:val="sr-Cyrl-RS"/>
        </w:rPr>
        <w:t xml:space="preserve">а детаље, видети </w:t>
      </w:r>
      <w:hyperlink w:anchor="_Веза_са_документима" w:history="1">
        <w:r w:rsidRPr="002F7AD3">
          <w:rPr>
            <w:rStyle w:val="Hyperlink"/>
            <w:rFonts w:ascii="Cambria" w:hAnsi="Cambria"/>
            <w:lang w:val="sr-Cyrl-RS"/>
          </w:rPr>
          <w:t>тачку 2.1.</w:t>
        </w:r>
      </w:hyperlink>
      <w:r w:rsidRPr="002F7AD3">
        <w:rPr>
          <w:rFonts w:ascii="Cambria" w:hAnsi="Cambria"/>
          <w:lang w:val="sr-Cyrl-RS"/>
        </w:rPr>
        <w:t>1 –</w:t>
      </w:r>
      <w:r w:rsidRPr="002F7AD3">
        <w:rPr>
          <w:rFonts w:ascii="Cambria" w:hAnsi="Cambria"/>
          <w:i/>
          <w:lang w:val="sr-Cyrl-RS"/>
        </w:rPr>
        <w:t>Стратегиј</w:t>
      </w:r>
      <w:r>
        <w:rPr>
          <w:rFonts w:ascii="Cambria" w:hAnsi="Cambria"/>
          <w:i/>
          <w:lang w:val="sr-Cyrl-RS"/>
        </w:rPr>
        <w:t>а</w:t>
      </w:r>
      <w:r w:rsidRPr="002F7AD3">
        <w:rPr>
          <w:rFonts w:ascii="Cambria" w:hAnsi="Cambria"/>
          <w:i/>
          <w:lang w:val="sr-Cyrl-RS"/>
        </w:rPr>
        <w:t xml:space="preserve"> развоја правосуђа</w:t>
      </w:r>
      <w:r>
        <w:rPr>
          <w:rFonts w:ascii="Cambria" w:hAnsi="Cambria"/>
          <w:i/>
          <w:lang w:val="sr-Cyrl-RS"/>
        </w:rPr>
        <w:t xml:space="preserve"> </w:t>
      </w:r>
      <w:r>
        <w:rPr>
          <w:rFonts w:ascii="Cambria" w:hAnsi="Cambria"/>
          <w:i/>
          <w:lang w:val="sr-Latn-RS"/>
        </w:rPr>
        <w:t>za period</w:t>
      </w:r>
      <w:r w:rsidRPr="002F7AD3">
        <w:rPr>
          <w:rFonts w:ascii="Cambria" w:hAnsi="Cambria"/>
          <w:i/>
          <w:lang w:val="sr-Cyrl-RS"/>
        </w:rPr>
        <w:t xml:space="preserve"> </w:t>
      </w:r>
      <w:r>
        <w:rPr>
          <w:rFonts w:ascii="Cambria" w:hAnsi="Cambria"/>
          <w:i/>
          <w:lang w:val="sr-Cyrl-RS"/>
        </w:rPr>
        <w:t>2020-2025.</w:t>
      </w:r>
      <w:r>
        <w:rPr>
          <w:rFonts w:ascii="Cambria" w:hAnsi="Cambria"/>
          <w:lang w:val="sr-Cyrl-RS"/>
        </w:rPr>
        <w:t xml:space="preserve"> </w:t>
      </w:r>
      <w:r w:rsidRPr="00502E59">
        <w:rPr>
          <w:rFonts w:ascii="Cambria" w:hAnsi="Cambria"/>
          <w:i/>
          <w:lang w:val="sr-Cyrl-RS"/>
        </w:rPr>
        <w:t>година</w:t>
      </w:r>
    </w:p>
  </w:footnote>
  <w:footnote w:id="5">
    <w:p w14:paraId="1859D7CF" w14:textId="7C841F2C" w:rsidR="00D2017F" w:rsidRPr="00314237" w:rsidRDefault="00D2017F" w:rsidP="00314237">
      <w:pPr>
        <w:pStyle w:val="FootnoteText"/>
        <w:jc w:val="both"/>
        <w:rPr>
          <w:lang w:val="sr-Cyrl-RS"/>
        </w:rPr>
      </w:pPr>
      <w:r>
        <w:rPr>
          <w:rStyle w:val="FootnoteReference"/>
        </w:rPr>
        <w:footnoteRef/>
      </w:r>
      <w:r w:rsidRPr="00314237">
        <w:rPr>
          <w:lang w:val="sr-Cyrl-RS"/>
        </w:rPr>
        <w:t xml:space="preserve"> </w:t>
      </w:r>
      <w:r w:rsidRPr="00314237">
        <w:rPr>
          <w:rFonts w:ascii="Cambria" w:hAnsi="Cambria"/>
          <w:lang w:val="sr-Cyrl-RS"/>
        </w:rPr>
        <w:t xml:space="preserve">Стручну и административну подршку Радној групи </w:t>
      </w:r>
      <w:r>
        <w:rPr>
          <w:rFonts w:ascii="Cambria" w:hAnsi="Cambria"/>
          <w:lang w:val="sr-Cyrl-RS"/>
        </w:rPr>
        <w:t>пружа</w:t>
      </w:r>
      <w:r w:rsidRPr="00314237">
        <w:rPr>
          <w:rFonts w:ascii="Cambria" w:hAnsi="Cambria"/>
          <w:lang w:val="sr-Cyrl-RS"/>
        </w:rPr>
        <w:t xml:space="preserve"> ЕУ ИПА 2016 Пројекат „Подршка Високом савету судства“, који финансира Европска унија, а спроводи Немачка организација за међународну сарадњу ГИЗ. У оквиру тог Пројекта су израђени Стратегија људских ресурса 2020-2025. и Акциони план за њену имплементацију и пружена је потребна подршка за организовање процеса јавне расправе и јавних консултација</w:t>
      </w:r>
      <w:r>
        <w:rPr>
          <w:rFonts w:ascii="Cambria" w:hAnsi="Cambria"/>
          <w:lang w:val="sr-Cyrl-RS"/>
        </w:rPr>
        <w:t>.</w:t>
      </w:r>
    </w:p>
  </w:footnote>
  <w:footnote w:id="6">
    <w:p w14:paraId="02F169CF" w14:textId="45280EA0" w:rsidR="00D2017F" w:rsidRPr="000E0847" w:rsidRDefault="00D2017F" w:rsidP="000E0847">
      <w:pPr>
        <w:pStyle w:val="Normal4"/>
        <w:spacing w:before="0" w:beforeAutospacing="0" w:after="0" w:afterAutospacing="0"/>
        <w:rPr>
          <w:lang w:val="sr-Cyrl-RS"/>
        </w:rPr>
      </w:pPr>
      <w:r>
        <w:rPr>
          <w:rStyle w:val="FootnoteReference"/>
        </w:rPr>
        <w:footnoteRef/>
      </w:r>
      <w:r w:rsidRPr="000E0847">
        <w:rPr>
          <w:lang w:val="sr-Cyrl-RS"/>
        </w:rPr>
        <w:t xml:space="preserve"> </w:t>
      </w:r>
      <w:r w:rsidRPr="00326C2A">
        <w:rPr>
          <w:rFonts w:ascii="Cambria" w:eastAsiaTheme="minorEastAsia" w:hAnsi="Cambria" w:cstheme="minorBidi"/>
          <w:sz w:val="20"/>
          <w:szCs w:val="20"/>
          <w:lang w:val="sr-Cyrl-RS"/>
        </w:rPr>
        <w:t>Члан 23 (Усклађеност планских докумената): (</w:t>
      </w:r>
      <w:r w:rsidRPr="00326C2A">
        <w:rPr>
          <w:rFonts w:ascii="Cambria" w:eastAsiaTheme="minorEastAsia" w:hAnsi="Cambria" w:cstheme="minorBidi"/>
          <w:b/>
          <w:sz w:val="20"/>
          <w:szCs w:val="20"/>
          <w:lang w:val="sr-Cyrl-RS"/>
        </w:rPr>
        <w:t>1</w:t>
      </w:r>
      <w:r w:rsidRPr="00326C2A">
        <w:rPr>
          <w:rFonts w:ascii="Cambria" w:eastAsiaTheme="minorEastAsia" w:hAnsi="Cambria" w:cstheme="minorBidi"/>
          <w:sz w:val="20"/>
          <w:szCs w:val="20"/>
          <w:lang w:val="sr-Cyrl-RS"/>
        </w:rPr>
        <w:t>) Приликом израде и усвајања планских докумената води се рачуна о њиховој усклађености са Уставом, потврђеним међународним уговорима, законом и обавезама преузетим у процесу ЕУ интеграција. (</w:t>
      </w:r>
      <w:r w:rsidRPr="00326C2A">
        <w:rPr>
          <w:rFonts w:ascii="Cambria" w:eastAsiaTheme="minorEastAsia" w:hAnsi="Cambria" w:cstheme="minorBidi"/>
          <w:b/>
          <w:sz w:val="20"/>
          <w:szCs w:val="20"/>
          <w:lang w:val="sr-Cyrl-RS"/>
        </w:rPr>
        <w:t>2</w:t>
      </w:r>
      <w:r w:rsidRPr="00326C2A">
        <w:rPr>
          <w:rFonts w:ascii="Cambria" w:eastAsiaTheme="minorEastAsia" w:hAnsi="Cambria" w:cstheme="minorBidi"/>
          <w:sz w:val="20"/>
          <w:szCs w:val="20"/>
          <w:lang w:val="sr-Cyrl-RS"/>
        </w:rPr>
        <w:t>) План развоја и Просторни план Републике Србије морају бити међусобно усклађени. (</w:t>
      </w:r>
      <w:r w:rsidRPr="00326C2A">
        <w:rPr>
          <w:rFonts w:ascii="Cambria" w:eastAsiaTheme="minorEastAsia" w:hAnsi="Cambria" w:cstheme="minorBidi"/>
          <w:b/>
          <w:sz w:val="20"/>
          <w:szCs w:val="20"/>
          <w:lang w:val="sr-Cyrl-RS"/>
        </w:rPr>
        <w:t>3</w:t>
      </w:r>
      <w:r w:rsidRPr="00326C2A">
        <w:rPr>
          <w:rFonts w:ascii="Cambria" w:eastAsiaTheme="minorEastAsia" w:hAnsi="Cambria" w:cstheme="minorBidi"/>
          <w:sz w:val="20"/>
          <w:szCs w:val="20"/>
          <w:lang w:val="sr-Cyrl-RS"/>
        </w:rPr>
        <w:t>)Приликом израде свих других планских докумената води се рачуна о њиховој усклађености са Планом развоја, Просторним планом Републике Србије, Инвестиционим планом и другим планским документима вишег и једнаког значаја.</w:t>
      </w:r>
    </w:p>
  </w:footnote>
  <w:footnote w:id="7">
    <w:p w14:paraId="4227557F" w14:textId="77777777" w:rsidR="00D2017F" w:rsidRPr="00EB2BF0" w:rsidRDefault="00D2017F" w:rsidP="00314237">
      <w:pPr>
        <w:pStyle w:val="FootnoteText"/>
        <w:rPr>
          <w:lang w:val="sr-Cyrl-RS"/>
        </w:rPr>
      </w:pPr>
      <w:r>
        <w:rPr>
          <w:rStyle w:val="FootnoteReference"/>
        </w:rPr>
        <w:footnoteRef/>
      </w:r>
      <w:r w:rsidRPr="00EB2BF0">
        <w:rPr>
          <w:lang w:val="sr-Cyrl-RS"/>
        </w:rPr>
        <w:t xml:space="preserve"> </w:t>
      </w:r>
      <w:r w:rsidRPr="00A23055">
        <w:rPr>
          <w:rFonts w:ascii="Cambria" w:hAnsi="Cambria"/>
          <w:lang w:val="sr-Cyrl-RS"/>
        </w:rPr>
        <w:t>Видети члан 14</w:t>
      </w:r>
      <w:r>
        <w:rPr>
          <w:rFonts w:ascii="Cambria" w:hAnsi="Cambria"/>
          <w:lang w:val="sr-Cyrl-RS"/>
        </w:rPr>
        <w:t>3</w:t>
      </w:r>
      <w:r w:rsidRPr="00A23055">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8">
    <w:p w14:paraId="7A07D1E2" w14:textId="77777777" w:rsidR="00D2017F" w:rsidRPr="00EB2BF0" w:rsidRDefault="00D2017F" w:rsidP="00314237">
      <w:pPr>
        <w:pStyle w:val="FootnoteText"/>
        <w:rPr>
          <w:lang w:val="sr-Cyrl-RS"/>
        </w:rPr>
      </w:pPr>
      <w:r>
        <w:rPr>
          <w:rStyle w:val="FootnoteReference"/>
        </w:rPr>
        <w:footnoteRef/>
      </w:r>
      <w:r w:rsidRPr="00EB2BF0">
        <w:rPr>
          <w:lang w:val="sr-Cyrl-RS"/>
        </w:rPr>
        <w:t xml:space="preserve"> </w:t>
      </w:r>
      <w:r w:rsidRPr="00A23055">
        <w:rPr>
          <w:rFonts w:ascii="Cambria" w:hAnsi="Cambria"/>
          <w:lang w:val="sr-Cyrl-RS"/>
        </w:rPr>
        <w:t>Видети члан 14</w:t>
      </w:r>
      <w:r>
        <w:rPr>
          <w:rFonts w:ascii="Cambria" w:hAnsi="Cambria"/>
          <w:lang w:val="sr-Cyrl-RS"/>
        </w:rPr>
        <w:t>4</w:t>
      </w:r>
      <w:r w:rsidRPr="00A23055">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9">
    <w:p w14:paraId="190BC8C2"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A23055">
        <w:rPr>
          <w:rFonts w:ascii="Cambria" w:hAnsi="Cambria"/>
          <w:lang w:val="sr-Cyrl-RS"/>
        </w:rPr>
        <w:t>Видети члан 146 Устава Републике Србије („Службени гласник РС“, бр. 98/2006)</w:t>
      </w:r>
      <w:r>
        <w:rPr>
          <w:rFonts w:ascii="Cambria" w:hAnsi="Cambria"/>
          <w:lang w:val="sr-Cyrl-RS"/>
        </w:rPr>
        <w:t>.</w:t>
      </w:r>
    </w:p>
  </w:footnote>
  <w:footnote w:id="10">
    <w:p w14:paraId="7421857A" w14:textId="77777777" w:rsidR="00D2017F" w:rsidRPr="006A12B2" w:rsidRDefault="00D2017F" w:rsidP="00314237">
      <w:pPr>
        <w:pStyle w:val="FootnoteText"/>
        <w:rPr>
          <w:lang w:val="sr-Cyrl-RS"/>
        </w:rPr>
      </w:pPr>
      <w:r>
        <w:rPr>
          <w:rStyle w:val="FootnoteReference"/>
        </w:rPr>
        <w:footnoteRef/>
      </w:r>
      <w:r w:rsidRPr="006A12B2">
        <w:rPr>
          <w:lang w:val="sr-Cyrl-RS"/>
        </w:rPr>
        <w:t xml:space="preserve"> </w:t>
      </w:r>
      <w:r w:rsidRPr="006A12B2">
        <w:rPr>
          <w:rFonts w:ascii="Cambria" w:hAnsi="Cambria"/>
          <w:lang w:val="sr-Cyrl-RS"/>
        </w:rPr>
        <w:t>Видети члан 14</w:t>
      </w:r>
      <w:r>
        <w:rPr>
          <w:rFonts w:ascii="Cambria" w:hAnsi="Cambria"/>
          <w:lang w:val="sr-Cyrl-RS"/>
        </w:rPr>
        <w:t>7</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1">
    <w:p w14:paraId="450A92B4"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Видети члан 14</w:t>
      </w:r>
      <w:r>
        <w:rPr>
          <w:rFonts w:ascii="Cambria" w:hAnsi="Cambria"/>
          <w:lang w:val="sr-Cyrl-RS"/>
        </w:rPr>
        <w:t>8</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2">
    <w:p w14:paraId="41AAE71F"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Видети члан 14</w:t>
      </w:r>
      <w:r>
        <w:rPr>
          <w:rFonts w:ascii="Cambria" w:hAnsi="Cambria"/>
          <w:lang w:val="sr-Cyrl-RS"/>
        </w:rPr>
        <w:t>9</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3">
    <w:p w14:paraId="54716109"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150</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4">
    <w:p w14:paraId="1CA468C5"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Видети члан</w:t>
      </w:r>
      <w:r>
        <w:rPr>
          <w:rFonts w:ascii="Cambria" w:hAnsi="Cambria"/>
          <w:lang w:val="sr-Cyrl-RS"/>
        </w:rPr>
        <w:t>ове</w:t>
      </w:r>
      <w:r w:rsidRPr="006A12B2">
        <w:rPr>
          <w:rFonts w:ascii="Cambria" w:hAnsi="Cambria"/>
          <w:lang w:val="sr-Cyrl-RS"/>
        </w:rPr>
        <w:t xml:space="preserve"> </w:t>
      </w:r>
      <w:r>
        <w:rPr>
          <w:rFonts w:ascii="Cambria" w:hAnsi="Cambria"/>
          <w:lang w:val="sr-Cyrl-RS"/>
        </w:rPr>
        <w:t>153 и 154</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5">
    <w:p w14:paraId="6A540084"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156</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6">
    <w:p w14:paraId="33A4B593"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157</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7">
    <w:p w14:paraId="50D69846"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159</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8">
    <w:p w14:paraId="539CA765"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160</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19">
    <w:p w14:paraId="3BCEB219"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 xml:space="preserve">Видети члан </w:t>
      </w:r>
      <w:r>
        <w:rPr>
          <w:rFonts w:ascii="Cambria" w:hAnsi="Cambria"/>
          <w:lang w:val="sr-Cyrl-RS"/>
        </w:rPr>
        <w:t>161</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20">
    <w:p w14:paraId="03932BD9" w14:textId="77777777" w:rsidR="00D2017F" w:rsidRPr="00A23055" w:rsidRDefault="00D2017F" w:rsidP="00314237">
      <w:pPr>
        <w:pStyle w:val="FootnoteText"/>
        <w:rPr>
          <w:lang w:val="sr-Cyrl-RS"/>
        </w:rPr>
      </w:pPr>
      <w:r>
        <w:rPr>
          <w:rStyle w:val="FootnoteReference"/>
        </w:rPr>
        <w:footnoteRef/>
      </w:r>
      <w:r w:rsidRPr="00A23055">
        <w:rPr>
          <w:lang w:val="sr-Cyrl-RS"/>
        </w:rPr>
        <w:t xml:space="preserve"> </w:t>
      </w:r>
      <w:r w:rsidRPr="006A12B2">
        <w:rPr>
          <w:rFonts w:ascii="Cambria" w:hAnsi="Cambria"/>
          <w:lang w:val="sr-Cyrl-RS"/>
        </w:rPr>
        <w:t>Видети члан</w:t>
      </w:r>
      <w:r>
        <w:rPr>
          <w:rFonts w:ascii="Cambria" w:hAnsi="Cambria"/>
          <w:lang w:val="sr-Cyrl-RS"/>
        </w:rPr>
        <w:t>ове</w:t>
      </w:r>
      <w:r w:rsidRPr="006A12B2">
        <w:rPr>
          <w:rFonts w:ascii="Cambria" w:hAnsi="Cambria"/>
          <w:lang w:val="sr-Cyrl-RS"/>
        </w:rPr>
        <w:t xml:space="preserve"> </w:t>
      </w:r>
      <w:r>
        <w:rPr>
          <w:rFonts w:ascii="Cambria" w:hAnsi="Cambria"/>
          <w:lang w:val="sr-Cyrl-RS"/>
        </w:rPr>
        <w:t>164 и 165</w:t>
      </w:r>
      <w:r w:rsidRPr="006A12B2">
        <w:rPr>
          <w:rFonts w:ascii="Cambria" w:hAnsi="Cambria"/>
          <w:lang w:val="sr-Cyrl-RS"/>
        </w:rPr>
        <w:t xml:space="preserve"> Устава Републике Србије („Службени гласник РС“, бр. 98/2006)</w:t>
      </w:r>
      <w:r>
        <w:rPr>
          <w:rFonts w:ascii="Cambria" w:hAnsi="Cambria"/>
          <w:lang w:val="sr-Cyrl-RS"/>
        </w:rPr>
        <w:t>.</w:t>
      </w:r>
    </w:p>
  </w:footnote>
  <w:footnote w:id="21">
    <w:p w14:paraId="4005D13D" w14:textId="77777777" w:rsidR="00D2017F" w:rsidRPr="00F379B6" w:rsidRDefault="00D2017F" w:rsidP="00314237">
      <w:pPr>
        <w:pStyle w:val="FootnoteText"/>
        <w:rPr>
          <w:lang w:val="sr-Cyrl-RS"/>
        </w:rPr>
      </w:pPr>
      <w:r>
        <w:rPr>
          <w:rStyle w:val="FootnoteReference"/>
        </w:rPr>
        <w:footnoteRef/>
      </w:r>
      <w:r w:rsidRPr="00A23055">
        <w:rPr>
          <w:lang w:val="sr-Cyrl-RS"/>
        </w:rPr>
        <w:t xml:space="preserve"> </w:t>
      </w:r>
      <w:r w:rsidRPr="00F379B6">
        <w:rPr>
          <w:rFonts w:ascii="Cambria" w:hAnsi="Cambria"/>
          <w:lang w:val="sr-Cyrl-RS"/>
        </w:rPr>
        <w:t>Видети члан 82 Закона о уређењу судова</w:t>
      </w:r>
      <w:r w:rsidRPr="002F7AD3">
        <w:rPr>
          <w:rFonts w:ascii="Cambria" w:hAnsi="Cambria"/>
          <w:lang w:val="sr-Cyrl-RS"/>
        </w:rPr>
        <w:t xml:space="preserve"> („Службени. гласник РС", бр. 116/2008 … 88/2018 - одлука УС)</w:t>
      </w:r>
      <w:r>
        <w:rPr>
          <w:rFonts w:ascii="Cambria" w:hAnsi="Cambria"/>
          <w:lang w:val="sr-Cyrl-RS"/>
        </w:rPr>
        <w:t>.</w:t>
      </w:r>
    </w:p>
  </w:footnote>
  <w:footnote w:id="22">
    <w:p w14:paraId="3A38EDD9" w14:textId="77777777" w:rsidR="00D2017F" w:rsidRPr="00CD2DB5" w:rsidRDefault="00D2017F" w:rsidP="00314237">
      <w:pPr>
        <w:pStyle w:val="FootnoteText"/>
        <w:rPr>
          <w:lang w:val="sr-Cyrl-RS"/>
        </w:rPr>
      </w:pPr>
      <w:r>
        <w:rPr>
          <w:rStyle w:val="FootnoteReference"/>
        </w:rPr>
        <w:footnoteRef/>
      </w:r>
      <w:r w:rsidRPr="00CD2DB5">
        <w:rPr>
          <w:lang w:val="sr-Cyrl-RS"/>
        </w:rPr>
        <w:t xml:space="preserve"> </w:t>
      </w:r>
      <w:r w:rsidRPr="00F379B6">
        <w:rPr>
          <w:rFonts w:ascii="Cambria" w:hAnsi="Cambria"/>
          <w:lang w:val="sr-Cyrl-RS"/>
        </w:rPr>
        <w:t>В</w:t>
      </w:r>
      <w:r>
        <w:rPr>
          <w:rFonts w:ascii="Cambria" w:hAnsi="Cambria"/>
          <w:lang w:val="sr-Cyrl-RS"/>
        </w:rPr>
        <w:t>идети члан 83</w:t>
      </w:r>
      <w:r w:rsidRPr="00F379B6">
        <w:rPr>
          <w:rFonts w:ascii="Cambria" w:hAnsi="Cambria"/>
          <w:lang w:val="sr-Cyrl-RS"/>
        </w:rPr>
        <w:t xml:space="preserve"> Закона о уређењу судова</w:t>
      </w:r>
      <w:r w:rsidRPr="002F7AD3">
        <w:rPr>
          <w:rFonts w:ascii="Cambria" w:hAnsi="Cambria"/>
          <w:lang w:val="sr-Cyrl-RS"/>
        </w:rPr>
        <w:t xml:space="preserve"> („Службени. гласник РС", бр. 116/2008 … 88/2018 - одлука УС)</w:t>
      </w:r>
      <w:r>
        <w:rPr>
          <w:rFonts w:ascii="Cambria" w:hAnsi="Cambria"/>
          <w:lang w:val="sr-Cyrl-RS"/>
        </w:rPr>
        <w:t>.</w:t>
      </w:r>
    </w:p>
  </w:footnote>
  <w:footnote w:id="23">
    <w:p w14:paraId="35096BC2" w14:textId="77777777" w:rsidR="00D2017F" w:rsidRPr="00CD2DB5" w:rsidRDefault="00D2017F" w:rsidP="00314237">
      <w:pPr>
        <w:pStyle w:val="FootnoteText"/>
        <w:rPr>
          <w:lang w:val="sr-Cyrl-RS"/>
        </w:rPr>
      </w:pPr>
      <w:r>
        <w:rPr>
          <w:rStyle w:val="FootnoteReference"/>
        </w:rPr>
        <w:footnoteRef/>
      </w:r>
      <w:r w:rsidRPr="00CD2DB5">
        <w:rPr>
          <w:lang w:val="sr-Cyrl-RS"/>
        </w:rPr>
        <w:t xml:space="preserve"> </w:t>
      </w:r>
      <w:r w:rsidRPr="00F379B6">
        <w:rPr>
          <w:rFonts w:ascii="Cambria" w:hAnsi="Cambria"/>
          <w:lang w:val="sr-Cyrl-RS"/>
        </w:rPr>
        <w:t>Видети члан 8</w:t>
      </w:r>
      <w:r>
        <w:rPr>
          <w:rFonts w:ascii="Cambria" w:hAnsi="Cambria"/>
          <w:lang w:val="sr-Cyrl-RS"/>
        </w:rPr>
        <w:t>4</w:t>
      </w:r>
      <w:r w:rsidRPr="00F379B6">
        <w:rPr>
          <w:rFonts w:ascii="Cambria" w:hAnsi="Cambria"/>
          <w:lang w:val="sr-Cyrl-RS"/>
        </w:rPr>
        <w:t xml:space="preserve"> Закона о уређењу судова</w:t>
      </w:r>
      <w:r w:rsidRPr="002F7AD3">
        <w:rPr>
          <w:rFonts w:ascii="Cambria" w:hAnsi="Cambria"/>
          <w:lang w:val="sr-Cyrl-RS"/>
        </w:rPr>
        <w:t xml:space="preserve"> („Службени. гласник РС", бр. 116/2008 … 88/2018 - одлука УС)</w:t>
      </w:r>
      <w:r>
        <w:rPr>
          <w:rFonts w:ascii="Cambria" w:hAnsi="Cambria"/>
          <w:lang w:val="sr-Cyrl-RS"/>
        </w:rPr>
        <w:t>.</w:t>
      </w:r>
    </w:p>
  </w:footnote>
  <w:footnote w:id="24">
    <w:p w14:paraId="0EAB3DA6" w14:textId="716ADA43" w:rsidR="00D2017F" w:rsidRPr="00CC2390" w:rsidRDefault="00D2017F">
      <w:pPr>
        <w:pStyle w:val="FootnoteText"/>
        <w:rPr>
          <w:lang w:val="sr-Cyrl-RS"/>
        </w:rPr>
      </w:pPr>
      <w:r w:rsidRPr="008F67D8">
        <w:rPr>
          <w:rStyle w:val="FootnoteReference"/>
        </w:rPr>
        <w:footnoteRef/>
      </w:r>
      <w:r w:rsidRPr="00CC2390">
        <w:rPr>
          <w:rStyle w:val="FootnoteReference"/>
          <w:lang w:val="sr-Cyrl-RS"/>
        </w:rPr>
        <w:t xml:space="preserve"> </w:t>
      </w:r>
      <w:r w:rsidRPr="00CC2390">
        <w:rPr>
          <w:rFonts w:ascii="Cambria" w:hAnsi="Cambria"/>
          <w:lang w:val="sr-Cyrl-RS"/>
        </w:rPr>
        <w:t xml:space="preserve">Видети члан 4, став 1 Закона о родној равноправности </w:t>
      </w:r>
      <w:r w:rsidRPr="002F7AD3">
        <w:rPr>
          <w:rFonts w:ascii="Cambria" w:hAnsi="Cambria"/>
          <w:lang w:val="sr-Cyrl-RS"/>
        </w:rPr>
        <w:t xml:space="preserve">(„Службени. гласник РС", бр. </w:t>
      </w:r>
      <w:r>
        <w:rPr>
          <w:rFonts w:ascii="Cambria" w:hAnsi="Cambria"/>
          <w:lang w:val="sr-Cyrl-RS"/>
        </w:rPr>
        <w:t>52</w:t>
      </w:r>
      <w:r w:rsidRPr="002F7AD3">
        <w:rPr>
          <w:rFonts w:ascii="Cambria" w:hAnsi="Cambria"/>
          <w:lang w:val="sr-Cyrl-RS"/>
        </w:rPr>
        <w:t>/20</w:t>
      </w:r>
      <w:r>
        <w:rPr>
          <w:rFonts w:ascii="Cambria" w:hAnsi="Cambria"/>
          <w:lang w:val="sr-Cyrl-RS"/>
        </w:rPr>
        <w:t>21</w:t>
      </w:r>
      <w:r w:rsidRPr="002F7AD3">
        <w:rPr>
          <w:rFonts w:ascii="Cambria" w:hAnsi="Cambria"/>
          <w:lang w:val="sr-Cyrl-RS"/>
        </w:rPr>
        <w:t>)</w:t>
      </w:r>
      <w:r>
        <w:rPr>
          <w:rFonts w:ascii="Cambria" w:hAnsi="Cambria"/>
          <w:lang w:val="sr-Cyrl-RS"/>
        </w:rPr>
        <w:t>.</w:t>
      </w:r>
    </w:p>
  </w:footnote>
  <w:footnote w:id="25">
    <w:p w14:paraId="4577C7B8" w14:textId="77777777" w:rsidR="00D2017F" w:rsidRPr="00A6623C" w:rsidRDefault="00D2017F" w:rsidP="00314237">
      <w:pPr>
        <w:pStyle w:val="FootnoteText"/>
        <w:rPr>
          <w:lang w:val="sr-Cyrl-RS"/>
        </w:rPr>
      </w:pPr>
      <w:r>
        <w:rPr>
          <w:rStyle w:val="FootnoteReference"/>
        </w:rPr>
        <w:footnoteRef/>
      </w:r>
      <w:r w:rsidRPr="00A6623C">
        <w:rPr>
          <w:lang w:val="sr-Cyrl-RS"/>
        </w:rPr>
        <w:t xml:space="preserve"> </w:t>
      </w:r>
      <w:r>
        <w:rPr>
          <w:rFonts w:ascii="Cambria" w:hAnsi="Cambria"/>
          <w:lang w:val="sr-Cyrl-RS"/>
        </w:rPr>
        <w:t>В</w:t>
      </w:r>
      <w:r w:rsidRPr="002F7AD3">
        <w:rPr>
          <w:rFonts w:ascii="Cambria" w:hAnsi="Cambria"/>
          <w:lang w:val="sr-Cyrl-RS"/>
        </w:rPr>
        <w:t>идети</w:t>
      </w:r>
      <w:r>
        <w:rPr>
          <w:rFonts w:ascii="Cambria" w:hAnsi="Cambria"/>
          <w:lang w:val="sr-Cyrl-RS"/>
        </w:rPr>
        <w:t>,</w:t>
      </w:r>
      <w:r w:rsidRPr="002F7AD3">
        <w:rPr>
          <w:rFonts w:ascii="Cambria" w:hAnsi="Cambria"/>
          <w:lang w:val="sr-Cyrl-RS"/>
        </w:rPr>
        <w:t xml:space="preserve"> нпр.</w:t>
      </w:r>
      <w:r>
        <w:rPr>
          <w:rFonts w:ascii="Cambria" w:hAnsi="Cambria"/>
          <w:lang w:val="sr-Cyrl-RS"/>
        </w:rPr>
        <w:t>,</w:t>
      </w:r>
      <w:r w:rsidRPr="002F7AD3">
        <w:rPr>
          <w:rFonts w:ascii="Cambria" w:hAnsi="Cambria"/>
          <w:lang w:val="sr-Cyrl-RS"/>
        </w:rPr>
        <w:t xml:space="preserve"> </w:t>
      </w:r>
      <w:hyperlink w:anchor="_Циљ_4._–" w:history="1">
        <w:r w:rsidRPr="002F7AD3">
          <w:rPr>
            <w:rStyle w:val="Hyperlink"/>
            <w:rFonts w:ascii="Cambria" w:hAnsi="Cambria"/>
            <w:lang w:val="sr-Cyrl-RS"/>
          </w:rPr>
          <w:t>циљ 4</w:t>
        </w:r>
      </w:hyperlink>
      <w:r w:rsidRPr="002F7AD3">
        <w:rPr>
          <w:rFonts w:ascii="Cambria" w:hAnsi="Cambria"/>
          <w:lang w:val="sr-Cyrl-RS"/>
        </w:rPr>
        <w:t xml:space="preserve"> ове Стратегије</w:t>
      </w:r>
      <w:r>
        <w:rPr>
          <w:rFonts w:ascii="Cambria" w:hAnsi="Cambria"/>
          <w:lang w:val="sr-Cyrl-RS"/>
        </w:rPr>
        <w:t>.</w:t>
      </w:r>
    </w:p>
  </w:footnote>
  <w:footnote w:id="26">
    <w:p w14:paraId="19DB9694" w14:textId="7605DB1B" w:rsidR="00D2017F" w:rsidRPr="000E0847" w:rsidRDefault="00D2017F">
      <w:pPr>
        <w:pStyle w:val="FootnoteText"/>
        <w:rPr>
          <w:lang w:val="sr-Cyrl-RS"/>
        </w:rPr>
      </w:pPr>
      <w:r>
        <w:rPr>
          <w:rStyle w:val="FootnoteReference"/>
        </w:rPr>
        <w:footnoteRef/>
      </w:r>
      <w:r w:rsidRPr="000E0847">
        <w:rPr>
          <w:lang w:val="sr-Cyrl-RS"/>
        </w:rPr>
        <w:t xml:space="preserve"> </w:t>
      </w:r>
      <w:r>
        <w:rPr>
          <w:rFonts w:ascii="Cambria" w:hAnsi="Cambria"/>
          <w:lang w:val="sr-Cyrl-RS"/>
        </w:rPr>
        <w:t>Извор:</w:t>
      </w:r>
      <w:r w:rsidRPr="00F42805">
        <w:rPr>
          <w:rFonts w:ascii="Cambria" w:hAnsi="Cambria"/>
          <w:lang w:val="sr-Cyrl-RS"/>
        </w:rPr>
        <w:t xml:space="preserve"> Светск</w:t>
      </w:r>
      <w:r>
        <w:rPr>
          <w:rFonts w:ascii="Cambria" w:hAnsi="Cambria"/>
          <w:lang w:val="sr-Cyrl-RS"/>
        </w:rPr>
        <w:t>а</w:t>
      </w:r>
      <w:r w:rsidRPr="00F42805">
        <w:rPr>
          <w:rFonts w:ascii="Cambria" w:hAnsi="Cambria"/>
          <w:lang w:val="sr-Cyrl-RS"/>
        </w:rPr>
        <w:t xml:space="preserve"> банк</w:t>
      </w:r>
      <w:r>
        <w:rPr>
          <w:rFonts w:ascii="Cambria" w:hAnsi="Cambria"/>
          <w:lang w:val="sr-Cyrl-RS"/>
        </w:rPr>
        <w:t>а.</w:t>
      </w:r>
    </w:p>
  </w:footnote>
  <w:footnote w:id="27">
    <w:p w14:paraId="056327B4" w14:textId="77777777" w:rsidR="00D2017F" w:rsidRPr="00B32153" w:rsidRDefault="00D2017F" w:rsidP="00DD552B">
      <w:pPr>
        <w:pStyle w:val="FootnoteText"/>
        <w:jc w:val="both"/>
        <w:rPr>
          <w:rFonts w:ascii="Cambria" w:hAnsi="Cambria"/>
          <w:lang w:val="sr-Cyrl-RS"/>
        </w:rPr>
      </w:pPr>
      <w:r>
        <w:rPr>
          <w:rStyle w:val="FootnoteReference"/>
        </w:rPr>
        <w:footnoteRef/>
      </w:r>
      <w:r>
        <w:rPr>
          <w:lang w:val="sr-Cyrl-RS"/>
        </w:rPr>
        <w:t xml:space="preserve"> </w:t>
      </w:r>
      <w:r w:rsidRPr="00B32153">
        <w:rPr>
          <w:rFonts w:ascii="Cambria" w:hAnsi="Cambria"/>
          <w:lang w:val="sr-Cyrl-RS"/>
        </w:rPr>
        <w:t>Према ЦЕПЕЈ подацима.</w:t>
      </w:r>
    </w:p>
  </w:footnote>
  <w:footnote w:id="28">
    <w:p w14:paraId="71D51899" w14:textId="5C670FC5" w:rsidR="00D2017F" w:rsidRPr="00A23055" w:rsidRDefault="00D2017F">
      <w:pPr>
        <w:pStyle w:val="FootnoteText"/>
        <w:rPr>
          <w:lang w:val="sr-Cyrl-RS"/>
        </w:rPr>
      </w:pPr>
      <w:r>
        <w:rPr>
          <w:rStyle w:val="FootnoteReference"/>
        </w:rPr>
        <w:footnoteRef/>
      </w:r>
      <w:r w:rsidRPr="000E0847">
        <w:rPr>
          <w:lang w:val="sr-Cyrl-RS"/>
        </w:rPr>
        <w:t xml:space="preserve"> </w:t>
      </w:r>
      <w:r w:rsidRPr="00A23055">
        <w:rPr>
          <w:rFonts w:ascii="Cambria" w:hAnsi="Cambria"/>
          <w:lang w:val="sr-Cyrl-RS"/>
        </w:rPr>
        <w:t>У оквиру пројекта</w:t>
      </w:r>
      <w:r>
        <w:rPr>
          <w:rFonts w:ascii="Cambria" w:hAnsi="Cambria"/>
          <w:lang w:val="sr-Cyrl-RS"/>
        </w:rPr>
        <w:t>:</w:t>
      </w:r>
      <w:r>
        <w:rPr>
          <w:lang w:val="sr-Cyrl-RS"/>
        </w:rPr>
        <w:t xml:space="preserve"> </w:t>
      </w:r>
      <w:r w:rsidRPr="000E0847">
        <w:rPr>
          <w:rFonts w:ascii="Cambria" w:hAnsi="Cambria"/>
        </w:rPr>
        <w:t>Judicial</w:t>
      </w:r>
      <w:r w:rsidRPr="00A23055">
        <w:rPr>
          <w:rFonts w:ascii="Cambria" w:hAnsi="Cambria"/>
          <w:lang w:val="sr-Cyrl-RS"/>
        </w:rPr>
        <w:t xml:space="preserve"> </w:t>
      </w:r>
      <w:r w:rsidRPr="000E0847">
        <w:rPr>
          <w:rFonts w:ascii="Cambria" w:hAnsi="Cambria"/>
        </w:rPr>
        <w:t>Efficiency</w:t>
      </w:r>
      <w:r w:rsidRPr="00A23055">
        <w:rPr>
          <w:rFonts w:ascii="Cambria" w:hAnsi="Cambria"/>
          <w:lang w:val="sr-Cyrl-RS"/>
        </w:rPr>
        <w:t xml:space="preserve">, </w:t>
      </w:r>
      <w:r w:rsidRPr="000E0847">
        <w:rPr>
          <w:rFonts w:ascii="Cambria" w:hAnsi="Cambria"/>
        </w:rPr>
        <w:t>Republic</w:t>
      </w:r>
      <w:r w:rsidRPr="00A23055">
        <w:rPr>
          <w:rFonts w:ascii="Cambria" w:hAnsi="Cambria"/>
          <w:lang w:val="sr-Cyrl-RS"/>
        </w:rPr>
        <w:t xml:space="preserve"> </w:t>
      </w:r>
      <w:r w:rsidRPr="000E0847">
        <w:rPr>
          <w:rFonts w:ascii="Cambria" w:hAnsi="Cambria"/>
        </w:rPr>
        <w:t>of</w:t>
      </w:r>
      <w:r w:rsidRPr="00A23055">
        <w:rPr>
          <w:rFonts w:ascii="Cambria" w:hAnsi="Cambria"/>
          <w:lang w:val="sr-Cyrl-RS"/>
        </w:rPr>
        <w:t xml:space="preserve"> </w:t>
      </w:r>
      <w:r w:rsidRPr="000E0847">
        <w:rPr>
          <w:rFonts w:ascii="Cambria" w:hAnsi="Cambria"/>
        </w:rPr>
        <w:t>Serbia</w:t>
      </w:r>
      <w:r w:rsidRPr="00A23055">
        <w:rPr>
          <w:rFonts w:ascii="Cambria" w:hAnsi="Cambria"/>
          <w:lang w:val="sr-Cyrl-RS"/>
        </w:rPr>
        <w:t xml:space="preserve"> 12</w:t>
      </w:r>
      <w:r w:rsidRPr="000E0847">
        <w:rPr>
          <w:rFonts w:ascii="Cambria" w:hAnsi="Cambria"/>
        </w:rPr>
        <w:t>SER</w:t>
      </w:r>
      <w:r w:rsidRPr="00A23055">
        <w:rPr>
          <w:rFonts w:ascii="Cambria" w:hAnsi="Cambria"/>
          <w:lang w:val="sr-Cyrl-RS"/>
        </w:rPr>
        <w:t>01/01/212</w:t>
      </w:r>
      <w:r>
        <w:rPr>
          <w:rFonts w:ascii="Cambria" w:hAnsi="Cambria"/>
          <w:lang w:val="sr-Cyrl-RS"/>
        </w:rPr>
        <w:t>, финансираног од стране ЕУ</w:t>
      </w:r>
    </w:p>
  </w:footnote>
  <w:footnote w:id="29">
    <w:p w14:paraId="0DB6CE51" w14:textId="1BA7CA66" w:rsidR="00D2017F" w:rsidRPr="00EA695E" w:rsidRDefault="00D2017F" w:rsidP="0045000F">
      <w:pPr>
        <w:rPr>
          <w:lang w:val="sr-Cyrl-RS"/>
        </w:rPr>
      </w:pPr>
      <w:r>
        <w:rPr>
          <w:rStyle w:val="FootnoteReference"/>
        </w:rPr>
        <w:footnoteRef/>
      </w:r>
      <w:r w:rsidRPr="00EA695E">
        <w:rPr>
          <w:lang w:val="sr-Cyrl-RS"/>
        </w:rPr>
        <w:t xml:space="preserve"> </w:t>
      </w:r>
      <w:r>
        <w:rPr>
          <w:rFonts w:ascii="Cambria" w:hAnsi="Cambria"/>
          <w:lang w:val="sr-Cyrl-RS"/>
        </w:rPr>
        <w:t>Извор:</w:t>
      </w:r>
      <w:r w:rsidRPr="00F42805">
        <w:rPr>
          <w:rFonts w:ascii="Cambria" w:hAnsi="Cambria"/>
          <w:lang w:val="sr-Cyrl-RS"/>
        </w:rPr>
        <w:t xml:space="preserve"> Светск</w:t>
      </w:r>
      <w:r>
        <w:rPr>
          <w:rFonts w:ascii="Cambria" w:hAnsi="Cambria"/>
          <w:lang w:val="sr-Cyrl-RS"/>
        </w:rPr>
        <w:t>а</w:t>
      </w:r>
      <w:r w:rsidRPr="00F42805">
        <w:rPr>
          <w:rFonts w:ascii="Cambria" w:hAnsi="Cambria"/>
          <w:lang w:val="sr-Cyrl-RS"/>
        </w:rPr>
        <w:t xml:space="preserve"> банк</w:t>
      </w:r>
      <w:r>
        <w:rPr>
          <w:rFonts w:ascii="Cambria" w:hAnsi="Cambria"/>
          <w:lang w:val="sr-Cyrl-RS"/>
        </w:rPr>
        <w:t>а</w:t>
      </w:r>
    </w:p>
  </w:footnote>
  <w:footnote w:id="30">
    <w:p w14:paraId="5CC53C2D" w14:textId="66FAD7B9" w:rsidR="00D2017F" w:rsidRPr="000E0847" w:rsidRDefault="00D2017F" w:rsidP="000E0847">
      <w:pPr>
        <w:pStyle w:val="FootnoteText"/>
        <w:jc w:val="both"/>
        <w:rPr>
          <w:rFonts w:ascii="Cambria" w:hAnsi="Cambria"/>
          <w:lang w:val="sr-Cyrl-RS"/>
        </w:rPr>
      </w:pPr>
      <w:r>
        <w:rPr>
          <w:rStyle w:val="FootnoteReference"/>
        </w:rPr>
        <w:footnoteRef/>
      </w:r>
      <w:r w:rsidRPr="00A23055">
        <w:rPr>
          <w:lang w:val="sr-Cyrl-RS"/>
        </w:rPr>
        <w:t xml:space="preserve"> </w:t>
      </w:r>
      <w:r w:rsidRPr="000E0847">
        <w:rPr>
          <w:rFonts w:ascii="Cambria" w:hAnsi="Cambria"/>
          <w:lang w:val="sr-Cyrl-RS"/>
        </w:rPr>
        <w:t xml:space="preserve">Видети члан 70 </w:t>
      </w:r>
      <w:r w:rsidRPr="003509EB">
        <w:rPr>
          <w:rFonts w:ascii="Cambria" w:hAnsi="Cambria"/>
          <w:lang w:val="sr-Cyrl-RS"/>
        </w:rPr>
        <w:t>Закона о уређењу судова („Службени гласник РС“, бр. 116/2008 … 88/2018 - одлука УС</w:t>
      </w:r>
      <w:r>
        <w:rPr>
          <w:rFonts w:ascii="Cambria" w:hAnsi="Cambria"/>
          <w:lang w:val="sr-Cyrl-RS"/>
        </w:rPr>
        <w:t>).</w:t>
      </w:r>
    </w:p>
  </w:footnote>
  <w:footnote w:id="31">
    <w:p w14:paraId="2BF5EE3A" w14:textId="30DFCCE8" w:rsidR="00D2017F" w:rsidRPr="000E0847" w:rsidRDefault="00D2017F">
      <w:pPr>
        <w:pStyle w:val="FootnoteText"/>
        <w:rPr>
          <w:rFonts w:ascii="Cambria" w:hAnsi="Cambria"/>
          <w:lang w:val="sr-Cyrl-RS"/>
        </w:rPr>
      </w:pPr>
      <w:r>
        <w:rPr>
          <w:rStyle w:val="FootnoteReference"/>
        </w:rPr>
        <w:footnoteRef/>
      </w:r>
      <w:r w:rsidRPr="000E0847">
        <w:rPr>
          <w:lang w:val="sr-Cyrl-RS"/>
        </w:rPr>
        <w:t xml:space="preserve"> </w:t>
      </w:r>
      <w:r w:rsidRPr="000E0847">
        <w:rPr>
          <w:rFonts w:ascii="Cambria" w:hAnsi="Cambria"/>
          <w:lang w:val="sr-Cyrl-RS"/>
        </w:rPr>
        <w:t xml:space="preserve">Видети члан 42 Закона о јавном тужилаштву </w:t>
      </w:r>
      <w:r w:rsidRPr="003509EB">
        <w:rPr>
          <w:rFonts w:ascii="Cambria" w:hAnsi="Cambria"/>
          <w:lang w:val="sr-Cyrl-RS"/>
        </w:rPr>
        <w:t xml:space="preserve">(„Службени гласник РС“, бр. 116/2008 … </w:t>
      </w:r>
      <w:r>
        <w:rPr>
          <w:rFonts w:ascii="Cambria" w:hAnsi="Cambria"/>
          <w:lang w:val="sr-Cyrl-RS"/>
        </w:rPr>
        <w:t>63</w:t>
      </w:r>
      <w:r w:rsidRPr="003509EB">
        <w:rPr>
          <w:rFonts w:ascii="Cambria" w:hAnsi="Cambria"/>
          <w:lang w:val="sr-Cyrl-RS"/>
        </w:rPr>
        <w:t>/201</w:t>
      </w:r>
      <w:r>
        <w:rPr>
          <w:rFonts w:ascii="Cambria" w:hAnsi="Cambria"/>
          <w:lang w:val="sr-Cyrl-RS"/>
        </w:rPr>
        <w:t>6</w:t>
      </w:r>
      <w:r w:rsidRPr="003509EB">
        <w:rPr>
          <w:rFonts w:ascii="Cambria" w:hAnsi="Cambria"/>
          <w:lang w:val="sr-Cyrl-RS"/>
        </w:rPr>
        <w:t xml:space="preserve"> - одлука УС</w:t>
      </w:r>
      <w:r>
        <w:rPr>
          <w:rFonts w:ascii="Cambria" w:hAnsi="Cambria"/>
          <w:lang w:val="sr-Cyrl-RS"/>
        </w:rPr>
        <w:t>).</w:t>
      </w:r>
    </w:p>
  </w:footnote>
  <w:footnote w:id="32">
    <w:p w14:paraId="0EC7C4C8" w14:textId="1EF96BA7" w:rsidR="00D2017F" w:rsidRPr="000E0847" w:rsidRDefault="00D2017F">
      <w:pPr>
        <w:pStyle w:val="FootnoteText"/>
        <w:rPr>
          <w:lang w:val="sr-Cyrl-RS"/>
        </w:rPr>
      </w:pPr>
      <w:r>
        <w:rPr>
          <w:rStyle w:val="FootnoteReference"/>
        </w:rPr>
        <w:footnoteRef/>
      </w:r>
      <w:r w:rsidRPr="000E0847">
        <w:rPr>
          <w:lang w:val="sr-Cyrl-RS"/>
        </w:rPr>
        <w:t xml:space="preserve"> </w:t>
      </w:r>
      <w:r w:rsidRPr="003509EB">
        <w:rPr>
          <w:rFonts w:ascii="Cambria" w:hAnsi="Cambria"/>
          <w:lang w:val="sr-Cyrl-RS"/>
        </w:rPr>
        <w:t>В</w:t>
      </w:r>
      <w:r>
        <w:rPr>
          <w:rFonts w:ascii="Cambria" w:hAnsi="Cambria"/>
          <w:lang w:val="sr-Cyrl-RS"/>
        </w:rPr>
        <w:t>идети члан 43</w:t>
      </w:r>
      <w:r w:rsidRPr="003509EB">
        <w:rPr>
          <w:rFonts w:ascii="Cambria" w:hAnsi="Cambria"/>
          <w:lang w:val="sr-Cyrl-RS"/>
        </w:rPr>
        <w:t xml:space="preserve"> Закона о јавном тужилаштву („Службени гласник РС“, бр. 116/2008 … </w:t>
      </w:r>
      <w:r>
        <w:rPr>
          <w:rFonts w:ascii="Cambria" w:hAnsi="Cambria"/>
          <w:lang w:val="sr-Cyrl-RS"/>
        </w:rPr>
        <w:t>63</w:t>
      </w:r>
      <w:r w:rsidRPr="003509EB">
        <w:rPr>
          <w:rFonts w:ascii="Cambria" w:hAnsi="Cambria"/>
          <w:lang w:val="sr-Cyrl-RS"/>
        </w:rPr>
        <w:t>/201</w:t>
      </w:r>
      <w:r>
        <w:rPr>
          <w:rFonts w:ascii="Cambria" w:hAnsi="Cambria"/>
          <w:lang w:val="sr-Cyrl-RS"/>
        </w:rPr>
        <w:t>6</w:t>
      </w:r>
      <w:r w:rsidRPr="003509EB">
        <w:rPr>
          <w:rFonts w:ascii="Cambria" w:hAnsi="Cambria"/>
          <w:lang w:val="sr-Cyrl-RS"/>
        </w:rPr>
        <w:t xml:space="preserve"> - одлука УС</w:t>
      </w:r>
      <w:r>
        <w:rPr>
          <w:rFonts w:ascii="Cambria" w:hAnsi="Cambria"/>
          <w:lang w:val="sr-Cyrl-RS"/>
        </w:rPr>
        <w:t>).</w:t>
      </w:r>
    </w:p>
  </w:footnote>
  <w:footnote w:id="33">
    <w:p w14:paraId="5B37B1BC" w14:textId="7129E19C" w:rsidR="00D2017F" w:rsidRPr="000E0847" w:rsidRDefault="00D2017F">
      <w:pPr>
        <w:pStyle w:val="FootnoteText"/>
        <w:rPr>
          <w:lang w:val="sr-Cyrl-RS"/>
        </w:rPr>
      </w:pPr>
      <w:r>
        <w:rPr>
          <w:rStyle w:val="FootnoteReference"/>
        </w:rPr>
        <w:footnoteRef/>
      </w:r>
      <w:r w:rsidRPr="000E0847">
        <w:rPr>
          <w:lang w:val="sr-Cyrl-RS"/>
        </w:rPr>
        <w:t xml:space="preserve"> </w:t>
      </w:r>
      <w:r w:rsidRPr="003509EB">
        <w:rPr>
          <w:rFonts w:ascii="Cambria" w:hAnsi="Cambria"/>
          <w:lang w:val="sr-Cyrl-RS"/>
        </w:rPr>
        <w:t>В</w:t>
      </w:r>
      <w:r>
        <w:rPr>
          <w:rFonts w:ascii="Cambria" w:hAnsi="Cambria"/>
          <w:lang w:val="sr-Cyrl-RS"/>
        </w:rPr>
        <w:t>идети члан 127</w:t>
      </w:r>
      <w:r w:rsidRPr="003509EB">
        <w:rPr>
          <w:rFonts w:ascii="Cambria" w:hAnsi="Cambria"/>
          <w:lang w:val="sr-Cyrl-RS"/>
        </w:rPr>
        <w:t xml:space="preserve"> Закона о јавном тужилаштву („Службени гласник РС“, бр. 116/2008 … </w:t>
      </w:r>
      <w:r>
        <w:rPr>
          <w:rFonts w:ascii="Cambria" w:hAnsi="Cambria"/>
          <w:lang w:val="sr-Cyrl-RS"/>
        </w:rPr>
        <w:t>63</w:t>
      </w:r>
      <w:r w:rsidRPr="003509EB">
        <w:rPr>
          <w:rFonts w:ascii="Cambria" w:hAnsi="Cambria"/>
          <w:lang w:val="sr-Cyrl-RS"/>
        </w:rPr>
        <w:t>/201</w:t>
      </w:r>
      <w:r>
        <w:rPr>
          <w:rFonts w:ascii="Cambria" w:hAnsi="Cambria"/>
          <w:lang w:val="sr-Cyrl-RS"/>
        </w:rPr>
        <w:t>6</w:t>
      </w:r>
      <w:r w:rsidRPr="003509EB">
        <w:rPr>
          <w:rFonts w:ascii="Cambria" w:hAnsi="Cambria"/>
          <w:lang w:val="sr-Cyrl-RS"/>
        </w:rPr>
        <w:t xml:space="preserve"> - одлука УС</w:t>
      </w:r>
      <w:r>
        <w:rPr>
          <w:rFonts w:ascii="Cambria" w:hAnsi="Cambria"/>
          <w:lang w:val="sr-Cyrl-RS"/>
        </w:rPr>
        <w:t>).</w:t>
      </w:r>
    </w:p>
  </w:footnote>
  <w:footnote w:id="34">
    <w:p w14:paraId="467E1919" w14:textId="1CAFCC25" w:rsidR="00D2017F" w:rsidRPr="00554100" w:rsidRDefault="00D2017F">
      <w:pPr>
        <w:pStyle w:val="FootnoteText"/>
        <w:rPr>
          <w:rFonts w:ascii="Cambria" w:hAnsi="Cambria"/>
          <w:lang w:val="sr-Cyrl-RS"/>
        </w:rPr>
      </w:pPr>
      <w:r>
        <w:rPr>
          <w:rStyle w:val="FootnoteReference"/>
        </w:rPr>
        <w:footnoteRef/>
      </w:r>
      <w:r w:rsidRPr="00554100">
        <w:rPr>
          <w:lang w:val="sr-Cyrl-RS"/>
        </w:rPr>
        <w:t xml:space="preserve"> </w:t>
      </w:r>
      <w:r w:rsidRPr="00EE66AA">
        <w:rPr>
          <w:rFonts w:ascii="Cambria" w:hAnsi="Cambria"/>
          <w:i/>
          <w:lang w:val="sr-Cyrl-RS"/>
        </w:rPr>
        <w:t>Idem</w:t>
      </w:r>
      <w:r w:rsidRPr="00554100" w:rsidDel="00FC54EC">
        <w:rPr>
          <w:rFonts w:ascii="Cambria" w:hAnsi="Cambria"/>
          <w:lang w:val="sr-Cyrl-RS"/>
        </w:rPr>
        <w:t xml:space="preserve"> </w:t>
      </w:r>
    </w:p>
  </w:footnote>
  <w:footnote w:id="35">
    <w:p w14:paraId="4524AB73" w14:textId="11210431" w:rsidR="00D2017F" w:rsidRPr="00554100" w:rsidRDefault="00D2017F" w:rsidP="007B2BB6">
      <w:pPr>
        <w:pStyle w:val="FootnoteText"/>
        <w:rPr>
          <w:rFonts w:ascii="Cambria" w:hAnsi="Cambria"/>
          <w:lang w:val="sr-Cyrl-RS"/>
        </w:rPr>
      </w:pPr>
      <w:r>
        <w:rPr>
          <w:rStyle w:val="FootnoteReference"/>
        </w:rPr>
        <w:footnoteRef/>
      </w:r>
      <w:r w:rsidRPr="00554100">
        <w:rPr>
          <w:lang w:val="sr-Cyrl-RS"/>
        </w:rPr>
        <w:t xml:space="preserve"> </w:t>
      </w:r>
      <w:r w:rsidRPr="00EE66AA">
        <w:rPr>
          <w:rFonts w:ascii="Cambria" w:hAnsi="Cambria"/>
          <w:i/>
          <w:lang w:val="sr-Cyrl-RS"/>
        </w:rPr>
        <w:t>Idem</w:t>
      </w:r>
      <w:r>
        <w:rPr>
          <w:rFonts w:ascii="Cambria" w:hAnsi="Cambria"/>
          <w:lang w:val="sr-Cyrl-RS"/>
        </w:rPr>
        <w:t>.</w:t>
      </w:r>
    </w:p>
  </w:footnote>
  <w:footnote w:id="36">
    <w:p w14:paraId="54D0B21E" w14:textId="5F6DBBF2" w:rsidR="00D2017F" w:rsidRPr="00211543" w:rsidRDefault="00D2017F">
      <w:pPr>
        <w:pStyle w:val="FootnoteText"/>
        <w:rPr>
          <w:lang w:val="sr-Cyrl-RS"/>
        </w:rPr>
      </w:pPr>
      <w:r>
        <w:rPr>
          <w:rStyle w:val="FootnoteReference"/>
        </w:rPr>
        <w:footnoteRef/>
      </w:r>
      <w:r w:rsidRPr="00211543">
        <w:rPr>
          <w:lang w:val="sr-Cyrl-RS"/>
        </w:rPr>
        <w:t xml:space="preserve"> </w:t>
      </w:r>
      <w:r w:rsidRPr="00EE66AA">
        <w:rPr>
          <w:rFonts w:ascii="Cambria" w:hAnsi="Cambria"/>
          <w:i/>
          <w:lang w:val="sr-Cyrl-RS"/>
        </w:rPr>
        <w:t>Idem</w:t>
      </w:r>
      <w:r w:rsidRPr="00554100" w:rsidDel="00FC54EC">
        <w:rPr>
          <w:rFonts w:ascii="Cambria" w:hAnsi="Cambria"/>
          <w:lang w:val="sr-Cyrl-RS"/>
        </w:rPr>
        <w:t xml:space="preserve"> </w:t>
      </w:r>
    </w:p>
  </w:footnote>
  <w:footnote w:id="37">
    <w:p w14:paraId="651FFED3" w14:textId="0E31EC1F" w:rsidR="00D2017F" w:rsidRPr="00211543" w:rsidRDefault="00D2017F" w:rsidP="00A4716D">
      <w:pPr>
        <w:pStyle w:val="FootnoteText"/>
        <w:rPr>
          <w:lang w:val="sr-Cyrl-RS"/>
        </w:rPr>
      </w:pPr>
      <w:r>
        <w:rPr>
          <w:rStyle w:val="FootnoteReference"/>
        </w:rPr>
        <w:footnoteRef/>
      </w:r>
      <w:r w:rsidRPr="00211543">
        <w:rPr>
          <w:lang w:val="sr-Cyrl-RS"/>
        </w:rPr>
        <w:t xml:space="preserve"> </w:t>
      </w:r>
      <w:r w:rsidRPr="00EE66AA">
        <w:rPr>
          <w:rFonts w:ascii="Cambria" w:hAnsi="Cambria"/>
          <w:i/>
          <w:lang w:val="sr-Cyrl-RS"/>
        </w:rPr>
        <w:t>Idem</w:t>
      </w:r>
      <w:r>
        <w:rPr>
          <w:rFonts w:ascii="Cambria" w:hAnsi="Cambria"/>
          <w:lang w:val="sr-Cyrl-RS"/>
        </w:rPr>
        <w:t>.</w:t>
      </w:r>
    </w:p>
  </w:footnote>
  <w:footnote w:id="38">
    <w:p w14:paraId="5FB2999C" w14:textId="1139C05D" w:rsidR="00D2017F" w:rsidRPr="009D33E0" w:rsidRDefault="00D2017F" w:rsidP="005B21F2">
      <w:pPr>
        <w:pStyle w:val="FootnoteText"/>
        <w:jc w:val="both"/>
        <w:rPr>
          <w:lang w:val="sr-Cyrl-RS"/>
        </w:rPr>
      </w:pPr>
      <w:r>
        <w:rPr>
          <w:rStyle w:val="FootnoteReference"/>
        </w:rPr>
        <w:footnoteRef/>
      </w:r>
      <w:r w:rsidRPr="009D33E0">
        <w:rPr>
          <w:lang w:val="sr-Cyrl-RS"/>
        </w:rPr>
        <w:t xml:space="preserve"> </w:t>
      </w:r>
      <w:r>
        <w:rPr>
          <w:rFonts w:ascii="Cambria" w:hAnsi="Cambria"/>
          <w:lang w:val="sr-Cyrl-RS"/>
        </w:rPr>
        <w:t xml:space="preserve">Наведена забрана запошљавања је установљена </w:t>
      </w:r>
      <w:r w:rsidRPr="009D33E0">
        <w:rPr>
          <w:rFonts w:ascii="Cambria" w:hAnsi="Cambria"/>
          <w:lang w:val="sr-Cyrl-RS"/>
        </w:rPr>
        <w:t>Закон</w:t>
      </w:r>
      <w:r>
        <w:rPr>
          <w:rFonts w:ascii="Cambria" w:hAnsi="Cambria"/>
          <w:lang w:val="sr-Cyrl-RS"/>
        </w:rPr>
        <w:t>ом</w:t>
      </w:r>
      <w:r w:rsidRPr="009D33E0">
        <w:rPr>
          <w:rFonts w:ascii="Cambria" w:hAnsi="Cambria"/>
          <w:lang w:val="sr-Cyrl-RS"/>
        </w:rPr>
        <w:t xml:space="preserve"> о одређивању максималног броја запослених у јавном сектору („Службени гласник РС“, бр. 68/2015, 81/2016 – одлука УС и 95/2018)</w:t>
      </w:r>
      <w:r>
        <w:rPr>
          <w:rFonts w:ascii="Cambria" w:hAnsi="Cambria"/>
          <w:lang w:val="sr-Cyrl-RS"/>
        </w:rPr>
        <w:t xml:space="preserve"> који је престао да важи 31. децембра 2019. године.</w:t>
      </w:r>
    </w:p>
  </w:footnote>
  <w:footnote w:id="39">
    <w:p w14:paraId="7E35CB7A" w14:textId="18C97746" w:rsidR="00D2017F" w:rsidRPr="003A4912" w:rsidRDefault="00D2017F" w:rsidP="003A4912">
      <w:pPr>
        <w:pStyle w:val="FootnoteText"/>
        <w:jc w:val="both"/>
        <w:rPr>
          <w:lang w:val="sr-Cyrl-RS"/>
        </w:rPr>
      </w:pPr>
      <w:r>
        <w:rPr>
          <w:rStyle w:val="FootnoteReference"/>
        </w:rPr>
        <w:footnoteRef/>
      </w:r>
      <w:r w:rsidRPr="003A4912">
        <w:rPr>
          <w:lang w:val="sr-Cyrl-RS"/>
        </w:rPr>
        <w:t xml:space="preserve"> </w:t>
      </w:r>
      <w:r>
        <w:rPr>
          <w:rFonts w:ascii="Cambria" w:hAnsi="Cambria"/>
          <w:lang w:val="sr-Cyrl-RS"/>
        </w:rPr>
        <w:t>Правилник о програму и начину полагања испита на коме се оцењује стручност и оспособљеност кандидата за судију који се први пут бира („Службени гласник РС“, 7/2018)</w:t>
      </w:r>
      <w:r w:rsidRPr="00AF2607">
        <w:rPr>
          <w:rFonts w:ascii="Cambria" w:hAnsi="Cambria"/>
          <w:lang w:val="sr-Cyrl-RS"/>
        </w:rPr>
        <w:t>.</w:t>
      </w:r>
    </w:p>
  </w:footnote>
  <w:footnote w:id="40">
    <w:p w14:paraId="1951AA15" w14:textId="3EEA49BB" w:rsidR="00D2017F" w:rsidRPr="00314237" w:rsidRDefault="00D2017F" w:rsidP="005B21F2">
      <w:pPr>
        <w:pStyle w:val="FootnoteText"/>
        <w:jc w:val="both"/>
        <w:rPr>
          <w:rFonts w:ascii="Cambria" w:hAnsi="Cambria"/>
          <w:lang w:val="sr-Cyrl-RS"/>
        </w:rPr>
      </w:pPr>
      <w:bookmarkStart w:id="97" w:name="_Hlk75186097"/>
      <w:r>
        <w:rPr>
          <w:rStyle w:val="FootnoteReference"/>
        </w:rPr>
        <w:footnoteRef/>
      </w:r>
      <w:r w:rsidRPr="00B856D6">
        <w:rPr>
          <w:lang w:val="sr-Cyrl-RS"/>
        </w:rPr>
        <w:t xml:space="preserve"> </w:t>
      </w:r>
      <w:r w:rsidRPr="00554100">
        <w:rPr>
          <w:rFonts w:ascii="Cambria" w:hAnsi="Cambria"/>
          <w:lang w:val="sr-Cyrl-RS"/>
        </w:rPr>
        <w:t>Извор: Годишњи извештај о раду судова у Републици Србији за 20</w:t>
      </w:r>
      <w:r>
        <w:rPr>
          <w:rFonts w:ascii="Cambria" w:hAnsi="Cambria"/>
          <w:lang w:val="sr-Cyrl-RS"/>
        </w:rPr>
        <w:t>20.</w:t>
      </w:r>
      <w:r w:rsidRPr="00554100">
        <w:rPr>
          <w:rFonts w:ascii="Cambria" w:hAnsi="Cambria"/>
          <w:lang w:val="sr-Cyrl-RS"/>
        </w:rPr>
        <w:t xml:space="preserve"> годину</w:t>
      </w:r>
      <w:r>
        <w:rPr>
          <w:rFonts w:ascii="Cambria" w:hAnsi="Cambria"/>
          <w:lang w:val="sr-Cyrl-RS"/>
        </w:rPr>
        <w:t xml:space="preserve">, из фебруара 2020. </w:t>
      </w:r>
      <w:bookmarkEnd w:id="97"/>
      <w:r>
        <w:rPr>
          <w:rFonts w:ascii="Cambria" w:hAnsi="Cambria"/>
          <w:lang w:val="sr-Cyrl-RS"/>
        </w:rPr>
        <w:t>године.</w:t>
      </w:r>
    </w:p>
  </w:footnote>
  <w:footnote w:id="41">
    <w:p w14:paraId="6215DFCC" w14:textId="0052DC95" w:rsidR="00D2017F" w:rsidRPr="00344C0F" w:rsidRDefault="00D2017F" w:rsidP="009D33E0">
      <w:pPr>
        <w:pStyle w:val="FootnoteText"/>
        <w:jc w:val="both"/>
        <w:rPr>
          <w:lang w:val="sr-Cyrl-RS"/>
        </w:rPr>
      </w:pPr>
      <w:r>
        <w:rPr>
          <w:rStyle w:val="FootnoteReference"/>
        </w:rPr>
        <w:footnoteRef/>
      </w:r>
      <w:r w:rsidRPr="00344C0F">
        <w:rPr>
          <w:lang w:val="sr-Cyrl-RS"/>
        </w:rPr>
        <w:t xml:space="preserve"> </w:t>
      </w:r>
      <w:r w:rsidRPr="00EE66AA">
        <w:rPr>
          <w:rFonts w:ascii="Cambria" w:hAnsi="Cambria"/>
          <w:i/>
          <w:lang w:val="sr-Cyrl-RS"/>
        </w:rPr>
        <w:t>Idem</w:t>
      </w:r>
      <w:r>
        <w:rPr>
          <w:rFonts w:ascii="Cambria" w:hAnsi="Cambria"/>
          <w:i/>
          <w:lang w:val="sr-Cyrl-RS"/>
        </w:rPr>
        <w:t>.</w:t>
      </w:r>
    </w:p>
  </w:footnote>
  <w:footnote w:id="42">
    <w:p w14:paraId="32317486" w14:textId="529CDD32" w:rsidR="00D2017F" w:rsidRPr="008F48F1" w:rsidRDefault="00D2017F" w:rsidP="009D33E0">
      <w:pPr>
        <w:pStyle w:val="FootnoteText"/>
        <w:jc w:val="both"/>
        <w:rPr>
          <w:lang w:val="sr-Cyrl-RS"/>
        </w:rPr>
      </w:pPr>
      <w:r>
        <w:rPr>
          <w:rStyle w:val="FootnoteReference"/>
        </w:rPr>
        <w:footnoteRef/>
      </w:r>
      <w:r w:rsidRPr="008F48F1">
        <w:rPr>
          <w:lang w:val="sr-Cyrl-RS"/>
        </w:rPr>
        <w:t xml:space="preserve"> </w:t>
      </w:r>
      <w:r w:rsidRPr="00EE66AA">
        <w:rPr>
          <w:rFonts w:ascii="Cambria" w:hAnsi="Cambria"/>
          <w:i/>
          <w:lang w:val="sr-Cyrl-RS"/>
        </w:rPr>
        <w:t>Idem</w:t>
      </w:r>
      <w:r w:rsidRPr="00344C0F">
        <w:rPr>
          <w:lang w:val="sr-Cyrl-RS"/>
        </w:rPr>
        <w:t>.</w:t>
      </w:r>
    </w:p>
  </w:footnote>
  <w:footnote w:id="43">
    <w:p w14:paraId="3E9892BE" w14:textId="3FE99A00" w:rsidR="00D2017F" w:rsidRPr="002C0831" w:rsidRDefault="00D2017F">
      <w:pPr>
        <w:pStyle w:val="FootnoteText"/>
        <w:rPr>
          <w:lang w:val="sr-Cyrl-RS"/>
        </w:rPr>
      </w:pPr>
      <w:r>
        <w:rPr>
          <w:rStyle w:val="FootnoteReference"/>
        </w:rPr>
        <w:footnoteRef/>
      </w:r>
      <w:r w:rsidRPr="002C0831">
        <w:rPr>
          <w:lang w:val="sr-Cyrl-RS"/>
        </w:rPr>
        <w:t xml:space="preserve"> </w:t>
      </w:r>
      <w:bookmarkStart w:id="98" w:name="_Hlk77761273"/>
      <w:r>
        <w:rPr>
          <w:rFonts w:ascii="Cambria" w:hAnsi="Cambria"/>
          <w:lang w:val="sr-Cyrl-RS"/>
        </w:rPr>
        <w:t>Извор: Светска банка</w:t>
      </w:r>
      <w:bookmarkEnd w:id="98"/>
    </w:p>
  </w:footnote>
  <w:footnote w:id="44">
    <w:p w14:paraId="233D5E14" w14:textId="1F0C6846" w:rsidR="00D2017F" w:rsidRPr="002C0831" w:rsidRDefault="00D2017F">
      <w:pPr>
        <w:pStyle w:val="FootnoteText"/>
        <w:rPr>
          <w:lang w:val="sr-Cyrl-RS"/>
        </w:rPr>
      </w:pPr>
      <w:r>
        <w:rPr>
          <w:rStyle w:val="FootnoteReference"/>
        </w:rPr>
        <w:footnoteRef/>
      </w:r>
      <w:r w:rsidRPr="002C0831">
        <w:rPr>
          <w:lang w:val="sr-Cyrl-RS"/>
        </w:rPr>
        <w:t xml:space="preserve"> </w:t>
      </w:r>
      <w:r w:rsidRPr="00EE66AA">
        <w:rPr>
          <w:rFonts w:ascii="Cambria" w:hAnsi="Cambria"/>
          <w:i/>
          <w:lang w:val="sr-Cyrl-RS"/>
        </w:rPr>
        <w:t>Idem</w:t>
      </w:r>
    </w:p>
  </w:footnote>
  <w:footnote w:id="45">
    <w:p w14:paraId="6C180CB5" w14:textId="77777777" w:rsidR="00D2017F" w:rsidRPr="00D9633A" w:rsidRDefault="00D2017F" w:rsidP="00BA5EB3">
      <w:pPr>
        <w:pStyle w:val="FootnoteText"/>
        <w:rPr>
          <w:rFonts w:ascii="Cambria" w:hAnsi="Cambria"/>
          <w:lang w:val="sr-Cyrl-RS"/>
        </w:rPr>
      </w:pPr>
      <w:r>
        <w:rPr>
          <w:rStyle w:val="FootnoteReference"/>
        </w:rPr>
        <w:footnoteRef/>
      </w:r>
      <w:r w:rsidRPr="00EA695E">
        <w:rPr>
          <w:lang w:val="sr-Cyrl-RS"/>
        </w:rPr>
        <w:t xml:space="preserve"> </w:t>
      </w:r>
      <w:r w:rsidRPr="00D9633A">
        <w:rPr>
          <w:rFonts w:ascii="Cambria" w:hAnsi="Cambria"/>
          <w:lang w:val="sr-Cyrl-RS"/>
        </w:rPr>
        <w:t>Видети документ: Анализа слабости и предности људских ресурса у правосуђу, област анализе Судије</w:t>
      </w:r>
    </w:p>
  </w:footnote>
  <w:footnote w:id="46">
    <w:p w14:paraId="352FBB92" w14:textId="3AA12F30" w:rsidR="00D2017F" w:rsidRPr="00CC2390" w:rsidRDefault="00D2017F">
      <w:pPr>
        <w:pStyle w:val="FootnoteText"/>
        <w:rPr>
          <w:lang w:val="sr-Cyrl-RS"/>
        </w:rPr>
      </w:pPr>
      <w:r>
        <w:rPr>
          <w:rStyle w:val="FootnoteReference"/>
        </w:rPr>
        <w:footnoteRef/>
      </w:r>
      <w:r w:rsidRPr="00CC2390">
        <w:rPr>
          <w:lang w:val="sr-Cyrl-RS"/>
        </w:rPr>
        <w:t xml:space="preserve"> </w:t>
      </w:r>
      <w:r w:rsidRPr="00027E24">
        <w:rPr>
          <w:rFonts w:ascii="Cambria" w:hAnsi="Cambria"/>
          <w:lang w:val="sr-Cyrl-RS"/>
        </w:rPr>
        <w:t>CEPEJ Anual Report 20</w:t>
      </w:r>
      <w:r>
        <w:rPr>
          <w:rFonts w:ascii="Cambria" w:hAnsi="Cambria"/>
          <w:lang w:val="sr-Latn-RS"/>
        </w:rPr>
        <w:t>20</w:t>
      </w:r>
      <w:r>
        <w:rPr>
          <w:rFonts w:ascii="Cambria" w:hAnsi="Cambria"/>
          <w:lang w:val="sr-Cyrl-RS"/>
        </w:rPr>
        <w:t>.</w:t>
      </w:r>
    </w:p>
  </w:footnote>
  <w:footnote w:id="47">
    <w:p w14:paraId="436AB796" w14:textId="0E08A047" w:rsidR="00D2017F" w:rsidRPr="00CC2390" w:rsidRDefault="00D2017F">
      <w:pPr>
        <w:pStyle w:val="FootnoteText"/>
        <w:rPr>
          <w:lang w:val="sr-Cyrl-RS"/>
        </w:rPr>
      </w:pPr>
      <w:r>
        <w:rPr>
          <w:rStyle w:val="FootnoteReference"/>
        </w:rPr>
        <w:footnoteRef/>
      </w:r>
      <w:r w:rsidRPr="00CC2390">
        <w:rPr>
          <w:lang w:val="sr-Cyrl-RS"/>
        </w:rPr>
        <w:t xml:space="preserve"> </w:t>
      </w:r>
      <w:r>
        <w:rPr>
          <w:rFonts w:ascii="Cambria" w:hAnsi="Cambria"/>
          <w:lang w:val="sr-Cyrl-RS"/>
        </w:rPr>
        <w:t>Извор: Светска банка</w:t>
      </w:r>
    </w:p>
  </w:footnote>
  <w:footnote w:id="48">
    <w:p w14:paraId="673FAE60" w14:textId="17D56536" w:rsidR="00D2017F" w:rsidRPr="00CC2390" w:rsidRDefault="00D2017F">
      <w:pPr>
        <w:pStyle w:val="FootnoteText"/>
        <w:rPr>
          <w:lang w:val="sr-Cyrl-RS"/>
        </w:rPr>
      </w:pPr>
      <w:r>
        <w:rPr>
          <w:rStyle w:val="FootnoteReference"/>
        </w:rPr>
        <w:footnoteRef/>
      </w:r>
      <w:r>
        <w:rPr>
          <w:rFonts w:ascii="Cambria" w:hAnsi="Cambria"/>
          <w:lang w:val="sr-Cyrl-RS"/>
        </w:rPr>
        <w:t xml:space="preserve"> Извор: Светска банка</w:t>
      </w:r>
    </w:p>
  </w:footnote>
  <w:footnote w:id="49">
    <w:p w14:paraId="13DFE283" w14:textId="77777777" w:rsidR="00D2017F" w:rsidRPr="001B180E" w:rsidRDefault="00D2017F" w:rsidP="007222BE">
      <w:pPr>
        <w:pStyle w:val="FootnoteText"/>
        <w:rPr>
          <w:lang w:val="sr-Cyrl-RS"/>
        </w:rPr>
      </w:pPr>
      <w:r>
        <w:rPr>
          <w:rStyle w:val="FootnoteReference"/>
        </w:rPr>
        <w:footnoteRef/>
      </w:r>
      <w:r w:rsidRPr="001B180E">
        <w:rPr>
          <w:lang w:val="sr-Cyrl-RS"/>
        </w:rPr>
        <w:t xml:space="preserve"> </w:t>
      </w:r>
      <w:r>
        <w:rPr>
          <w:rFonts w:ascii="Cambria" w:hAnsi="Cambria"/>
          <w:lang w:val="sr-Cyrl-RS"/>
        </w:rPr>
        <w:t xml:space="preserve">КВЕС(2019)6, </w:t>
      </w:r>
      <w:r w:rsidRPr="001B180E">
        <w:rPr>
          <w:rFonts w:ascii="Cambria" w:hAnsi="Cambria"/>
          <w:lang w:val="sr-Cyrl-RS"/>
        </w:rPr>
        <w:t>Стразбур, 7. новембар 2019. године</w:t>
      </w:r>
      <w:r>
        <w:rPr>
          <w:rFonts w:ascii="Cambria" w:hAnsi="Cambria"/>
          <w:lang w:val="sr-Cyrl-RS"/>
        </w:rPr>
        <w:t>.</w:t>
      </w:r>
    </w:p>
  </w:footnote>
  <w:footnote w:id="50">
    <w:p w14:paraId="0F0165B3" w14:textId="77777777" w:rsidR="00D2017F" w:rsidRPr="000E0847" w:rsidRDefault="00D2017F" w:rsidP="007222BE">
      <w:pPr>
        <w:pStyle w:val="FootnoteText"/>
        <w:jc w:val="both"/>
        <w:rPr>
          <w:rFonts w:ascii="Cambria" w:hAnsi="Cambria"/>
          <w:lang w:val="sr-Cyrl-RS"/>
        </w:rPr>
      </w:pPr>
      <w:r w:rsidRPr="00C103D0">
        <w:rPr>
          <w:rStyle w:val="FootnoteReference"/>
        </w:rPr>
        <w:footnoteRef/>
      </w:r>
      <w:r w:rsidRPr="00C103D0">
        <w:rPr>
          <w:rStyle w:val="FootnoteReference"/>
          <w:lang w:val="sr-Cyrl-RS"/>
        </w:rPr>
        <w:t xml:space="preserve"> </w:t>
      </w:r>
      <w:r w:rsidRPr="000E0847">
        <w:rPr>
          <w:rFonts w:ascii="Cambria" w:hAnsi="Cambria"/>
          <w:lang w:val="sr-Cyrl-RS"/>
        </w:rPr>
        <w:t>Видети члан 69, став 2 Закона о уређењу судова („Службени гласник РС“, бр. 116/2008 … 88/2018 - одлука УС</w:t>
      </w:r>
      <w:r>
        <w:rPr>
          <w:rFonts w:ascii="Cambria" w:hAnsi="Cambria"/>
          <w:lang w:val="sr-Cyrl-RS"/>
        </w:rPr>
        <w:t>).</w:t>
      </w:r>
    </w:p>
  </w:footnote>
  <w:footnote w:id="51">
    <w:p w14:paraId="43A73307"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0E0847">
        <w:rPr>
          <w:rFonts w:ascii="Cambria" w:hAnsi="Cambria"/>
          <w:lang w:val="sr-Cyrl-RS"/>
        </w:rPr>
        <w:t xml:space="preserve">Правилник о мерилима за одређивање броја судског особља у судовима </w:t>
      </w:r>
      <w:r w:rsidRPr="003509EB">
        <w:rPr>
          <w:rFonts w:ascii="Cambria" w:hAnsi="Cambria"/>
          <w:lang w:val="sr-Cyrl-RS"/>
        </w:rPr>
        <w:t xml:space="preserve">(„Службени гласник РС“, бр. </w:t>
      </w:r>
      <w:r w:rsidRPr="000E0847">
        <w:rPr>
          <w:rFonts w:ascii="Cambria" w:hAnsi="Cambria"/>
          <w:lang w:val="sr-Cyrl-RS"/>
        </w:rPr>
        <w:t>72/2009 и 79/2009)</w:t>
      </w:r>
      <w:r>
        <w:rPr>
          <w:rFonts w:ascii="Cambria" w:hAnsi="Cambria"/>
          <w:lang w:val="sr-Cyrl-RS"/>
        </w:rPr>
        <w:t>.</w:t>
      </w:r>
    </w:p>
  </w:footnote>
  <w:footnote w:id="52">
    <w:p w14:paraId="005D6144" w14:textId="77777777" w:rsidR="00D2017F" w:rsidRPr="000E0847" w:rsidRDefault="00D2017F" w:rsidP="007222BE">
      <w:pPr>
        <w:pStyle w:val="FootnoteText"/>
        <w:rPr>
          <w:rFonts w:ascii="Cambria" w:hAnsi="Cambria"/>
          <w:lang w:val="sr-Cyrl-RS"/>
        </w:rPr>
      </w:pPr>
      <w:r>
        <w:rPr>
          <w:rStyle w:val="FootnoteReference"/>
        </w:rPr>
        <w:footnoteRef/>
      </w:r>
      <w:r w:rsidRPr="000E0847">
        <w:rPr>
          <w:lang w:val="sr-Cyrl-RS"/>
        </w:rPr>
        <w:t xml:space="preserve"> </w:t>
      </w:r>
      <w:r w:rsidRPr="000E0847">
        <w:rPr>
          <w:rFonts w:ascii="Cambria" w:hAnsi="Cambria"/>
          <w:lang w:val="sr-Cyrl-RS"/>
        </w:rPr>
        <w:t>Закон о платама државних службеника и намештеника („Службени гласник РС“, бр. 62/2006, 63/2006 - испр., 115/2006 - испр., 101/2007, 99/2010, 108/2013, 99/2014 и 95/2018)</w:t>
      </w:r>
      <w:r>
        <w:rPr>
          <w:rFonts w:ascii="Cambria" w:hAnsi="Cambria"/>
          <w:lang w:val="sr-Cyrl-RS"/>
        </w:rPr>
        <w:t>.</w:t>
      </w:r>
    </w:p>
  </w:footnote>
  <w:footnote w:id="53">
    <w:p w14:paraId="1969272D" w14:textId="77777777" w:rsidR="00D2017F" w:rsidRPr="000E0847" w:rsidRDefault="00D2017F" w:rsidP="007222BE">
      <w:pPr>
        <w:pStyle w:val="FootnoteText"/>
        <w:rPr>
          <w:lang w:val="sr-Cyrl-RS"/>
        </w:rPr>
      </w:pPr>
      <w:r w:rsidRPr="000E0847">
        <w:rPr>
          <w:rFonts w:ascii="Cambria" w:hAnsi="Cambria"/>
          <w:lang w:val="sr-Cyrl-RS"/>
        </w:rPr>
        <w:footnoteRef/>
      </w:r>
      <w:r w:rsidRPr="000E0847">
        <w:rPr>
          <w:rFonts w:ascii="Cambria" w:hAnsi="Cambria"/>
          <w:lang w:val="sr-Cyrl-RS"/>
        </w:rPr>
        <w:t xml:space="preserve"> Видети члан 58 Закона о уређењу судова </w:t>
      </w:r>
      <w:r w:rsidRPr="003509EB">
        <w:rPr>
          <w:rFonts w:ascii="Cambria" w:hAnsi="Cambria"/>
          <w:lang w:val="sr-Cyrl-RS"/>
        </w:rPr>
        <w:t xml:space="preserve">(„Службени гласник РС“, бр. </w:t>
      </w:r>
      <w:r>
        <w:rPr>
          <w:rFonts w:ascii="Cambria" w:hAnsi="Cambria"/>
          <w:lang w:val="sr-Cyrl-RS"/>
        </w:rPr>
        <w:t>104</w:t>
      </w:r>
      <w:r w:rsidRPr="003509EB">
        <w:rPr>
          <w:rFonts w:ascii="Cambria" w:hAnsi="Cambria"/>
          <w:lang w:val="sr-Cyrl-RS"/>
        </w:rPr>
        <w:t>/200</w:t>
      </w:r>
      <w:r>
        <w:rPr>
          <w:rFonts w:ascii="Cambria" w:hAnsi="Cambria"/>
          <w:lang w:val="sr-Cyrl-RS"/>
        </w:rPr>
        <w:t>8 …88/2</w:t>
      </w:r>
      <w:r w:rsidRPr="003509EB">
        <w:rPr>
          <w:rFonts w:ascii="Cambria" w:hAnsi="Cambria"/>
          <w:lang w:val="sr-Cyrl-RS"/>
        </w:rPr>
        <w:t>018</w:t>
      </w:r>
      <w:r>
        <w:rPr>
          <w:rFonts w:ascii="Cambria" w:hAnsi="Cambria"/>
          <w:lang w:val="sr-Cyrl-RS"/>
        </w:rPr>
        <w:t>-одлука УС</w:t>
      </w:r>
      <w:r w:rsidRPr="003509EB">
        <w:rPr>
          <w:rFonts w:ascii="Cambria" w:hAnsi="Cambria"/>
          <w:lang w:val="sr-Cyrl-RS"/>
        </w:rPr>
        <w:t>)</w:t>
      </w:r>
      <w:r>
        <w:rPr>
          <w:rFonts w:ascii="Cambria" w:hAnsi="Cambria"/>
          <w:lang w:val="sr-Cyrl-RS"/>
        </w:rPr>
        <w:t>.</w:t>
      </w:r>
    </w:p>
  </w:footnote>
  <w:footnote w:id="54">
    <w:p w14:paraId="7210A909" w14:textId="77777777" w:rsidR="00D2017F" w:rsidRPr="000E0847" w:rsidRDefault="00D2017F" w:rsidP="007222BE">
      <w:pPr>
        <w:pStyle w:val="FootnoteText"/>
        <w:rPr>
          <w:lang w:val="sr-Cyrl-RS"/>
        </w:rPr>
      </w:pPr>
      <w:r>
        <w:rPr>
          <w:rStyle w:val="FootnoteReference"/>
        </w:rPr>
        <w:footnoteRef/>
      </w:r>
      <w:r w:rsidRPr="000E0847">
        <w:rPr>
          <w:lang w:val="sr-Cyrl-RS"/>
        </w:rPr>
        <w:t xml:space="preserve"> </w:t>
      </w:r>
      <w:r w:rsidRPr="003509EB">
        <w:rPr>
          <w:rFonts w:ascii="Cambria" w:hAnsi="Cambria"/>
          <w:lang w:val="sr-Cyrl-RS"/>
        </w:rPr>
        <w:t>В</w:t>
      </w:r>
      <w:r>
        <w:rPr>
          <w:rFonts w:ascii="Cambria" w:hAnsi="Cambria"/>
          <w:lang w:val="sr-Cyrl-RS"/>
        </w:rPr>
        <w:t>идети члан 74, став 1 Судског пословника</w:t>
      </w:r>
      <w:r w:rsidRPr="003509EB">
        <w:rPr>
          <w:rFonts w:ascii="Cambria" w:hAnsi="Cambria"/>
          <w:lang w:val="sr-Cyrl-RS"/>
        </w:rPr>
        <w:t xml:space="preserve"> („Службени гласник РС“, бр. </w:t>
      </w:r>
      <w:r>
        <w:rPr>
          <w:rFonts w:ascii="Cambria" w:hAnsi="Cambria"/>
          <w:lang w:val="sr-Cyrl-RS"/>
        </w:rPr>
        <w:t>110</w:t>
      </w:r>
      <w:r w:rsidRPr="003509EB">
        <w:rPr>
          <w:rFonts w:ascii="Cambria" w:hAnsi="Cambria"/>
          <w:lang w:val="sr-Cyrl-RS"/>
        </w:rPr>
        <w:t>/200</w:t>
      </w:r>
      <w:r>
        <w:rPr>
          <w:rFonts w:ascii="Cambria" w:hAnsi="Cambria"/>
          <w:lang w:val="sr-Cyrl-RS"/>
        </w:rPr>
        <w:t>9 …93/2</w:t>
      </w:r>
      <w:r w:rsidRPr="003509EB">
        <w:rPr>
          <w:rFonts w:ascii="Cambria" w:hAnsi="Cambria"/>
          <w:lang w:val="sr-Cyrl-RS"/>
        </w:rPr>
        <w:t>01</w:t>
      </w:r>
      <w:r>
        <w:rPr>
          <w:rFonts w:ascii="Cambria" w:hAnsi="Cambria"/>
          <w:lang w:val="sr-Cyrl-RS"/>
        </w:rPr>
        <w:t>9</w:t>
      </w:r>
      <w:r w:rsidRPr="003509EB">
        <w:rPr>
          <w:rFonts w:ascii="Cambria" w:hAnsi="Cambria"/>
          <w:lang w:val="sr-Cyrl-RS"/>
        </w:rPr>
        <w:t>)</w:t>
      </w:r>
      <w:r>
        <w:rPr>
          <w:rFonts w:ascii="Cambria" w:hAnsi="Cambria"/>
          <w:lang w:val="sr-Cyrl-RS"/>
        </w:rPr>
        <w:t>.</w:t>
      </w:r>
    </w:p>
  </w:footnote>
  <w:footnote w:id="55">
    <w:p w14:paraId="0431B59E"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3509EB">
        <w:rPr>
          <w:rFonts w:ascii="Cambria" w:hAnsi="Cambria"/>
          <w:lang w:val="sr-Cyrl-RS"/>
        </w:rPr>
        <w:t>В</w:t>
      </w:r>
      <w:r>
        <w:rPr>
          <w:rFonts w:ascii="Cambria" w:hAnsi="Cambria"/>
          <w:lang w:val="sr-Cyrl-RS"/>
        </w:rPr>
        <w:t>идети члан 74, став 2 Судског пословника</w:t>
      </w:r>
      <w:r w:rsidRPr="003509EB">
        <w:rPr>
          <w:rFonts w:ascii="Cambria" w:hAnsi="Cambria"/>
          <w:lang w:val="sr-Cyrl-RS"/>
        </w:rPr>
        <w:t xml:space="preserve"> („Службени гласник РС“, бр. </w:t>
      </w:r>
      <w:r>
        <w:rPr>
          <w:rFonts w:ascii="Cambria" w:hAnsi="Cambria"/>
          <w:lang w:val="sr-Cyrl-RS"/>
        </w:rPr>
        <w:t>110</w:t>
      </w:r>
      <w:r w:rsidRPr="003509EB">
        <w:rPr>
          <w:rFonts w:ascii="Cambria" w:hAnsi="Cambria"/>
          <w:lang w:val="sr-Cyrl-RS"/>
        </w:rPr>
        <w:t>/200</w:t>
      </w:r>
      <w:r>
        <w:rPr>
          <w:rFonts w:ascii="Cambria" w:hAnsi="Cambria"/>
          <w:lang w:val="sr-Cyrl-RS"/>
        </w:rPr>
        <w:t>9 …93/2</w:t>
      </w:r>
      <w:r w:rsidRPr="003509EB">
        <w:rPr>
          <w:rFonts w:ascii="Cambria" w:hAnsi="Cambria"/>
          <w:lang w:val="sr-Cyrl-RS"/>
        </w:rPr>
        <w:t>01</w:t>
      </w:r>
      <w:r>
        <w:rPr>
          <w:rFonts w:ascii="Cambria" w:hAnsi="Cambria"/>
          <w:lang w:val="sr-Cyrl-RS"/>
        </w:rPr>
        <w:t>9</w:t>
      </w:r>
      <w:r w:rsidRPr="003509EB">
        <w:rPr>
          <w:rFonts w:ascii="Cambria" w:hAnsi="Cambria"/>
          <w:lang w:val="sr-Cyrl-RS"/>
        </w:rPr>
        <w:t>)</w:t>
      </w:r>
      <w:r>
        <w:rPr>
          <w:rFonts w:ascii="Cambria" w:hAnsi="Cambria"/>
          <w:lang w:val="sr-Cyrl-RS"/>
        </w:rPr>
        <w:t>.</w:t>
      </w:r>
    </w:p>
  </w:footnote>
  <w:footnote w:id="56">
    <w:p w14:paraId="021110F2"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0E0847">
        <w:rPr>
          <w:rFonts w:ascii="Cambria" w:hAnsi="Cambria"/>
          <w:lang w:val="sr-Cyrl-RS"/>
        </w:rPr>
        <w:t>Видети документ под називом: Платформа за успостављање каријерног пута судијских помоћника као правосудних службеника и развојни план за унапређење њихових положаја, који је припремљен од стране УСАИД Пројекта владавине права, стр. 14</w:t>
      </w:r>
    </w:p>
  </w:footnote>
  <w:footnote w:id="57">
    <w:p w14:paraId="63C3BD46" w14:textId="77777777" w:rsidR="00D2017F" w:rsidRPr="00EA695E" w:rsidRDefault="00D2017F" w:rsidP="007222BE">
      <w:pPr>
        <w:pStyle w:val="FootnoteText"/>
        <w:rPr>
          <w:lang w:val="sr-Cyrl-RS"/>
        </w:rPr>
      </w:pPr>
      <w:r>
        <w:rPr>
          <w:rStyle w:val="FootnoteReference"/>
        </w:rPr>
        <w:footnoteRef/>
      </w:r>
      <w:r w:rsidRPr="00EA695E">
        <w:rPr>
          <w:lang w:val="sr-Cyrl-RS"/>
        </w:rPr>
        <w:t xml:space="preserve"> </w:t>
      </w:r>
      <w:r w:rsidRPr="00C103D0">
        <w:rPr>
          <w:rFonts w:ascii="Cambria" w:hAnsi="Cambria"/>
          <w:lang w:val="sr-Cyrl-RS"/>
        </w:rPr>
        <w:t>Видети документ: Анализа слабости и предности људских ресурса у правосуђу, област анализе – Судијски и јавно тужилачки помоћници</w:t>
      </w:r>
      <w:r>
        <w:rPr>
          <w:i/>
          <w:iCs/>
          <w:lang w:val="sr-Cyrl-RS"/>
        </w:rPr>
        <w:t xml:space="preserve"> </w:t>
      </w:r>
      <w:r w:rsidRPr="00080EDD">
        <w:rPr>
          <w:i/>
          <w:iCs/>
          <w:lang w:val="sr-Cyrl-RS"/>
        </w:rPr>
        <w:t xml:space="preserve"> </w:t>
      </w:r>
    </w:p>
  </w:footnote>
  <w:footnote w:id="58">
    <w:p w14:paraId="67410A76"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0E0847">
        <w:rPr>
          <w:rFonts w:ascii="Cambria" w:hAnsi="Cambria"/>
          <w:lang w:val="sr-Cyrl-RS"/>
        </w:rPr>
        <w:t xml:space="preserve">Видети чланове 61-64 Закона о уређењу судова </w:t>
      </w:r>
      <w:r w:rsidRPr="003509EB">
        <w:rPr>
          <w:rFonts w:ascii="Cambria" w:hAnsi="Cambria"/>
          <w:lang w:val="sr-Cyrl-RS"/>
        </w:rPr>
        <w:t xml:space="preserve">(„Службени гласник РС“, бр. </w:t>
      </w:r>
      <w:r>
        <w:rPr>
          <w:rFonts w:ascii="Cambria" w:hAnsi="Cambria"/>
          <w:lang w:val="sr-Cyrl-RS"/>
        </w:rPr>
        <w:t>116</w:t>
      </w:r>
      <w:r w:rsidRPr="003509EB">
        <w:rPr>
          <w:rFonts w:ascii="Cambria" w:hAnsi="Cambria"/>
          <w:lang w:val="sr-Cyrl-RS"/>
        </w:rPr>
        <w:t>/200</w:t>
      </w:r>
      <w:r>
        <w:rPr>
          <w:rFonts w:ascii="Cambria" w:hAnsi="Cambria"/>
          <w:lang w:val="sr-Cyrl-RS"/>
        </w:rPr>
        <w:t>8 …88/2</w:t>
      </w:r>
      <w:r w:rsidRPr="003509EB">
        <w:rPr>
          <w:rFonts w:ascii="Cambria" w:hAnsi="Cambria"/>
          <w:lang w:val="sr-Cyrl-RS"/>
        </w:rPr>
        <w:t>01</w:t>
      </w:r>
      <w:r>
        <w:rPr>
          <w:rFonts w:ascii="Cambria" w:hAnsi="Cambria"/>
          <w:lang w:val="sr-Cyrl-RS"/>
        </w:rPr>
        <w:t>8-одлука УС</w:t>
      </w:r>
      <w:r w:rsidRPr="003509EB">
        <w:rPr>
          <w:rFonts w:ascii="Cambria" w:hAnsi="Cambria"/>
          <w:lang w:val="sr-Cyrl-RS"/>
        </w:rPr>
        <w:t>)</w:t>
      </w:r>
      <w:r>
        <w:rPr>
          <w:rFonts w:ascii="Cambria" w:hAnsi="Cambria"/>
          <w:lang w:val="sr-Cyrl-RS"/>
        </w:rPr>
        <w:t>.</w:t>
      </w:r>
    </w:p>
  </w:footnote>
  <w:footnote w:id="59">
    <w:p w14:paraId="453B2E27" w14:textId="77777777" w:rsidR="00D2017F" w:rsidRPr="001B180E" w:rsidRDefault="00D2017F" w:rsidP="007222BE">
      <w:pPr>
        <w:pStyle w:val="FootnoteText"/>
        <w:rPr>
          <w:lang w:val="sr-Cyrl-RS"/>
        </w:rPr>
      </w:pPr>
      <w:r>
        <w:rPr>
          <w:rStyle w:val="FootnoteReference"/>
        </w:rPr>
        <w:footnoteRef/>
      </w:r>
      <w:r w:rsidRPr="001B180E">
        <w:rPr>
          <w:lang w:val="sr-Cyrl-RS"/>
        </w:rPr>
        <w:t xml:space="preserve"> </w:t>
      </w:r>
      <w:r w:rsidRPr="00C00E62">
        <w:rPr>
          <w:rFonts w:ascii="Cambria" w:hAnsi="Cambria"/>
          <w:lang w:val="sr-Cyrl-RS"/>
        </w:rPr>
        <w:t xml:space="preserve">Видети секцију III, поглавље A. Тачку 3, подтачку 16 </w:t>
      </w:r>
      <w:r>
        <w:rPr>
          <w:rFonts w:ascii="Cambria" w:hAnsi="Cambria"/>
          <w:lang w:val="sr-Cyrl-RS"/>
        </w:rPr>
        <w:t xml:space="preserve">КВЕС(2019)6, </w:t>
      </w:r>
      <w:r w:rsidRPr="001B180E">
        <w:rPr>
          <w:rFonts w:ascii="Cambria" w:hAnsi="Cambria"/>
          <w:lang w:val="sr-Cyrl-RS"/>
        </w:rPr>
        <w:t>Стразбур, 7. новембар 2019. године</w:t>
      </w:r>
      <w:r>
        <w:rPr>
          <w:rFonts w:ascii="Cambria" w:hAnsi="Cambria"/>
          <w:lang w:val="sr-Cyrl-RS"/>
        </w:rPr>
        <w:t>.</w:t>
      </w:r>
    </w:p>
  </w:footnote>
  <w:footnote w:id="60">
    <w:p w14:paraId="0A666D7B"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0E0847">
        <w:rPr>
          <w:rFonts w:ascii="Cambria" w:hAnsi="Cambria"/>
          <w:lang w:val="sr-Cyrl-RS"/>
        </w:rPr>
        <w:t>Видети документ под називом: „Анализа положаја судијских помоћника у правосудном систему Републике Србије“, који је припремљен од стране УСАИД Пројекта владавине права, стр. 14.</w:t>
      </w:r>
    </w:p>
  </w:footnote>
  <w:footnote w:id="61">
    <w:p w14:paraId="1682BCF6" w14:textId="77777777" w:rsidR="00D2017F" w:rsidRPr="000E0847" w:rsidRDefault="00D2017F" w:rsidP="007222BE">
      <w:pPr>
        <w:pStyle w:val="FootnoteText"/>
        <w:rPr>
          <w:lang w:val="sr-Cyrl-RS"/>
        </w:rPr>
      </w:pPr>
      <w:r>
        <w:rPr>
          <w:rStyle w:val="FootnoteReference"/>
        </w:rPr>
        <w:footnoteRef/>
      </w:r>
      <w:r w:rsidRPr="000E0847">
        <w:rPr>
          <w:lang w:val="sr-Cyrl-RS"/>
        </w:rPr>
        <w:t xml:space="preserve"> </w:t>
      </w:r>
      <w:r w:rsidRPr="000E0847">
        <w:rPr>
          <w:rFonts w:ascii="Cambria" w:hAnsi="Cambria"/>
          <w:i/>
          <w:lang w:val="sr-Cyrl-RS"/>
        </w:rPr>
        <w:t>Idem.</w:t>
      </w:r>
    </w:p>
  </w:footnote>
  <w:footnote w:id="62">
    <w:p w14:paraId="3097E277" w14:textId="77777777" w:rsidR="00D2017F" w:rsidRPr="000E0847" w:rsidRDefault="00D2017F" w:rsidP="007222BE">
      <w:pPr>
        <w:pStyle w:val="FootnoteText"/>
        <w:jc w:val="both"/>
        <w:rPr>
          <w:lang w:val="sr-Cyrl-RS"/>
        </w:rPr>
      </w:pPr>
      <w:r>
        <w:rPr>
          <w:rStyle w:val="FootnoteReference"/>
        </w:rPr>
        <w:footnoteRef/>
      </w:r>
      <w:r w:rsidRPr="000E0847">
        <w:rPr>
          <w:lang w:val="sr-Cyrl-RS"/>
        </w:rPr>
        <w:t xml:space="preserve"> </w:t>
      </w:r>
      <w:r w:rsidRPr="003509EB">
        <w:rPr>
          <w:rFonts w:ascii="Cambria" w:hAnsi="Cambria"/>
          <w:lang w:val="sr-Cyrl-RS"/>
        </w:rPr>
        <w:t xml:space="preserve">Видети документ под називом: Платформа за успостављање каријерног пута судијских помоћника као правосудних службеника и развојни план за унапређење њихових положаја, који је припремљен од стране УСАИД Пројекта владавине права, стр. </w:t>
      </w:r>
      <w:r>
        <w:rPr>
          <w:rFonts w:ascii="Cambria" w:hAnsi="Cambria"/>
          <w:lang w:val="sr-Cyrl-RS"/>
        </w:rPr>
        <w:t>22</w:t>
      </w:r>
    </w:p>
  </w:footnote>
  <w:footnote w:id="63">
    <w:p w14:paraId="36EB4C9A" w14:textId="77777777" w:rsidR="00D2017F" w:rsidRPr="00CD68FD" w:rsidRDefault="00D2017F" w:rsidP="001D035F">
      <w:pPr>
        <w:pStyle w:val="FootnoteText"/>
        <w:jc w:val="both"/>
        <w:rPr>
          <w:lang w:val="sr-Cyrl-RS"/>
        </w:rPr>
      </w:pPr>
      <w:r>
        <w:rPr>
          <w:rStyle w:val="FootnoteReference"/>
        </w:rPr>
        <w:footnoteRef/>
      </w:r>
      <w:r w:rsidRPr="00CD68FD">
        <w:rPr>
          <w:lang w:val="sr-Cyrl-RS"/>
        </w:rPr>
        <w:t xml:space="preserve"> </w:t>
      </w:r>
      <w:r w:rsidRPr="00CD68FD">
        <w:rPr>
          <w:rFonts w:ascii="Cambria" w:hAnsi="Cambria"/>
          <w:lang w:val="sr-Cyrl-RS"/>
        </w:rPr>
        <w:t xml:space="preserve">Према </w:t>
      </w:r>
      <w:r>
        <w:rPr>
          <w:rFonts w:ascii="Cambria" w:hAnsi="Cambria"/>
          <w:lang w:val="sr-Cyrl-RS"/>
        </w:rPr>
        <w:t>документу „Анализа потребног броја заменика јавних тужилаца у јавним тужилаштвима у РС“, из 2016. године, т</w:t>
      </w:r>
      <w:r w:rsidRPr="00CD68FD">
        <w:rPr>
          <w:rFonts w:ascii="Cambria" w:hAnsi="Cambria"/>
          <w:lang w:val="sr-Cyrl-RS"/>
        </w:rPr>
        <w:t>ужиоци у првостепеним тужилаштвима</w:t>
      </w:r>
      <w:r>
        <w:rPr>
          <w:rFonts w:ascii="Cambria" w:hAnsi="Cambria"/>
          <w:lang w:val="sr-Cyrl-RS"/>
        </w:rPr>
        <w:t xml:space="preserve"> по новом Законику о кривичном поступку</w:t>
      </w:r>
      <w:r w:rsidRPr="00CD68FD">
        <w:rPr>
          <w:rFonts w:ascii="Cambria" w:hAnsi="Cambria"/>
          <w:lang w:val="sr-Cyrl-RS"/>
        </w:rPr>
        <w:t xml:space="preserve"> у сваком појединачном предмету извршавају најмање два пута већи број процесних радњи.</w:t>
      </w:r>
    </w:p>
  </w:footnote>
  <w:footnote w:id="64">
    <w:p w14:paraId="7BE67BB2" w14:textId="77777777" w:rsidR="00D2017F" w:rsidRPr="00DC2F67" w:rsidRDefault="00D2017F" w:rsidP="001D035F">
      <w:pPr>
        <w:pStyle w:val="FootnoteText"/>
        <w:rPr>
          <w:lang w:val="sr-Cyrl-RS"/>
        </w:rPr>
      </w:pPr>
      <w:r>
        <w:rPr>
          <w:rStyle w:val="FootnoteReference"/>
        </w:rPr>
        <w:footnoteRef/>
      </w:r>
      <w:r w:rsidRPr="00DC2F67">
        <w:rPr>
          <w:lang w:val="sr-Cyrl-RS"/>
        </w:rPr>
        <w:t xml:space="preserve"> </w:t>
      </w:r>
      <w:r w:rsidRPr="00DC2F67">
        <w:rPr>
          <w:rFonts w:ascii="Cambria" w:hAnsi="Cambria"/>
          <w:lang w:val="sr-Cyrl-RS"/>
        </w:rPr>
        <w:t>Видети документ</w:t>
      </w:r>
      <w:r>
        <w:rPr>
          <w:lang w:val="sr-Cyrl-RS"/>
        </w:rPr>
        <w:t xml:space="preserve">: </w:t>
      </w:r>
      <w:r w:rsidRPr="003509EB">
        <w:rPr>
          <w:rFonts w:ascii="Cambria" w:hAnsi="Cambria"/>
          <w:lang w:val="sr-Cyrl-RS"/>
        </w:rPr>
        <w:t>Функционална анализа правосуђа у Србији, 2014, израђеном и објављеном од стране Светске банке</w:t>
      </w:r>
      <w:r>
        <w:rPr>
          <w:rFonts w:ascii="Cambria" w:hAnsi="Cambria"/>
          <w:lang w:val="sr-Cyrl-RS"/>
        </w:rPr>
        <w:t>, стр. 24.</w:t>
      </w:r>
    </w:p>
  </w:footnote>
  <w:footnote w:id="65">
    <w:p w14:paraId="54244E01" w14:textId="77777777" w:rsidR="00D2017F" w:rsidRPr="00EB3491" w:rsidRDefault="00D2017F" w:rsidP="001D035F">
      <w:pPr>
        <w:pStyle w:val="FootnoteText"/>
        <w:rPr>
          <w:lang w:val="sr-Cyrl-RS"/>
        </w:rPr>
      </w:pPr>
      <w:r>
        <w:rPr>
          <w:rStyle w:val="FootnoteReference"/>
        </w:rPr>
        <w:footnoteRef/>
      </w:r>
      <w:r w:rsidRPr="004809D6">
        <w:rPr>
          <w:lang w:val="sr-Cyrl-RS"/>
        </w:rPr>
        <w:t xml:space="preserve"> </w:t>
      </w:r>
      <w:r w:rsidRPr="00EB3491">
        <w:rPr>
          <w:rFonts w:ascii="Cambria" w:hAnsi="Cambria"/>
          <w:lang w:val="sr-Cyrl-RS"/>
        </w:rPr>
        <w:t>Одлука о броју заменика јавних тужилаца ("Сл. гласник РС", бр. 106/2013, 94/2015, 114/2015, 80/2016, 39/2018, 68/2018, 36/2019 и 32/2021)</w:t>
      </w:r>
    </w:p>
  </w:footnote>
  <w:footnote w:id="66">
    <w:p w14:paraId="12BD19D7" w14:textId="65D58413" w:rsidR="00D2017F" w:rsidRPr="00B92ED9" w:rsidRDefault="00D2017F" w:rsidP="004809D6">
      <w:pPr>
        <w:pStyle w:val="FootnoteText"/>
        <w:jc w:val="both"/>
        <w:rPr>
          <w:lang w:val="sr-Cyrl-RS"/>
        </w:rPr>
      </w:pPr>
      <w:r>
        <w:rPr>
          <w:rStyle w:val="FootnoteReference"/>
        </w:rPr>
        <w:footnoteRef/>
      </w:r>
      <w:r w:rsidRPr="004809D6">
        <w:rPr>
          <w:lang w:val="sr-Cyrl-RS"/>
        </w:rPr>
        <w:t xml:space="preserve"> </w:t>
      </w:r>
      <w:r w:rsidRPr="003F14CC">
        <w:rPr>
          <w:rFonts w:ascii="Cambria" w:hAnsi="Cambria"/>
          <w:lang w:val="sr-Cyrl-RS"/>
        </w:rPr>
        <w:t>Према анализи из 2016. године коју је уради</w:t>
      </w:r>
      <w:r>
        <w:rPr>
          <w:rFonts w:ascii="Cambria" w:hAnsi="Cambria"/>
          <w:lang w:val="sr-Cyrl-RS"/>
        </w:rPr>
        <w:t xml:space="preserve">о </w:t>
      </w:r>
      <w:r>
        <w:rPr>
          <w:rFonts w:ascii="Cambria" w:hAnsi="Cambria"/>
          <w:lang w:val="sr-Latn-RS"/>
        </w:rPr>
        <w:t>CEPEJ</w:t>
      </w:r>
      <w:r>
        <w:rPr>
          <w:rFonts w:ascii="Cambria" w:hAnsi="Cambria"/>
          <w:lang w:val="sr-Cyrl-RS"/>
        </w:rPr>
        <w:t>, радно тело</w:t>
      </w:r>
      <w:r w:rsidRPr="003F14CC">
        <w:rPr>
          <w:rFonts w:ascii="Cambria" w:hAnsi="Cambria"/>
          <w:lang w:val="sr-Cyrl-RS"/>
        </w:rPr>
        <w:t xml:space="preserve"> Савет</w:t>
      </w:r>
      <w:r>
        <w:rPr>
          <w:rFonts w:ascii="Cambria" w:hAnsi="Cambria"/>
          <w:lang w:val="sr-Cyrl-RS"/>
        </w:rPr>
        <w:t>а</w:t>
      </w:r>
      <w:r w:rsidRPr="003F14CC">
        <w:rPr>
          <w:rFonts w:ascii="Cambria" w:hAnsi="Cambria"/>
          <w:lang w:val="sr-Cyrl-RS"/>
        </w:rPr>
        <w:t xml:space="preserve"> Европе </w:t>
      </w:r>
      <w:r>
        <w:rPr>
          <w:rFonts w:ascii="Cambria" w:hAnsi="Cambria"/>
          <w:lang w:val="sr-Cyrl-RS"/>
        </w:rPr>
        <w:t xml:space="preserve">за ефикасност правосуђа </w:t>
      </w:r>
      <w:r w:rsidRPr="003F14CC">
        <w:rPr>
          <w:rFonts w:ascii="Cambria" w:hAnsi="Cambria"/>
          <w:lang w:val="sr-Cyrl-RS"/>
        </w:rPr>
        <w:t>под</w:t>
      </w:r>
      <w:r w:rsidRPr="00EB3491">
        <w:rPr>
          <w:rFonts w:ascii="Cambria" w:hAnsi="Cambria"/>
          <w:lang w:val="sr-Cyrl-RS"/>
        </w:rPr>
        <w:t xml:space="preserve"> називом: „Европски правосудни системи – ефикасност и квалитет правосуђа“</w:t>
      </w:r>
      <w:r w:rsidRPr="00EB3491">
        <w:rPr>
          <w:rFonts w:ascii="Cambria" w:hAnsi="Cambria"/>
          <w:lang w:val="sr-Latn-RS"/>
        </w:rPr>
        <w:t xml:space="preserve">, </w:t>
      </w:r>
      <w:r w:rsidRPr="00EB3491">
        <w:rPr>
          <w:rFonts w:ascii="Cambria" w:hAnsi="Cambria"/>
          <w:lang w:val="sr-Cyrl-RS"/>
        </w:rPr>
        <w:t>Република Србија је бележила мањи број јавних тужилаца у односу на просек у ЕУ, али и у односу просек земаља  региона. Тако је број јавних тужилаца у 2016. години на 100.000 становника 8.6, док је просек у ЕУ 10.3, а на подручју Западног Балкана 11.4.</w:t>
      </w:r>
    </w:p>
  </w:footnote>
  <w:footnote w:id="67">
    <w:p w14:paraId="5FF09544" w14:textId="77777777" w:rsidR="00D2017F" w:rsidRPr="00027E24" w:rsidRDefault="00D2017F" w:rsidP="001D035F">
      <w:pPr>
        <w:pStyle w:val="FootnoteText"/>
        <w:rPr>
          <w:lang w:val="sr-Cyrl-RS"/>
        </w:rPr>
      </w:pPr>
      <w:r>
        <w:rPr>
          <w:rStyle w:val="FootnoteReference"/>
        </w:rPr>
        <w:footnoteRef/>
      </w:r>
      <w:r w:rsidRPr="00027E24">
        <w:rPr>
          <w:lang w:val="sr-Cyrl-RS"/>
        </w:rPr>
        <w:t xml:space="preserve"> </w:t>
      </w:r>
      <w:r w:rsidRPr="00027E24">
        <w:rPr>
          <w:rFonts w:ascii="Cambria" w:hAnsi="Cambria"/>
          <w:lang w:val="sr-Cyrl-RS"/>
        </w:rPr>
        <w:t xml:space="preserve">Извор: подаци добијени од стране </w:t>
      </w:r>
      <w:r>
        <w:rPr>
          <w:rFonts w:ascii="Cambria" w:hAnsi="Cambria"/>
          <w:lang w:val="sr-Cyrl-RS"/>
        </w:rPr>
        <w:t>Државног већа тужилаца</w:t>
      </w:r>
      <w:r w:rsidRPr="00027E24">
        <w:rPr>
          <w:rFonts w:ascii="Cambria" w:hAnsi="Cambria"/>
          <w:lang w:val="sr-Cyrl-RS"/>
        </w:rPr>
        <w:t>.</w:t>
      </w:r>
    </w:p>
  </w:footnote>
  <w:footnote w:id="68">
    <w:p w14:paraId="60EEFB94" w14:textId="77777777" w:rsidR="00D2017F" w:rsidRPr="00027E24" w:rsidRDefault="00D2017F" w:rsidP="000420D8">
      <w:pPr>
        <w:pStyle w:val="FootnoteText"/>
        <w:rPr>
          <w:lang w:val="sr-Cyrl-RS"/>
        </w:rPr>
      </w:pPr>
      <w:r>
        <w:rPr>
          <w:rStyle w:val="FootnoteReference"/>
        </w:rPr>
        <w:footnoteRef/>
      </w:r>
      <w:r w:rsidRPr="00027E24">
        <w:rPr>
          <w:lang w:val="sr-Cyrl-RS"/>
        </w:rPr>
        <w:t xml:space="preserve"> </w:t>
      </w:r>
      <w:r>
        <w:rPr>
          <w:rFonts w:ascii="Cambria" w:hAnsi="Cambria"/>
          <w:lang w:val="sr-Cyrl-RS"/>
        </w:rPr>
        <w:t>Видети</w:t>
      </w:r>
      <w:r w:rsidRPr="00CD68FD">
        <w:rPr>
          <w:rFonts w:ascii="Cambria" w:hAnsi="Cambria"/>
          <w:lang w:val="sr-Cyrl-RS"/>
        </w:rPr>
        <w:t xml:space="preserve"> </w:t>
      </w:r>
      <w:r>
        <w:rPr>
          <w:rFonts w:ascii="Cambria" w:hAnsi="Cambria"/>
          <w:lang w:val="sr-Cyrl-RS"/>
        </w:rPr>
        <w:t>документ: Анализа потребног броја заменика јавних тужилаца у јавним тужилаштвима у РС, из 2016. године, стр. 13.</w:t>
      </w:r>
    </w:p>
  </w:footnote>
  <w:footnote w:id="69">
    <w:p w14:paraId="23AC117E" w14:textId="77777777" w:rsidR="00D2017F" w:rsidRPr="00027E24" w:rsidRDefault="00D2017F" w:rsidP="000420D8">
      <w:pPr>
        <w:pStyle w:val="FootnoteText"/>
        <w:rPr>
          <w:lang w:val="sr-Cyrl-RS"/>
        </w:rPr>
      </w:pPr>
      <w:r>
        <w:rPr>
          <w:rStyle w:val="FootnoteReference"/>
        </w:rPr>
        <w:footnoteRef/>
      </w:r>
      <w:r w:rsidRPr="00027E24">
        <w:rPr>
          <w:lang w:val="sr-Cyrl-RS"/>
        </w:rPr>
        <w:t xml:space="preserve"> </w:t>
      </w:r>
      <w:r w:rsidRPr="00027E24">
        <w:rPr>
          <w:rFonts w:ascii="Cambria" w:hAnsi="Cambria"/>
          <w:lang w:val="sr-Cyrl-RS"/>
        </w:rPr>
        <w:t>Видети документ: Функционална анализа система тужилаштва, од 15. јануара 2019. године, који је припремљен од стране тима ангажованог од стране Светске банке и Мултидонаторског фонда за помоћ сектору правосуђа у Србији</w:t>
      </w:r>
      <w:r>
        <w:rPr>
          <w:rFonts w:ascii="Cambria" w:hAnsi="Cambria"/>
          <w:lang w:val="sr-Cyrl-RS"/>
        </w:rPr>
        <w:t>.</w:t>
      </w:r>
    </w:p>
  </w:footnote>
  <w:footnote w:id="70">
    <w:p w14:paraId="1B27CE64" w14:textId="0D0F2C1C" w:rsidR="00D2017F" w:rsidRPr="00EB3491" w:rsidRDefault="00D2017F" w:rsidP="002E3988">
      <w:pPr>
        <w:jc w:val="both"/>
        <w:rPr>
          <w:lang w:val="sr-Cyrl-RS"/>
        </w:rPr>
      </w:pPr>
      <w:r>
        <w:rPr>
          <w:rStyle w:val="FootnoteReference"/>
        </w:rPr>
        <w:footnoteRef/>
      </w:r>
      <w:r w:rsidRPr="004809D6">
        <w:rPr>
          <w:lang w:val="sr-Cyrl-RS"/>
        </w:rPr>
        <w:t xml:space="preserve"> </w:t>
      </w:r>
      <w:r w:rsidRPr="004809D6">
        <w:rPr>
          <w:rFonts w:ascii="Cambria" w:hAnsi="Cambria"/>
          <w:sz w:val="20"/>
          <w:szCs w:val="20"/>
          <w:lang w:val="sr-Cyrl-RS"/>
        </w:rPr>
        <w:t>Правилник о мерилима за одређивање броја особља у јавном тужилаштву ("Сл. гласник РС", бр. 72/2009 и 79/2009) прописује следеће:</w:t>
      </w:r>
      <w:r w:rsidRPr="002E3988">
        <w:rPr>
          <w:rFonts w:ascii="Cambria" w:hAnsi="Cambria"/>
          <w:lang w:val="sr-Cyrl-RS"/>
        </w:rPr>
        <w:t xml:space="preserve"> </w:t>
      </w:r>
      <w:r w:rsidRPr="002E3988">
        <w:rPr>
          <w:rFonts w:ascii="Cambria" w:hAnsi="Cambria"/>
          <w:sz w:val="20"/>
          <w:szCs w:val="20"/>
          <w:lang w:val="sr-Cyrl-RS"/>
        </w:rPr>
        <w:t>Број записничара - дактилографа у основном и вишем јавном тужилаштву одређује се тако да на три тужиоца долази један записничар - дактилограф. Број особља на административним пословима у основном и вишем јавном тужилаштву одређује се тако да на једног тужиоца долази до 0,4 извршиоца. Најмањи број особља на административним пословима у јавном тужилаштву не може бити мањи од пет.  Број особља на информатичким пословима одређује се тако да у основном и вишем јавном тужилаштву буде до два извршиоца за ту врсту послова. Број особља на техничким пословима одређује се тако да у основном и вишем јавном тужилаштву на једног тужиоца долази до 0,2 извршиоца. За апелациона тужилаштва је утврђено: Број записничара - дактилографа у апелационом јавном тужилаштву одређује се тако да на три тужиоца долази један записничар. За обављање послова управе у апелационом јавном тужилаштву обезбеђује се један записничар - дактилограф. Број особља на административним пословима у апелационом јавном тужилаштву одређује се тако да на једног тужиоца долази до 0,4 извршиоца. Број особља на информатичким пословима одређује се тако да у апелационом јавном тужилаштву буде до два извршиоца за ту врсту послова. Број особља на техничким пословима одређује се тако да у апелационом јавном тужилаштву на једног тужиоца долази до 0,2 извршиоца. За тужилаштва посебне надлежности је прописано следеће: Број записничара - дактилографа у Тужилаштву за ратне злочине одређује се тако да на два тужиоца долази један записничар. Број записничара - дактилографа у Тужилаштву за организовани криминал одређује се тако да на једног тужиоца долази један записничар. За обављање послова управе у јавном тужилаштву посебне надлежности обезбеђује се један записничар - дактилограф. Број особља на административним пословима у јавном тужилаштву посебне надлежности одређује се тако да на једног тужиоца долази до 0,8 извршилаца. Број особља на информатичким пословима у јавном тужилаштву посебне надлежности одређује се тако да у тужилаштву буде до три извршиоца за ту врсту послова. Број особља на техничким пословима у јавном тужилаштву посебне надлежности одређује се тако да на једног тужиоца долази до 0,2 извршиоца.</w:t>
      </w:r>
    </w:p>
  </w:footnote>
  <w:footnote w:id="71">
    <w:p w14:paraId="61258DF8" w14:textId="77777777" w:rsidR="00D2017F" w:rsidRPr="00027E24" w:rsidRDefault="00D2017F" w:rsidP="000420D8">
      <w:pPr>
        <w:pStyle w:val="FootnoteText"/>
        <w:rPr>
          <w:lang w:val="sr-Cyrl-RS"/>
        </w:rPr>
      </w:pPr>
      <w:r>
        <w:rPr>
          <w:rStyle w:val="FootnoteReference"/>
        </w:rPr>
        <w:footnoteRef/>
      </w:r>
      <w:r w:rsidRPr="00027E24">
        <w:rPr>
          <w:lang w:val="sr-Cyrl-RS"/>
        </w:rPr>
        <w:t xml:space="preserve"> </w:t>
      </w:r>
      <w:r>
        <w:rPr>
          <w:rFonts w:ascii="Cambria" w:hAnsi="Cambria"/>
          <w:lang w:val="sr-Cyrl-RS"/>
        </w:rPr>
        <w:t>Видети</w:t>
      </w:r>
      <w:r w:rsidRPr="00CD68FD">
        <w:rPr>
          <w:rFonts w:ascii="Cambria" w:hAnsi="Cambria"/>
          <w:lang w:val="sr-Cyrl-RS"/>
        </w:rPr>
        <w:t xml:space="preserve"> </w:t>
      </w:r>
      <w:r>
        <w:rPr>
          <w:rFonts w:ascii="Cambria" w:hAnsi="Cambria"/>
          <w:lang w:val="sr-Cyrl-RS"/>
        </w:rPr>
        <w:t>документ: Анализа потребног броја заменика јавних тужилаца у јавним тужилаштвима у РС, из 2016. године, стр. 19</w:t>
      </w:r>
    </w:p>
  </w:footnote>
  <w:footnote w:id="72">
    <w:p w14:paraId="2CC9054C" w14:textId="77777777" w:rsidR="00D2017F" w:rsidRPr="00027E24" w:rsidRDefault="00D2017F" w:rsidP="000420D8">
      <w:pPr>
        <w:pStyle w:val="FootnoteText"/>
        <w:rPr>
          <w:lang w:val="sr-Latn-RS"/>
        </w:rPr>
      </w:pPr>
      <w:r>
        <w:rPr>
          <w:rStyle w:val="FootnoteReference"/>
        </w:rPr>
        <w:footnoteRef/>
      </w:r>
      <w:r w:rsidRPr="00027E24">
        <w:rPr>
          <w:lang w:val="sr-Cyrl-RS"/>
        </w:rPr>
        <w:t xml:space="preserve"> </w:t>
      </w:r>
      <w:r w:rsidRPr="00027E24">
        <w:rPr>
          <w:rFonts w:ascii="Cambria" w:hAnsi="Cambria"/>
          <w:lang w:val="sr-Cyrl-RS"/>
        </w:rPr>
        <w:t>Видети документ: Функционална анализа система тужилаштва, од 15. јануара 2019. године, који је припремљен од стране тима ангажованог од стране Светске банке и Мултидонаторског фонда за помоћ сектору правосуђа у Србији.</w:t>
      </w:r>
    </w:p>
  </w:footnote>
  <w:footnote w:id="73">
    <w:p w14:paraId="077D35E7" w14:textId="77777777" w:rsidR="00D2017F" w:rsidRPr="00027E24" w:rsidRDefault="00D2017F" w:rsidP="000420D8">
      <w:pPr>
        <w:pStyle w:val="FootnoteText"/>
        <w:rPr>
          <w:lang w:val="sr-Latn-RS"/>
        </w:rPr>
      </w:pPr>
      <w:r>
        <w:rPr>
          <w:rStyle w:val="FootnoteReference"/>
        </w:rPr>
        <w:footnoteRef/>
      </w:r>
      <w:r w:rsidRPr="00027E24">
        <w:rPr>
          <w:lang w:val="sr-Latn-RS"/>
        </w:rPr>
        <w:t xml:space="preserve"> </w:t>
      </w:r>
      <w:r w:rsidRPr="00027E24">
        <w:rPr>
          <w:rFonts w:ascii="Cambria" w:hAnsi="Cambria"/>
          <w:i/>
          <w:iCs/>
          <w:lang w:val="sr-Latn-RS"/>
        </w:rPr>
        <w:t>Idem.</w:t>
      </w:r>
    </w:p>
  </w:footnote>
  <w:footnote w:id="74">
    <w:p w14:paraId="6989A3A0" w14:textId="77777777" w:rsidR="00D2017F" w:rsidRPr="00027E24" w:rsidRDefault="00D2017F" w:rsidP="000420D8">
      <w:pPr>
        <w:pStyle w:val="FootnoteText"/>
        <w:rPr>
          <w:lang w:val="sr-Cyrl-RS"/>
        </w:rPr>
      </w:pPr>
      <w:r>
        <w:rPr>
          <w:rStyle w:val="FootnoteReference"/>
        </w:rPr>
        <w:footnoteRef/>
      </w:r>
      <w:r w:rsidRPr="00027E24">
        <w:rPr>
          <w:lang w:val="sr-Latn-RS"/>
        </w:rPr>
        <w:t xml:space="preserve"> </w:t>
      </w:r>
      <w:r>
        <w:rPr>
          <w:rFonts w:ascii="Cambria" w:hAnsi="Cambria"/>
          <w:lang w:val="sr-Cyrl-RS"/>
        </w:rPr>
        <w:t>У 2016. години, на</w:t>
      </w:r>
      <w:r w:rsidRPr="00027E24">
        <w:rPr>
          <w:rFonts w:ascii="Cambria" w:hAnsi="Cambria"/>
          <w:lang w:val="sr-Cyrl-RS"/>
        </w:rPr>
        <w:t xml:space="preserve"> укупно 1117 стално запослених лица, долази 243 лица која су била запослена на одређено време.</w:t>
      </w:r>
    </w:p>
  </w:footnote>
  <w:footnote w:id="75">
    <w:p w14:paraId="6057209E" w14:textId="77777777" w:rsidR="00D2017F" w:rsidRPr="005C2DE8" w:rsidRDefault="00D2017F" w:rsidP="000420D8">
      <w:pPr>
        <w:pStyle w:val="FootnoteText"/>
        <w:rPr>
          <w:rFonts w:ascii="Cambria" w:hAnsi="Cambria"/>
          <w:lang w:val="sr-Cyrl-RS"/>
        </w:rPr>
      </w:pPr>
      <w:r>
        <w:rPr>
          <w:rStyle w:val="FootnoteReference"/>
        </w:rPr>
        <w:footnoteRef/>
      </w:r>
      <w:r w:rsidRPr="004809D6">
        <w:rPr>
          <w:lang w:val="sr-Cyrl-RS"/>
        </w:rPr>
        <w:t xml:space="preserve"> </w:t>
      </w:r>
      <w:r w:rsidRPr="007E760E">
        <w:rPr>
          <w:rFonts w:ascii="Cambria" w:hAnsi="Cambria"/>
          <w:lang w:val="sr-Cyrl-RS"/>
        </w:rPr>
        <w:t>Закон о начину одређивања броја маскималног броја запослених у јавном сектору ("Сл. гласник РС", бр. 68/2015, 81/2016 - одлука УС и 95/2018)</w:t>
      </w:r>
    </w:p>
  </w:footnote>
  <w:footnote w:id="76">
    <w:p w14:paraId="098B3208" w14:textId="77777777" w:rsidR="00D2017F" w:rsidRPr="005C2DE8" w:rsidRDefault="00D2017F" w:rsidP="000420D8">
      <w:pPr>
        <w:pStyle w:val="FootnoteText"/>
        <w:rPr>
          <w:rFonts w:ascii="Cambria" w:hAnsi="Cambria"/>
          <w:lang w:val="sr-Cyrl-RS"/>
        </w:rPr>
      </w:pPr>
      <w:r w:rsidRPr="005C2DE8">
        <w:rPr>
          <w:rStyle w:val="FootnoteReference"/>
          <w:rFonts w:ascii="Cambria" w:hAnsi="Cambria"/>
        </w:rPr>
        <w:footnoteRef/>
      </w:r>
      <w:r w:rsidRPr="004809D6">
        <w:rPr>
          <w:rFonts w:ascii="Cambria" w:hAnsi="Cambria"/>
          <w:lang w:val="sr-Cyrl-RS"/>
        </w:rPr>
        <w:t xml:space="preserve"> </w:t>
      </w:r>
      <w:r w:rsidRPr="005C2DE8">
        <w:rPr>
          <w:rFonts w:ascii="Cambria" w:hAnsi="Cambria"/>
          <w:lang w:val="sr-Cyrl-RS"/>
        </w:rPr>
        <w:t xml:space="preserve">Закон о буџетском систему </w:t>
      </w:r>
      <w:r w:rsidRPr="004809D6">
        <w:rPr>
          <w:rFonts w:ascii="Cambria" w:hAnsi="Cambria"/>
          <w:lang w:val="sr-Cyrl-RS"/>
        </w:rPr>
        <w:t>("Сл. гласник РС", бр. 54/2009, 73/2010, 101/2010, 101/2011, 93/2012, 62/2013, 63/2013 - испр., 108/2013, 142/2014, 68/2015 - др. закон, 103/2015, 99/2016, 113/2017, 95/2018, 31/2019, 72/2019 и 149/2020)</w:t>
      </w:r>
    </w:p>
  </w:footnote>
  <w:footnote w:id="77">
    <w:p w14:paraId="083EA136" w14:textId="77777777" w:rsidR="00D2017F" w:rsidRPr="00027E24" w:rsidRDefault="00D2017F" w:rsidP="00F83CBF">
      <w:pPr>
        <w:pStyle w:val="FootnoteText"/>
        <w:rPr>
          <w:lang w:val="sr-Cyrl-RS"/>
        </w:rPr>
      </w:pPr>
      <w:r>
        <w:rPr>
          <w:rStyle w:val="FootnoteReference"/>
        </w:rPr>
        <w:footnoteRef/>
      </w:r>
      <w:r w:rsidRPr="00027E24">
        <w:rPr>
          <w:lang w:val="sr-Cyrl-RS"/>
        </w:rPr>
        <w:t xml:space="preserve"> </w:t>
      </w:r>
      <w:r w:rsidRPr="00EE66AA">
        <w:rPr>
          <w:rFonts w:ascii="Cambria" w:hAnsi="Cambria"/>
          <w:i/>
          <w:lang w:val="sr-Cyrl-RS"/>
        </w:rPr>
        <w:t>Idem</w:t>
      </w:r>
      <w:r>
        <w:rPr>
          <w:rFonts w:ascii="Cambria" w:hAnsi="Cambria"/>
          <w:i/>
          <w:lang w:val="sr-Cyrl-RS"/>
        </w:rPr>
        <w:t>.</w:t>
      </w:r>
    </w:p>
  </w:footnote>
  <w:footnote w:id="78">
    <w:p w14:paraId="2B2EF0CD" w14:textId="77777777" w:rsidR="00D2017F" w:rsidRPr="00F326B4" w:rsidRDefault="00D2017F" w:rsidP="004C3A12">
      <w:pPr>
        <w:pStyle w:val="FootnoteText"/>
        <w:rPr>
          <w:rFonts w:ascii="Cambria" w:hAnsi="Cambria"/>
          <w:lang w:val="sr-Cyrl-RS"/>
        </w:rPr>
      </w:pPr>
      <w:r>
        <w:rPr>
          <w:rStyle w:val="FootnoteReference"/>
        </w:rPr>
        <w:footnoteRef/>
      </w:r>
      <w:r w:rsidRPr="004809D6">
        <w:rPr>
          <w:lang w:val="sr-Cyrl-RS"/>
        </w:rPr>
        <w:t xml:space="preserve"> </w:t>
      </w:r>
      <w:r w:rsidRPr="00F326B4">
        <w:rPr>
          <w:rFonts w:ascii="Cambria" w:hAnsi="Cambria"/>
          <w:lang w:val="sr-Cyrl-RS"/>
        </w:rPr>
        <w:t>Закон о јавном тужилаштву ("Сл. гласник РС", бр. 116/2008, 104/2009, 101/2010, 78/2011 - др. закон, 101/2011, 38/2012 - одлука УС, 121/2012, 101/2013, 111/2014 - одлука УС, 117/2014, 106/2015 и 63/2016 - одлука УС)</w:t>
      </w:r>
    </w:p>
  </w:footnote>
  <w:footnote w:id="79">
    <w:p w14:paraId="42D8B0A1" w14:textId="77777777" w:rsidR="00D2017F" w:rsidRPr="00F326B4" w:rsidRDefault="00D2017F" w:rsidP="004C3A12">
      <w:pPr>
        <w:pStyle w:val="FootnoteText"/>
        <w:rPr>
          <w:lang w:val="sr-Cyrl-RS"/>
        </w:rPr>
      </w:pPr>
      <w:r>
        <w:rPr>
          <w:rStyle w:val="FootnoteReference"/>
        </w:rPr>
        <w:footnoteRef/>
      </w:r>
      <w:r w:rsidRPr="004809D6">
        <w:rPr>
          <w:lang w:val="sr-Cyrl-RS"/>
        </w:rPr>
        <w:t xml:space="preserve"> </w:t>
      </w:r>
      <w:r w:rsidRPr="00F326B4">
        <w:rPr>
          <w:rFonts w:ascii="Cambria" w:hAnsi="Cambria"/>
          <w:lang w:val="sr-Cyrl-RS"/>
        </w:rPr>
        <w:t>Члан 126. Закона о јавном тужилаштву.</w:t>
      </w:r>
    </w:p>
  </w:footnote>
  <w:footnote w:id="80">
    <w:p w14:paraId="0DFCE742" w14:textId="77777777" w:rsidR="00D2017F" w:rsidRPr="00CD5A2C" w:rsidRDefault="00D2017F" w:rsidP="004C3A12">
      <w:pPr>
        <w:pStyle w:val="FootnoteText"/>
        <w:rPr>
          <w:rFonts w:ascii="Cambria" w:hAnsi="Cambria"/>
          <w:lang w:val="sr-Cyrl-RS"/>
        </w:rPr>
      </w:pPr>
      <w:r>
        <w:rPr>
          <w:rStyle w:val="FootnoteReference"/>
        </w:rPr>
        <w:footnoteRef/>
      </w:r>
      <w:r w:rsidRPr="004809D6">
        <w:rPr>
          <w:lang w:val="sr-Cyrl-RS"/>
        </w:rPr>
        <w:t xml:space="preserve"> </w:t>
      </w:r>
      <w:r w:rsidRPr="00CD5A2C">
        <w:rPr>
          <w:rFonts w:ascii="Cambria" w:hAnsi="Cambria"/>
          <w:lang w:val="sr-Cyrl-RS"/>
        </w:rPr>
        <w:t>Закон о платама државних службеника и намештеника ("Сл. гласник РС", бр. 62/2006, 63/2006 - испр., 115/2006 - испр., 101/2007, 99/2010, 108/2013, 99/2014 и 95/2018)</w:t>
      </w:r>
    </w:p>
  </w:footnote>
  <w:footnote w:id="81">
    <w:p w14:paraId="3A408F7E" w14:textId="77777777" w:rsidR="00D2017F" w:rsidRPr="003C36A4" w:rsidRDefault="00D2017F" w:rsidP="004C3A12">
      <w:pPr>
        <w:pStyle w:val="FootnoteText"/>
        <w:rPr>
          <w:rFonts w:ascii="Times New Roman" w:hAnsi="Times New Roman" w:cs="Times New Roman"/>
          <w:lang w:val="sr-Cyrl-RS"/>
        </w:rPr>
      </w:pPr>
      <w:r>
        <w:rPr>
          <w:rStyle w:val="FootnoteReference"/>
        </w:rPr>
        <w:footnoteRef/>
      </w:r>
      <w:r w:rsidRPr="00847B2F">
        <w:rPr>
          <w:lang w:val="sr-Cyrl-RS"/>
        </w:rPr>
        <w:t xml:space="preserve"> </w:t>
      </w:r>
      <w:r w:rsidRPr="003C36A4">
        <w:rPr>
          <w:rFonts w:ascii="Times New Roman" w:hAnsi="Times New Roman" w:cs="Times New Roman"/>
          <w:lang w:val="sr-Cyrl-RS"/>
        </w:rPr>
        <w:t>Законик о кривичном поступку ("Сл. гласник РС", бр. 72/2011, 101/2011, 121/2012, 32/2013, 45/2013, 55/2014, 35/2019, 27/2021 - одлука УС и 62/2021 - одлука УС)</w:t>
      </w:r>
    </w:p>
  </w:footnote>
  <w:footnote w:id="82">
    <w:p w14:paraId="59CD974F" w14:textId="77777777" w:rsidR="00D2017F" w:rsidRPr="000E0847" w:rsidRDefault="00D2017F" w:rsidP="004C3A12">
      <w:pPr>
        <w:pStyle w:val="FootnoteText"/>
        <w:jc w:val="both"/>
        <w:rPr>
          <w:lang w:val="sr-Cyrl-RS"/>
        </w:rPr>
      </w:pPr>
      <w:r>
        <w:rPr>
          <w:rStyle w:val="FootnoteReference"/>
        </w:rPr>
        <w:footnoteRef/>
      </w:r>
      <w:r w:rsidRPr="00847B2F">
        <w:rPr>
          <w:lang w:val="sr-Cyrl-RS"/>
        </w:rPr>
        <w:t xml:space="preserve"> </w:t>
      </w:r>
      <w:r w:rsidRPr="000E0847">
        <w:rPr>
          <w:rFonts w:ascii="Cambria" w:hAnsi="Cambria"/>
          <w:lang w:val="sr-Cyrl-RS"/>
        </w:rPr>
        <w:t>Правилник о мерилима за одређивање броја особља у</w:t>
      </w:r>
      <w:r>
        <w:rPr>
          <w:rFonts w:ascii="Cambria" w:hAnsi="Cambria"/>
          <w:lang w:val="sr-Cyrl-RS"/>
        </w:rPr>
        <w:t xml:space="preserve"> јавном тужилаштву</w:t>
      </w:r>
      <w:r w:rsidRPr="000E0847">
        <w:rPr>
          <w:rFonts w:ascii="Cambria" w:hAnsi="Cambria"/>
          <w:lang w:val="sr-Cyrl-RS"/>
        </w:rPr>
        <w:t xml:space="preserve"> </w:t>
      </w:r>
      <w:r w:rsidRPr="003509EB">
        <w:rPr>
          <w:rFonts w:ascii="Cambria" w:hAnsi="Cambria"/>
          <w:lang w:val="sr-Cyrl-RS"/>
        </w:rPr>
        <w:t xml:space="preserve">(„Службени гласник РС“, бр. </w:t>
      </w:r>
      <w:r w:rsidRPr="000E0847">
        <w:rPr>
          <w:rFonts w:ascii="Cambria" w:hAnsi="Cambria"/>
          <w:lang w:val="sr-Cyrl-RS"/>
        </w:rPr>
        <w:t>72/2009 и 79/2009)</w:t>
      </w:r>
      <w:r>
        <w:rPr>
          <w:rFonts w:ascii="Cambria" w:hAnsi="Cambria"/>
          <w:lang w:val="sr-Cyrl-RS"/>
        </w:rPr>
        <w:t>.</w:t>
      </w:r>
    </w:p>
    <w:p w14:paraId="3F3296ED" w14:textId="77777777" w:rsidR="00D2017F" w:rsidRPr="001B2030" w:rsidRDefault="00D2017F" w:rsidP="004C3A12">
      <w:pPr>
        <w:pStyle w:val="FootnoteText"/>
        <w:rPr>
          <w:lang w:val="sr-Cyrl-RS"/>
        </w:rPr>
      </w:pPr>
    </w:p>
  </w:footnote>
  <w:footnote w:id="83">
    <w:p w14:paraId="12D4EB26" w14:textId="77777777" w:rsidR="00D2017F" w:rsidRPr="005C2DE8" w:rsidRDefault="00D2017F" w:rsidP="004C3A12">
      <w:pPr>
        <w:pStyle w:val="FootnoteText"/>
        <w:rPr>
          <w:rFonts w:ascii="Cambria" w:hAnsi="Cambria"/>
          <w:lang w:val="sr-Cyrl-RS"/>
        </w:rPr>
      </w:pPr>
      <w:r>
        <w:rPr>
          <w:rStyle w:val="FootnoteReference"/>
        </w:rPr>
        <w:footnoteRef/>
      </w:r>
      <w:r w:rsidRPr="004809D6">
        <w:rPr>
          <w:lang w:val="sr-Cyrl-RS"/>
        </w:rPr>
        <w:t xml:space="preserve"> </w:t>
      </w:r>
      <w:r w:rsidRPr="007E760E">
        <w:rPr>
          <w:rFonts w:ascii="Cambria" w:hAnsi="Cambria"/>
          <w:lang w:val="sr-Cyrl-RS"/>
        </w:rPr>
        <w:t>Закон о начину одређивања броја маскималног броја запослених у јавном сектору ("Сл. гласник РС", бр. 68/2015, 81/2016 - одлука УС и 95/2018)</w:t>
      </w:r>
    </w:p>
  </w:footnote>
  <w:footnote w:id="84">
    <w:p w14:paraId="0D4DDD9C" w14:textId="77777777" w:rsidR="00D2017F" w:rsidRPr="005C2DE8" w:rsidRDefault="00D2017F" w:rsidP="004C3A12">
      <w:pPr>
        <w:pStyle w:val="FootnoteText"/>
        <w:rPr>
          <w:rFonts w:ascii="Cambria" w:hAnsi="Cambria"/>
          <w:lang w:val="sr-Cyrl-RS"/>
        </w:rPr>
      </w:pPr>
      <w:r w:rsidRPr="005C2DE8">
        <w:rPr>
          <w:rStyle w:val="FootnoteReference"/>
          <w:rFonts w:ascii="Cambria" w:hAnsi="Cambria"/>
        </w:rPr>
        <w:footnoteRef/>
      </w:r>
      <w:r w:rsidRPr="004809D6">
        <w:rPr>
          <w:rFonts w:ascii="Cambria" w:hAnsi="Cambria"/>
          <w:lang w:val="sr-Cyrl-RS"/>
        </w:rPr>
        <w:t xml:space="preserve"> </w:t>
      </w:r>
      <w:r w:rsidRPr="005C2DE8">
        <w:rPr>
          <w:rFonts w:ascii="Cambria" w:hAnsi="Cambria"/>
          <w:lang w:val="sr-Cyrl-RS"/>
        </w:rPr>
        <w:t xml:space="preserve">Закон о буџетском систему </w:t>
      </w:r>
      <w:r w:rsidRPr="004809D6">
        <w:rPr>
          <w:rFonts w:ascii="Cambria" w:hAnsi="Cambria"/>
          <w:lang w:val="sr-Cyrl-RS"/>
        </w:rPr>
        <w:t>("Сл. гласник РС", бр. 54/2009, 73/2010, 101/2010, 101/2011, 93/2012, 62/2013, 63/2013 - испр., 108/2013, 142/2014, 68/2015 - др. закон, 103/2015, 99/2016, 113/2017, 95/2018, 31/2019, 72/2019 и 149/2020)</w:t>
      </w:r>
    </w:p>
  </w:footnote>
  <w:footnote w:id="85">
    <w:p w14:paraId="7F3B641D" w14:textId="77777777" w:rsidR="00D2017F" w:rsidRPr="00995B26" w:rsidRDefault="00D2017F" w:rsidP="004C3A12">
      <w:pPr>
        <w:pStyle w:val="FootnoteText"/>
        <w:rPr>
          <w:lang w:val="sr-Cyrl-RS"/>
        </w:rPr>
      </w:pPr>
      <w:r>
        <w:rPr>
          <w:rStyle w:val="FootnoteReference"/>
        </w:rPr>
        <w:footnoteRef/>
      </w:r>
      <w:r w:rsidRPr="004809D6">
        <w:rPr>
          <w:lang w:val="sr-Cyrl-RS"/>
        </w:rPr>
        <w:t xml:space="preserve"> </w:t>
      </w:r>
      <w:r w:rsidRPr="00995B26">
        <w:rPr>
          <w:rFonts w:ascii="Cambria" w:hAnsi="Cambria"/>
          <w:lang w:val="sr-Cyrl-RS"/>
        </w:rPr>
        <w:t>Правилник о управи у јавним тужилаштвима ("Сл. гласник РС", бр. 110/2009, 87/2010, 5/2012, 54/2017, 14/2018 и 57/2019)</w:t>
      </w:r>
    </w:p>
  </w:footnote>
  <w:footnote w:id="86">
    <w:p w14:paraId="2FE0B296" w14:textId="77777777" w:rsidR="00D2017F" w:rsidRPr="00B37BBB" w:rsidRDefault="00D2017F" w:rsidP="005D29DF">
      <w:pPr>
        <w:pStyle w:val="FootnoteText"/>
        <w:rPr>
          <w:lang w:val="sr-Cyrl-RS"/>
        </w:rPr>
      </w:pPr>
      <w:r>
        <w:rPr>
          <w:rStyle w:val="FootnoteReference"/>
        </w:rPr>
        <w:footnoteRef/>
      </w:r>
      <w:r w:rsidRPr="00B37BBB">
        <w:rPr>
          <w:lang w:val="sr-Cyrl-RS"/>
        </w:rPr>
        <w:t xml:space="preserve"> </w:t>
      </w:r>
      <w:r w:rsidRPr="00B37BBB">
        <w:rPr>
          <w:rFonts w:ascii="Cambria" w:hAnsi="Cambria"/>
          <w:lang w:val="sr-Cyrl-RS"/>
        </w:rPr>
        <w:t>Видети тачку 2.2.1</w:t>
      </w:r>
      <w:r>
        <w:rPr>
          <w:rFonts w:ascii="Cambria" w:hAnsi="Cambria"/>
          <w:lang w:val="sr-Cyrl-RS"/>
        </w:rPr>
        <w:t xml:space="preserve"> Стратегије – Устав Републике Србије</w:t>
      </w:r>
      <w:r w:rsidRPr="00B37BBB">
        <w:rPr>
          <w:rFonts w:ascii="Cambria" w:hAnsi="Cambria"/>
          <w:lang w:val="sr-Cyrl-RS"/>
        </w:rPr>
        <w:t xml:space="preserve">, </w:t>
      </w:r>
      <w:r>
        <w:rPr>
          <w:rFonts w:ascii="Cambria" w:hAnsi="Cambria"/>
          <w:lang w:val="sr-Cyrl-RS"/>
        </w:rPr>
        <w:t>пасус</w:t>
      </w:r>
      <w:r w:rsidRPr="00B37BBB">
        <w:rPr>
          <w:rFonts w:ascii="Cambria" w:hAnsi="Cambria"/>
          <w:lang w:val="sr-Cyrl-RS"/>
        </w:rPr>
        <w:t xml:space="preserve"> 3</w:t>
      </w:r>
      <w:r>
        <w:rPr>
          <w:rFonts w:ascii="Cambria" w:hAnsi="Cambria"/>
          <w:lang w:val="sr-Cyrl-RS"/>
        </w:rPr>
        <w:t>.</w:t>
      </w:r>
    </w:p>
  </w:footnote>
  <w:footnote w:id="87">
    <w:p w14:paraId="5A2FE168" w14:textId="77777777" w:rsidR="00D2017F" w:rsidRPr="00B37BBB" w:rsidRDefault="00D2017F" w:rsidP="005D29DF">
      <w:pPr>
        <w:pStyle w:val="FootnoteText"/>
        <w:rPr>
          <w:lang w:val="sr-Cyrl-RS"/>
        </w:rPr>
      </w:pPr>
      <w:r>
        <w:rPr>
          <w:rStyle w:val="FootnoteReference"/>
        </w:rPr>
        <w:footnoteRef/>
      </w:r>
      <w:r w:rsidRPr="00B37BBB">
        <w:rPr>
          <w:lang w:val="sr-Cyrl-RS"/>
        </w:rPr>
        <w:t xml:space="preserve"> </w:t>
      </w:r>
      <w:r w:rsidRPr="00B37BBB">
        <w:rPr>
          <w:rFonts w:ascii="Cambria" w:hAnsi="Cambria"/>
          <w:lang w:val="sr-Cyrl-RS"/>
        </w:rPr>
        <w:t>О надлежностима Високог савета судства, видети тачку 2.2.3 – Закон о Високом савету судства.</w:t>
      </w:r>
    </w:p>
  </w:footnote>
  <w:footnote w:id="88">
    <w:p w14:paraId="79E74678" w14:textId="77777777" w:rsidR="00D2017F" w:rsidRPr="00273030" w:rsidRDefault="00D2017F" w:rsidP="005D29DF">
      <w:pPr>
        <w:pStyle w:val="FootnoteText"/>
        <w:rPr>
          <w:lang w:val="sr-Cyrl-RS"/>
        </w:rPr>
      </w:pPr>
      <w:r>
        <w:rPr>
          <w:rStyle w:val="FootnoteReference"/>
        </w:rPr>
        <w:footnoteRef/>
      </w:r>
      <w:r w:rsidRPr="00FF0DFC">
        <w:rPr>
          <w:lang w:val="sr-Cyrl-RS"/>
        </w:rPr>
        <w:t xml:space="preserve"> </w:t>
      </w:r>
      <w:r>
        <w:rPr>
          <w:rFonts w:ascii="Cambria" w:hAnsi="Cambria"/>
          <w:lang w:val="sr-Cyrl-RS"/>
        </w:rPr>
        <w:t>Видети документ: „Анализа организације, функционисања и потреба Високог савета судства и његове Административне канцеларије“, 2020, који је припремљен у оквиру Пројекта ИПА 2016 „ЕУ за Србију-Подршка за Високом савет судства“.</w:t>
      </w:r>
    </w:p>
  </w:footnote>
  <w:footnote w:id="89">
    <w:p w14:paraId="388754D1" w14:textId="77777777" w:rsidR="00D2017F" w:rsidRPr="00124FA3" w:rsidRDefault="00D2017F" w:rsidP="005D29DF">
      <w:pPr>
        <w:pStyle w:val="FootnoteText"/>
        <w:rPr>
          <w:lang w:val="sr-Cyrl-RS"/>
        </w:rPr>
      </w:pPr>
      <w:r>
        <w:rPr>
          <w:rStyle w:val="FootnoteReference"/>
        </w:rPr>
        <w:footnoteRef/>
      </w:r>
      <w:r w:rsidRPr="00124FA3">
        <w:rPr>
          <w:lang w:val="sr-Cyrl-RS"/>
        </w:rPr>
        <w:t xml:space="preserve"> </w:t>
      </w:r>
      <w:r w:rsidRPr="00124FA3">
        <w:rPr>
          <w:rFonts w:ascii="Cambria" w:hAnsi="Cambria"/>
          <w:lang w:val="sr-Cyrl-RS"/>
        </w:rPr>
        <w:t>А</w:t>
      </w:r>
      <w:r>
        <w:rPr>
          <w:rFonts w:ascii="Cambria" w:hAnsi="Cambria"/>
          <w:lang w:val="sr-Cyrl-RS"/>
        </w:rPr>
        <w:t xml:space="preserve">дминистративна канцеларија </w:t>
      </w:r>
      <w:r w:rsidRPr="00124FA3">
        <w:rPr>
          <w:rFonts w:ascii="Cambria" w:hAnsi="Cambria"/>
          <w:lang w:val="sr-Cyrl-RS"/>
        </w:rPr>
        <w:t xml:space="preserve">обавља стручне, административне и </w:t>
      </w:r>
      <w:r>
        <w:rPr>
          <w:rFonts w:ascii="Cambria" w:hAnsi="Cambria"/>
          <w:lang w:val="sr-Cyrl-RS"/>
        </w:rPr>
        <w:t>друге послове неопходне за рад савета и њен о</w:t>
      </w:r>
      <w:r w:rsidRPr="00124FA3">
        <w:rPr>
          <w:rFonts w:ascii="Cambria" w:hAnsi="Cambria"/>
          <w:lang w:val="sr-Cyrl-RS"/>
        </w:rPr>
        <w:t>сновни задатак је да обезбеди вршење свих надлежности Високог савета судства на благовремен и делотворан начин, у оквирима својих унутрашњих организационих јединица</w:t>
      </w:r>
      <w:r>
        <w:rPr>
          <w:rFonts w:ascii="Cambria" w:hAnsi="Cambria"/>
          <w:lang w:val="sr-Cyrl-RS"/>
        </w:rPr>
        <w:t>.</w:t>
      </w:r>
    </w:p>
  </w:footnote>
  <w:footnote w:id="90">
    <w:p w14:paraId="3ACDAD11" w14:textId="77777777" w:rsidR="00D2017F" w:rsidRPr="00506BA1" w:rsidRDefault="00D2017F" w:rsidP="005D29DF">
      <w:pPr>
        <w:pStyle w:val="FootnoteText"/>
        <w:jc w:val="both"/>
        <w:rPr>
          <w:lang w:val="sr-Cyrl-RS"/>
        </w:rPr>
      </w:pPr>
      <w:r>
        <w:rPr>
          <w:rStyle w:val="FootnoteReference"/>
        </w:rPr>
        <w:footnoteRef/>
      </w:r>
      <w:r w:rsidRPr="00506BA1">
        <w:rPr>
          <w:lang w:val="sr-Cyrl-RS"/>
        </w:rPr>
        <w:t xml:space="preserve"> </w:t>
      </w:r>
      <w:r>
        <w:rPr>
          <w:rFonts w:ascii="Cambria" w:hAnsi="Cambria"/>
          <w:lang w:val="sr-Cyrl-RS"/>
        </w:rPr>
        <w:t>Видети документ: Анализа организације, функционисања и потреба Високог савета судства и његове Административне канцеларије, 2020, који је припремљен у оквиру Пројекта ИПА 2016 „ЕУ за Србију-Подршка за Високом савет судства“, стр. 23, графикон: Људски ресурси Савета 2012-2020.</w:t>
      </w:r>
    </w:p>
  </w:footnote>
  <w:footnote w:id="91">
    <w:p w14:paraId="7F754887" w14:textId="77777777" w:rsidR="00D2017F" w:rsidRPr="00FC412B" w:rsidRDefault="00D2017F" w:rsidP="005D29DF">
      <w:pPr>
        <w:pStyle w:val="FootnoteText"/>
        <w:jc w:val="both"/>
        <w:rPr>
          <w:lang w:val="sr-Cyrl-RS"/>
        </w:rPr>
      </w:pPr>
      <w:r>
        <w:rPr>
          <w:rStyle w:val="FootnoteReference"/>
        </w:rPr>
        <w:footnoteRef/>
      </w:r>
      <w:r w:rsidRPr="000E7CD8">
        <w:rPr>
          <w:lang w:val="sr-Cyrl-RS"/>
        </w:rPr>
        <w:t xml:space="preserve"> </w:t>
      </w:r>
      <w:r w:rsidRPr="000E7CD8">
        <w:rPr>
          <w:rFonts w:ascii="Cambria" w:hAnsi="Cambria"/>
          <w:lang w:val="sr-Cyrl-RS"/>
        </w:rPr>
        <w:t>Извор:</w:t>
      </w:r>
      <w:r w:rsidRPr="00FC412B">
        <w:rPr>
          <w:rFonts w:ascii="Cambria" w:hAnsi="Cambria"/>
          <w:lang w:val="sr-Cyrl-RS"/>
        </w:rPr>
        <w:t xml:space="preserve"> (</w:t>
      </w:r>
      <w:r w:rsidRPr="00FC412B">
        <w:rPr>
          <w:rFonts w:ascii="Cambria" w:hAnsi="Cambria"/>
          <w:b/>
          <w:lang w:val="sr-Cyrl-RS"/>
        </w:rPr>
        <w:t>1</w:t>
      </w:r>
      <w:r w:rsidRPr="00FC412B">
        <w:rPr>
          <w:rFonts w:ascii="Cambria" w:hAnsi="Cambria"/>
          <w:lang w:val="sr-Cyrl-RS"/>
        </w:rPr>
        <w:t>)</w:t>
      </w:r>
      <w:r>
        <w:rPr>
          <w:lang w:val="sr-Cyrl-RS"/>
        </w:rPr>
        <w:t xml:space="preserve"> </w:t>
      </w:r>
      <w:r>
        <w:rPr>
          <w:rFonts w:ascii="Cambria" w:hAnsi="Cambria"/>
          <w:lang w:val="sr-Cyrl-RS"/>
        </w:rPr>
        <w:t>Анализа организације, функционисања и потреба Високог савета судства и његове Административне канцеларије, 2020</w:t>
      </w:r>
      <w:r w:rsidRPr="00FC412B">
        <w:rPr>
          <w:rFonts w:ascii="Cambria" w:hAnsi="Cambria"/>
          <w:lang w:val="sr-Cyrl-RS"/>
        </w:rPr>
        <w:t xml:space="preserve">; </w:t>
      </w:r>
      <w:r>
        <w:rPr>
          <w:rFonts w:ascii="Cambria" w:hAnsi="Cambria"/>
          <w:lang w:val="sr-Cyrl-RS"/>
        </w:rPr>
        <w:t>(</w:t>
      </w:r>
      <w:r w:rsidRPr="00FC412B">
        <w:rPr>
          <w:rFonts w:ascii="Cambria" w:hAnsi="Cambria"/>
          <w:b/>
          <w:lang w:val="sr-Cyrl-RS"/>
        </w:rPr>
        <w:t>2</w:t>
      </w:r>
      <w:r>
        <w:rPr>
          <w:rFonts w:ascii="Cambria" w:hAnsi="Cambria"/>
          <w:lang w:val="sr-Cyrl-RS"/>
        </w:rPr>
        <w:t>) Годишњи извештај о раду Високог савета судства, стр. 5 и 6, фебруар 2021.</w:t>
      </w:r>
    </w:p>
  </w:footnote>
  <w:footnote w:id="92">
    <w:p w14:paraId="516C5DB3" w14:textId="77777777" w:rsidR="00D2017F" w:rsidRPr="00290558" w:rsidRDefault="00D2017F" w:rsidP="005D29DF">
      <w:pPr>
        <w:pStyle w:val="FootnoteText"/>
        <w:jc w:val="both"/>
        <w:rPr>
          <w:lang w:val="sr-Cyrl-RS"/>
        </w:rPr>
      </w:pPr>
      <w:r>
        <w:rPr>
          <w:rStyle w:val="FootnoteReference"/>
        </w:rPr>
        <w:footnoteRef/>
      </w:r>
      <w:r w:rsidRPr="00290558">
        <w:rPr>
          <w:lang w:val="sr-Cyrl-RS"/>
        </w:rPr>
        <w:t xml:space="preserve"> </w:t>
      </w:r>
      <w:r w:rsidRPr="00290558">
        <w:rPr>
          <w:rFonts w:ascii="Cambria" w:hAnsi="Cambria"/>
          <w:lang w:val="sr-Cyrl-RS"/>
        </w:rPr>
        <w:t xml:space="preserve">Видети стр. 24, </w:t>
      </w:r>
      <w:r>
        <w:rPr>
          <w:rFonts w:ascii="Cambria" w:hAnsi="Cambria"/>
          <w:lang w:val="sr-Cyrl-RS"/>
        </w:rPr>
        <w:t>пасус</w:t>
      </w:r>
      <w:r w:rsidRPr="00290558">
        <w:rPr>
          <w:rFonts w:ascii="Cambria" w:hAnsi="Cambria"/>
          <w:lang w:val="sr-Cyrl-RS"/>
        </w:rPr>
        <w:t xml:space="preserve"> 2</w:t>
      </w:r>
      <w:r>
        <w:rPr>
          <w:rFonts w:ascii="Cambria" w:hAnsi="Cambria"/>
          <w:lang w:val="sr-Cyrl-RS"/>
        </w:rPr>
        <w:t xml:space="preserve"> документа</w:t>
      </w:r>
      <w:r w:rsidRPr="00290558">
        <w:rPr>
          <w:rFonts w:ascii="Cambria" w:hAnsi="Cambria"/>
          <w:lang w:val="sr-Cyrl-RS"/>
        </w:rPr>
        <w:t xml:space="preserve"> </w:t>
      </w:r>
      <w:r>
        <w:rPr>
          <w:rFonts w:ascii="Cambria" w:hAnsi="Cambria"/>
          <w:lang w:val="sr-Cyrl-RS"/>
        </w:rPr>
        <w:t>Анализа организације, функционисања и потреба Високог савета судства и његове Административне канцеларије, 2020.</w:t>
      </w:r>
    </w:p>
  </w:footnote>
  <w:footnote w:id="93">
    <w:p w14:paraId="45538334" w14:textId="77777777" w:rsidR="00D2017F" w:rsidRPr="000D4B22" w:rsidRDefault="00D2017F" w:rsidP="005D29DF">
      <w:pPr>
        <w:pStyle w:val="FootnoteText"/>
        <w:jc w:val="both"/>
        <w:rPr>
          <w:lang w:val="sr-Cyrl-RS"/>
        </w:rPr>
      </w:pPr>
      <w:r>
        <w:rPr>
          <w:rStyle w:val="FootnoteReference"/>
        </w:rPr>
        <w:footnoteRef/>
      </w:r>
      <w:r w:rsidRPr="000D4B22">
        <w:rPr>
          <w:lang w:val="sr-Cyrl-RS"/>
        </w:rPr>
        <w:t xml:space="preserve"> </w:t>
      </w:r>
      <w:r w:rsidRPr="000E7CD8">
        <w:rPr>
          <w:rFonts w:ascii="Cambria" w:hAnsi="Cambria"/>
          <w:lang w:val="sr-Cyrl-RS"/>
        </w:rPr>
        <w:t>Извор:</w:t>
      </w:r>
      <w:r>
        <w:rPr>
          <w:lang w:val="sr-Cyrl-RS"/>
        </w:rPr>
        <w:t xml:space="preserve"> </w:t>
      </w:r>
      <w:r>
        <w:rPr>
          <w:rFonts w:ascii="Cambria" w:hAnsi="Cambria"/>
          <w:lang w:val="sr-Cyrl-RS"/>
        </w:rPr>
        <w:t>Анализа организације, функционисања и потреба Високог савета судства и његове Административне канцеларије, 2020.</w:t>
      </w:r>
    </w:p>
  </w:footnote>
  <w:footnote w:id="94">
    <w:p w14:paraId="2FDD404D" w14:textId="77777777" w:rsidR="00D2017F" w:rsidRPr="001941B1" w:rsidRDefault="00D2017F" w:rsidP="005D29DF">
      <w:pPr>
        <w:pStyle w:val="FootnoteText"/>
        <w:jc w:val="both"/>
        <w:rPr>
          <w:lang w:val="sr-Cyrl-RS"/>
        </w:rPr>
      </w:pPr>
      <w:r>
        <w:rPr>
          <w:rStyle w:val="FootnoteReference"/>
        </w:rPr>
        <w:footnoteRef/>
      </w:r>
      <w:r w:rsidRPr="001941B1">
        <w:rPr>
          <w:lang w:val="sr-Cyrl-RS"/>
        </w:rPr>
        <w:t xml:space="preserve"> </w:t>
      </w:r>
      <w:r w:rsidRPr="00B27941">
        <w:rPr>
          <w:rFonts w:ascii="Cambria" w:hAnsi="Cambria"/>
          <w:i/>
          <w:iCs/>
          <w:lang w:val="de-DE"/>
        </w:rPr>
        <w:t>Idem</w:t>
      </w:r>
      <w:r>
        <w:rPr>
          <w:rFonts w:ascii="Cambria" w:hAnsi="Cambria"/>
          <w:lang w:val="sr-Cyrl-RS"/>
        </w:rPr>
        <w:t>.</w:t>
      </w:r>
    </w:p>
  </w:footnote>
  <w:footnote w:id="95">
    <w:p w14:paraId="55F89EB7" w14:textId="77777777" w:rsidR="00D2017F" w:rsidRPr="00FC412B" w:rsidRDefault="00D2017F" w:rsidP="005D29DF">
      <w:pPr>
        <w:pStyle w:val="FootnoteText"/>
        <w:jc w:val="both"/>
        <w:rPr>
          <w:lang w:val="sr-Cyrl-RS"/>
        </w:rPr>
      </w:pPr>
      <w:r>
        <w:rPr>
          <w:rStyle w:val="FootnoteReference"/>
        </w:rPr>
        <w:footnoteRef/>
      </w:r>
      <w:r w:rsidRPr="00FC412B">
        <w:rPr>
          <w:lang w:val="sr-Cyrl-RS"/>
        </w:rPr>
        <w:t xml:space="preserve"> </w:t>
      </w:r>
      <w:r>
        <w:rPr>
          <w:lang w:val="sr-Cyrl-RS"/>
        </w:rPr>
        <w:t>„</w:t>
      </w:r>
      <w:r w:rsidRPr="007E0EFF">
        <w:rPr>
          <w:rFonts w:ascii="Cambria" w:hAnsi="Cambria"/>
          <w:lang w:val="sr-Cyrl-RS"/>
        </w:rPr>
        <w:t xml:space="preserve">Имајући у виду обим посла и прописану надлежност Савета, </w:t>
      </w:r>
      <w:r w:rsidRPr="000B3EE4">
        <w:rPr>
          <w:rFonts w:ascii="Cambria" w:hAnsi="Cambria"/>
          <w:b/>
          <w:lang w:val="sr-Cyrl-RS"/>
        </w:rPr>
        <w:t>постоји неопходност попуњавања свих упражњених радних места</w:t>
      </w:r>
      <w:r w:rsidRPr="007E0EFF">
        <w:rPr>
          <w:rFonts w:ascii="Cambria" w:hAnsi="Cambria"/>
          <w:lang w:val="sr-Cyrl-RS"/>
        </w:rPr>
        <w:t xml:space="preserve">, а реализација ће се у току 2020. године одвијати сходно одобреним финансијским средствима и у оквиру кадровског плана“, стр. 6, </w:t>
      </w:r>
      <w:r>
        <w:rPr>
          <w:rFonts w:ascii="Cambria" w:hAnsi="Cambria"/>
          <w:lang w:val="sr-Cyrl-RS"/>
        </w:rPr>
        <w:t>пасус</w:t>
      </w:r>
      <w:r w:rsidRPr="007E0EFF">
        <w:rPr>
          <w:rFonts w:ascii="Cambria" w:hAnsi="Cambria"/>
          <w:lang w:val="sr-Cyrl-RS"/>
        </w:rPr>
        <w:t xml:space="preserve"> 3. наведеног извештаја.</w:t>
      </w:r>
    </w:p>
  </w:footnote>
  <w:footnote w:id="96">
    <w:p w14:paraId="3DEDBD07" w14:textId="77777777" w:rsidR="00D2017F" w:rsidRPr="00520647" w:rsidRDefault="00D2017F" w:rsidP="005D29DF">
      <w:pPr>
        <w:pStyle w:val="FootnoteText"/>
        <w:rPr>
          <w:lang w:val="sr-Cyrl-RS"/>
        </w:rPr>
      </w:pPr>
      <w:r>
        <w:rPr>
          <w:rStyle w:val="FootnoteReference"/>
        </w:rPr>
        <w:footnoteRef/>
      </w:r>
      <w:r w:rsidRPr="00520647">
        <w:rPr>
          <w:lang w:val="sr-Cyrl-RS"/>
        </w:rPr>
        <w:t xml:space="preserve"> </w:t>
      </w:r>
      <w:r w:rsidRPr="00B37BBB">
        <w:rPr>
          <w:rFonts w:ascii="Cambria" w:hAnsi="Cambria"/>
          <w:lang w:val="sr-Cyrl-RS"/>
        </w:rPr>
        <w:t>Видети тачку 2.2.1</w:t>
      </w:r>
      <w:r>
        <w:rPr>
          <w:rFonts w:ascii="Cambria" w:hAnsi="Cambria"/>
          <w:lang w:val="sr-Cyrl-RS"/>
        </w:rPr>
        <w:t xml:space="preserve"> Стратегије – Устав Републике Србије</w:t>
      </w:r>
      <w:r w:rsidRPr="00B37BBB">
        <w:rPr>
          <w:rFonts w:ascii="Cambria" w:hAnsi="Cambria"/>
          <w:lang w:val="sr-Cyrl-RS"/>
        </w:rPr>
        <w:t xml:space="preserve">, </w:t>
      </w:r>
      <w:r>
        <w:rPr>
          <w:rFonts w:ascii="Cambria" w:hAnsi="Cambria"/>
          <w:lang w:val="sr-Cyrl-RS"/>
        </w:rPr>
        <w:t>пасус 5.</w:t>
      </w:r>
    </w:p>
  </w:footnote>
  <w:footnote w:id="97">
    <w:p w14:paraId="64799A9F" w14:textId="77777777" w:rsidR="00D2017F" w:rsidRPr="00A77B10" w:rsidRDefault="00D2017F" w:rsidP="005D29DF">
      <w:pPr>
        <w:pStyle w:val="FootnoteText"/>
        <w:rPr>
          <w:lang w:val="sr-Cyrl-RS"/>
        </w:rPr>
      </w:pPr>
      <w:r>
        <w:rPr>
          <w:rStyle w:val="FootnoteReference"/>
        </w:rPr>
        <w:footnoteRef/>
      </w:r>
      <w:r w:rsidRPr="00A77B10">
        <w:rPr>
          <w:lang w:val="sr-Cyrl-RS"/>
        </w:rPr>
        <w:t xml:space="preserve"> </w:t>
      </w:r>
      <w:r w:rsidRPr="00A77B10">
        <w:rPr>
          <w:rFonts w:ascii="Cambria" w:hAnsi="Cambria"/>
          <w:lang w:val="sr-Cyrl-RS"/>
        </w:rPr>
        <w:t>Извор: Годишњи извештај о раду Државног већа тужилаца за 2019. годину, из фебруара 2020. године</w:t>
      </w:r>
    </w:p>
  </w:footnote>
  <w:footnote w:id="98">
    <w:p w14:paraId="282DA0E0" w14:textId="77777777" w:rsidR="00D2017F" w:rsidRPr="00162030" w:rsidRDefault="00D2017F" w:rsidP="005D29DF">
      <w:pPr>
        <w:tabs>
          <w:tab w:val="left" w:pos="1441"/>
        </w:tabs>
        <w:jc w:val="both"/>
        <w:rPr>
          <w:rFonts w:ascii="Cambria" w:hAnsi="Cambria"/>
          <w:sz w:val="20"/>
          <w:szCs w:val="20"/>
          <w:lang w:val="sr-Cyrl-RS"/>
        </w:rPr>
      </w:pPr>
      <w:r w:rsidRPr="00162030">
        <w:rPr>
          <w:rStyle w:val="FootnoteReference"/>
          <w:rFonts w:ascii="Cambria" w:hAnsi="Cambria"/>
          <w:sz w:val="20"/>
          <w:szCs w:val="20"/>
        </w:rPr>
        <w:footnoteRef/>
      </w:r>
      <w:r w:rsidRPr="004809D6">
        <w:rPr>
          <w:rFonts w:ascii="Cambria" w:hAnsi="Cambria"/>
          <w:sz w:val="20"/>
          <w:szCs w:val="20"/>
          <w:lang w:val="sr-Cyrl-RS"/>
        </w:rPr>
        <w:t>Према одредбама Правилника</w:t>
      </w:r>
      <w:r w:rsidRPr="00162030">
        <w:rPr>
          <w:rFonts w:ascii="Cambria" w:hAnsi="Cambria"/>
          <w:sz w:val="20"/>
          <w:szCs w:val="20"/>
          <w:lang w:val="sr-Cyrl-RS"/>
        </w:rPr>
        <w:t xml:space="preserve"> </w:t>
      </w:r>
      <w:r w:rsidRPr="004809D6">
        <w:rPr>
          <w:rFonts w:ascii="Cambria" w:hAnsi="Cambria"/>
          <w:sz w:val="20"/>
          <w:szCs w:val="20"/>
          <w:lang w:val="sr-Cyrl-RS"/>
        </w:rPr>
        <w:t>о унутрашњем уређењу и систематизацији радних места у Административној канцеларији Државног већа тужилаца од 03.12.2020. године, као и изменама и допунама Правилника од 10.05.2021. године, за обављање послова из делокруга Административне канцеларије образују се следеће  унутрашње јединице:</w:t>
      </w:r>
      <w:r w:rsidRPr="00162030">
        <w:rPr>
          <w:rFonts w:ascii="Cambria" w:hAnsi="Cambria"/>
          <w:sz w:val="20"/>
          <w:szCs w:val="20"/>
          <w:lang w:val="sr-Cyrl-RS"/>
        </w:rPr>
        <w:t xml:space="preserve"> </w:t>
      </w:r>
      <w:r w:rsidRPr="004809D6">
        <w:rPr>
          <w:rFonts w:ascii="Cambria" w:hAnsi="Cambria"/>
          <w:sz w:val="20"/>
          <w:szCs w:val="20"/>
          <w:lang w:val="sr-Cyrl-RS"/>
        </w:rPr>
        <w:t>1. Одсек за материјално–финансијске послове; 2. Одсек за статусна питања носилаца јавнотужилачке функције и припрему прописа; 3.  Одсек за кадровске и опште послове;</w:t>
      </w:r>
      <w:r w:rsidRPr="00162030">
        <w:rPr>
          <w:rFonts w:ascii="Cambria" w:hAnsi="Cambria"/>
          <w:sz w:val="20"/>
          <w:szCs w:val="20"/>
          <w:lang w:val="sr-Cyrl-RS"/>
        </w:rPr>
        <w:t xml:space="preserve"> </w:t>
      </w:r>
      <w:r w:rsidRPr="004809D6">
        <w:rPr>
          <w:rFonts w:ascii="Cambria" w:hAnsi="Cambria"/>
          <w:sz w:val="20"/>
          <w:szCs w:val="20"/>
          <w:lang w:val="sr-Cyrl-RS"/>
        </w:rPr>
        <w:t>4. Група за писарницу (административно-технички послови).</w:t>
      </w:r>
      <w:r w:rsidRPr="00162030">
        <w:rPr>
          <w:rFonts w:ascii="Cambria" w:hAnsi="Cambria"/>
          <w:sz w:val="20"/>
          <w:szCs w:val="20"/>
          <w:lang w:val="sr-Cyrl-RS"/>
        </w:rPr>
        <w:t xml:space="preserve"> </w:t>
      </w:r>
      <w:r w:rsidRPr="004809D6">
        <w:rPr>
          <w:rFonts w:ascii="Cambria" w:hAnsi="Cambria"/>
          <w:sz w:val="20"/>
          <w:szCs w:val="20"/>
          <w:lang w:val="sr-Cyrl-RS"/>
        </w:rPr>
        <w:t>У Државном већу тужилаца као посебна унутрашња јединица образује се Кабинет председника Већа.</w:t>
      </w:r>
      <w:r w:rsidRPr="00162030">
        <w:rPr>
          <w:rFonts w:ascii="Cambria" w:hAnsi="Cambria"/>
          <w:sz w:val="20"/>
          <w:szCs w:val="20"/>
          <w:lang w:val="sr-Cyrl-RS"/>
        </w:rPr>
        <w:t xml:space="preserve"> </w:t>
      </w:r>
      <w:r w:rsidRPr="004809D6">
        <w:rPr>
          <w:rFonts w:ascii="Cambria" w:hAnsi="Cambria"/>
          <w:sz w:val="20"/>
          <w:szCs w:val="20"/>
          <w:lang w:val="sr-Cyrl-RS"/>
        </w:rPr>
        <w:t>Одређене послове из делокруга Административне канцеларије обављају самостални  извршиоци изван свих унутрашњих јединица.</w:t>
      </w:r>
    </w:p>
    <w:p w14:paraId="7981866A" w14:textId="77777777" w:rsidR="00D2017F" w:rsidRPr="00162030" w:rsidRDefault="00D2017F" w:rsidP="005D29DF">
      <w:pPr>
        <w:pStyle w:val="FootnoteText"/>
        <w:rPr>
          <w:rFonts w:ascii="Cambria" w:hAnsi="Cambria"/>
          <w:lang w:val="sr-Cyrl-RS"/>
        </w:rPr>
      </w:pPr>
    </w:p>
  </w:footnote>
  <w:footnote w:id="99">
    <w:p w14:paraId="30546D65" w14:textId="6D2C7436" w:rsidR="00D2017F" w:rsidRPr="003509EB" w:rsidRDefault="00D2017F" w:rsidP="000E0847">
      <w:pPr>
        <w:pStyle w:val="FootnoteText"/>
        <w:jc w:val="both"/>
        <w:rPr>
          <w:rFonts w:ascii="Cambria" w:hAnsi="Cambria"/>
          <w:lang w:val="sr-Cyrl-RS"/>
        </w:rPr>
      </w:pPr>
      <w:r>
        <w:rPr>
          <w:rStyle w:val="FootnoteReference"/>
        </w:rPr>
        <w:footnoteRef/>
      </w:r>
      <w:r w:rsidRPr="003509EB">
        <w:rPr>
          <w:lang w:val="sr-Cyrl-RS"/>
        </w:rPr>
        <w:t xml:space="preserve"> </w:t>
      </w:r>
      <w:r w:rsidRPr="003509EB">
        <w:rPr>
          <w:rFonts w:ascii="Cambria" w:hAnsi="Cambria"/>
          <w:lang w:val="sr-Cyrl-RS"/>
        </w:rPr>
        <w:t xml:space="preserve">Према документу Функционална анализа правосуђа у Србији, 2014, израђеном и објављеном од стране Светске банке, систем правосуђа у Републици Србији није у недостатку ресурса мерено како </w:t>
      </w:r>
      <w:r w:rsidRPr="000E0847">
        <w:rPr>
          <w:rFonts w:ascii="Cambria" w:hAnsi="Cambria"/>
          <w:i/>
        </w:rPr>
        <w:t>per</w:t>
      </w:r>
      <w:r w:rsidRPr="000E0847">
        <w:rPr>
          <w:rFonts w:ascii="Cambria" w:hAnsi="Cambria"/>
          <w:i/>
          <w:lang w:val="sr-Cyrl-RS"/>
        </w:rPr>
        <w:t xml:space="preserve"> </w:t>
      </w:r>
      <w:r w:rsidRPr="000E0847">
        <w:rPr>
          <w:rFonts w:ascii="Cambria" w:hAnsi="Cambria"/>
          <w:i/>
        </w:rPr>
        <w:t>capita</w:t>
      </w:r>
      <w:r w:rsidRPr="003509EB">
        <w:rPr>
          <w:rFonts w:ascii="Cambria" w:hAnsi="Cambria"/>
          <w:lang w:val="sr-Cyrl-RS"/>
        </w:rPr>
        <w:t xml:space="preserve">, </w:t>
      </w:r>
      <w:r>
        <w:rPr>
          <w:rFonts w:ascii="Cambria" w:hAnsi="Cambria"/>
          <w:lang w:val="sr-Cyrl-RS"/>
        </w:rPr>
        <w:t>тако и</w:t>
      </w:r>
      <w:r w:rsidRPr="003509EB">
        <w:rPr>
          <w:rFonts w:ascii="Cambria" w:hAnsi="Cambria"/>
          <w:lang w:val="sr-Cyrl-RS"/>
        </w:rPr>
        <w:t xml:space="preserve"> као удео у БДП-у, у односу на земље Европске уније.</w:t>
      </w:r>
    </w:p>
  </w:footnote>
  <w:footnote w:id="100">
    <w:p w14:paraId="4BC87EEB" w14:textId="461723C8" w:rsidR="00D2017F" w:rsidRPr="000E0847" w:rsidRDefault="00D2017F" w:rsidP="000E0847">
      <w:pPr>
        <w:pStyle w:val="FootnoteText"/>
        <w:jc w:val="both"/>
        <w:rPr>
          <w:lang w:val="sr-Cyrl-RS"/>
        </w:rPr>
      </w:pPr>
      <w:r>
        <w:rPr>
          <w:rStyle w:val="FootnoteReference"/>
        </w:rPr>
        <w:footnoteRef/>
      </w:r>
      <w:r w:rsidRPr="000E0847">
        <w:rPr>
          <w:lang w:val="sr-Cyrl-RS"/>
        </w:rPr>
        <w:t xml:space="preserve"> </w:t>
      </w:r>
      <w:r w:rsidRPr="000E0847">
        <w:rPr>
          <w:rFonts w:ascii="Cambria" w:hAnsi="Cambria"/>
          <w:lang w:val="sr-Cyrl-RS"/>
        </w:rPr>
        <w:t>У складу са Годишњим извештајем о раду Високог савета судства за 2019. годину, у структури извршених расхода највећи удео имала су лична примања судија 41%, затим следе трошкови за редован рада суда са 38% и на крају обавезне таксе, новчане казне и пенали са уделом од 21%</w:t>
      </w:r>
      <w:r>
        <w:rPr>
          <w:rFonts w:ascii="Cambria" w:hAnsi="Cambria"/>
          <w:lang w:val="sr-Cyrl-RS"/>
        </w:rPr>
        <w:t xml:space="preserve"> (видети </w:t>
      </w:r>
      <w:r w:rsidRPr="000E0847">
        <w:rPr>
          <w:rFonts w:ascii="Cambria" w:hAnsi="Cambria"/>
          <w:lang w:val="sr-Cyrl-RS"/>
        </w:rPr>
        <w:t>стр. 17 предметног извештаја</w:t>
      </w:r>
      <w:r>
        <w:rPr>
          <w:rFonts w:ascii="Cambria" w:hAnsi="Cambria"/>
          <w:lang w:val="sr-Cyrl-RS"/>
        </w:rPr>
        <w:t>).</w:t>
      </w:r>
    </w:p>
  </w:footnote>
  <w:footnote w:id="101">
    <w:p w14:paraId="19B5D4C3" w14:textId="2A61E500" w:rsidR="00D2017F" w:rsidRPr="003B1096" w:rsidRDefault="00D2017F">
      <w:pPr>
        <w:pStyle w:val="FootnoteText"/>
        <w:rPr>
          <w:lang w:val="sr-Cyrl-RS"/>
        </w:rPr>
      </w:pPr>
      <w:r>
        <w:rPr>
          <w:rStyle w:val="FootnoteReference"/>
        </w:rPr>
        <w:footnoteRef/>
      </w:r>
      <w:r w:rsidRPr="003B1096">
        <w:rPr>
          <w:lang w:val="sr-Cyrl-RS"/>
        </w:rPr>
        <w:t xml:space="preserve"> </w:t>
      </w:r>
      <w:r w:rsidRPr="003509EB">
        <w:rPr>
          <w:rFonts w:ascii="Cambria" w:hAnsi="Cambria"/>
          <w:lang w:val="sr-Cyrl-RS"/>
        </w:rPr>
        <w:t>Функционална анализа правосуђа у Србији, 2014, израђен</w:t>
      </w:r>
      <w:r>
        <w:rPr>
          <w:rFonts w:ascii="Cambria" w:hAnsi="Cambria"/>
          <w:lang w:val="sr-Cyrl-RS"/>
        </w:rPr>
        <w:t>а</w:t>
      </w:r>
      <w:r w:rsidRPr="003509EB">
        <w:rPr>
          <w:rFonts w:ascii="Cambria" w:hAnsi="Cambria"/>
          <w:lang w:val="sr-Cyrl-RS"/>
        </w:rPr>
        <w:t xml:space="preserve"> и објављен</w:t>
      </w:r>
      <w:r>
        <w:rPr>
          <w:rFonts w:ascii="Cambria" w:hAnsi="Cambria"/>
          <w:lang w:val="sr-Cyrl-RS"/>
        </w:rPr>
        <w:t>а</w:t>
      </w:r>
      <w:r w:rsidRPr="003509EB">
        <w:rPr>
          <w:rFonts w:ascii="Cambria" w:hAnsi="Cambria"/>
          <w:lang w:val="sr-Cyrl-RS"/>
        </w:rPr>
        <w:t xml:space="preserve"> од стране Светске банке</w:t>
      </w:r>
      <w:r>
        <w:rPr>
          <w:rFonts w:ascii="Cambria" w:hAnsi="Cambria"/>
          <w:lang w:val="sr-Cyrl-RS"/>
        </w:rPr>
        <w:t>.</w:t>
      </w:r>
    </w:p>
  </w:footnote>
  <w:footnote w:id="102">
    <w:p w14:paraId="63532457" w14:textId="361BFC77" w:rsidR="00D2017F" w:rsidRPr="000F3BC4" w:rsidRDefault="00D2017F">
      <w:pPr>
        <w:pStyle w:val="FootnoteText"/>
        <w:rPr>
          <w:lang w:val="sr-Cyrl-RS"/>
        </w:rPr>
      </w:pPr>
      <w:r>
        <w:rPr>
          <w:rStyle w:val="FootnoteReference"/>
        </w:rPr>
        <w:footnoteRef/>
      </w:r>
      <w:r w:rsidRPr="000F3BC4">
        <w:rPr>
          <w:lang w:val="sr-Cyrl-RS"/>
        </w:rPr>
        <w:t xml:space="preserve"> </w:t>
      </w:r>
      <w:r w:rsidRPr="000F3BC4">
        <w:rPr>
          <w:rFonts w:ascii="Cambria" w:hAnsi="Cambria"/>
          <w:lang w:val="sr-Cyrl-RS"/>
        </w:rPr>
        <w:t>Видети страну 37, тачка 38 наведеног документа</w:t>
      </w:r>
      <w:r>
        <w:rPr>
          <w:rFonts w:ascii="Cambria" w:hAnsi="Cambria"/>
          <w:lang w:val="sr-Cyrl-RS"/>
        </w:rPr>
        <w:t>.</w:t>
      </w:r>
    </w:p>
  </w:footnote>
  <w:footnote w:id="103">
    <w:p w14:paraId="6B672BFA" w14:textId="5926C795" w:rsidR="00D2017F" w:rsidRPr="000F3BC4" w:rsidRDefault="00D2017F" w:rsidP="007910CB">
      <w:pPr>
        <w:pStyle w:val="FootnoteText"/>
        <w:jc w:val="both"/>
        <w:rPr>
          <w:lang w:val="sr-Cyrl-RS"/>
        </w:rPr>
      </w:pPr>
      <w:r>
        <w:rPr>
          <w:rStyle w:val="FootnoteReference"/>
        </w:rPr>
        <w:footnoteRef/>
      </w:r>
      <w:r w:rsidRPr="000F3BC4">
        <w:rPr>
          <w:lang w:val="sr-Cyrl-RS"/>
        </w:rPr>
        <w:t xml:space="preserve"> </w:t>
      </w:r>
      <w:r w:rsidRPr="000F3BC4">
        <w:rPr>
          <w:rFonts w:ascii="Cambria" w:hAnsi="Cambria"/>
          <w:lang w:val="sr-Cyrl-RS"/>
        </w:rPr>
        <w:t xml:space="preserve">Видети страну </w:t>
      </w:r>
      <w:r>
        <w:rPr>
          <w:rFonts w:ascii="Cambria" w:hAnsi="Cambria"/>
          <w:lang w:val="sr-Cyrl-RS"/>
        </w:rPr>
        <w:t>38, тачка 72</w:t>
      </w:r>
      <w:r w:rsidRPr="000F3BC4">
        <w:rPr>
          <w:rFonts w:ascii="Cambria" w:hAnsi="Cambria"/>
          <w:lang w:val="sr-Cyrl-RS"/>
        </w:rPr>
        <w:t xml:space="preserve"> наведеног документа</w:t>
      </w:r>
      <w:r>
        <w:rPr>
          <w:rFonts w:ascii="Cambria" w:hAnsi="Cambria"/>
          <w:lang w:val="sr-Cyrl-RS"/>
        </w:rPr>
        <w:t>.</w:t>
      </w:r>
    </w:p>
  </w:footnote>
  <w:footnote w:id="104">
    <w:p w14:paraId="05E08C5F" w14:textId="2CEF3217" w:rsidR="00D2017F" w:rsidRPr="00317614" w:rsidRDefault="00D2017F" w:rsidP="007910CB">
      <w:pPr>
        <w:pStyle w:val="FootnoteText"/>
        <w:jc w:val="both"/>
        <w:rPr>
          <w:rFonts w:ascii="Cambria" w:hAnsi="Cambria"/>
          <w:lang w:val="sr-Cyrl-RS"/>
        </w:rPr>
      </w:pPr>
      <w:r>
        <w:rPr>
          <w:rStyle w:val="FootnoteReference"/>
        </w:rPr>
        <w:footnoteRef/>
      </w:r>
      <w:r w:rsidRPr="000868FA">
        <w:rPr>
          <w:lang w:val="sr-Cyrl-RS"/>
        </w:rPr>
        <w:t xml:space="preserve"> </w:t>
      </w:r>
      <w:r>
        <w:rPr>
          <w:rFonts w:ascii="Cambria" w:hAnsi="Cambria"/>
          <w:lang w:val="sr-Cyrl-RS"/>
        </w:rPr>
        <w:t>На пример, комплетна реконструкција Палате правде у Савској улици у Београду, као и претходно реконструисана зграда Првог основног јавног тужилаштва у Катанићевој улици у Београду.</w:t>
      </w:r>
    </w:p>
  </w:footnote>
  <w:footnote w:id="105">
    <w:p w14:paraId="6D0E9AC2" w14:textId="4DF52565" w:rsidR="00D2017F" w:rsidRPr="007910CB" w:rsidRDefault="00D2017F" w:rsidP="007910CB">
      <w:pPr>
        <w:pStyle w:val="FootnoteText"/>
        <w:jc w:val="both"/>
        <w:rPr>
          <w:lang w:val="sr-Cyrl-RS"/>
        </w:rPr>
      </w:pPr>
      <w:r>
        <w:rPr>
          <w:rStyle w:val="FootnoteReference"/>
        </w:rPr>
        <w:footnoteRef/>
      </w:r>
      <w:r w:rsidRPr="007910CB">
        <w:rPr>
          <w:lang w:val="sr-Cyrl-RS"/>
        </w:rPr>
        <w:t xml:space="preserve"> </w:t>
      </w:r>
      <w:r>
        <w:rPr>
          <w:rFonts w:ascii="Cambria" w:hAnsi="Cambria"/>
          <w:lang w:val="sr-Cyrl-RS"/>
        </w:rPr>
        <w:t>Извор: Светска банка</w:t>
      </w:r>
      <w:r w:rsidRPr="00100876">
        <w:rPr>
          <w:rFonts w:ascii="Cambria" w:hAnsi="Cambria"/>
          <w:lang w:val="sr-Cyrl-RS"/>
        </w:rPr>
        <w:t>.</w:t>
      </w:r>
    </w:p>
  </w:footnote>
  <w:footnote w:id="106">
    <w:p w14:paraId="7525113C" w14:textId="3A9C6CD5" w:rsidR="00D2017F" w:rsidRPr="00BC7D35" w:rsidRDefault="00D2017F">
      <w:pPr>
        <w:pStyle w:val="FootnoteText"/>
        <w:rPr>
          <w:b/>
        </w:rPr>
      </w:pPr>
      <w:r>
        <w:rPr>
          <w:rStyle w:val="FootnoteReference"/>
        </w:rPr>
        <w:footnoteRef/>
      </w:r>
      <w:r w:rsidRPr="00100876">
        <w:rPr>
          <w:lang w:val="sr-Cyrl-RS"/>
        </w:rPr>
        <w:t xml:space="preserve"> </w:t>
      </w:r>
      <w:r w:rsidRPr="00100876">
        <w:rPr>
          <w:rFonts w:ascii="Cambria" w:hAnsi="Cambria"/>
          <w:lang w:val="sr-Cyrl-RS"/>
        </w:rPr>
        <w:t>Judicial Infrastru</w:t>
      </w:r>
      <w:r>
        <w:rPr>
          <w:rFonts w:ascii="Cambria" w:hAnsi="Cambria"/>
        </w:rPr>
        <w:t>c</w:t>
      </w:r>
      <w:r w:rsidRPr="00100876">
        <w:rPr>
          <w:rFonts w:ascii="Cambria" w:hAnsi="Cambria"/>
          <w:lang w:val="sr-Cyrl-RS"/>
        </w:rPr>
        <w:t>ture Assessment Republic of Serbia, Europe Aid Ref.136913/DH/SER/RS</w:t>
      </w:r>
      <w:r>
        <w:rPr>
          <w:rFonts w:ascii="Cambria" w:hAnsi="Cambria"/>
          <w:lang w:val="sr-Cyrl-RS"/>
        </w:rPr>
        <w:t xml:space="preserve">, доступно на: </w:t>
      </w:r>
      <w:hyperlink r:id="rId1" w:history="1">
        <w:r w:rsidRPr="00C334D6">
          <w:rPr>
            <w:rStyle w:val="Hyperlink"/>
            <w:rFonts w:ascii="Cambria" w:hAnsi="Cambria"/>
            <w:lang w:val="sr-Cyrl-RS"/>
          </w:rPr>
          <w:t>https://www.cestra.rs/srb/Project_details.php?idp=10167</w:t>
        </w:r>
      </w:hyperlink>
      <w:r>
        <w:rPr>
          <w:rFonts w:ascii="Cambria" w:hAnsi="Cambria"/>
          <w:lang w:val="sr-Cyrl-RS"/>
        </w:rPr>
        <w:t xml:space="preserve"> </w:t>
      </w:r>
    </w:p>
  </w:footnote>
  <w:footnote w:id="107">
    <w:p w14:paraId="736A31AB" w14:textId="4FF3691A" w:rsidR="00D2017F" w:rsidRPr="00317614" w:rsidRDefault="00D2017F" w:rsidP="007910CB">
      <w:pPr>
        <w:pStyle w:val="FootnoteText"/>
        <w:jc w:val="both"/>
        <w:rPr>
          <w:lang w:val="sr-Cyrl-RS"/>
        </w:rPr>
      </w:pPr>
      <w:r w:rsidRPr="00F36343">
        <w:rPr>
          <w:rStyle w:val="FootnoteReference"/>
        </w:rPr>
        <w:footnoteRef/>
      </w:r>
      <w:r w:rsidRPr="00317614">
        <w:rPr>
          <w:rFonts w:ascii="Cambria" w:hAnsi="Cambria"/>
          <w:lang w:val="sr-Cyrl-RS"/>
        </w:rPr>
        <w:t xml:space="preserve"> Видети </w:t>
      </w:r>
      <w:r>
        <w:rPr>
          <w:rFonts w:ascii="Cambria" w:hAnsi="Cambria"/>
          <w:lang w:val="sr-Cyrl-RS"/>
        </w:rPr>
        <w:t>Стратегију развоја правосуђа за период 2020-2025. година, стр. 9, пасус 1.</w:t>
      </w:r>
    </w:p>
  </w:footnote>
  <w:footnote w:id="108">
    <w:p w14:paraId="2C3483B1" w14:textId="4813E961" w:rsidR="00D2017F" w:rsidRPr="003626C0" w:rsidRDefault="00D2017F" w:rsidP="007910CB">
      <w:pPr>
        <w:pStyle w:val="FootnoteText"/>
        <w:jc w:val="both"/>
        <w:rPr>
          <w:lang w:val="sr-Cyrl-RS"/>
        </w:rPr>
      </w:pPr>
      <w:r>
        <w:rPr>
          <w:rStyle w:val="FootnoteReference"/>
        </w:rPr>
        <w:footnoteRef/>
      </w:r>
      <w:r w:rsidRPr="003626C0">
        <w:rPr>
          <w:lang w:val="sr-Cyrl-RS"/>
        </w:rPr>
        <w:t xml:space="preserve"> </w:t>
      </w:r>
      <w:r w:rsidRPr="00317614">
        <w:rPr>
          <w:rFonts w:ascii="Cambria" w:hAnsi="Cambria"/>
          <w:lang w:val="sr-Cyrl-RS"/>
        </w:rPr>
        <w:t xml:space="preserve">Видети </w:t>
      </w:r>
      <w:r>
        <w:rPr>
          <w:rFonts w:ascii="Cambria" w:hAnsi="Cambria"/>
          <w:lang w:val="sr-Cyrl-RS"/>
        </w:rPr>
        <w:t>Стратегију развоја правосуђа за период 2020-2025. година, стр. 9, пасус 2.</w:t>
      </w:r>
    </w:p>
  </w:footnote>
  <w:footnote w:id="109">
    <w:p w14:paraId="356D1851" w14:textId="3EED0D66" w:rsidR="00D2017F" w:rsidRPr="000C16DE" w:rsidRDefault="00D2017F" w:rsidP="007910CB">
      <w:pPr>
        <w:pStyle w:val="FootnoteText"/>
        <w:jc w:val="both"/>
        <w:rPr>
          <w:lang w:val="sr-Cyrl-RS"/>
        </w:rPr>
      </w:pPr>
      <w:r>
        <w:rPr>
          <w:rStyle w:val="FootnoteReference"/>
        </w:rPr>
        <w:footnoteRef/>
      </w:r>
      <w:r w:rsidRPr="000C16DE">
        <w:rPr>
          <w:lang w:val="sr-Cyrl-RS"/>
        </w:rPr>
        <w:t xml:space="preserve"> </w:t>
      </w:r>
      <w:r w:rsidRPr="00317614">
        <w:rPr>
          <w:rFonts w:ascii="Cambria" w:hAnsi="Cambria"/>
          <w:lang w:val="sr-Cyrl-RS"/>
        </w:rPr>
        <w:t xml:space="preserve">Видети </w:t>
      </w:r>
      <w:r>
        <w:rPr>
          <w:rFonts w:ascii="Cambria" w:hAnsi="Cambria"/>
          <w:lang w:val="sr-Cyrl-RS"/>
        </w:rPr>
        <w:t>Стратегију развоја правосуђа за период 2020-2025. година, стр. 22, пасус 4.</w:t>
      </w:r>
    </w:p>
  </w:footnote>
  <w:footnote w:id="110">
    <w:p w14:paraId="4C7654AB" w14:textId="2727CFC2" w:rsidR="00D2017F" w:rsidRPr="000D3DDF" w:rsidRDefault="00D2017F" w:rsidP="007910CB">
      <w:pPr>
        <w:pStyle w:val="FootnoteText"/>
        <w:jc w:val="both"/>
        <w:rPr>
          <w:lang w:val="sr-Latn-RS"/>
        </w:rPr>
      </w:pPr>
      <w:r>
        <w:rPr>
          <w:rStyle w:val="FootnoteReference"/>
        </w:rPr>
        <w:footnoteRef/>
      </w:r>
      <w:r w:rsidRPr="00F36D52">
        <w:rPr>
          <w:lang w:val="sr-Cyrl-RS"/>
        </w:rPr>
        <w:t xml:space="preserve"> </w:t>
      </w:r>
      <w:r w:rsidRPr="00F36D52">
        <w:rPr>
          <w:rFonts w:ascii="Cambria" w:hAnsi="Cambria"/>
          <w:lang w:val="sr-Cyrl-RS"/>
        </w:rPr>
        <w:t xml:space="preserve">Извор: </w:t>
      </w:r>
      <w:r>
        <w:rPr>
          <w:rFonts w:ascii="Cambria" w:hAnsi="Cambria"/>
          <w:lang w:val="sr-Cyrl-RS"/>
        </w:rPr>
        <w:t>Стратегија развоја правосуђа за период 2020-2025. година.</w:t>
      </w:r>
    </w:p>
  </w:footnote>
  <w:footnote w:id="111">
    <w:p w14:paraId="11FF6886" w14:textId="3D5A06D1" w:rsidR="00D2017F" w:rsidRPr="003029C7" w:rsidRDefault="00D2017F" w:rsidP="007910CB">
      <w:pPr>
        <w:pStyle w:val="FootnoteText"/>
        <w:jc w:val="both"/>
        <w:rPr>
          <w:lang w:val="sr-Cyrl-RS"/>
        </w:rPr>
      </w:pPr>
      <w:r>
        <w:rPr>
          <w:rStyle w:val="FootnoteReference"/>
        </w:rPr>
        <w:footnoteRef/>
      </w:r>
      <w:r w:rsidRPr="003029C7">
        <w:rPr>
          <w:lang w:val="sr-Latn-RS"/>
        </w:rPr>
        <w:t xml:space="preserve"> </w:t>
      </w:r>
      <w:r w:rsidRPr="00F36D52">
        <w:rPr>
          <w:rFonts w:ascii="Cambria" w:hAnsi="Cambria"/>
          <w:lang w:val="sr-Cyrl-RS"/>
        </w:rPr>
        <w:t xml:space="preserve">Извор: </w:t>
      </w:r>
      <w:r>
        <w:rPr>
          <w:rFonts w:ascii="Cambria" w:hAnsi="Cambria"/>
          <w:lang w:val="sr-Cyrl-RS"/>
        </w:rPr>
        <w:t>Стратегија развоја правосуђа за период 2020-2025. година.</w:t>
      </w:r>
    </w:p>
  </w:footnote>
  <w:footnote w:id="112">
    <w:p w14:paraId="2663306A" w14:textId="6569017D" w:rsidR="00D2017F" w:rsidRPr="00BC2269" w:rsidRDefault="00D2017F" w:rsidP="007B77F8">
      <w:pPr>
        <w:pStyle w:val="FootnoteText"/>
        <w:rPr>
          <w:lang w:val="sr-Cyrl-RS"/>
        </w:rPr>
      </w:pPr>
      <w:r>
        <w:rPr>
          <w:rStyle w:val="FootnoteReference"/>
        </w:rPr>
        <w:footnoteRef/>
      </w:r>
      <w:r w:rsidRPr="00A736D0">
        <w:rPr>
          <w:lang w:val="sr-Cyrl-RS"/>
        </w:rPr>
        <w:t xml:space="preserve"> </w:t>
      </w:r>
      <w:r w:rsidRPr="00863E7F">
        <w:rPr>
          <w:rFonts w:ascii="Cambria" w:hAnsi="Cambria"/>
          <w:lang w:val="sr-Cyrl-RS"/>
        </w:rPr>
        <w:t>Видети Извештај о употреби инфромационих технологија у европским судовима, Студије Савета Европе - Европске комисије за ефикасност правосуђа бр. 24, 2016</w:t>
      </w:r>
      <w:r>
        <w:rPr>
          <w:rFonts w:ascii="Cambria" w:hAnsi="Cambria"/>
          <w:lang w:val="sr-Cyrl-RS"/>
        </w:rPr>
        <w:t>.</w:t>
      </w:r>
      <w:r w:rsidRPr="00863E7F">
        <w:rPr>
          <w:rFonts w:ascii="Cambria" w:hAnsi="Cambria"/>
          <w:lang w:val="sr-Cyrl-RS"/>
        </w:rPr>
        <w:t xml:space="preserve"> година.</w:t>
      </w:r>
      <w:r>
        <w:rPr>
          <w:lang w:val="sr-Cyrl-RS"/>
        </w:rPr>
        <w:t xml:space="preserve"> </w:t>
      </w:r>
    </w:p>
  </w:footnote>
  <w:footnote w:id="113">
    <w:p w14:paraId="46451139" w14:textId="3709F1EB" w:rsidR="00D2017F" w:rsidRPr="00083959" w:rsidRDefault="00D2017F" w:rsidP="007B77F8">
      <w:pPr>
        <w:pStyle w:val="FootnoteText"/>
        <w:rPr>
          <w:lang w:val="sr-Cyrl-RS"/>
        </w:rPr>
      </w:pPr>
      <w:r>
        <w:rPr>
          <w:rStyle w:val="FootnoteReference"/>
        </w:rPr>
        <w:footnoteRef/>
      </w:r>
      <w:r w:rsidRPr="00A736D0">
        <w:rPr>
          <w:lang w:val="sr-Cyrl-RS"/>
        </w:rPr>
        <w:t xml:space="preserve"> </w:t>
      </w:r>
      <w:r w:rsidRPr="00027E24">
        <w:rPr>
          <w:rFonts w:ascii="Cambria" w:hAnsi="Cambria"/>
          <w:lang w:val="sr-Cyrl-RS"/>
        </w:rPr>
        <w:t xml:space="preserve">Извор: </w:t>
      </w:r>
      <w:r>
        <w:rPr>
          <w:rFonts w:ascii="Cambria" w:hAnsi="Cambria"/>
          <w:lang w:val="sr-Cyrl-RS"/>
        </w:rPr>
        <w:t>Светска банка.</w:t>
      </w:r>
    </w:p>
  </w:footnote>
  <w:footnote w:id="114">
    <w:p w14:paraId="43D96B44" w14:textId="0D0C0EBA" w:rsidR="00D2017F" w:rsidRPr="004D3657" w:rsidRDefault="00D2017F">
      <w:pPr>
        <w:pStyle w:val="FootnoteText"/>
        <w:rPr>
          <w:lang w:val="sr-Cyrl-RS"/>
        </w:rPr>
      </w:pPr>
      <w:r>
        <w:rPr>
          <w:rStyle w:val="FootnoteReference"/>
        </w:rPr>
        <w:footnoteRef/>
      </w:r>
      <w:r w:rsidRPr="004D3657">
        <w:rPr>
          <w:lang w:val="sr-Cyrl-RS"/>
        </w:rPr>
        <w:t xml:space="preserve"> </w:t>
      </w:r>
      <w:r w:rsidRPr="00027E24">
        <w:rPr>
          <w:rFonts w:ascii="Cambria" w:hAnsi="Cambria"/>
          <w:lang w:val="sr-Cyrl-RS"/>
        </w:rPr>
        <w:t xml:space="preserve">Извор: </w:t>
      </w:r>
      <w:r>
        <w:rPr>
          <w:rFonts w:ascii="Cambria" w:hAnsi="Cambria"/>
          <w:lang w:val="sr-Cyrl-RS"/>
        </w:rPr>
        <w:t>Светска банка</w:t>
      </w:r>
    </w:p>
  </w:footnote>
  <w:footnote w:id="115">
    <w:p w14:paraId="3855482B" w14:textId="77777777" w:rsidR="00D2017F" w:rsidRPr="00EE4E71" w:rsidRDefault="00D2017F" w:rsidP="00C21461">
      <w:pPr>
        <w:pStyle w:val="FootnoteText"/>
        <w:rPr>
          <w:lang w:val="sr-Cyrl-RS"/>
        </w:rPr>
      </w:pPr>
      <w:r>
        <w:rPr>
          <w:rStyle w:val="FootnoteReference"/>
        </w:rPr>
        <w:footnoteRef/>
      </w:r>
      <w:r w:rsidRPr="00A736D0">
        <w:rPr>
          <w:lang w:val="sr-Cyrl-RS"/>
        </w:rPr>
        <w:t xml:space="preserve"> </w:t>
      </w:r>
      <w:r w:rsidRPr="00027E24">
        <w:rPr>
          <w:rFonts w:ascii="Cambria" w:hAnsi="Cambria"/>
          <w:lang w:val="sr-Cyrl-RS"/>
        </w:rPr>
        <w:t xml:space="preserve">Извор: </w:t>
      </w:r>
      <w:r>
        <w:rPr>
          <w:rFonts w:ascii="Cambria" w:hAnsi="Cambria"/>
          <w:lang w:val="sr-Cyrl-RS"/>
        </w:rPr>
        <w:t>Светска банка.</w:t>
      </w:r>
    </w:p>
  </w:footnote>
  <w:footnote w:id="116">
    <w:p w14:paraId="3ABE5A5C" w14:textId="77777777" w:rsidR="00D2017F" w:rsidRPr="00EE4E71" w:rsidRDefault="00D2017F" w:rsidP="00C21461">
      <w:pPr>
        <w:pStyle w:val="FootnoteText"/>
        <w:rPr>
          <w:lang w:val="sr-Cyrl-RS"/>
        </w:rPr>
      </w:pPr>
      <w:r>
        <w:rPr>
          <w:rStyle w:val="FootnoteReference"/>
        </w:rPr>
        <w:footnoteRef/>
      </w:r>
      <w:r w:rsidRPr="00A736D0">
        <w:rPr>
          <w:lang w:val="sr-Cyrl-RS"/>
        </w:rPr>
        <w:t xml:space="preserve"> </w:t>
      </w:r>
      <w:r w:rsidRPr="00027E24">
        <w:rPr>
          <w:rFonts w:ascii="Cambria" w:hAnsi="Cambria"/>
          <w:lang w:val="sr-Cyrl-RS"/>
        </w:rPr>
        <w:t xml:space="preserve">Извор: </w:t>
      </w:r>
      <w:r>
        <w:rPr>
          <w:rFonts w:ascii="Cambria" w:hAnsi="Cambria"/>
          <w:lang w:val="sr-Cyrl-RS"/>
        </w:rPr>
        <w:t>Светска банка.</w:t>
      </w:r>
    </w:p>
  </w:footnote>
  <w:footnote w:id="117">
    <w:p w14:paraId="57F3C69D" w14:textId="2B908838" w:rsidR="00D2017F" w:rsidRPr="00EE4E71" w:rsidRDefault="00D2017F" w:rsidP="007B77F8">
      <w:pPr>
        <w:pStyle w:val="FootnoteText"/>
        <w:rPr>
          <w:lang w:val="sr-Latn-RS"/>
        </w:rPr>
      </w:pPr>
      <w:r>
        <w:rPr>
          <w:rStyle w:val="FootnoteReference"/>
        </w:rPr>
        <w:footnoteRef/>
      </w:r>
      <w:r w:rsidRPr="00A736D0">
        <w:rPr>
          <w:lang w:val="sr-Cyrl-RS"/>
        </w:rPr>
        <w:t xml:space="preserve"> </w:t>
      </w:r>
      <w:r w:rsidRPr="00027E24">
        <w:rPr>
          <w:rFonts w:ascii="Cambria" w:hAnsi="Cambria"/>
          <w:lang w:val="sr-Cyrl-RS"/>
        </w:rPr>
        <w:t xml:space="preserve">Извор: </w:t>
      </w:r>
      <w:r>
        <w:rPr>
          <w:rFonts w:ascii="Cambria" w:hAnsi="Cambria"/>
          <w:lang w:val="sr-Cyrl-RS"/>
        </w:rPr>
        <w:t>Светска банка.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2153738"/>
      <w:docPartObj>
        <w:docPartGallery w:val="Page Numbers (Top of Page)"/>
        <w:docPartUnique/>
      </w:docPartObj>
    </w:sdtPr>
    <w:sdtEndPr>
      <w:rPr>
        <w:noProof/>
      </w:rPr>
    </w:sdtEndPr>
    <w:sdtContent>
      <w:p w14:paraId="3247A82F" w14:textId="79D6E1F8" w:rsidR="00D2017F" w:rsidRPr="00585763" w:rsidRDefault="00D2017F">
        <w:pPr>
          <w:pStyle w:val="Header"/>
          <w:jc w:val="center"/>
          <w:rPr>
            <w:rFonts w:ascii="Times New Roman" w:hAnsi="Times New Roman" w:cs="Times New Roman"/>
          </w:rPr>
        </w:pPr>
        <w:r w:rsidRPr="00585763">
          <w:rPr>
            <w:rFonts w:ascii="Times New Roman" w:hAnsi="Times New Roman" w:cs="Times New Roman"/>
          </w:rPr>
          <w:fldChar w:fldCharType="begin"/>
        </w:r>
        <w:r w:rsidRPr="00585763">
          <w:rPr>
            <w:rFonts w:ascii="Times New Roman" w:hAnsi="Times New Roman" w:cs="Times New Roman"/>
          </w:rPr>
          <w:instrText xml:space="preserve"> PAGE   \* MERGEFORMAT </w:instrText>
        </w:r>
        <w:r w:rsidRPr="00585763">
          <w:rPr>
            <w:rFonts w:ascii="Times New Roman" w:hAnsi="Times New Roman" w:cs="Times New Roman"/>
          </w:rPr>
          <w:fldChar w:fldCharType="separate"/>
        </w:r>
        <w:r w:rsidR="003716D7">
          <w:rPr>
            <w:rFonts w:ascii="Times New Roman" w:hAnsi="Times New Roman" w:cs="Times New Roman"/>
            <w:noProof/>
          </w:rPr>
          <w:t>12</w:t>
        </w:r>
        <w:r w:rsidRPr="00585763">
          <w:rPr>
            <w:rFonts w:ascii="Times New Roman" w:hAnsi="Times New Roman" w:cs="Times New Roman"/>
            <w:noProof/>
          </w:rPr>
          <w:fldChar w:fldCharType="end"/>
        </w:r>
      </w:p>
    </w:sdtContent>
  </w:sdt>
  <w:p w14:paraId="220EEA80" w14:textId="77777777" w:rsidR="00D2017F" w:rsidRPr="00585763" w:rsidRDefault="00D2017F">
    <w:pPr>
      <w:pStyle w:val="Head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21628210"/>
      <w:docPartObj>
        <w:docPartGallery w:val="Page Numbers (Top of Page)"/>
        <w:docPartUnique/>
      </w:docPartObj>
    </w:sdtPr>
    <w:sdtEndPr>
      <w:rPr>
        <w:noProof/>
      </w:rPr>
    </w:sdtEndPr>
    <w:sdtContent>
      <w:p w14:paraId="030E5616" w14:textId="10F62BF0" w:rsidR="00D2017F" w:rsidRPr="006B236E" w:rsidRDefault="00D2017F">
        <w:pPr>
          <w:pStyle w:val="Header"/>
          <w:jc w:val="center"/>
          <w:rPr>
            <w:rFonts w:ascii="Times New Roman" w:hAnsi="Times New Roman" w:cs="Times New Roman"/>
          </w:rPr>
        </w:pPr>
        <w:r w:rsidRPr="006B236E">
          <w:rPr>
            <w:rFonts w:ascii="Times New Roman" w:hAnsi="Times New Roman" w:cs="Times New Roman"/>
          </w:rPr>
          <w:fldChar w:fldCharType="begin"/>
        </w:r>
        <w:r w:rsidRPr="006B236E">
          <w:rPr>
            <w:rFonts w:ascii="Times New Roman" w:hAnsi="Times New Roman" w:cs="Times New Roman"/>
          </w:rPr>
          <w:instrText xml:space="preserve"> PAGE   \* MERGEFORMAT </w:instrText>
        </w:r>
        <w:r w:rsidRPr="006B236E">
          <w:rPr>
            <w:rFonts w:ascii="Times New Roman" w:hAnsi="Times New Roman" w:cs="Times New Roman"/>
          </w:rPr>
          <w:fldChar w:fldCharType="separate"/>
        </w:r>
        <w:r w:rsidR="003716D7">
          <w:rPr>
            <w:rFonts w:ascii="Times New Roman" w:hAnsi="Times New Roman" w:cs="Times New Roman"/>
            <w:noProof/>
          </w:rPr>
          <w:t>78</w:t>
        </w:r>
        <w:r w:rsidRPr="006B236E">
          <w:rPr>
            <w:rFonts w:ascii="Times New Roman" w:hAnsi="Times New Roman" w:cs="Times New Roman"/>
            <w:noProof/>
          </w:rPr>
          <w:fldChar w:fldCharType="end"/>
        </w:r>
      </w:p>
    </w:sdtContent>
  </w:sdt>
  <w:p w14:paraId="19FD6A5D" w14:textId="77777777" w:rsidR="00D2017F" w:rsidRPr="006B236E" w:rsidRDefault="00D2017F">
    <w:pP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1DBE"/>
    <w:multiLevelType w:val="hybridMultilevel"/>
    <w:tmpl w:val="F9247600"/>
    <w:lvl w:ilvl="0" w:tplc="C0947E20">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04AC"/>
    <w:multiLevelType w:val="hybridMultilevel"/>
    <w:tmpl w:val="C9DA24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1959C1"/>
    <w:multiLevelType w:val="hybridMultilevel"/>
    <w:tmpl w:val="0D7ED8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4E3D79"/>
    <w:multiLevelType w:val="hybridMultilevel"/>
    <w:tmpl w:val="3AF076BA"/>
    <w:lvl w:ilvl="0" w:tplc="A4D632F8">
      <w:numFmt w:val="bullet"/>
      <w:lvlText w:val="-"/>
      <w:lvlJc w:val="left"/>
      <w:pPr>
        <w:ind w:left="800" w:hanging="360"/>
      </w:pPr>
      <w:rPr>
        <w:rFonts w:ascii="Cambria" w:eastAsia="Times New Roman" w:hAnsi="Cambria" w:cs="Times New Roman"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 w15:restartNumberingAfterBreak="0">
    <w:nsid w:val="08C6366F"/>
    <w:multiLevelType w:val="multilevel"/>
    <w:tmpl w:val="C8AE3B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EF4EFC"/>
    <w:multiLevelType w:val="hybridMultilevel"/>
    <w:tmpl w:val="3046469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F879D9"/>
    <w:multiLevelType w:val="multilevel"/>
    <w:tmpl w:val="AD9CB81A"/>
    <w:lvl w:ilvl="0">
      <w:start w:val="1"/>
      <w:numFmt w:val="decimal"/>
      <w:lvlText w:val="%1."/>
      <w:lvlJc w:val="left"/>
      <w:pPr>
        <w:ind w:left="360" w:hanging="360"/>
      </w:pPr>
      <w:rPr>
        <w:rFonts w:hint="default"/>
        <w:i w:val="0"/>
        <w:color w:val="auto"/>
      </w:rPr>
    </w:lvl>
    <w:lvl w:ilvl="1">
      <w:start w:val="4"/>
      <w:numFmt w:val="decimal"/>
      <w:isLgl/>
      <w:lvlText w:val="%1.%2"/>
      <w:lvlJc w:val="left"/>
      <w:pPr>
        <w:ind w:left="881" w:hanging="456"/>
      </w:pPr>
      <w:rPr>
        <w:rFonts w:hint="default"/>
      </w:rPr>
    </w:lvl>
    <w:lvl w:ilvl="2">
      <w:start w:val="8"/>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0E463FEE"/>
    <w:multiLevelType w:val="hybridMultilevel"/>
    <w:tmpl w:val="DD7A3034"/>
    <w:lvl w:ilvl="0" w:tplc="C478A224">
      <w:start w:val="1"/>
      <w:numFmt w:val="bullet"/>
      <w:lvlText w:val="-"/>
      <w:lvlJc w:val="left"/>
      <w:pPr>
        <w:ind w:left="1211" w:hanging="360"/>
      </w:pPr>
      <w:rPr>
        <w:rFonts w:ascii="Cambria" w:eastAsiaTheme="minorEastAsia" w:hAnsi="Cambria" w:cstheme="minorBidi" w:hint="default"/>
      </w:rPr>
    </w:lvl>
    <w:lvl w:ilvl="1" w:tplc="241A0003" w:tentative="1">
      <w:start w:val="1"/>
      <w:numFmt w:val="bullet"/>
      <w:lvlText w:val="o"/>
      <w:lvlJc w:val="left"/>
      <w:pPr>
        <w:ind w:left="1931" w:hanging="360"/>
      </w:pPr>
      <w:rPr>
        <w:rFonts w:ascii="Courier New" w:hAnsi="Courier New" w:cs="Courier New" w:hint="default"/>
      </w:rPr>
    </w:lvl>
    <w:lvl w:ilvl="2" w:tplc="241A0005" w:tentative="1">
      <w:start w:val="1"/>
      <w:numFmt w:val="bullet"/>
      <w:lvlText w:val=""/>
      <w:lvlJc w:val="left"/>
      <w:pPr>
        <w:ind w:left="2651" w:hanging="360"/>
      </w:pPr>
      <w:rPr>
        <w:rFonts w:ascii="Wingdings" w:hAnsi="Wingdings" w:hint="default"/>
      </w:rPr>
    </w:lvl>
    <w:lvl w:ilvl="3" w:tplc="241A0001" w:tentative="1">
      <w:start w:val="1"/>
      <w:numFmt w:val="bullet"/>
      <w:lvlText w:val=""/>
      <w:lvlJc w:val="left"/>
      <w:pPr>
        <w:ind w:left="3371" w:hanging="360"/>
      </w:pPr>
      <w:rPr>
        <w:rFonts w:ascii="Symbol" w:hAnsi="Symbol" w:hint="default"/>
      </w:rPr>
    </w:lvl>
    <w:lvl w:ilvl="4" w:tplc="241A0003" w:tentative="1">
      <w:start w:val="1"/>
      <w:numFmt w:val="bullet"/>
      <w:lvlText w:val="o"/>
      <w:lvlJc w:val="left"/>
      <w:pPr>
        <w:ind w:left="4091" w:hanging="360"/>
      </w:pPr>
      <w:rPr>
        <w:rFonts w:ascii="Courier New" w:hAnsi="Courier New" w:cs="Courier New" w:hint="default"/>
      </w:rPr>
    </w:lvl>
    <w:lvl w:ilvl="5" w:tplc="241A0005" w:tentative="1">
      <w:start w:val="1"/>
      <w:numFmt w:val="bullet"/>
      <w:lvlText w:val=""/>
      <w:lvlJc w:val="left"/>
      <w:pPr>
        <w:ind w:left="4811" w:hanging="360"/>
      </w:pPr>
      <w:rPr>
        <w:rFonts w:ascii="Wingdings" w:hAnsi="Wingdings" w:hint="default"/>
      </w:rPr>
    </w:lvl>
    <w:lvl w:ilvl="6" w:tplc="241A0001" w:tentative="1">
      <w:start w:val="1"/>
      <w:numFmt w:val="bullet"/>
      <w:lvlText w:val=""/>
      <w:lvlJc w:val="left"/>
      <w:pPr>
        <w:ind w:left="5531" w:hanging="360"/>
      </w:pPr>
      <w:rPr>
        <w:rFonts w:ascii="Symbol" w:hAnsi="Symbol" w:hint="default"/>
      </w:rPr>
    </w:lvl>
    <w:lvl w:ilvl="7" w:tplc="241A0003" w:tentative="1">
      <w:start w:val="1"/>
      <w:numFmt w:val="bullet"/>
      <w:lvlText w:val="o"/>
      <w:lvlJc w:val="left"/>
      <w:pPr>
        <w:ind w:left="6251" w:hanging="360"/>
      </w:pPr>
      <w:rPr>
        <w:rFonts w:ascii="Courier New" w:hAnsi="Courier New" w:cs="Courier New" w:hint="default"/>
      </w:rPr>
    </w:lvl>
    <w:lvl w:ilvl="8" w:tplc="241A0005" w:tentative="1">
      <w:start w:val="1"/>
      <w:numFmt w:val="bullet"/>
      <w:lvlText w:val=""/>
      <w:lvlJc w:val="left"/>
      <w:pPr>
        <w:ind w:left="6971" w:hanging="360"/>
      </w:pPr>
      <w:rPr>
        <w:rFonts w:ascii="Wingdings" w:hAnsi="Wingdings" w:hint="default"/>
      </w:rPr>
    </w:lvl>
  </w:abstractNum>
  <w:abstractNum w:abstractNumId="8" w15:restartNumberingAfterBreak="0">
    <w:nsid w:val="0E835B39"/>
    <w:multiLevelType w:val="hybridMultilevel"/>
    <w:tmpl w:val="E5544F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2EF1C69"/>
    <w:multiLevelType w:val="hybridMultilevel"/>
    <w:tmpl w:val="3E04925E"/>
    <w:lvl w:ilvl="0" w:tplc="6E727148">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14A5398C"/>
    <w:multiLevelType w:val="hybridMultilevel"/>
    <w:tmpl w:val="A34885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2F46C9"/>
    <w:multiLevelType w:val="hybridMultilevel"/>
    <w:tmpl w:val="7B34E0E8"/>
    <w:lvl w:ilvl="0" w:tplc="6E727148">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164D4D99"/>
    <w:multiLevelType w:val="hybridMultilevel"/>
    <w:tmpl w:val="44422684"/>
    <w:lvl w:ilvl="0" w:tplc="3A2AA7D8">
      <w:numFmt w:val="bullet"/>
      <w:lvlText w:val="-"/>
      <w:lvlJc w:val="left"/>
      <w:pPr>
        <w:ind w:left="720" w:hanging="360"/>
      </w:pPr>
      <w:rPr>
        <w:rFonts w:ascii="Times New Roman" w:eastAsia="Times New Roman" w:hAnsi="Times New Roman" w:cs="Times New Roman" w:hint="default"/>
        <w:w w:val="99"/>
        <w:sz w:val="24"/>
        <w:szCs w:val="24"/>
        <w:lang w:val="en-US" w:eastAsia="en-US" w:bidi="en-US"/>
      </w:rPr>
    </w:lvl>
    <w:lvl w:ilvl="1" w:tplc="3A2AA7D8">
      <w:numFmt w:val="bullet"/>
      <w:lvlText w:val="-"/>
      <w:lvlJc w:val="left"/>
      <w:pPr>
        <w:ind w:left="1440" w:hanging="360"/>
      </w:pPr>
      <w:rPr>
        <w:rFonts w:ascii="Times New Roman" w:eastAsia="Times New Roman" w:hAnsi="Times New Roman" w:cs="Times New Roman" w:hint="default"/>
        <w:w w:val="99"/>
        <w:sz w:val="24"/>
        <w:szCs w:val="24"/>
        <w:lang w:val="en-US" w:eastAsia="en-US" w:bidi="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5F70C2"/>
    <w:multiLevelType w:val="hybridMultilevel"/>
    <w:tmpl w:val="33326D92"/>
    <w:lvl w:ilvl="0" w:tplc="3A2AA7D8">
      <w:numFmt w:val="bullet"/>
      <w:lvlText w:val="-"/>
      <w:lvlJc w:val="left"/>
      <w:pPr>
        <w:ind w:left="1571" w:hanging="360"/>
      </w:pPr>
      <w:rPr>
        <w:rFonts w:ascii="Times New Roman" w:eastAsia="Times New Roman" w:hAnsi="Times New Roman" w:cs="Times New Roman" w:hint="default"/>
        <w:w w:val="99"/>
        <w:sz w:val="24"/>
        <w:szCs w:val="24"/>
        <w:lang w:val="en-US" w:eastAsia="en-US" w:bidi="en-US"/>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1B0834E7"/>
    <w:multiLevelType w:val="hybridMultilevel"/>
    <w:tmpl w:val="8D206BD6"/>
    <w:lvl w:ilvl="0" w:tplc="3A2AA7D8">
      <w:numFmt w:val="bullet"/>
      <w:lvlText w:val="-"/>
      <w:lvlJc w:val="left"/>
      <w:pPr>
        <w:ind w:left="720" w:hanging="360"/>
      </w:pPr>
      <w:rPr>
        <w:rFonts w:ascii="Times New Roman" w:eastAsia="Times New Roman" w:hAnsi="Times New Roman" w:cs="Times New Roman" w:hint="default"/>
        <w:w w:val="99"/>
        <w:sz w:val="24"/>
        <w:szCs w:val="24"/>
        <w:lang w:val="en-US" w:eastAsia="en-US" w:bidi="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3904BA"/>
    <w:multiLevelType w:val="hybridMultilevel"/>
    <w:tmpl w:val="24F0682C"/>
    <w:lvl w:ilvl="0" w:tplc="9C1ED5A2">
      <w:start w:val="1"/>
      <w:numFmt w:val="bullet"/>
      <w:lvlText w:val="-"/>
      <w:lvlJc w:val="left"/>
      <w:pPr>
        <w:ind w:left="1211" w:hanging="360"/>
      </w:pPr>
      <w:rPr>
        <w:rFonts w:ascii="Cambria" w:eastAsiaTheme="minorEastAsia" w:hAnsi="Cambria" w:cstheme="minorBidi" w:hint="default"/>
      </w:rPr>
    </w:lvl>
    <w:lvl w:ilvl="1" w:tplc="241A0003" w:tentative="1">
      <w:start w:val="1"/>
      <w:numFmt w:val="bullet"/>
      <w:lvlText w:val="o"/>
      <w:lvlJc w:val="left"/>
      <w:pPr>
        <w:ind w:left="1931" w:hanging="360"/>
      </w:pPr>
      <w:rPr>
        <w:rFonts w:ascii="Courier New" w:hAnsi="Courier New" w:cs="Courier New" w:hint="default"/>
      </w:rPr>
    </w:lvl>
    <w:lvl w:ilvl="2" w:tplc="241A0005" w:tentative="1">
      <w:start w:val="1"/>
      <w:numFmt w:val="bullet"/>
      <w:lvlText w:val=""/>
      <w:lvlJc w:val="left"/>
      <w:pPr>
        <w:ind w:left="2651" w:hanging="360"/>
      </w:pPr>
      <w:rPr>
        <w:rFonts w:ascii="Wingdings" w:hAnsi="Wingdings" w:hint="default"/>
      </w:rPr>
    </w:lvl>
    <w:lvl w:ilvl="3" w:tplc="241A0001" w:tentative="1">
      <w:start w:val="1"/>
      <w:numFmt w:val="bullet"/>
      <w:lvlText w:val=""/>
      <w:lvlJc w:val="left"/>
      <w:pPr>
        <w:ind w:left="3371" w:hanging="360"/>
      </w:pPr>
      <w:rPr>
        <w:rFonts w:ascii="Symbol" w:hAnsi="Symbol" w:hint="default"/>
      </w:rPr>
    </w:lvl>
    <w:lvl w:ilvl="4" w:tplc="241A0003" w:tentative="1">
      <w:start w:val="1"/>
      <w:numFmt w:val="bullet"/>
      <w:lvlText w:val="o"/>
      <w:lvlJc w:val="left"/>
      <w:pPr>
        <w:ind w:left="4091" w:hanging="360"/>
      </w:pPr>
      <w:rPr>
        <w:rFonts w:ascii="Courier New" w:hAnsi="Courier New" w:cs="Courier New" w:hint="default"/>
      </w:rPr>
    </w:lvl>
    <w:lvl w:ilvl="5" w:tplc="241A0005" w:tentative="1">
      <w:start w:val="1"/>
      <w:numFmt w:val="bullet"/>
      <w:lvlText w:val=""/>
      <w:lvlJc w:val="left"/>
      <w:pPr>
        <w:ind w:left="4811" w:hanging="360"/>
      </w:pPr>
      <w:rPr>
        <w:rFonts w:ascii="Wingdings" w:hAnsi="Wingdings" w:hint="default"/>
      </w:rPr>
    </w:lvl>
    <w:lvl w:ilvl="6" w:tplc="241A0001" w:tentative="1">
      <w:start w:val="1"/>
      <w:numFmt w:val="bullet"/>
      <w:lvlText w:val=""/>
      <w:lvlJc w:val="left"/>
      <w:pPr>
        <w:ind w:left="5531" w:hanging="360"/>
      </w:pPr>
      <w:rPr>
        <w:rFonts w:ascii="Symbol" w:hAnsi="Symbol" w:hint="default"/>
      </w:rPr>
    </w:lvl>
    <w:lvl w:ilvl="7" w:tplc="241A0003" w:tentative="1">
      <w:start w:val="1"/>
      <w:numFmt w:val="bullet"/>
      <w:lvlText w:val="o"/>
      <w:lvlJc w:val="left"/>
      <w:pPr>
        <w:ind w:left="6251" w:hanging="360"/>
      </w:pPr>
      <w:rPr>
        <w:rFonts w:ascii="Courier New" w:hAnsi="Courier New" w:cs="Courier New" w:hint="default"/>
      </w:rPr>
    </w:lvl>
    <w:lvl w:ilvl="8" w:tplc="241A0005" w:tentative="1">
      <w:start w:val="1"/>
      <w:numFmt w:val="bullet"/>
      <w:lvlText w:val=""/>
      <w:lvlJc w:val="left"/>
      <w:pPr>
        <w:ind w:left="6971" w:hanging="360"/>
      </w:pPr>
      <w:rPr>
        <w:rFonts w:ascii="Wingdings" w:hAnsi="Wingdings" w:hint="default"/>
      </w:rPr>
    </w:lvl>
  </w:abstractNum>
  <w:abstractNum w:abstractNumId="16" w15:restartNumberingAfterBreak="0">
    <w:nsid w:val="1BA54FCC"/>
    <w:multiLevelType w:val="hybridMultilevel"/>
    <w:tmpl w:val="F1AE31AE"/>
    <w:lvl w:ilvl="0" w:tplc="3A2AA7D8">
      <w:numFmt w:val="bullet"/>
      <w:lvlText w:val="-"/>
      <w:lvlJc w:val="left"/>
      <w:pPr>
        <w:ind w:left="1571" w:hanging="360"/>
      </w:pPr>
      <w:rPr>
        <w:rFonts w:ascii="Times New Roman" w:eastAsia="Times New Roman" w:hAnsi="Times New Roman" w:cs="Times New Roman" w:hint="default"/>
        <w:w w:val="99"/>
        <w:sz w:val="24"/>
        <w:szCs w:val="24"/>
        <w:lang w:val="en-US" w:eastAsia="en-US" w:bidi="en-US"/>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7" w15:restartNumberingAfterBreak="0">
    <w:nsid w:val="1CAD4CC5"/>
    <w:multiLevelType w:val="hybridMultilevel"/>
    <w:tmpl w:val="700AA9FA"/>
    <w:lvl w:ilvl="0" w:tplc="0632199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15:restartNumberingAfterBreak="0">
    <w:nsid w:val="21EC1884"/>
    <w:multiLevelType w:val="multilevel"/>
    <w:tmpl w:val="2F30A014"/>
    <w:lvl w:ilvl="0">
      <w:start w:val="8"/>
      <w:numFmt w:val="decimal"/>
      <w:pStyle w:val="Normal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3117AA8"/>
    <w:multiLevelType w:val="multilevel"/>
    <w:tmpl w:val="A0C40216"/>
    <w:lvl w:ilvl="0">
      <w:start w:val="3"/>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25712A3D"/>
    <w:multiLevelType w:val="hybridMultilevel"/>
    <w:tmpl w:val="3E6E58DA"/>
    <w:lvl w:ilvl="0" w:tplc="6E727148">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1" w15:restartNumberingAfterBreak="0">
    <w:nsid w:val="25F2630F"/>
    <w:multiLevelType w:val="hybridMultilevel"/>
    <w:tmpl w:val="F5987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60B3B3D"/>
    <w:multiLevelType w:val="hybridMultilevel"/>
    <w:tmpl w:val="BFCECCDC"/>
    <w:lvl w:ilvl="0" w:tplc="A4D632F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1C47C3"/>
    <w:multiLevelType w:val="hybridMultilevel"/>
    <w:tmpl w:val="27B01510"/>
    <w:lvl w:ilvl="0" w:tplc="65062686">
      <w:start w:val="1"/>
      <w:numFmt w:val="decimal"/>
      <w:lvlText w:val="Циљ %1."/>
      <w:lvlJc w:val="left"/>
      <w:pPr>
        <w:ind w:left="1571" w:hanging="360"/>
      </w:pPr>
      <w:rPr>
        <w:rFonts w:hint="default"/>
      </w:rPr>
    </w:lvl>
    <w:lvl w:ilvl="1" w:tplc="65062686">
      <w:start w:val="1"/>
      <w:numFmt w:val="decimal"/>
      <w:lvlText w:val="Циљ %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891C8B"/>
    <w:multiLevelType w:val="hybridMultilevel"/>
    <w:tmpl w:val="EFAC373A"/>
    <w:lvl w:ilvl="0" w:tplc="7FA69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B905CB"/>
    <w:multiLevelType w:val="hybridMultilevel"/>
    <w:tmpl w:val="458431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18036B5"/>
    <w:multiLevelType w:val="multilevel"/>
    <w:tmpl w:val="0D166DB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rPr>
    </w:lvl>
    <w:lvl w:ilvl="2">
      <w:start w:val="1"/>
      <w:numFmt w:val="decimal"/>
      <w:pStyle w:val="Heading3"/>
      <w:lvlText w:val="%1.%2.%3"/>
      <w:lvlJc w:val="left"/>
      <w:pPr>
        <w:ind w:left="720" w:hanging="720"/>
      </w:pPr>
      <w:rPr>
        <w:rFonts w:ascii="Cambria" w:hAnsi="Cambria" w:hint="default"/>
        <w:color w:val="2E74B5" w:themeColor="accent1" w:themeShade="BF"/>
        <w:sz w:val="22"/>
        <w:szCs w:val="22"/>
      </w:rPr>
    </w:lvl>
    <w:lvl w:ilvl="3">
      <w:start w:val="1"/>
      <w:numFmt w:val="decimal"/>
      <w:pStyle w:val="Heading4"/>
      <w:lvlText w:val="%1.%2.%3.%4"/>
      <w:lvlJc w:val="left"/>
      <w:pPr>
        <w:ind w:left="864" w:hanging="864"/>
      </w:pPr>
      <w:rPr>
        <w:rFonts w:ascii="Cambria" w:hAnsi="Cambria" w:hint="default"/>
        <w:i w:val="0"/>
        <w:iCs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15:restartNumberingAfterBreak="0">
    <w:nsid w:val="31844370"/>
    <w:multiLevelType w:val="multilevel"/>
    <w:tmpl w:val="668C717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7B21A3"/>
    <w:multiLevelType w:val="multilevel"/>
    <w:tmpl w:val="668C717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38708AE"/>
    <w:multiLevelType w:val="hybridMultilevel"/>
    <w:tmpl w:val="455A1BE8"/>
    <w:lvl w:ilvl="0" w:tplc="A740C8BA">
      <w:start w:val="1"/>
      <w:numFmt w:val="bullet"/>
      <w:lvlText w:val="-"/>
      <w:lvlJc w:val="left"/>
      <w:pPr>
        <w:ind w:left="1571" w:hanging="360"/>
      </w:pPr>
      <w:rPr>
        <w:rFonts w:ascii="Calibri" w:eastAsiaTheme="minorEastAsia" w:hAnsi="Calibri" w:cs="Calibri"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0" w15:restartNumberingAfterBreak="0">
    <w:nsid w:val="361866EE"/>
    <w:multiLevelType w:val="hybridMultilevel"/>
    <w:tmpl w:val="1D3E5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9E415BB"/>
    <w:multiLevelType w:val="hybridMultilevel"/>
    <w:tmpl w:val="7B90C0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3ACC61A8"/>
    <w:multiLevelType w:val="hybridMultilevel"/>
    <w:tmpl w:val="E9E6C6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D302CAB"/>
    <w:multiLevelType w:val="hybridMultilevel"/>
    <w:tmpl w:val="A8181FC2"/>
    <w:lvl w:ilvl="0" w:tplc="08090011">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1442C0"/>
    <w:multiLevelType w:val="hybridMultilevel"/>
    <w:tmpl w:val="09A6610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FD92FF7"/>
    <w:multiLevelType w:val="multilevel"/>
    <w:tmpl w:val="6CE2A228"/>
    <w:lvl w:ilvl="0">
      <w:start w:val="1"/>
      <w:numFmt w:val="decimal"/>
      <w:lvlText w:val="%1."/>
      <w:lvlJc w:val="left"/>
      <w:pPr>
        <w:ind w:left="360" w:hanging="360"/>
      </w:pPr>
    </w:lvl>
    <w:lvl w:ilvl="1">
      <w:start w:val="1"/>
      <w:numFmt w:val="decimal"/>
      <w:lvlText w:val="%1.%2."/>
      <w:lvlJc w:val="left"/>
      <w:pPr>
        <w:ind w:left="792" w:hanging="432"/>
      </w:pPr>
      <w:rPr>
        <w:rFonts w:ascii="Cambria" w:hAnsi="Cambri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3F6758D"/>
    <w:multiLevelType w:val="hybridMultilevel"/>
    <w:tmpl w:val="D982F46E"/>
    <w:lvl w:ilvl="0" w:tplc="A4D632F8">
      <w:numFmt w:val="bullet"/>
      <w:lvlText w:val="-"/>
      <w:lvlJc w:val="left"/>
      <w:pPr>
        <w:ind w:left="1080" w:hanging="360"/>
      </w:pPr>
      <w:rPr>
        <w:rFonts w:ascii="Cambria" w:eastAsia="Times New Roman" w:hAnsi="Cambri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41234C9"/>
    <w:multiLevelType w:val="hybridMultilevel"/>
    <w:tmpl w:val="CC1E4D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5324BFB"/>
    <w:multiLevelType w:val="multilevel"/>
    <w:tmpl w:val="668C717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65B4FFC"/>
    <w:multiLevelType w:val="hybridMultilevel"/>
    <w:tmpl w:val="306AC7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6D06527"/>
    <w:multiLevelType w:val="hybridMultilevel"/>
    <w:tmpl w:val="CC0A52F6"/>
    <w:lvl w:ilvl="0" w:tplc="A4D632F8">
      <w:numFmt w:val="bullet"/>
      <w:lvlText w:val="-"/>
      <w:lvlJc w:val="left"/>
      <w:pPr>
        <w:ind w:left="1571" w:hanging="360"/>
      </w:pPr>
      <w:rPr>
        <w:rFonts w:ascii="Cambria" w:eastAsia="Times New Roman" w:hAnsi="Cambria" w:cs="Times New Roman"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1" w15:restartNumberingAfterBreak="0">
    <w:nsid w:val="4A0C75AF"/>
    <w:multiLevelType w:val="hybridMultilevel"/>
    <w:tmpl w:val="46F2071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B0C452C"/>
    <w:multiLevelType w:val="hybridMultilevel"/>
    <w:tmpl w:val="8C900B9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FA52809"/>
    <w:multiLevelType w:val="hybridMultilevel"/>
    <w:tmpl w:val="D236D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A63597"/>
    <w:multiLevelType w:val="hybridMultilevel"/>
    <w:tmpl w:val="4C64E71A"/>
    <w:lvl w:ilvl="0" w:tplc="A4D632F8">
      <w:numFmt w:val="bullet"/>
      <w:lvlText w:val="-"/>
      <w:lvlJc w:val="left"/>
      <w:pPr>
        <w:ind w:left="800" w:hanging="360"/>
      </w:pPr>
      <w:rPr>
        <w:rFonts w:ascii="Cambria" w:eastAsia="Times New Roman" w:hAnsi="Cambria" w:cs="Times New Roman"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5" w15:restartNumberingAfterBreak="0">
    <w:nsid w:val="580D40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82F4BD5"/>
    <w:multiLevelType w:val="multilevel"/>
    <w:tmpl w:val="49A47FEA"/>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04C14A7"/>
    <w:multiLevelType w:val="multilevel"/>
    <w:tmpl w:val="38A8FFB6"/>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Cambria" w:hAnsi="Cambria" w:hint="default"/>
        <w:sz w:val="24"/>
        <w:szCs w:val="24"/>
      </w:rPr>
    </w:lvl>
    <w:lvl w:ilvl="2">
      <w:start w:val="1"/>
      <w:numFmt w:val="decimal"/>
      <w:lvlText w:val="%1.%2.%3."/>
      <w:lvlJc w:val="left"/>
      <w:pPr>
        <w:ind w:left="1224" w:hanging="504"/>
      </w:pPr>
      <w:rPr>
        <w:rFonts w:ascii="Cambria" w:hAnsi="Cambria" w:hint="default"/>
        <w:i w:val="0"/>
        <w:iCs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1791B89"/>
    <w:multiLevelType w:val="multilevel"/>
    <w:tmpl w:val="28884D2C"/>
    <w:lvl w:ilvl="0">
      <w:start w:val="6"/>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422239"/>
    <w:multiLevelType w:val="multilevel"/>
    <w:tmpl w:val="668C717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5675F73"/>
    <w:multiLevelType w:val="hybridMultilevel"/>
    <w:tmpl w:val="7F869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6BF74F4"/>
    <w:multiLevelType w:val="multilevel"/>
    <w:tmpl w:val="EB305474"/>
    <w:lvl w:ilvl="0">
      <w:start w:val="1"/>
      <w:numFmt w:val="decimal"/>
      <w:lvlText w:val="%1."/>
      <w:lvlJc w:val="left"/>
      <w:pPr>
        <w:ind w:left="360" w:hanging="360"/>
      </w:pPr>
    </w:lvl>
    <w:lvl w:ilvl="1">
      <w:start w:val="1"/>
      <w:numFmt w:val="decimal"/>
      <w:lvlText w:val="%1.%2."/>
      <w:lvlJc w:val="left"/>
      <w:pPr>
        <w:ind w:left="432" w:hanging="432"/>
      </w:pPr>
      <w:rPr>
        <w:rFonts w:ascii="Cambria" w:hAnsi="Cambria" w:hint="default"/>
        <w:sz w:val="22"/>
        <w:szCs w:val="22"/>
      </w:rPr>
    </w:lvl>
    <w:lvl w:ilvl="2">
      <w:start w:val="1"/>
      <w:numFmt w:val="decimal"/>
      <w:lvlText w:val="%1.%2.%3."/>
      <w:lvlJc w:val="left"/>
      <w:pPr>
        <w:ind w:left="1224" w:hanging="504"/>
      </w:pPr>
      <w:rPr>
        <w:rFonts w:ascii="Cambria" w:hAnsi="Cambria" w:hint="default"/>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850252D"/>
    <w:multiLevelType w:val="hybridMultilevel"/>
    <w:tmpl w:val="3384A1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9D54EDF"/>
    <w:multiLevelType w:val="hybridMultilevel"/>
    <w:tmpl w:val="15469474"/>
    <w:lvl w:ilvl="0" w:tplc="4D7AAFFE">
      <w:start w:val="1"/>
      <w:numFmt w:val="bullet"/>
      <w:lvlText w:val="-"/>
      <w:lvlJc w:val="left"/>
      <w:pPr>
        <w:ind w:left="720" w:hanging="360"/>
      </w:pPr>
      <w:rPr>
        <w:rFonts w:ascii="Times New Roman" w:eastAsia="Times New Roman" w:hAnsi="Times New Roman" w:cs="Times New Roman" w:hint="default"/>
        <w:sz w:val="16"/>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15:restartNumberingAfterBreak="0">
    <w:nsid w:val="6C3450FE"/>
    <w:multiLevelType w:val="hybridMultilevel"/>
    <w:tmpl w:val="77F8FB48"/>
    <w:lvl w:ilvl="0" w:tplc="A4D632F8">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A734CC"/>
    <w:multiLevelType w:val="hybridMultilevel"/>
    <w:tmpl w:val="35A66F36"/>
    <w:lvl w:ilvl="0" w:tplc="B24EC7CA">
      <w:numFmt w:val="bullet"/>
      <w:lvlText w:val="-"/>
      <w:lvlJc w:val="left"/>
      <w:pPr>
        <w:ind w:left="1080" w:hanging="360"/>
      </w:pPr>
      <w:rPr>
        <w:rFonts w:ascii="Cambria" w:eastAsiaTheme="minorEastAsia" w:hAnsi="Cambria"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6" w15:restartNumberingAfterBreak="0">
    <w:nsid w:val="72B968A6"/>
    <w:multiLevelType w:val="hybridMultilevel"/>
    <w:tmpl w:val="DBF49F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4A22E60"/>
    <w:multiLevelType w:val="hybridMultilevel"/>
    <w:tmpl w:val="C3BE0D08"/>
    <w:lvl w:ilvl="0" w:tplc="A4D632F8">
      <w:numFmt w:val="bullet"/>
      <w:lvlText w:val="-"/>
      <w:lvlJc w:val="left"/>
      <w:pPr>
        <w:ind w:left="800" w:hanging="360"/>
      </w:pPr>
      <w:rPr>
        <w:rFonts w:ascii="Cambria" w:eastAsia="Times New Roman" w:hAnsi="Cambria" w:cs="Times New Roman"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58" w15:restartNumberingAfterBreak="0">
    <w:nsid w:val="755F7D66"/>
    <w:multiLevelType w:val="hybridMultilevel"/>
    <w:tmpl w:val="5CEAF476"/>
    <w:lvl w:ilvl="0" w:tplc="031A6586">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7D912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E4272A3"/>
    <w:multiLevelType w:val="hybridMultilevel"/>
    <w:tmpl w:val="A8704264"/>
    <w:lvl w:ilvl="0" w:tplc="ED7EA2BC">
      <w:start w:val="1"/>
      <w:numFmt w:val="bullet"/>
      <w:lvlText w:val="-"/>
      <w:lvlJc w:val="left"/>
      <w:pPr>
        <w:ind w:left="1211" w:hanging="360"/>
      </w:pPr>
      <w:rPr>
        <w:rFonts w:ascii="Cambria" w:eastAsiaTheme="minorEastAsia" w:hAnsi="Cambria" w:cstheme="minorBidi" w:hint="default"/>
      </w:rPr>
    </w:lvl>
    <w:lvl w:ilvl="1" w:tplc="241A0003" w:tentative="1">
      <w:start w:val="1"/>
      <w:numFmt w:val="bullet"/>
      <w:lvlText w:val="o"/>
      <w:lvlJc w:val="left"/>
      <w:pPr>
        <w:ind w:left="1931" w:hanging="360"/>
      </w:pPr>
      <w:rPr>
        <w:rFonts w:ascii="Courier New" w:hAnsi="Courier New" w:cs="Courier New" w:hint="default"/>
      </w:rPr>
    </w:lvl>
    <w:lvl w:ilvl="2" w:tplc="241A0005" w:tentative="1">
      <w:start w:val="1"/>
      <w:numFmt w:val="bullet"/>
      <w:lvlText w:val=""/>
      <w:lvlJc w:val="left"/>
      <w:pPr>
        <w:ind w:left="2651" w:hanging="360"/>
      </w:pPr>
      <w:rPr>
        <w:rFonts w:ascii="Wingdings" w:hAnsi="Wingdings" w:hint="default"/>
      </w:rPr>
    </w:lvl>
    <w:lvl w:ilvl="3" w:tplc="241A0001" w:tentative="1">
      <w:start w:val="1"/>
      <w:numFmt w:val="bullet"/>
      <w:lvlText w:val=""/>
      <w:lvlJc w:val="left"/>
      <w:pPr>
        <w:ind w:left="3371" w:hanging="360"/>
      </w:pPr>
      <w:rPr>
        <w:rFonts w:ascii="Symbol" w:hAnsi="Symbol" w:hint="default"/>
      </w:rPr>
    </w:lvl>
    <w:lvl w:ilvl="4" w:tplc="241A0003" w:tentative="1">
      <w:start w:val="1"/>
      <w:numFmt w:val="bullet"/>
      <w:lvlText w:val="o"/>
      <w:lvlJc w:val="left"/>
      <w:pPr>
        <w:ind w:left="4091" w:hanging="360"/>
      </w:pPr>
      <w:rPr>
        <w:rFonts w:ascii="Courier New" w:hAnsi="Courier New" w:cs="Courier New" w:hint="default"/>
      </w:rPr>
    </w:lvl>
    <w:lvl w:ilvl="5" w:tplc="241A0005" w:tentative="1">
      <w:start w:val="1"/>
      <w:numFmt w:val="bullet"/>
      <w:lvlText w:val=""/>
      <w:lvlJc w:val="left"/>
      <w:pPr>
        <w:ind w:left="4811" w:hanging="360"/>
      </w:pPr>
      <w:rPr>
        <w:rFonts w:ascii="Wingdings" w:hAnsi="Wingdings" w:hint="default"/>
      </w:rPr>
    </w:lvl>
    <w:lvl w:ilvl="6" w:tplc="241A0001" w:tentative="1">
      <w:start w:val="1"/>
      <w:numFmt w:val="bullet"/>
      <w:lvlText w:val=""/>
      <w:lvlJc w:val="left"/>
      <w:pPr>
        <w:ind w:left="5531" w:hanging="360"/>
      </w:pPr>
      <w:rPr>
        <w:rFonts w:ascii="Symbol" w:hAnsi="Symbol" w:hint="default"/>
      </w:rPr>
    </w:lvl>
    <w:lvl w:ilvl="7" w:tplc="241A0003" w:tentative="1">
      <w:start w:val="1"/>
      <w:numFmt w:val="bullet"/>
      <w:lvlText w:val="o"/>
      <w:lvlJc w:val="left"/>
      <w:pPr>
        <w:ind w:left="6251" w:hanging="360"/>
      </w:pPr>
      <w:rPr>
        <w:rFonts w:ascii="Courier New" w:hAnsi="Courier New" w:cs="Courier New" w:hint="default"/>
      </w:rPr>
    </w:lvl>
    <w:lvl w:ilvl="8" w:tplc="241A0005" w:tentative="1">
      <w:start w:val="1"/>
      <w:numFmt w:val="bullet"/>
      <w:lvlText w:val=""/>
      <w:lvlJc w:val="left"/>
      <w:pPr>
        <w:ind w:left="6971" w:hanging="360"/>
      </w:pPr>
      <w:rPr>
        <w:rFonts w:ascii="Wingdings" w:hAnsi="Wingdings" w:hint="default"/>
      </w:rPr>
    </w:lvl>
  </w:abstractNum>
  <w:num w:numId="1">
    <w:abstractNumId w:val="35"/>
  </w:num>
  <w:num w:numId="2">
    <w:abstractNumId w:val="47"/>
  </w:num>
  <w:num w:numId="3">
    <w:abstractNumId w:val="4"/>
  </w:num>
  <w:num w:numId="4">
    <w:abstractNumId w:val="18"/>
  </w:num>
  <w:num w:numId="5">
    <w:abstractNumId w:val="14"/>
  </w:num>
  <w:num w:numId="6">
    <w:abstractNumId w:val="16"/>
  </w:num>
  <w:num w:numId="7">
    <w:abstractNumId w:val="37"/>
  </w:num>
  <w:num w:numId="8">
    <w:abstractNumId w:val="10"/>
  </w:num>
  <w:num w:numId="9">
    <w:abstractNumId w:val="25"/>
  </w:num>
  <w:num w:numId="10">
    <w:abstractNumId w:val="33"/>
  </w:num>
  <w:num w:numId="11">
    <w:abstractNumId w:val="48"/>
  </w:num>
  <w:num w:numId="12">
    <w:abstractNumId w:val="23"/>
  </w:num>
  <w:num w:numId="13">
    <w:abstractNumId w:val="24"/>
  </w:num>
  <w:num w:numId="14">
    <w:abstractNumId w:val="13"/>
  </w:num>
  <w:num w:numId="15">
    <w:abstractNumId w:val="32"/>
  </w:num>
  <w:num w:numId="16">
    <w:abstractNumId w:val="52"/>
  </w:num>
  <w:num w:numId="17">
    <w:abstractNumId w:val="5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1"/>
  </w:num>
  <w:num w:numId="21">
    <w:abstractNumId w:val="17"/>
  </w:num>
  <w:num w:numId="22">
    <w:abstractNumId w:val="12"/>
  </w:num>
  <w:num w:numId="23">
    <w:abstractNumId w:val="0"/>
  </w:num>
  <w:num w:numId="24">
    <w:abstractNumId w:val="22"/>
  </w:num>
  <w:num w:numId="25">
    <w:abstractNumId w:val="43"/>
  </w:num>
  <w:num w:numId="26">
    <w:abstractNumId w:val="40"/>
  </w:num>
  <w:num w:numId="27">
    <w:abstractNumId w:val="36"/>
  </w:num>
  <w:num w:numId="28">
    <w:abstractNumId w:val="54"/>
  </w:num>
  <w:num w:numId="29">
    <w:abstractNumId w:val="6"/>
  </w:num>
  <w:num w:numId="30">
    <w:abstractNumId w:val="29"/>
  </w:num>
  <w:num w:numId="31">
    <w:abstractNumId w:val="39"/>
  </w:num>
  <w:num w:numId="32">
    <w:abstractNumId w:val="44"/>
  </w:num>
  <w:num w:numId="33">
    <w:abstractNumId w:val="2"/>
  </w:num>
  <w:num w:numId="34">
    <w:abstractNumId w:val="8"/>
  </w:num>
  <w:num w:numId="35">
    <w:abstractNumId w:val="56"/>
  </w:num>
  <w:num w:numId="36">
    <w:abstractNumId w:val="57"/>
  </w:num>
  <w:num w:numId="37">
    <w:abstractNumId w:val="42"/>
  </w:num>
  <w:num w:numId="38">
    <w:abstractNumId w:val="34"/>
  </w:num>
  <w:num w:numId="39">
    <w:abstractNumId w:val="41"/>
  </w:num>
  <w:num w:numId="40">
    <w:abstractNumId w:val="3"/>
  </w:num>
  <w:num w:numId="41">
    <w:abstractNumId w:val="1"/>
  </w:num>
  <w:num w:numId="42">
    <w:abstractNumId w:val="9"/>
  </w:num>
  <w:num w:numId="43">
    <w:abstractNumId w:val="50"/>
  </w:num>
  <w:num w:numId="44">
    <w:abstractNumId w:val="53"/>
  </w:num>
  <w:num w:numId="45">
    <w:abstractNumId w:val="30"/>
  </w:num>
  <w:num w:numId="46">
    <w:abstractNumId w:val="21"/>
  </w:num>
  <w:num w:numId="47">
    <w:abstractNumId w:val="5"/>
  </w:num>
  <w:num w:numId="48">
    <w:abstractNumId w:val="19"/>
  </w:num>
  <w:num w:numId="49">
    <w:abstractNumId w:val="60"/>
  </w:num>
  <w:num w:numId="50">
    <w:abstractNumId w:val="15"/>
  </w:num>
  <w:num w:numId="51">
    <w:abstractNumId w:val="7"/>
  </w:num>
  <w:num w:numId="52">
    <w:abstractNumId w:val="55"/>
  </w:num>
  <w:num w:numId="53">
    <w:abstractNumId w:val="38"/>
  </w:num>
  <w:num w:numId="54">
    <w:abstractNumId w:val="46"/>
  </w:num>
  <w:num w:numId="55">
    <w:abstractNumId w:val="28"/>
  </w:num>
  <w:num w:numId="56">
    <w:abstractNumId w:val="51"/>
  </w:num>
  <w:num w:numId="57">
    <w:abstractNumId w:val="59"/>
  </w:num>
  <w:num w:numId="58">
    <w:abstractNumId w:val="26"/>
  </w:num>
  <w:num w:numId="59">
    <w:abstractNumId w:val="26"/>
  </w:num>
  <w:num w:numId="60">
    <w:abstractNumId w:val="26"/>
  </w:num>
  <w:num w:numId="61">
    <w:abstractNumId w:val="45"/>
  </w:num>
  <w:num w:numId="62">
    <w:abstractNumId w:val="27"/>
  </w:num>
  <w:num w:numId="63">
    <w:abstractNumId w:val="49"/>
  </w:num>
  <w:num w:numId="64">
    <w:abstractNumId w:val="26"/>
  </w:num>
  <w:num w:numId="65">
    <w:abstractNumId w:val="26"/>
  </w:num>
  <w:num w:numId="66">
    <w:abstractNumId w:val="26"/>
  </w:num>
  <w:num w:numId="67">
    <w:abstractNumId w:val="26"/>
  </w:num>
  <w:num w:numId="68">
    <w:abstractNumId w:val="26"/>
  </w:num>
  <w:num w:numId="69">
    <w:abstractNumId w:val="26"/>
  </w:num>
  <w:num w:numId="70">
    <w:abstractNumId w:val="26"/>
  </w:num>
  <w:num w:numId="71">
    <w:abstractNumId w:val="26"/>
  </w:num>
  <w:num w:numId="72">
    <w:abstractNumId w:val="26"/>
  </w:num>
  <w:num w:numId="73">
    <w:abstractNumId w:val="26"/>
  </w:num>
  <w:num w:numId="74">
    <w:abstractNumId w:val="26"/>
  </w:num>
  <w:num w:numId="75">
    <w:abstractNumId w:val="26"/>
  </w:num>
  <w:num w:numId="76">
    <w:abstractNumId w:val="26"/>
  </w:num>
  <w:num w:numId="77">
    <w:abstractNumId w:val="26"/>
  </w:num>
  <w:num w:numId="78">
    <w:abstractNumId w:val="26"/>
  </w:num>
  <w:num w:numId="79">
    <w:abstractNumId w:val="26"/>
  </w:num>
  <w:num w:numId="80">
    <w:abstractNumId w:val="26"/>
  </w:num>
  <w:num w:numId="81">
    <w:abstractNumId w:val="26"/>
  </w:num>
  <w:num w:numId="82">
    <w:abstractNumId w:val="26"/>
  </w:num>
  <w:num w:numId="83">
    <w:abstractNumId w:val="26"/>
  </w:num>
  <w:num w:numId="84">
    <w:abstractNumId w:val="26"/>
  </w:num>
  <w:num w:numId="85">
    <w:abstractNumId w:val="26"/>
  </w:num>
  <w:num w:numId="86">
    <w:abstractNumId w:val="26"/>
  </w:num>
  <w:num w:numId="87">
    <w:abstractNumId w:val="26"/>
  </w:num>
  <w:num w:numId="88">
    <w:abstractNumId w:val="26"/>
  </w:num>
  <w:num w:numId="89">
    <w:abstractNumId w:val="26"/>
  </w:num>
  <w:num w:numId="90">
    <w:abstractNumId w:val="26"/>
  </w:num>
  <w:num w:numId="91">
    <w:abstractNumId w:val="26"/>
  </w:num>
  <w:num w:numId="92">
    <w:abstractNumId w:val="26"/>
  </w:num>
  <w:num w:numId="93">
    <w:abstractNumId w:val="26"/>
  </w:num>
  <w:num w:numId="94">
    <w:abstractNumId w:val="26"/>
  </w:num>
  <w:num w:numId="95">
    <w:abstractNumId w:val="26"/>
  </w:num>
  <w:num w:numId="96">
    <w:abstractNumId w:val="26"/>
  </w:num>
  <w:num w:numId="97">
    <w:abstractNumId w:val="26"/>
  </w:num>
  <w:num w:numId="98">
    <w:abstractNumId w:val="26"/>
  </w:num>
  <w:num w:numId="99">
    <w:abstractNumId w:val="26"/>
  </w:num>
  <w:num w:numId="100">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96"/>
    <w:rsid w:val="00000E52"/>
    <w:rsid w:val="00001194"/>
    <w:rsid w:val="00001F30"/>
    <w:rsid w:val="00002E59"/>
    <w:rsid w:val="00003379"/>
    <w:rsid w:val="00003AFF"/>
    <w:rsid w:val="00004EB0"/>
    <w:rsid w:val="000061FD"/>
    <w:rsid w:val="00006335"/>
    <w:rsid w:val="00006E81"/>
    <w:rsid w:val="00007821"/>
    <w:rsid w:val="00007DAB"/>
    <w:rsid w:val="000100ED"/>
    <w:rsid w:val="00010FC6"/>
    <w:rsid w:val="00011195"/>
    <w:rsid w:val="0001172C"/>
    <w:rsid w:val="00011734"/>
    <w:rsid w:val="00011AAA"/>
    <w:rsid w:val="00012CE3"/>
    <w:rsid w:val="00012E59"/>
    <w:rsid w:val="00012EFC"/>
    <w:rsid w:val="00012F4D"/>
    <w:rsid w:val="00013148"/>
    <w:rsid w:val="000133CC"/>
    <w:rsid w:val="000136D1"/>
    <w:rsid w:val="00014F0D"/>
    <w:rsid w:val="00015652"/>
    <w:rsid w:val="00015AD5"/>
    <w:rsid w:val="00015CDB"/>
    <w:rsid w:val="000160EE"/>
    <w:rsid w:val="000162A4"/>
    <w:rsid w:val="00016662"/>
    <w:rsid w:val="00016E91"/>
    <w:rsid w:val="0001701B"/>
    <w:rsid w:val="0002056D"/>
    <w:rsid w:val="00020E47"/>
    <w:rsid w:val="00021410"/>
    <w:rsid w:val="00022088"/>
    <w:rsid w:val="000224F8"/>
    <w:rsid w:val="00022D9C"/>
    <w:rsid w:val="000230C1"/>
    <w:rsid w:val="000239A3"/>
    <w:rsid w:val="00023E36"/>
    <w:rsid w:val="00025097"/>
    <w:rsid w:val="000252EC"/>
    <w:rsid w:val="00025AB7"/>
    <w:rsid w:val="0002747D"/>
    <w:rsid w:val="0003075A"/>
    <w:rsid w:val="00031251"/>
    <w:rsid w:val="00031A70"/>
    <w:rsid w:val="00031DD9"/>
    <w:rsid w:val="000324B9"/>
    <w:rsid w:val="00032EA9"/>
    <w:rsid w:val="00033428"/>
    <w:rsid w:val="00034049"/>
    <w:rsid w:val="0003460E"/>
    <w:rsid w:val="00034868"/>
    <w:rsid w:val="00036018"/>
    <w:rsid w:val="0003610B"/>
    <w:rsid w:val="000367CB"/>
    <w:rsid w:val="000377D2"/>
    <w:rsid w:val="00037DBC"/>
    <w:rsid w:val="000400C5"/>
    <w:rsid w:val="00040137"/>
    <w:rsid w:val="0004051D"/>
    <w:rsid w:val="000420D8"/>
    <w:rsid w:val="000426D7"/>
    <w:rsid w:val="00042C08"/>
    <w:rsid w:val="000431C2"/>
    <w:rsid w:val="000431E7"/>
    <w:rsid w:val="000437E1"/>
    <w:rsid w:val="00043A8C"/>
    <w:rsid w:val="000443C8"/>
    <w:rsid w:val="000453AC"/>
    <w:rsid w:val="00045CDF"/>
    <w:rsid w:val="00046D94"/>
    <w:rsid w:val="0005071B"/>
    <w:rsid w:val="00050D29"/>
    <w:rsid w:val="000518C6"/>
    <w:rsid w:val="00051ABC"/>
    <w:rsid w:val="000541A1"/>
    <w:rsid w:val="00054AB1"/>
    <w:rsid w:val="00054C96"/>
    <w:rsid w:val="0005637C"/>
    <w:rsid w:val="0006082F"/>
    <w:rsid w:val="00061021"/>
    <w:rsid w:val="00061EC2"/>
    <w:rsid w:val="0006232B"/>
    <w:rsid w:val="00064636"/>
    <w:rsid w:val="00065609"/>
    <w:rsid w:val="00065684"/>
    <w:rsid w:val="00065B7A"/>
    <w:rsid w:val="00065E77"/>
    <w:rsid w:val="00070093"/>
    <w:rsid w:val="000702A5"/>
    <w:rsid w:val="000715B1"/>
    <w:rsid w:val="00071E9F"/>
    <w:rsid w:val="00072E68"/>
    <w:rsid w:val="00073E60"/>
    <w:rsid w:val="00074336"/>
    <w:rsid w:val="00074DD3"/>
    <w:rsid w:val="00076013"/>
    <w:rsid w:val="000765C3"/>
    <w:rsid w:val="000767B2"/>
    <w:rsid w:val="000768DB"/>
    <w:rsid w:val="00080375"/>
    <w:rsid w:val="00080519"/>
    <w:rsid w:val="000805D1"/>
    <w:rsid w:val="00080665"/>
    <w:rsid w:val="00080FBD"/>
    <w:rsid w:val="000814DC"/>
    <w:rsid w:val="00082255"/>
    <w:rsid w:val="00082CE0"/>
    <w:rsid w:val="00082EB7"/>
    <w:rsid w:val="00082F4B"/>
    <w:rsid w:val="00083959"/>
    <w:rsid w:val="00084908"/>
    <w:rsid w:val="0008506F"/>
    <w:rsid w:val="0008558B"/>
    <w:rsid w:val="0008596E"/>
    <w:rsid w:val="00085EC0"/>
    <w:rsid w:val="000868FA"/>
    <w:rsid w:val="00086ABD"/>
    <w:rsid w:val="00086B86"/>
    <w:rsid w:val="000877D3"/>
    <w:rsid w:val="00090582"/>
    <w:rsid w:val="000905DB"/>
    <w:rsid w:val="00090F74"/>
    <w:rsid w:val="00091BB7"/>
    <w:rsid w:val="00092225"/>
    <w:rsid w:val="00094690"/>
    <w:rsid w:val="000947B8"/>
    <w:rsid w:val="00094830"/>
    <w:rsid w:val="00094F77"/>
    <w:rsid w:val="000955BE"/>
    <w:rsid w:val="00095DF4"/>
    <w:rsid w:val="00096386"/>
    <w:rsid w:val="0009646A"/>
    <w:rsid w:val="000964A5"/>
    <w:rsid w:val="000965FC"/>
    <w:rsid w:val="00096B31"/>
    <w:rsid w:val="00096F5E"/>
    <w:rsid w:val="00097446"/>
    <w:rsid w:val="00097D06"/>
    <w:rsid w:val="000A12BF"/>
    <w:rsid w:val="000A23DE"/>
    <w:rsid w:val="000A24D0"/>
    <w:rsid w:val="000A250B"/>
    <w:rsid w:val="000A2CD8"/>
    <w:rsid w:val="000A2F4F"/>
    <w:rsid w:val="000A30F3"/>
    <w:rsid w:val="000A3B57"/>
    <w:rsid w:val="000A502C"/>
    <w:rsid w:val="000B0089"/>
    <w:rsid w:val="000B05FA"/>
    <w:rsid w:val="000B0D74"/>
    <w:rsid w:val="000B113F"/>
    <w:rsid w:val="000B22C0"/>
    <w:rsid w:val="000B27CE"/>
    <w:rsid w:val="000B2A7A"/>
    <w:rsid w:val="000B2EC7"/>
    <w:rsid w:val="000B3EE4"/>
    <w:rsid w:val="000B4F5D"/>
    <w:rsid w:val="000B5E39"/>
    <w:rsid w:val="000B6824"/>
    <w:rsid w:val="000B6994"/>
    <w:rsid w:val="000B7478"/>
    <w:rsid w:val="000B74A3"/>
    <w:rsid w:val="000B74A9"/>
    <w:rsid w:val="000B7B5D"/>
    <w:rsid w:val="000C16DE"/>
    <w:rsid w:val="000C19E7"/>
    <w:rsid w:val="000C27D1"/>
    <w:rsid w:val="000C2AED"/>
    <w:rsid w:val="000C2B96"/>
    <w:rsid w:val="000C2D29"/>
    <w:rsid w:val="000C2DFC"/>
    <w:rsid w:val="000C34DD"/>
    <w:rsid w:val="000C3BC4"/>
    <w:rsid w:val="000C3EC9"/>
    <w:rsid w:val="000C44C2"/>
    <w:rsid w:val="000C45AD"/>
    <w:rsid w:val="000C4D20"/>
    <w:rsid w:val="000C6839"/>
    <w:rsid w:val="000C7D1F"/>
    <w:rsid w:val="000C7F1E"/>
    <w:rsid w:val="000D0113"/>
    <w:rsid w:val="000D0DDA"/>
    <w:rsid w:val="000D12F0"/>
    <w:rsid w:val="000D25C0"/>
    <w:rsid w:val="000D2864"/>
    <w:rsid w:val="000D2D72"/>
    <w:rsid w:val="000D2E79"/>
    <w:rsid w:val="000D3DDF"/>
    <w:rsid w:val="000D4B22"/>
    <w:rsid w:val="000D508E"/>
    <w:rsid w:val="000D55ED"/>
    <w:rsid w:val="000D6512"/>
    <w:rsid w:val="000D6548"/>
    <w:rsid w:val="000D6607"/>
    <w:rsid w:val="000D7710"/>
    <w:rsid w:val="000E0352"/>
    <w:rsid w:val="000E0847"/>
    <w:rsid w:val="000E10D3"/>
    <w:rsid w:val="000E1A03"/>
    <w:rsid w:val="000E1D38"/>
    <w:rsid w:val="000E1D4D"/>
    <w:rsid w:val="000E35D7"/>
    <w:rsid w:val="000E3C03"/>
    <w:rsid w:val="000E4519"/>
    <w:rsid w:val="000E54ED"/>
    <w:rsid w:val="000E5C8C"/>
    <w:rsid w:val="000E5EBE"/>
    <w:rsid w:val="000E6736"/>
    <w:rsid w:val="000E6D1D"/>
    <w:rsid w:val="000E7007"/>
    <w:rsid w:val="000E7CD8"/>
    <w:rsid w:val="000F0AB9"/>
    <w:rsid w:val="000F0F2A"/>
    <w:rsid w:val="000F20ED"/>
    <w:rsid w:val="000F2AC9"/>
    <w:rsid w:val="000F2B5B"/>
    <w:rsid w:val="000F2CA8"/>
    <w:rsid w:val="000F2DB1"/>
    <w:rsid w:val="000F3A03"/>
    <w:rsid w:val="000F3BC4"/>
    <w:rsid w:val="000F4825"/>
    <w:rsid w:val="00100876"/>
    <w:rsid w:val="00100DD6"/>
    <w:rsid w:val="0010198C"/>
    <w:rsid w:val="00103D92"/>
    <w:rsid w:val="00104498"/>
    <w:rsid w:val="00106BD6"/>
    <w:rsid w:val="00106EF5"/>
    <w:rsid w:val="00107ACB"/>
    <w:rsid w:val="00107CC8"/>
    <w:rsid w:val="00110097"/>
    <w:rsid w:val="00112A1B"/>
    <w:rsid w:val="00112ACF"/>
    <w:rsid w:val="00112EC1"/>
    <w:rsid w:val="00113A8F"/>
    <w:rsid w:val="00114719"/>
    <w:rsid w:val="00114F7D"/>
    <w:rsid w:val="00115597"/>
    <w:rsid w:val="00115BC5"/>
    <w:rsid w:val="00115D3C"/>
    <w:rsid w:val="0011626C"/>
    <w:rsid w:val="001166F2"/>
    <w:rsid w:val="001167D2"/>
    <w:rsid w:val="001174AC"/>
    <w:rsid w:val="00117A36"/>
    <w:rsid w:val="00117B77"/>
    <w:rsid w:val="00121F6C"/>
    <w:rsid w:val="0012281A"/>
    <w:rsid w:val="00123A75"/>
    <w:rsid w:val="00124FA3"/>
    <w:rsid w:val="00125456"/>
    <w:rsid w:val="0012586F"/>
    <w:rsid w:val="0012599E"/>
    <w:rsid w:val="00125F0E"/>
    <w:rsid w:val="00126C08"/>
    <w:rsid w:val="00130CD3"/>
    <w:rsid w:val="001311F0"/>
    <w:rsid w:val="001313E0"/>
    <w:rsid w:val="00131706"/>
    <w:rsid w:val="0013182F"/>
    <w:rsid w:val="00133659"/>
    <w:rsid w:val="00133D62"/>
    <w:rsid w:val="00134505"/>
    <w:rsid w:val="0013479A"/>
    <w:rsid w:val="00135628"/>
    <w:rsid w:val="001366CA"/>
    <w:rsid w:val="00136B8C"/>
    <w:rsid w:val="00136CD0"/>
    <w:rsid w:val="00137A89"/>
    <w:rsid w:val="00137F85"/>
    <w:rsid w:val="001406A6"/>
    <w:rsid w:val="001406C4"/>
    <w:rsid w:val="00140A5D"/>
    <w:rsid w:val="00140B55"/>
    <w:rsid w:val="0014126F"/>
    <w:rsid w:val="00141978"/>
    <w:rsid w:val="00141D9D"/>
    <w:rsid w:val="0014287E"/>
    <w:rsid w:val="00142C88"/>
    <w:rsid w:val="00142EC9"/>
    <w:rsid w:val="00143190"/>
    <w:rsid w:val="00143D86"/>
    <w:rsid w:val="001446EC"/>
    <w:rsid w:val="00145C0F"/>
    <w:rsid w:val="00146CA5"/>
    <w:rsid w:val="00146F0B"/>
    <w:rsid w:val="00150291"/>
    <w:rsid w:val="001506C7"/>
    <w:rsid w:val="00150B67"/>
    <w:rsid w:val="00150F5E"/>
    <w:rsid w:val="001516DC"/>
    <w:rsid w:val="00151A4B"/>
    <w:rsid w:val="0015314C"/>
    <w:rsid w:val="00153285"/>
    <w:rsid w:val="001533D4"/>
    <w:rsid w:val="00153514"/>
    <w:rsid w:val="00153CDE"/>
    <w:rsid w:val="00154352"/>
    <w:rsid w:val="00154373"/>
    <w:rsid w:val="0015462E"/>
    <w:rsid w:val="001554E4"/>
    <w:rsid w:val="0015554A"/>
    <w:rsid w:val="00155B93"/>
    <w:rsid w:val="0015671C"/>
    <w:rsid w:val="00157C79"/>
    <w:rsid w:val="00160EBD"/>
    <w:rsid w:val="00162030"/>
    <w:rsid w:val="001626AA"/>
    <w:rsid w:val="00164DA2"/>
    <w:rsid w:val="00165D8B"/>
    <w:rsid w:val="00166D02"/>
    <w:rsid w:val="00166F0D"/>
    <w:rsid w:val="0016798A"/>
    <w:rsid w:val="00167B64"/>
    <w:rsid w:val="00172051"/>
    <w:rsid w:val="0017380D"/>
    <w:rsid w:val="001738A5"/>
    <w:rsid w:val="00173A47"/>
    <w:rsid w:val="0017453F"/>
    <w:rsid w:val="00175006"/>
    <w:rsid w:val="0017506E"/>
    <w:rsid w:val="00175500"/>
    <w:rsid w:val="0017554E"/>
    <w:rsid w:val="00175825"/>
    <w:rsid w:val="00175FF1"/>
    <w:rsid w:val="0017785D"/>
    <w:rsid w:val="001778DE"/>
    <w:rsid w:val="00182CB1"/>
    <w:rsid w:val="00182CF8"/>
    <w:rsid w:val="00182DEF"/>
    <w:rsid w:val="00182F91"/>
    <w:rsid w:val="001838B4"/>
    <w:rsid w:val="00183B4C"/>
    <w:rsid w:val="00183B55"/>
    <w:rsid w:val="001843EB"/>
    <w:rsid w:val="00184630"/>
    <w:rsid w:val="00184CE5"/>
    <w:rsid w:val="00186312"/>
    <w:rsid w:val="00186CED"/>
    <w:rsid w:val="00186E8B"/>
    <w:rsid w:val="00187368"/>
    <w:rsid w:val="001877D3"/>
    <w:rsid w:val="0019030E"/>
    <w:rsid w:val="00191E8A"/>
    <w:rsid w:val="00193137"/>
    <w:rsid w:val="0019315B"/>
    <w:rsid w:val="00193C2A"/>
    <w:rsid w:val="001941B1"/>
    <w:rsid w:val="0019672A"/>
    <w:rsid w:val="00196DE9"/>
    <w:rsid w:val="00197361"/>
    <w:rsid w:val="001A080F"/>
    <w:rsid w:val="001A234B"/>
    <w:rsid w:val="001A23D0"/>
    <w:rsid w:val="001A24C9"/>
    <w:rsid w:val="001A2B74"/>
    <w:rsid w:val="001A2DE1"/>
    <w:rsid w:val="001A2EA3"/>
    <w:rsid w:val="001A3776"/>
    <w:rsid w:val="001A4A2E"/>
    <w:rsid w:val="001A4C67"/>
    <w:rsid w:val="001A54CE"/>
    <w:rsid w:val="001A5D04"/>
    <w:rsid w:val="001A6A2B"/>
    <w:rsid w:val="001A6BF8"/>
    <w:rsid w:val="001A6D3C"/>
    <w:rsid w:val="001A6DEC"/>
    <w:rsid w:val="001A790F"/>
    <w:rsid w:val="001B0129"/>
    <w:rsid w:val="001B06AF"/>
    <w:rsid w:val="001B109E"/>
    <w:rsid w:val="001B1303"/>
    <w:rsid w:val="001B180E"/>
    <w:rsid w:val="001B2B1F"/>
    <w:rsid w:val="001B42A0"/>
    <w:rsid w:val="001B5B88"/>
    <w:rsid w:val="001B664A"/>
    <w:rsid w:val="001B6F00"/>
    <w:rsid w:val="001B759B"/>
    <w:rsid w:val="001B7AD6"/>
    <w:rsid w:val="001C016F"/>
    <w:rsid w:val="001C06CE"/>
    <w:rsid w:val="001C0C88"/>
    <w:rsid w:val="001C0EEC"/>
    <w:rsid w:val="001C1244"/>
    <w:rsid w:val="001C1EAD"/>
    <w:rsid w:val="001C2490"/>
    <w:rsid w:val="001C25F3"/>
    <w:rsid w:val="001C27F5"/>
    <w:rsid w:val="001C2FF4"/>
    <w:rsid w:val="001C39E8"/>
    <w:rsid w:val="001C4913"/>
    <w:rsid w:val="001C4A8C"/>
    <w:rsid w:val="001C4ABE"/>
    <w:rsid w:val="001C4DF8"/>
    <w:rsid w:val="001C5FEA"/>
    <w:rsid w:val="001C7360"/>
    <w:rsid w:val="001C781A"/>
    <w:rsid w:val="001C7B8B"/>
    <w:rsid w:val="001C7FE2"/>
    <w:rsid w:val="001D0223"/>
    <w:rsid w:val="001D035F"/>
    <w:rsid w:val="001D0924"/>
    <w:rsid w:val="001D11A5"/>
    <w:rsid w:val="001D224D"/>
    <w:rsid w:val="001D2345"/>
    <w:rsid w:val="001D2840"/>
    <w:rsid w:val="001D3E73"/>
    <w:rsid w:val="001D494A"/>
    <w:rsid w:val="001D5233"/>
    <w:rsid w:val="001D5434"/>
    <w:rsid w:val="001D56CC"/>
    <w:rsid w:val="001D5766"/>
    <w:rsid w:val="001D5999"/>
    <w:rsid w:val="001D6591"/>
    <w:rsid w:val="001D66A1"/>
    <w:rsid w:val="001D72C8"/>
    <w:rsid w:val="001D7C49"/>
    <w:rsid w:val="001E07BD"/>
    <w:rsid w:val="001E225F"/>
    <w:rsid w:val="001E2FDD"/>
    <w:rsid w:val="001E4164"/>
    <w:rsid w:val="001E43D2"/>
    <w:rsid w:val="001E5111"/>
    <w:rsid w:val="001E524F"/>
    <w:rsid w:val="001E546B"/>
    <w:rsid w:val="001E5567"/>
    <w:rsid w:val="001E5725"/>
    <w:rsid w:val="001E5C8F"/>
    <w:rsid w:val="001E6068"/>
    <w:rsid w:val="001E68F1"/>
    <w:rsid w:val="001E6A26"/>
    <w:rsid w:val="001E6E14"/>
    <w:rsid w:val="001F0237"/>
    <w:rsid w:val="001F0B5B"/>
    <w:rsid w:val="001F1796"/>
    <w:rsid w:val="001F23CE"/>
    <w:rsid w:val="001F2980"/>
    <w:rsid w:val="001F3065"/>
    <w:rsid w:val="001F33CB"/>
    <w:rsid w:val="001F5372"/>
    <w:rsid w:val="001F550B"/>
    <w:rsid w:val="001F567B"/>
    <w:rsid w:val="001F5E63"/>
    <w:rsid w:val="001F6239"/>
    <w:rsid w:val="001F6FDE"/>
    <w:rsid w:val="001F75CF"/>
    <w:rsid w:val="001F78C5"/>
    <w:rsid w:val="0020023C"/>
    <w:rsid w:val="00202617"/>
    <w:rsid w:val="0020352E"/>
    <w:rsid w:val="002049C1"/>
    <w:rsid w:val="00204EF7"/>
    <w:rsid w:val="0020562D"/>
    <w:rsid w:val="00205D18"/>
    <w:rsid w:val="00205F4A"/>
    <w:rsid w:val="00206A5D"/>
    <w:rsid w:val="0020786C"/>
    <w:rsid w:val="00207E7C"/>
    <w:rsid w:val="0021017B"/>
    <w:rsid w:val="002106A3"/>
    <w:rsid w:val="00211543"/>
    <w:rsid w:val="00211781"/>
    <w:rsid w:val="00211886"/>
    <w:rsid w:val="00212224"/>
    <w:rsid w:val="00212422"/>
    <w:rsid w:val="00212BDE"/>
    <w:rsid w:val="00212FCD"/>
    <w:rsid w:val="00213377"/>
    <w:rsid w:val="00213745"/>
    <w:rsid w:val="0021420A"/>
    <w:rsid w:val="00214404"/>
    <w:rsid w:val="002149D4"/>
    <w:rsid w:val="00214B14"/>
    <w:rsid w:val="00215C60"/>
    <w:rsid w:val="002165D6"/>
    <w:rsid w:val="00217706"/>
    <w:rsid w:val="00220FED"/>
    <w:rsid w:val="002211DC"/>
    <w:rsid w:val="002216EC"/>
    <w:rsid w:val="00221F70"/>
    <w:rsid w:val="00222A5B"/>
    <w:rsid w:val="0022350E"/>
    <w:rsid w:val="002241D5"/>
    <w:rsid w:val="00224BF3"/>
    <w:rsid w:val="00224CBF"/>
    <w:rsid w:val="002265AB"/>
    <w:rsid w:val="00226A42"/>
    <w:rsid w:val="00226FBC"/>
    <w:rsid w:val="00227A4D"/>
    <w:rsid w:val="00230999"/>
    <w:rsid w:val="002314B1"/>
    <w:rsid w:val="0023185D"/>
    <w:rsid w:val="00231B98"/>
    <w:rsid w:val="002332DF"/>
    <w:rsid w:val="0023468D"/>
    <w:rsid w:val="00234CA0"/>
    <w:rsid w:val="00235BF0"/>
    <w:rsid w:val="00236A4E"/>
    <w:rsid w:val="00237C34"/>
    <w:rsid w:val="00241D90"/>
    <w:rsid w:val="00243331"/>
    <w:rsid w:val="00243A20"/>
    <w:rsid w:val="00243B1F"/>
    <w:rsid w:val="00243CF4"/>
    <w:rsid w:val="00243D81"/>
    <w:rsid w:val="002441F8"/>
    <w:rsid w:val="00245310"/>
    <w:rsid w:val="002458FE"/>
    <w:rsid w:val="00246922"/>
    <w:rsid w:val="0024776E"/>
    <w:rsid w:val="00247BEF"/>
    <w:rsid w:val="00247E9F"/>
    <w:rsid w:val="00247FB0"/>
    <w:rsid w:val="0025093B"/>
    <w:rsid w:val="00250A23"/>
    <w:rsid w:val="00251346"/>
    <w:rsid w:val="0025186A"/>
    <w:rsid w:val="00251908"/>
    <w:rsid w:val="002529D7"/>
    <w:rsid w:val="00252B44"/>
    <w:rsid w:val="00253E25"/>
    <w:rsid w:val="00253E7F"/>
    <w:rsid w:val="002542AB"/>
    <w:rsid w:val="00254541"/>
    <w:rsid w:val="00254741"/>
    <w:rsid w:val="002548D8"/>
    <w:rsid w:val="002559D0"/>
    <w:rsid w:val="00257243"/>
    <w:rsid w:val="00260D88"/>
    <w:rsid w:val="002612BB"/>
    <w:rsid w:val="002614EB"/>
    <w:rsid w:val="0026158D"/>
    <w:rsid w:val="00262328"/>
    <w:rsid w:val="002626A4"/>
    <w:rsid w:val="00262D35"/>
    <w:rsid w:val="00264013"/>
    <w:rsid w:val="00265F3E"/>
    <w:rsid w:val="00270109"/>
    <w:rsid w:val="00270997"/>
    <w:rsid w:val="00271D0C"/>
    <w:rsid w:val="0027270F"/>
    <w:rsid w:val="0027294B"/>
    <w:rsid w:val="00273AA4"/>
    <w:rsid w:val="00274376"/>
    <w:rsid w:val="002744BC"/>
    <w:rsid w:val="0027452F"/>
    <w:rsid w:val="002754F8"/>
    <w:rsid w:val="00275B2A"/>
    <w:rsid w:val="00276FBF"/>
    <w:rsid w:val="00277346"/>
    <w:rsid w:val="002773D3"/>
    <w:rsid w:val="002778BB"/>
    <w:rsid w:val="002801F4"/>
    <w:rsid w:val="00282FE2"/>
    <w:rsid w:val="00283035"/>
    <w:rsid w:val="0028456C"/>
    <w:rsid w:val="00285342"/>
    <w:rsid w:val="00286AF7"/>
    <w:rsid w:val="00287420"/>
    <w:rsid w:val="00290558"/>
    <w:rsid w:val="00290DF2"/>
    <w:rsid w:val="00291FB2"/>
    <w:rsid w:val="002926F9"/>
    <w:rsid w:val="002928A7"/>
    <w:rsid w:val="00293194"/>
    <w:rsid w:val="00293B3C"/>
    <w:rsid w:val="00293C3E"/>
    <w:rsid w:val="00294DEE"/>
    <w:rsid w:val="0029545C"/>
    <w:rsid w:val="002967E9"/>
    <w:rsid w:val="0029716C"/>
    <w:rsid w:val="002A062B"/>
    <w:rsid w:val="002A1C00"/>
    <w:rsid w:val="002A212F"/>
    <w:rsid w:val="002A2327"/>
    <w:rsid w:val="002A307E"/>
    <w:rsid w:val="002A319A"/>
    <w:rsid w:val="002A396E"/>
    <w:rsid w:val="002A3B90"/>
    <w:rsid w:val="002A3F34"/>
    <w:rsid w:val="002A4094"/>
    <w:rsid w:val="002A49D0"/>
    <w:rsid w:val="002A4F33"/>
    <w:rsid w:val="002A4FCC"/>
    <w:rsid w:val="002A5911"/>
    <w:rsid w:val="002A65A3"/>
    <w:rsid w:val="002A6711"/>
    <w:rsid w:val="002A6E32"/>
    <w:rsid w:val="002B0A94"/>
    <w:rsid w:val="002B195A"/>
    <w:rsid w:val="002B1C59"/>
    <w:rsid w:val="002B2057"/>
    <w:rsid w:val="002B249D"/>
    <w:rsid w:val="002B304E"/>
    <w:rsid w:val="002B3BB6"/>
    <w:rsid w:val="002C0831"/>
    <w:rsid w:val="002C12C5"/>
    <w:rsid w:val="002C1AA1"/>
    <w:rsid w:val="002C1DC6"/>
    <w:rsid w:val="002C2980"/>
    <w:rsid w:val="002C3A90"/>
    <w:rsid w:val="002C3B46"/>
    <w:rsid w:val="002C6604"/>
    <w:rsid w:val="002C6978"/>
    <w:rsid w:val="002D01E9"/>
    <w:rsid w:val="002D1FF9"/>
    <w:rsid w:val="002D20AD"/>
    <w:rsid w:val="002D22F3"/>
    <w:rsid w:val="002D278C"/>
    <w:rsid w:val="002D33F1"/>
    <w:rsid w:val="002D3872"/>
    <w:rsid w:val="002D3AC2"/>
    <w:rsid w:val="002D3F1C"/>
    <w:rsid w:val="002D409A"/>
    <w:rsid w:val="002D414F"/>
    <w:rsid w:val="002D5440"/>
    <w:rsid w:val="002D56BB"/>
    <w:rsid w:val="002D67FF"/>
    <w:rsid w:val="002D685B"/>
    <w:rsid w:val="002D6D7E"/>
    <w:rsid w:val="002D7076"/>
    <w:rsid w:val="002E04C2"/>
    <w:rsid w:val="002E0A60"/>
    <w:rsid w:val="002E0B06"/>
    <w:rsid w:val="002E11F4"/>
    <w:rsid w:val="002E1602"/>
    <w:rsid w:val="002E298A"/>
    <w:rsid w:val="002E3988"/>
    <w:rsid w:val="002E4CD9"/>
    <w:rsid w:val="002E57CB"/>
    <w:rsid w:val="002E677B"/>
    <w:rsid w:val="002E7FD2"/>
    <w:rsid w:val="002F11A3"/>
    <w:rsid w:val="002F2B48"/>
    <w:rsid w:val="002F4EDB"/>
    <w:rsid w:val="002F611A"/>
    <w:rsid w:val="002F6188"/>
    <w:rsid w:val="002F722B"/>
    <w:rsid w:val="002F7AD3"/>
    <w:rsid w:val="0030130A"/>
    <w:rsid w:val="00301ACF"/>
    <w:rsid w:val="003020ED"/>
    <w:rsid w:val="00302872"/>
    <w:rsid w:val="003029C7"/>
    <w:rsid w:val="00302CD7"/>
    <w:rsid w:val="003036C5"/>
    <w:rsid w:val="00303740"/>
    <w:rsid w:val="003039B9"/>
    <w:rsid w:val="00304A59"/>
    <w:rsid w:val="00304BAA"/>
    <w:rsid w:val="00306ADB"/>
    <w:rsid w:val="00306B3B"/>
    <w:rsid w:val="00307346"/>
    <w:rsid w:val="00307E3D"/>
    <w:rsid w:val="00310080"/>
    <w:rsid w:val="00310BF1"/>
    <w:rsid w:val="00310CAA"/>
    <w:rsid w:val="00312350"/>
    <w:rsid w:val="003125F6"/>
    <w:rsid w:val="00312706"/>
    <w:rsid w:val="00312798"/>
    <w:rsid w:val="00312E43"/>
    <w:rsid w:val="003136F1"/>
    <w:rsid w:val="00313752"/>
    <w:rsid w:val="003138D8"/>
    <w:rsid w:val="00314237"/>
    <w:rsid w:val="003146B8"/>
    <w:rsid w:val="0031470B"/>
    <w:rsid w:val="00314B22"/>
    <w:rsid w:val="00314F73"/>
    <w:rsid w:val="00315835"/>
    <w:rsid w:val="00315D84"/>
    <w:rsid w:val="003160BD"/>
    <w:rsid w:val="0031689B"/>
    <w:rsid w:val="00316967"/>
    <w:rsid w:val="00316FD1"/>
    <w:rsid w:val="00317614"/>
    <w:rsid w:val="0031763C"/>
    <w:rsid w:val="003176DF"/>
    <w:rsid w:val="00321A38"/>
    <w:rsid w:val="003221F8"/>
    <w:rsid w:val="003232D6"/>
    <w:rsid w:val="00323659"/>
    <w:rsid w:val="003237E7"/>
    <w:rsid w:val="003243EC"/>
    <w:rsid w:val="00326C2A"/>
    <w:rsid w:val="00326F78"/>
    <w:rsid w:val="0032772C"/>
    <w:rsid w:val="00327849"/>
    <w:rsid w:val="00327F68"/>
    <w:rsid w:val="0033023E"/>
    <w:rsid w:val="0033037D"/>
    <w:rsid w:val="00330FE0"/>
    <w:rsid w:val="00332739"/>
    <w:rsid w:val="003332FC"/>
    <w:rsid w:val="0033626A"/>
    <w:rsid w:val="003362C2"/>
    <w:rsid w:val="0033669A"/>
    <w:rsid w:val="00337270"/>
    <w:rsid w:val="003378CD"/>
    <w:rsid w:val="00337CED"/>
    <w:rsid w:val="00337E47"/>
    <w:rsid w:val="003400FC"/>
    <w:rsid w:val="00341568"/>
    <w:rsid w:val="00341BD1"/>
    <w:rsid w:val="003424E1"/>
    <w:rsid w:val="0034258D"/>
    <w:rsid w:val="003433F7"/>
    <w:rsid w:val="003434E8"/>
    <w:rsid w:val="00344905"/>
    <w:rsid w:val="003449AD"/>
    <w:rsid w:val="00344C0F"/>
    <w:rsid w:val="00344C90"/>
    <w:rsid w:val="00344D3F"/>
    <w:rsid w:val="00345260"/>
    <w:rsid w:val="00346356"/>
    <w:rsid w:val="0034669F"/>
    <w:rsid w:val="0034682E"/>
    <w:rsid w:val="003469FB"/>
    <w:rsid w:val="00346D25"/>
    <w:rsid w:val="00347B02"/>
    <w:rsid w:val="00347EE9"/>
    <w:rsid w:val="00350E89"/>
    <w:rsid w:val="00351172"/>
    <w:rsid w:val="00351531"/>
    <w:rsid w:val="0035196C"/>
    <w:rsid w:val="00351C0A"/>
    <w:rsid w:val="00351EDE"/>
    <w:rsid w:val="00352A36"/>
    <w:rsid w:val="00352DF2"/>
    <w:rsid w:val="00353D86"/>
    <w:rsid w:val="00354367"/>
    <w:rsid w:val="00356625"/>
    <w:rsid w:val="00356B99"/>
    <w:rsid w:val="00357BD5"/>
    <w:rsid w:val="00357C2C"/>
    <w:rsid w:val="00360256"/>
    <w:rsid w:val="00360912"/>
    <w:rsid w:val="00361606"/>
    <w:rsid w:val="003619EE"/>
    <w:rsid w:val="00361B6B"/>
    <w:rsid w:val="003626C0"/>
    <w:rsid w:val="00362811"/>
    <w:rsid w:val="00362A04"/>
    <w:rsid w:val="00362CB3"/>
    <w:rsid w:val="00362FE2"/>
    <w:rsid w:val="003632A4"/>
    <w:rsid w:val="003634C5"/>
    <w:rsid w:val="00363A18"/>
    <w:rsid w:val="003641F2"/>
    <w:rsid w:val="003645BE"/>
    <w:rsid w:val="00364712"/>
    <w:rsid w:val="00365484"/>
    <w:rsid w:val="0036561C"/>
    <w:rsid w:val="00365AF3"/>
    <w:rsid w:val="0036674B"/>
    <w:rsid w:val="00367854"/>
    <w:rsid w:val="00367D0B"/>
    <w:rsid w:val="00367D76"/>
    <w:rsid w:val="00367EAA"/>
    <w:rsid w:val="00370176"/>
    <w:rsid w:val="003702AD"/>
    <w:rsid w:val="00370B98"/>
    <w:rsid w:val="003716D7"/>
    <w:rsid w:val="00372591"/>
    <w:rsid w:val="00374E79"/>
    <w:rsid w:val="00375BF1"/>
    <w:rsid w:val="00375BFB"/>
    <w:rsid w:val="0037677D"/>
    <w:rsid w:val="00376783"/>
    <w:rsid w:val="0037757D"/>
    <w:rsid w:val="003804D0"/>
    <w:rsid w:val="003806C3"/>
    <w:rsid w:val="003806EA"/>
    <w:rsid w:val="00380886"/>
    <w:rsid w:val="00381EE7"/>
    <w:rsid w:val="00382102"/>
    <w:rsid w:val="0038245B"/>
    <w:rsid w:val="00383F7B"/>
    <w:rsid w:val="003840AD"/>
    <w:rsid w:val="003854D4"/>
    <w:rsid w:val="003855CA"/>
    <w:rsid w:val="003860EF"/>
    <w:rsid w:val="00386F01"/>
    <w:rsid w:val="00387245"/>
    <w:rsid w:val="0038763E"/>
    <w:rsid w:val="00387A54"/>
    <w:rsid w:val="00390969"/>
    <w:rsid w:val="0039116E"/>
    <w:rsid w:val="003911DA"/>
    <w:rsid w:val="003912E1"/>
    <w:rsid w:val="00391BBB"/>
    <w:rsid w:val="00391F30"/>
    <w:rsid w:val="0039358C"/>
    <w:rsid w:val="00393742"/>
    <w:rsid w:val="00394755"/>
    <w:rsid w:val="00395124"/>
    <w:rsid w:val="003959FC"/>
    <w:rsid w:val="00395DCE"/>
    <w:rsid w:val="0039681B"/>
    <w:rsid w:val="003A0469"/>
    <w:rsid w:val="003A1710"/>
    <w:rsid w:val="003A183F"/>
    <w:rsid w:val="003A1D14"/>
    <w:rsid w:val="003A2331"/>
    <w:rsid w:val="003A2692"/>
    <w:rsid w:val="003A26F8"/>
    <w:rsid w:val="003A40CB"/>
    <w:rsid w:val="003A44B3"/>
    <w:rsid w:val="003A4912"/>
    <w:rsid w:val="003A5F9E"/>
    <w:rsid w:val="003A6514"/>
    <w:rsid w:val="003A7D00"/>
    <w:rsid w:val="003B1096"/>
    <w:rsid w:val="003B15C1"/>
    <w:rsid w:val="003B3126"/>
    <w:rsid w:val="003B3FF7"/>
    <w:rsid w:val="003B4386"/>
    <w:rsid w:val="003B502C"/>
    <w:rsid w:val="003B54C1"/>
    <w:rsid w:val="003B5B14"/>
    <w:rsid w:val="003B7522"/>
    <w:rsid w:val="003B7BD0"/>
    <w:rsid w:val="003B7F5F"/>
    <w:rsid w:val="003C06EF"/>
    <w:rsid w:val="003C3098"/>
    <w:rsid w:val="003C43C0"/>
    <w:rsid w:val="003C440F"/>
    <w:rsid w:val="003C4871"/>
    <w:rsid w:val="003C4DD2"/>
    <w:rsid w:val="003C4FAC"/>
    <w:rsid w:val="003C67CA"/>
    <w:rsid w:val="003C6E7A"/>
    <w:rsid w:val="003C7670"/>
    <w:rsid w:val="003C7983"/>
    <w:rsid w:val="003D098F"/>
    <w:rsid w:val="003D124B"/>
    <w:rsid w:val="003D1818"/>
    <w:rsid w:val="003D28A8"/>
    <w:rsid w:val="003D35FD"/>
    <w:rsid w:val="003D377D"/>
    <w:rsid w:val="003D3BFB"/>
    <w:rsid w:val="003D4609"/>
    <w:rsid w:val="003D6CE8"/>
    <w:rsid w:val="003D6D76"/>
    <w:rsid w:val="003D75FE"/>
    <w:rsid w:val="003D7C2B"/>
    <w:rsid w:val="003E068B"/>
    <w:rsid w:val="003E283B"/>
    <w:rsid w:val="003E2BD3"/>
    <w:rsid w:val="003E3B12"/>
    <w:rsid w:val="003E4096"/>
    <w:rsid w:val="003E4162"/>
    <w:rsid w:val="003E4D4F"/>
    <w:rsid w:val="003E5020"/>
    <w:rsid w:val="003E55FF"/>
    <w:rsid w:val="003E68DE"/>
    <w:rsid w:val="003E695C"/>
    <w:rsid w:val="003F0330"/>
    <w:rsid w:val="003F14CC"/>
    <w:rsid w:val="003F2CD2"/>
    <w:rsid w:val="003F321E"/>
    <w:rsid w:val="003F407B"/>
    <w:rsid w:val="003F4858"/>
    <w:rsid w:val="003F5190"/>
    <w:rsid w:val="003F6058"/>
    <w:rsid w:val="003F63B9"/>
    <w:rsid w:val="003F7844"/>
    <w:rsid w:val="0040031A"/>
    <w:rsid w:val="0040089C"/>
    <w:rsid w:val="00400A87"/>
    <w:rsid w:val="00400CFB"/>
    <w:rsid w:val="004011A9"/>
    <w:rsid w:val="004013D5"/>
    <w:rsid w:val="00401D0F"/>
    <w:rsid w:val="004028F1"/>
    <w:rsid w:val="004034E2"/>
    <w:rsid w:val="00405075"/>
    <w:rsid w:val="00405E5C"/>
    <w:rsid w:val="004064C9"/>
    <w:rsid w:val="00406533"/>
    <w:rsid w:val="004071E1"/>
    <w:rsid w:val="00411919"/>
    <w:rsid w:val="004119DB"/>
    <w:rsid w:val="00411E27"/>
    <w:rsid w:val="00411E5D"/>
    <w:rsid w:val="004127D2"/>
    <w:rsid w:val="00413110"/>
    <w:rsid w:val="00413558"/>
    <w:rsid w:val="004152EC"/>
    <w:rsid w:val="0041579C"/>
    <w:rsid w:val="004158B6"/>
    <w:rsid w:val="004161DF"/>
    <w:rsid w:val="004168C6"/>
    <w:rsid w:val="00416D2B"/>
    <w:rsid w:val="004170D2"/>
    <w:rsid w:val="004174D3"/>
    <w:rsid w:val="00417C63"/>
    <w:rsid w:val="00420446"/>
    <w:rsid w:val="0042096F"/>
    <w:rsid w:val="00420C62"/>
    <w:rsid w:val="00420F4A"/>
    <w:rsid w:val="0042192B"/>
    <w:rsid w:val="00422BA1"/>
    <w:rsid w:val="00423D3F"/>
    <w:rsid w:val="004245CD"/>
    <w:rsid w:val="00424A24"/>
    <w:rsid w:val="00424EC7"/>
    <w:rsid w:val="004258BB"/>
    <w:rsid w:val="00425DFA"/>
    <w:rsid w:val="004274FD"/>
    <w:rsid w:val="00433B1E"/>
    <w:rsid w:val="00433C09"/>
    <w:rsid w:val="00433EC9"/>
    <w:rsid w:val="0043552A"/>
    <w:rsid w:val="0043624C"/>
    <w:rsid w:val="00436D97"/>
    <w:rsid w:val="00440846"/>
    <w:rsid w:val="00440847"/>
    <w:rsid w:val="00441992"/>
    <w:rsid w:val="00441CE7"/>
    <w:rsid w:val="00441EDD"/>
    <w:rsid w:val="00441F1C"/>
    <w:rsid w:val="004426C8"/>
    <w:rsid w:val="00442E46"/>
    <w:rsid w:val="00442EC1"/>
    <w:rsid w:val="00443B0B"/>
    <w:rsid w:val="0044490B"/>
    <w:rsid w:val="00445E91"/>
    <w:rsid w:val="004472DA"/>
    <w:rsid w:val="00447997"/>
    <w:rsid w:val="00447D2D"/>
    <w:rsid w:val="0045000F"/>
    <w:rsid w:val="004500EC"/>
    <w:rsid w:val="00450817"/>
    <w:rsid w:val="0045199D"/>
    <w:rsid w:val="004521E7"/>
    <w:rsid w:val="0045281E"/>
    <w:rsid w:val="00452B24"/>
    <w:rsid w:val="0045392E"/>
    <w:rsid w:val="004544A1"/>
    <w:rsid w:val="004549F0"/>
    <w:rsid w:val="00454B07"/>
    <w:rsid w:val="00454F4E"/>
    <w:rsid w:val="00455225"/>
    <w:rsid w:val="00456B44"/>
    <w:rsid w:val="00460B88"/>
    <w:rsid w:val="00461832"/>
    <w:rsid w:val="0046192F"/>
    <w:rsid w:val="00461ABB"/>
    <w:rsid w:val="00461B9B"/>
    <w:rsid w:val="004621B9"/>
    <w:rsid w:val="00462E94"/>
    <w:rsid w:val="00463354"/>
    <w:rsid w:val="004633B8"/>
    <w:rsid w:val="00463456"/>
    <w:rsid w:val="00463B29"/>
    <w:rsid w:val="00463CF3"/>
    <w:rsid w:val="00463D82"/>
    <w:rsid w:val="004660A3"/>
    <w:rsid w:val="00466DF5"/>
    <w:rsid w:val="00466ED9"/>
    <w:rsid w:val="004675D7"/>
    <w:rsid w:val="004700A6"/>
    <w:rsid w:val="0047041C"/>
    <w:rsid w:val="0047072A"/>
    <w:rsid w:val="00470DAC"/>
    <w:rsid w:val="00471129"/>
    <w:rsid w:val="00471B58"/>
    <w:rsid w:val="00471D8D"/>
    <w:rsid w:val="00472269"/>
    <w:rsid w:val="00473937"/>
    <w:rsid w:val="0047409F"/>
    <w:rsid w:val="00475260"/>
    <w:rsid w:val="004753FD"/>
    <w:rsid w:val="00475B4E"/>
    <w:rsid w:val="0047686C"/>
    <w:rsid w:val="0047710A"/>
    <w:rsid w:val="00477C74"/>
    <w:rsid w:val="00477EE8"/>
    <w:rsid w:val="004809D6"/>
    <w:rsid w:val="00480C11"/>
    <w:rsid w:val="00481312"/>
    <w:rsid w:val="00481414"/>
    <w:rsid w:val="00481E3D"/>
    <w:rsid w:val="00482BDF"/>
    <w:rsid w:val="004841FB"/>
    <w:rsid w:val="0048461E"/>
    <w:rsid w:val="00484B57"/>
    <w:rsid w:val="00485F45"/>
    <w:rsid w:val="00486588"/>
    <w:rsid w:val="00486A73"/>
    <w:rsid w:val="00487173"/>
    <w:rsid w:val="00487427"/>
    <w:rsid w:val="00490793"/>
    <w:rsid w:val="004907F8"/>
    <w:rsid w:val="00490AAC"/>
    <w:rsid w:val="00490CBA"/>
    <w:rsid w:val="00490E84"/>
    <w:rsid w:val="00491216"/>
    <w:rsid w:val="00491254"/>
    <w:rsid w:val="004917E1"/>
    <w:rsid w:val="004919D8"/>
    <w:rsid w:val="00491AA3"/>
    <w:rsid w:val="0049214C"/>
    <w:rsid w:val="004925E8"/>
    <w:rsid w:val="00492C50"/>
    <w:rsid w:val="0049318D"/>
    <w:rsid w:val="00494336"/>
    <w:rsid w:val="00494AD7"/>
    <w:rsid w:val="00496A76"/>
    <w:rsid w:val="00497A17"/>
    <w:rsid w:val="004A04EE"/>
    <w:rsid w:val="004A2785"/>
    <w:rsid w:val="004A2E4D"/>
    <w:rsid w:val="004A34E1"/>
    <w:rsid w:val="004A3CCF"/>
    <w:rsid w:val="004A3DE5"/>
    <w:rsid w:val="004A5967"/>
    <w:rsid w:val="004A60A4"/>
    <w:rsid w:val="004A7407"/>
    <w:rsid w:val="004B0766"/>
    <w:rsid w:val="004B0D2A"/>
    <w:rsid w:val="004B1209"/>
    <w:rsid w:val="004B290C"/>
    <w:rsid w:val="004B29A4"/>
    <w:rsid w:val="004B3432"/>
    <w:rsid w:val="004B3B47"/>
    <w:rsid w:val="004B61CD"/>
    <w:rsid w:val="004B61FA"/>
    <w:rsid w:val="004B6C21"/>
    <w:rsid w:val="004B6FC8"/>
    <w:rsid w:val="004B70BA"/>
    <w:rsid w:val="004B7BF0"/>
    <w:rsid w:val="004B7DC7"/>
    <w:rsid w:val="004C0077"/>
    <w:rsid w:val="004C08E2"/>
    <w:rsid w:val="004C105F"/>
    <w:rsid w:val="004C1CB7"/>
    <w:rsid w:val="004C29F9"/>
    <w:rsid w:val="004C2D29"/>
    <w:rsid w:val="004C312C"/>
    <w:rsid w:val="004C3A12"/>
    <w:rsid w:val="004C3AFB"/>
    <w:rsid w:val="004C3E89"/>
    <w:rsid w:val="004C47A1"/>
    <w:rsid w:val="004C4D6E"/>
    <w:rsid w:val="004C59C3"/>
    <w:rsid w:val="004C5B8D"/>
    <w:rsid w:val="004C65CD"/>
    <w:rsid w:val="004C6F42"/>
    <w:rsid w:val="004D0341"/>
    <w:rsid w:val="004D0771"/>
    <w:rsid w:val="004D1501"/>
    <w:rsid w:val="004D24E5"/>
    <w:rsid w:val="004D2C21"/>
    <w:rsid w:val="004D319F"/>
    <w:rsid w:val="004D3354"/>
    <w:rsid w:val="004D3657"/>
    <w:rsid w:val="004D4CB6"/>
    <w:rsid w:val="004D4D3F"/>
    <w:rsid w:val="004D61AF"/>
    <w:rsid w:val="004D67A9"/>
    <w:rsid w:val="004D68D4"/>
    <w:rsid w:val="004D6CF2"/>
    <w:rsid w:val="004D7467"/>
    <w:rsid w:val="004D7A03"/>
    <w:rsid w:val="004E0115"/>
    <w:rsid w:val="004E03CB"/>
    <w:rsid w:val="004E0D8C"/>
    <w:rsid w:val="004E1D1B"/>
    <w:rsid w:val="004E27D7"/>
    <w:rsid w:val="004E31D1"/>
    <w:rsid w:val="004E401F"/>
    <w:rsid w:val="004E44D5"/>
    <w:rsid w:val="004E4C66"/>
    <w:rsid w:val="004E590B"/>
    <w:rsid w:val="004E594A"/>
    <w:rsid w:val="004E5A9F"/>
    <w:rsid w:val="004E5D21"/>
    <w:rsid w:val="004E78F6"/>
    <w:rsid w:val="004E7C89"/>
    <w:rsid w:val="004F04E0"/>
    <w:rsid w:val="004F116A"/>
    <w:rsid w:val="004F2305"/>
    <w:rsid w:val="004F2517"/>
    <w:rsid w:val="004F2A54"/>
    <w:rsid w:val="004F4002"/>
    <w:rsid w:val="004F48D7"/>
    <w:rsid w:val="004F5032"/>
    <w:rsid w:val="004F505D"/>
    <w:rsid w:val="004F5502"/>
    <w:rsid w:val="004F5B16"/>
    <w:rsid w:val="004F6597"/>
    <w:rsid w:val="004F6A6E"/>
    <w:rsid w:val="004F6F28"/>
    <w:rsid w:val="004F74F0"/>
    <w:rsid w:val="004F78CA"/>
    <w:rsid w:val="005003D5"/>
    <w:rsid w:val="00500C61"/>
    <w:rsid w:val="00500D0C"/>
    <w:rsid w:val="00500E6D"/>
    <w:rsid w:val="00502C88"/>
    <w:rsid w:val="00502E59"/>
    <w:rsid w:val="0050321E"/>
    <w:rsid w:val="005052CA"/>
    <w:rsid w:val="00505986"/>
    <w:rsid w:val="00506311"/>
    <w:rsid w:val="0050687E"/>
    <w:rsid w:val="00506BA1"/>
    <w:rsid w:val="00506BF8"/>
    <w:rsid w:val="00506EB4"/>
    <w:rsid w:val="00507756"/>
    <w:rsid w:val="00507CE5"/>
    <w:rsid w:val="0051000C"/>
    <w:rsid w:val="00510C53"/>
    <w:rsid w:val="00510DF4"/>
    <w:rsid w:val="005121DF"/>
    <w:rsid w:val="0051262C"/>
    <w:rsid w:val="00512850"/>
    <w:rsid w:val="00512DFB"/>
    <w:rsid w:val="00513E0D"/>
    <w:rsid w:val="0051465A"/>
    <w:rsid w:val="00514F11"/>
    <w:rsid w:val="0051520D"/>
    <w:rsid w:val="005152BB"/>
    <w:rsid w:val="005160B3"/>
    <w:rsid w:val="005163A6"/>
    <w:rsid w:val="005165D2"/>
    <w:rsid w:val="00516F05"/>
    <w:rsid w:val="00517044"/>
    <w:rsid w:val="0051713B"/>
    <w:rsid w:val="00520131"/>
    <w:rsid w:val="00520647"/>
    <w:rsid w:val="00520E69"/>
    <w:rsid w:val="00521DE1"/>
    <w:rsid w:val="00522A85"/>
    <w:rsid w:val="00523949"/>
    <w:rsid w:val="005246EF"/>
    <w:rsid w:val="00524BF0"/>
    <w:rsid w:val="00525319"/>
    <w:rsid w:val="00526793"/>
    <w:rsid w:val="00530A6D"/>
    <w:rsid w:val="0053137F"/>
    <w:rsid w:val="00531ED0"/>
    <w:rsid w:val="00532437"/>
    <w:rsid w:val="00532962"/>
    <w:rsid w:val="00532984"/>
    <w:rsid w:val="00532E14"/>
    <w:rsid w:val="00533187"/>
    <w:rsid w:val="0053326A"/>
    <w:rsid w:val="00533E28"/>
    <w:rsid w:val="0053400C"/>
    <w:rsid w:val="00534A1A"/>
    <w:rsid w:val="0053541D"/>
    <w:rsid w:val="00535564"/>
    <w:rsid w:val="00535F45"/>
    <w:rsid w:val="00535F7F"/>
    <w:rsid w:val="005367EF"/>
    <w:rsid w:val="00536A69"/>
    <w:rsid w:val="005375BE"/>
    <w:rsid w:val="00537929"/>
    <w:rsid w:val="00537EB4"/>
    <w:rsid w:val="00540EA5"/>
    <w:rsid w:val="00540FF1"/>
    <w:rsid w:val="00541BE8"/>
    <w:rsid w:val="00542C3B"/>
    <w:rsid w:val="00543315"/>
    <w:rsid w:val="00543CB6"/>
    <w:rsid w:val="00543DDF"/>
    <w:rsid w:val="005444BA"/>
    <w:rsid w:val="00544D8C"/>
    <w:rsid w:val="005451F6"/>
    <w:rsid w:val="00545877"/>
    <w:rsid w:val="00546CC4"/>
    <w:rsid w:val="00547678"/>
    <w:rsid w:val="00547D85"/>
    <w:rsid w:val="00550692"/>
    <w:rsid w:val="0055119D"/>
    <w:rsid w:val="005521FF"/>
    <w:rsid w:val="00552C3A"/>
    <w:rsid w:val="00553425"/>
    <w:rsid w:val="00554100"/>
    <w:rsid w:val="005558DB"/>
    <w:rsid w:val="00555C23"/>
    <w:rsid w:val="0055627C"/>
    <w:rsid w:val="00556A0B"/>
    <w:rsid w:val="005624EA"/>
    <w:rsid w:val="005626B3"/>
    <w:rsid w:val="005627C3"/>
    <w:rsid w:val="00562811"/>
    <w:rsid w:val="00562C23"/>
    <w:rsid w:val="00562C50"/>
    <w:rsid w:val="00562FFA"/>
    <w:rsid w:val="00563D1E"/>
    <w:rsid w:val="00563DBA"/>
    <w:rsid w:val="00564C55"/>
    <w:rsid w:val="00564FBB"/>
    <w:rsid w:val="0056560C"/>
    <w:rsid w:val="00565741"/>
    <w:rsid w:val="005659DB"/>
    <w:rsid w:val="00565D98"/>
    <w:rsid w:val="00566917"/>
    <w:rsid w:val="00567265"/>
    <w:rsid w:val="0056772C"/>
    <w:rsid w:val="00567CF1"/>
    <w:rsid w:val="00567F37"/>
    <w:rsid w:val="005708E4"/>
    <w:rsid w:val="005712A2"/>
    <w:rsid w:val="00573754"/>
    <w:rsid w:val="005738B2"/>
    <w:rsid w:val="00573AB9"/>
    <w:rsid w:val="00574977"/>
    <w:rsid w:val="00574995"/>
    <w:rsid w:val="00574AE4"/>
    <w:rsid w:val="00574F2B"/>
    <w:rsid w:val="00574FD2"/>
    <w:rsid w:val="00575928"/>
    <w:rsid w:val="00575F61"/>
    <w:rsid w:val="005776D8"/>
    <w:rsid w:val="00577B1A"/>
    <w:rsid w:val="00580C02"/>
    <w:rsid w:val="00580E9E"/>
    <w:rsid w:val="00581A75"/>
    <w:rsid w:val="00581AC8"/>
    <w:rsid w:val="0058206F"/>
    <w:rsid w:val="00582152"/>
    <w:rsid w:val="00583046"/>
    <w:rsid w:val="00583552"/>
    <w:rsid w:val="00583D1F"/>
    <w:rsid w:val="00584448"/>
    <w:rsid w:val="00584837"/>
    <w:rsid w:val="00585763"/>
    <w:rsid w:val="00586121"/>
    <w:rsid w:val="005871CE"/>
    <w:rsid w:val="00587D5A"/>
    <w:rsid w:val="00587FE0"/>
    <w:rsid w:val="00587FED"/>
    <w:rsid w:val="005916C7"/>
    <w:rsid w:val="00591A10"/>
    <w:rsid w:val="00592E89"/>
    <w:rsid w:val="00593A75"/>
    <w:rsid w:val="00593B21"/>
    <w:rsid w:val="00594EAA"/>
    <w:rsid w:val="00595DB7"/>
    <w:rsid w:val="00595E0E"/>
    <w:rsid w:val="0059658F"/>
    <w:rsid w:val="00596D0C"/>
    <w:rsid w:val="005A0522"/>
    <w:rsid w:val="005A06F1"/>
    <w:rsid w:val="005A0A10"/>
    <w:rsid w:val="005A12F4"/>
    <w:rsid w:val="005A2BAE"/>
    <w:rsid w:val="005A2D88"/>
    <w:rsid w:val="005A2F40"/>
    <w:rsid w:val="005A2F60"/>
    <w:rsid w:val="005A323E"/>
    <w:rsid w:val="005A3A91"/>
    <w:rsid w:val="005A5499"/>
    <w:rsid w:val="005A77AF"/>
    <w:rsid w:val="005A7A57"/>
    <w:rsid w:val="005A7F38"/>
    <w:rsid w:val="005B0019"/>
    <w:rsid w:val="005B0054"/>
    <w:rsid w:val="005B0F62"/>
    <w:rsid w:val="005B12AC"/>
    <w:rsid w:val="005B132F"/>
    <w:rsid w:val="005B1C66"/>
    <w:rsid w:val="005B21F2"/>
    <w:rsid w:val="005B28BD"/>
    <w:rsid w:val="005B2E83"/>
    <w:rsid w:val="005B3426"/>
    <w:rsid w:val="005B3DE6"/>
    <w:rsid w:val="005B435B"/>
    <w:rsid w:val="005B4871"/>
    <w:rsid w:val="005B4993"/>
    <w:rsid w:val="005B4A5E"/>
    <w:rsid w:val="005B5167"/>
    <w:rsid w:val="005B58E7"/>
    <w:rsid w:val="005B7BFF"/>
    <w:rsid w:val="005B7E0D"/>
    <w:rsid w:val="005C096C"/>
    <w:rsid w:val="005C1353"/>
    <w:rsid w:val="005C15A3"/>
    <w:rsid w:val="005C1685"/>
    <w:rsid w:val="005C1B82"/>
    <w:rsid w:val="005C29EC"/>
    <w:rsid w:val="005C2A5D"/>
    <w:rsid w:val="005C2D93"/>
    <w:rsid w:val="005C3876"/>
    <w:rsid w:val="005C3B9D"/>
    <w:rsid w:val="005C3E4F"/>
    <w:rsid w:val="005C47ED"/>
    <w:rsid w:val="005C57E4"/>
    <w:rsid w:val="005C6F54"/>
    <w:rsid w:val="005D08EB"/>
    <w:rsid w:val="005D0B03"/>
    <w:rsid w:val="005D0C0A"/>
    <w:rsid w:val="005D1FDA"/>
    <w:rsid w:val="005D204A"/>
    <w:rsid w:val="005D2768"/>
    <w:rsid w:val="005D29DF"/>
    <w:rsid w:val="005D3220"/>
    <w:rsid w:val="005D34DB"/>
    <w:rsid w:val="005D3A9F"/>
    <w:rsid w:val="005D3DB9"/>
    <w:rsid w:val="005D46A5"/>
    <w:rsid w:val="005D4D12"/>
    <w:rsid w:val="005D5A5B"/>
    <w:rsid w:val="005D6DCA"/>
    <w:rsid w:val="005E04E8"/>
    <w:rsid w:val="005E05C4"/>
    <w:rsid w:val="005E090D"/>
    <w:rsid w:val="005E0FD5"/>
    <w:rsid w:val="005E15AD"/>
    <w:rsid w:val="005E1627"/>
    <w:rsid w:val="005E1980"/>
    <w:rsid w:val="005E1FF9"/>
    <w:rsid w:val="005E2683"/>
    <w:rsid w:val="005E2802"/>
    <w:rsid w:val="005E2E2E"/>
    <w:rsid w:val="005E337A"/>
    <w:rsid w:val="005E3544"/>
    <w:rsid w:val="005E3852"/>
    <w:rsid w:val="005E3AB2"/>
    <w:rsid w:val="005E3D98"/>
    <w:rsid w:val="005E5269"/>
    <w:rsid w:val="005E6162"/>
    <w:rsid w:val="005E625B"/>
    <w:rsid w:val="005E66BC"/>
    <w:rsid w:val="005E6C42"/>
    <w:rsid w:val="005E6DEB"/>
    <w:rsid w:val="005E73F3"/>
    <w:rsid w:val="005E7B99"/>
    <w:rsid w:val="005F00B4"/>
    <w:rsid w:val="005F06A6"/>
    <w:rsid w:val="005F12B1"/>
    <w:rsid w:val="005F14DA"/>
    <w:rsid w:val="005F1757"/>
    <w:rsid w:val="005F22D0"/>
    <w:rsid w:val="005F28A4"/>
    <w:rsid w:val="005F3927"/>
    <w:rsid w:val="005F3B76"/>
    <w:rsid w:val="005F578F"/>
    <w:rsid w:val="005F5C2E"/>
    <w:rsid w:val="005F5E80"/>
    <w:rsid w:val="005F6A67"/>
    <w:rsid w:val="005F6A87"/>
    <w:rsid w:val="005F6DE3"/>
    <w:rsid w:val="005F71A3"/>
    <w:rsid w:val="005F7245"/>
    <w:rsid w:val="005F74D2"/>
    <w:rsid w:val="0060032F"/>
    <w:rsid w:val="00600E88"/>
    <w:rsid w:val="00602191"/>
    <w:rsid w:val="006023F1"/>
    <w:rsid w:val="006034ED"/>
    <w:rsid w:val="00604D67"/>
    <w:rsid w:val="00605353"/>
    <w:rsid w:val="006067D6"/>
    <w:rsid w:val="00606D83"/>
    <w:rsid w:val="00606F58"/>
    <w:rsid w:val="00607674"/>
    <w:rsid w:val="00607DFF"/>
    <w:rsid w:val="00607E35"/>
    <w:rsid w:val="00610189"/>
    <w:rsid w:val="00612958"/>
    <w:rsid w:val="00612C58"/>
    <w:rsid w:val="00613AEB"/>
    <w:rsid w:val="00613F83"/>
    <w:rsid w:val="00614AA1"/>
    <w:rsid w:val="00615EB0"/>
    <w:rsid w:val="00616569"/>
    <w:rsid w:val="00621B97"/>
    <w:rsid w:val="00622C6A"/>
    <w:rsid w:val="00622DDD"/>
    <w:rsid w:val="006232A0"/>
    <w:rsid w:val="00623C61"/>
    <w:rsid w:val="00624E0F"/>
    <w:rsid w:val="0062545B"/>
    <w:rsid w:val="006256C2"/>
    <w:rsid w:val="006261A6"/>
    <w:rsid w:val="00626A04"/>
    <w:rsid w:val="0062731B"/>
    <w:rsid w:val="006279C9"/>
    <w:rsid w:val="006308DD"/>
    <w:rsid w:val="00631D8C"/>
    <w:rsid w:val="00631DD5"/>
    <w:rsid w:val="00632860"/>
    <w:rsid w:val="006329AB"/>
    <w:rsid w:val="00632BD9"/>
    <w:rsid w:val="00632E7C"/>
    <w:rsid w:val="00633139"/>
    <w:rsid w:val="006336C4"/>
    <w:rsid w:val="00633F9F"/>
    <w:rsid w:val="00634030"/>
    <w:rsid w:val="006342DC"/>
    <w:rsid w:val="006343C8"/>
    <w:rsid w:val="00634693"/>
    <w:rsid w:val="00634F90"/>
    <w:rsid w:val="00635CF3"/>
    <w:rsid w:val="006360EE"/>
    <w:rsid w:val="006361AC"/>
    <w:rsid w:val="0063699D"/>
    <w:rsid w:val="006372DD"/>
    <w:rsid w:val="00642105"/>
    <w:rsid w:val="00642A21"/>
    <w:rsid w:val="00643CD1"/>
    <w:rsid w:val="006447D5"/>
    <w:rsid w:val="00645555"/>
    <w:rsid w:val="00646AE0"/>
    <w:rsid w:val="006477F2"/>
    <w:rsid w:val="00650BF1"/>
    <w:rsid w:val="00650F2A"/>
    <w:rsid w:val="00651E79"/>
    <w:rsid w:val="00653F42"/>
    <w:rsid w:val="006542B6"/>
    <w:rsid w:val="006542EA"/>
    <w:rsid w:val="00654304"/>
    <w:rsid w:val="00654883"/>
    <w:rsid w:val="006562C5"/>
    <w:rsid w:val="00656672"/>
    <w:rsid w:val="00656A9F"/>
    <w:rsid w:val="00656C62"/>
    <w:rsid w:val="00657A0F"/>
    <w:rsid w:val="006615B8"/>
    <w:rsid w:val="00661A3B"/>
    <w:rsid w:val="006630EC"/>
    <w:rsid w:val="006633DD"/>
    <w:rsid w:val="006637B4"/>
    <w:rsid w:val="00665859"/>
    <w:rsid w:val="00665E9B"/>
    <w:rsid w:val="006667C0"/>
    <w:rsid w:val="006676F0"/>
    <w:rsid w:val="00670BEF"/>
    <w:rsid w:val="00671381"/>
    <w:rsid w:val="0067139C"/>
    <w:rsid w:val="00672311"/>
    <w:rsid w:val="006726DF"/>
    <w:rsid w:val="00672AD1"/>
    <w:rsid w:val="0067335E"/>
    <w:rsid w:val="006739A3"/>
    <w:rsid w:val="00674172"/>
    <w:rsid w:val="00674D05"/>
    <w:rsid w:val="006754F7"/>
    <w:rsid w:val="0067660A"/>
    <w:rsid w:val="00676766"/>
    <w:rsid w:val="00676CAD"/>
    <w:rsid w:val="00676FD9"/>
    <w:rsid w:val="006770E8"/>
    <w:rsid w:val="00677405"/>
    <w:rsid w:val="0067794C"/>
    <w:rsid w:val="00677B6C"/>
    <w:rsid w:val="00677EBD"/>
    <w:rsid w:val="00680469"/>
    <w:rsid w:val="006810A7"/>
    <w:rsid w:val="00681684"/>
    <w:rsid w:val="00683352"/>
    <w:rsid w:val="00683632"/>
    <w:rsid w:val="00683C3C"/>
    <w:rsid w:val="00685D6F"/>
    <w:rsid w:val="006864B3"/>
    <w:rsid w:val="006866DA"/>
    <w:rsid w:val="00686F75"/>
    <w:rsid w:val="0069015C"/>
    <w:rsid w:val="00690523"/>
    <w:rsid w:val="00690C22"/>
    <w:rsid w:val="006910B2"/>
    <w:rsid w:val="006915F2"/>
    <w:rsid w:val="006919DF"/>
    <w:rsid w:val="006934F9"/>
    <w:rsid w:val="006935EB"/>
    <w:rsid w:val="00693924"/>
    <w:rsid w:val="006943F1"/>
    <w:rsid w:val="006944F9"/>
    <w:rsid w:val="00694B11"/>
    <w:rsid w:val="00696925"/>
    <w:rsid w:val="0069697A"/>
    <w:rsid w:val="00696B13"/>
    <w:rsid w:val="006972BE"/>
    <w:rsid w:val="00697BFB"/>
    <w:rsid w:val="00697FDA"/>
    <w:rsid w:val="006A027C"/>
    <w:rsid w:val="006A32FB"/>
    <w:rsid w:val="006A3E55"/>
    <w:rsid w:val="006A541E"/>
    <w:rsid w:val="006A5843"/>
    <w:rsid w:val="006A5989"/>
    <w:rsid w:val="006A6046"/>
    <w:rsid w:val="006A640A"/>
    <w:rsid w:val="006A69B9"/>
    <w:rsid w:val="006A6BE9"/>
    <w:rsid w:val="006B0252"/>
    <w:rsid w:val="006B09D0"/>
    <w:rsid w:val="006B236E"/>
    <w:rsid w:val="006B24D3"/>
    <w:rsid w:val="006B2AA8"/>
    <w:rsid w:val="006B2F3F"/>
    <w:rsid w:val="006B324D"/>
    <w:rsid w:val="006B3396"/>
    <w:rsid w:val="006B3EF6"/>
    <w:rsid w:val="006B4047"/>
    <w:rsid w:val="006B4D48"/>
    <w:rsid w:val="006B6367"/>
    <w:rsid w:val="006B6EB6"/>
    <w:rsid w:val="006B7AE9"/>
    <w:rsid w:val="006C2D5E"/>
    <w:rsid w:val="006C3BA7"/>
    <w:rsid w:val="006C4A3A"/>
    <w:rsid w:val="006C52BA"/>
    <w:rsid w:val="006C5743"/>
    <w:rsid w:val="006C5B99"/>
    <w:rsid w:val="006C61E8"/>
    <w:rsid w:val="006C768F"/>
    <w:rsid w:val="006D0653"/>
    <w:rsid w:val="006D1C82"/>
    <w:rsid w:val="006D1F9C"/>
    <w:rsid w:val="006D1FA2"/>
    <w:rsid w:val="006D2A73"/>
    <w:rsid w:val="006D33FC"/>
    <w:rsid w:val="006D4760"/>
    <w:rsid w:val="006D5E61"/>
    <w:rsid w:val="006D61F3"/>
    <w:rsid w:val="006D6331"/>
    <w:rsid w:val="006D64BF"/>
    <w:rsid w:val="006D66D5"/>
    <w:rsid w:val="006D6B08"/>
    <w:rsid w:val="006D71A4"/>
    <w:rsid w:val="006E0030"/>
    <w:rsid w:val="006E00E0"/>
    <w:rsid w:val="006E0D95"/>
    <w:rsid w:val="006E3148"/>
    <w:rsid w:val="006E418C"/>
    <w:rsid w:val="006E4982"/>
    <w:rsid w:val="006E52C1"/>
    <w:rsid w:val="006E6493"/>
    <w:rsid w:val="006E6C59"/>
    <w:rsid w:val="006E7125"/>
    <w:rsid w:val="006E7204"/>
    <w:rsid w:val="006E776D"/>
    <w:rsid w:val="006E7952"/>
    <w:rsid w:val="006E7E3C"/>
    <w:rsid w:val="006E7F7A"/>
    <w:rsid w:val="006F359F"/>
    <w:rsid w:val="006F37C2"/>
    <w:rsid w:val="006F4A5F"/>
    <w:rsid w:val="006F4D79"/>
    <w:rsid w:val="006F55DF"/>
    <w:rsid w:val="006F55F6"/>
    <w:rsid w:val="006F5C4C"/>
    <w:rsid w:val="006F6038"/>
    <w:rsid w:val="006F73EA"/>
    <w:rsid w:val="00700A19"/>
    <w:rsid w:val="00701742"/>
    <w:rsid w:val="0070177C"/>
    <w:rsid w:val="00701BFF"/>
    <w:rsid w:val="00701DAF"/>
    <w:rsid w:val="007022C1"/>
    <w:rsid w:val="00702768"/>
    <w:rsid w:val="00703B42"/>
    <w:rsid w:val="0070442C"/>
    <w:rsid w:val="00705422"/>
    <w:rsid w:val="00705D34"/>
    <w:rsid w:val="00706A81"/>
    <w:rsid w:val="0070797E"/>
    <w:rsid w:val="00711CC4"/>
    <w:rsid w:val="00714810"/>
    <w:rsid w:val="00716662"/>
    <w:rsid w:val="007168A3"/>
    <w:rsid w:val="00716D88"/>
    <w:rsid w:val="00717115"/>
    <w:rsid w:val="00721F73"/>
    <w:rsid w:val="00721FA7"/>
    <w:rsid w:val="007222BE"/>
    <w:rsid w:val="00722AB6"/>
    <w:rsid w:val="00723A94"/>
    <w:rsid w:val="00723DBA"/>
    <w:rsid w:val="00725527"/>
    <w:rsid w:val="007260BF"/>
    <w:rsid w:val="00726391"/>
    <w:rsid w:val="007273F0"/>
    <w:rsid w:val="00727A2C"/>
    <w:rsid w:val="007303C8"/>
    <w:rsid w:val="00730BBE"/>
    <w:rsid w:val="00731B2C"/>
    <w:rsid w:val="00731DA8"/>
    <w:rsid w:val="007331D5"/>
    <w:rsid w:val="0073539B"/>
    <w:rsid w:val="00735B4D"/>
    <w:rsid w:val="00735C54"/>
    <w:rsid w:val="00736A2A"/>
    <w:rsid w:val="0073766D"/>
    <w:rsid w:val="00737A38"/>
    <w:rsid w:val="00737DE1"/>
    <w:rsid w:val="00737F9F"/>
    <w:rsid w:val="00740BFC"/>
    <w:rsid w:val="00741578"/>
    <w:rsid w:val="00741723"/>
    <w:rsid w:val="00743077"/>
    <w:rsid w:val="00743329"/>
    <w:rsid w:val="00743857"/>
    <w:rsid w:val="00746655"/>
    <w:rsid w:val="0074676E"/>
    <w:rsid w:val="007469F3"/>
    <w:rsid w:val="00747D54"/>
    <w:rsid w:val="007506E8"/>
    <w:rsid w:val="00751CDC"/>
    <w:rsid w:val="00752927"/>
    <w:rsid w:val="00752E1F"/>
    <w:rsid w:val="00753D10"/>
    <w:rsid w:val="00755BCA"/>
    <w:rsid w:val="007564EB"/>
    <w:rsid w:val="00757651"/>
    <w:rsid w:val="0075791D"/>
    <w:rsid w:val="007603AD"/>
    <w:rsid w:val="0076057F"/>
    <w:rsid w:val="00760598"/>
    <w:rsid w:val="00760A7E"/>
    <w:rsid w:val="00760B6C"/>
    <w:rsid w:val="00760E5D"/>
    <w:rsid w:val="007611FF"/>
    <w:rsid w:val="00761C92"/>
    <w:rsid w:val="00761E04"/>
    <w:rsid w:val="007627E8"/>
    <w:rsid w:val="007630FA"/>
    <w:rsid w:val="007635E1"/>
    <w:rsid w:val="00765308"/>
    <w:rsid w:val="0076726B"/>
    <w:rsid w:val="00767345"/>
    <w:rsid w:val="007678C2"/>
    <w:rsid w:val="0077004F"/>
    <w:rsid w:val="0077079B"/>
    <w:rsid w:val="00770E72"/>
    <w:rsid w:val="00772062"/>
    <w:rsid w:val="00772749"/>
    <w:rsid w:val="00773B16"/>
    <w:rsid w:val="00773F8A"/>
    <w:rsid w:val="00774657"/>
    <w:rsid w:val="0077516F"/>
    <w:rsid w:val="00776F6D"/>
    <w:rsid w:val="0077774A"/>
    <w:rsid w:val="00781E60"/>
    <w:rsid w:val="00782B70"/>
    <w:rsid w:val="00782BCF"/>
    <w:rsid w:val="00782EBC"/>
    <w:rsid w:val="00783500"/>
    <w:rsid w:val="007848D0"/>
    <w:rsid w:val="007854DC"/>
    <w:rsid w:val="00785798"/>
    <w:rsid w:val="0078597B"/>
    <w:rsid w:val="00785C26"/>
    <w:rsid w:val="007864D9"/>
    <w:rsid w:val="00786B5D"/>
    <w:rsid w:val="007870CD"/>
    <w:rsid w:val="00787A45"/>
    <w:rsid w:val="00787ADB"/>
    <w:rsid w:val="00787F16"/>
    <w:rsid w:val="007910CB"/>
    <w:rsid w:val="007911BE"/>
    <w:rsid w:val="0079126F"/>
    <w:rsid w:val="007924A6"/>
    <w:rsid w:val="00793615"/>
    <w:rsid w:val="00793CE6"/>
    <w:rsid w:val="00794076"/>
    <w:rsid w:val="0079420E"/>
    <w:rsid w:val="00795589"/>
    <w:rsid w:val="00796483"/>
    <w:rsid w:val="0079653F"/>
    <w:rsid w:val="0079753D"/>
    <w:rsid w:val="007979B9"/>
    <w:rsid w:val="00797F42"/>
    <w:rsid w:val="007A020F"/>
    <w:rsid w:val="007A0B34"/>
    <w:rsid w:val="007A0E0C"/>
    <w:rsid w:val="007A1194"/>
    <w:rsid w:val="007A1535"/>
    <w:rsid w:val="007A1EDF"/>
    <w:rsid w:val="007A2477"/>
    <w:rsid w:val="007A2FAC"/>
    <w:rsid w:val="007A4AB0"/>
    <w:rsid w:val="007A58FF"/>
    <w:rsid w:val="007A5921"/>
    <w:rsid w:val="007A7619"/>
    <w:rsid w:val="007B2BB6"/>
    <w:rsid w:val="007B2D8C"/>
    <w:rsid w:val="007B4050"/>
    <w:rsid w:val="007B4C1B"/>
    <w:rsid w:val="007B52DA"/>
    <w:rsid w:val="007B5A28"/>
    <w:rsid w:val="007B6BAF"/>
    <w:rsid w:val="007B701C"/>
    <w:rsid w:val="007B73FE"/>
    <w:rsid w:val="007B77F8"/>
    <w:rsid w:val="007B7C5B"/>
    <w:rsid w:val="007C00C1"/>
    <w:rsid w:val="007C013E"/>
    <w:rsid w:val="007C0366"/>
    <w:rsid w:val="007C1060"/>
    <w:rsid w:val="007C138F"/>
    <w:rsid w:val="007C2269"/>
    <w:rsid w:val="007C2458"/>
    <w:rsid w:val="007C2C91"/>
    <w:rsid w:val="007C346E"/>
    <w:rsid w:val="007C3E06"/>
    <w:rsid w:val="007C41B4"/>
    <w:rsid w:val="007C4231"/>
    <w:rsid w:val="007C486C"/>
    <w:rsid w:val="007C595D"/>
    <w:rsid w:val="007C5CEB"/>
    <w:rsid w:val="007C5D55"/>
    <w:rsid w:val="007C79D8"/>
    <w:rsid w:val="007D05DA"/>
    <w:rsid w:val="007D1076"/>
    <w:rsid w:val="007D10EE"/>
    <w:rsid w:val="007D1356"/>
    <w:rsid w:val="007D1904"/>
    <w:rsid w:val="007D19AB"/>
    <w:rsid w:val="007D1D70"/>
    <w:rsid w:val="007D227A"/>
    <w:rsid w:val="007D39A0"/>
    <w:rsid w:val="007D4171"/>
    <w:rsid w:val="007D5235"/>
    <w:rsid w:val="007D552C"/>
    <w:rsid w:val="007D5A31"/>
    <w:rsid w:val="007D6C49"/>
    <w:rsid w:val="007D70E4"/>
    <w:rsid w:val="007D74D3"/>
    <w:rsid w:val="007D7657"/>
    <w:rsid w:val="007E0E02"/>
    <w:rsid w:val="007E0EFF"/>
    <w:rsid w:val="007E2039"/>
    <w:rsid w:val="007E2C05"/>
    <w:rsid w:val="007E31ED"/>
    <w:rsid w:val="007E43B0"/>
    <w:rsid w:val="007E4414"/>
    <w:rsid w:val="007E49AA"/>
    <w:rsid w:val="007E4A7D"/>
    <w:rsid w:val="007E4ABF"/>
    <w:rsid w:val="007E4C7A"/>
    <w:rsid w:val="007E4DFB"/>
    <w:rsid w:val="007E5516"/>
    <w:rsid w:val="007E5C6E"/>
    <w:rsid w:val="007E6F2D"/>
    <w:rsid w:val="007E75D9"/>
    <w:rsid w:val="007E786A"/>
    <w:rsid w:val="007E7EAC"/>
    <w:rsid w:val="007F0662"/>
    <w:rsid w:val="007F0F49"/>
    <w:rsid w:val="007F16CE"/>
    <w:rsid w:val="007F18E7"/>
    <w:rsid w:val="007F1AA2"/>
    <w:rsid w:val="007F206F"/>
    <w:rsid w:val="007F2DA8"/>
    <w:rsid w:val="007F356C"/>
    <w:rsid w:val="007F4BD2"/>
    <w:rsid w:val="007F5922"/>
    <w:rsid w:val="007F5F63"/>
    <w:rsid w:val="007F6404"/>
    <w:rsid w:val="007F6929"/>
    <w:rsid w:val="007F698F"/>
    <w:rsid w:val="007F70E6"/>
    <w:rsid w:val="007F7861"/>
    <w:rsid w:val="0080067B"/>
    <w:rsid w:val="00800B89"/>
    <w:rsid w:val="00801D82"/>
    <w:rsid w:val="0080265F"/>
    <w:rsid w:val="00802970"/>
    <w:rsid w:val="00803555"/>
    <w:rsid w:val="00803F07"/>
    <w:rsid w:val="00804719"/>
    <w:rsid w:val="0080575B"/>
    <w:rsid w:val="00805793"/>
    <w:rsid w:val="008067E8"/>
    <w:rsid w:val="008068CD"/>
    <w:rsid w:val="00807B03"/>
    <w:rsid w:val="00810401"/>
    <w:rsid w:val="00810470"/>
    <w:rsid w:val="0081100E"/>
    <w:rsid w:val="0081102E"/>
    <w:rsid w:val="008117BD"/>
    <w:rsid w:val="00812CBF"/>
    <w:rsid w:val="00814375"/>
    <w:rsid w:val="00814788"/>
    <w:rsid w:val="00814BAF"/>
    <w:rsid w:val="00815F50"/>
    <w:rsid w:val="00816E2B"/>
    <w:rsid w:val="00817C4B"/>
    <w:rsid w:val="00820390"/>
    <w:rsid w:val="00822486"/>
    <w:rsid w:val="00823A31"/>
    <w:rsid w:val="00824847"/>
    <w:rsid w:val="00824C27"/>
    <w:rsid w:val="008257FF"/>
    <w:rsid w:val="008259ED"/>
    <w:rsid w:val="00825EEE"/>
    <w:rsid w:val="00826399"/>
    <w:rsid w:val="008269B0"/>
    <w:rsid w:val="0082765C"/>
    <w:rsid w:val="00827899"/>
    <w:rsid w:val="0083189C"/>
    <w:rsid w:val="00831AB0"/>
    <w:rsid w:val="00832FF1"/>
    <w:rsid w:val="008348F5"/>
    <w:rsid w:val="00834DF2"/>
    <w:rsid w:val="008355E0"/>
    <w:rsid w:val="00835E52"/>
    <w:rsid w:val="00836571"/>
    <w:rsid w:val="00836CAC"/>
    <w:rsid w:val="00837B0F"/>
    <w:rsid w:val="00843401"/>
    <w:rsid w:val="00843C52"/>
    <w:rsid w:val="00843E3E"/>
    <w:rsid w:val="00845199"/>
    <w:rsid w:val="00845A69"/>
    <w:rsid w:val="00845C84"/>
    <w:rsid w:val="00845FFF"/>
    <w:rsid w:val="008462EC"/>
    <w:rsid w:val="008475EB"/>
    <w:rsid w:val="00847735"/>
    <w:rsid w:val="00847B2F"/>
    <w:rsid w:val="00853B50"/>
    <w:rsid w:val="0085416C"/>
    <w:rsid w:val="00854341"/>
    <w:rsid w:val="0085538A"/>
    <w:rsid w:val="00856170"/>
    <w:rsid w:val="0085739E"/>
    <w:rsid w:val="008578CB"/>
    <w:rsid w:val="00857D01"/>
    <w:rsid w:val="0086049C"/>
    <w:rsid w:val="0086099F"/>
    <w:rsid w:val="008609AC"/>
    <w:rsid w:val="00860CDD"/>
    <w:rsid w:val="00860E28"/>
    <w:rsid w:val="008615BD"/>
    <w:rsid w:val="00861911"/>
    <w:rsid w:val="00862A10"/>
    <w:rsid w:val="00863BB6"/>
    <w:rsid w:val="00863E7F"/>
    <w:rsid w:val="008641A2"/>
    <w:rsid w:val="00864EFC"/>
    <w:rsid w:val="008654BC"/>
    <w:rsid w:val="008660EA"/>
    <w:rsid w:val="008665B0"/>
    <w:rsid w:val="00866795"/>
    <w:rsid w:val="00866A90"/>
    <w:rsid w:val="00866B76"/>
    <w:rsid w:val="008673D8"/>
    <w:rsid w:val="0086749F"/>
    <w:rsid w:val="008675B8"/>
    <w:rsid w:val="00867D8E"/>
    <w:rsid w:val="00867EF3"/>
    <w:rsid w:val="008723D2"/>
    <w:rsid w:val="00872C0C"/>
    <w:rsid w:val="0087421F"/>
    <w:rsid w:val="008749AD"/>
    <w:rsid w:val="008752BF"/>
    <w:rsid w:val="008752C9"/>
    <w:rsid w:val="00875B2B"/>
    <w:rsid w:val="00876289"/>
    <w:rsid w:val="008767A7"/>
    <w:rsid w:val="008768AA"/>
    <w:rsid w:val="00877BC3"/>
    <w:rsid w:val="00877C52"/>
    <w:rsid w:val="00880560"/>
    <w:rsid w:val="00880CDA"/>
    <w:rsid w:val="008817A9"/>
    <w:rsid w:val="00881B91"/>
    <w:rsid w:val="008829BA"/>
    <w:rsid w:val="008835D1"/>
    <w:rsid w:val="008836FD"/>
    <w:rsid w:val="0088523B"/>
    <w:rsid w:val="008852F3"/>
    <w:rsid w:val="008858D1"/>
    <w:rsid w:val="00890551"/>
    <w:rsid w:val="0089083F"/>
    <w:rsid w:val="00890AC4"/>
    <w:rsid w:val="008922AC"/>
    <w:rsid w:val="00892D6E"/>
    <w:rsid w:val="00894116"/>
    <w:rsid w:val="008951F1"/>
    <w:rsid w:val="008959B9"/>
    <w:rsid w:val="008961A6"/>
    <w:rsid w:val="00896605"/>
    <w:rsid w:val="00896B6E"/>
    <w:rsid w:val="008974E2"/>
    <w:rsid w:val="00897C00"/>
    <w:rsid w:val="008A0066"/>
    <w:rsid w:val="008A0CD2"/>
    <w:rsid w:val="008A20F5"/>
    <w:rsid w:val="008A29C8"/>
    <w:rsid w:val="008A2A09"/>
    <w:rsid w:val="008A31EE"/>
    <w:rsid w:val="008A47FF"/>
    <w:rsid w:val="008A4E07"/>
    <w:rsid w:val="008A545A"/>
    <w:rsid w:val="008A5C0D"/>
    <w:rsid w:val="008A5E73"/>
    <w:rsid w:val="008A75EA"/>
    <w:rsid w:val="008A7648"/>
    <w:rsid w:val="008A792A"/>
    <w:rsid w:val="008B0212"/>
    <w:rsid w:val="008B06E7"/>
    <w:rsid w:val="008B24A4"/>
    <w:rsid w:val="008B250A"/>
    <w:rsid w:val="008B392F"/>
    <w:rsid w:val="008B3C33"/>
    <w:rsid w:val="008B3CDC"/>
    <w:rsid w:val="008B3F2E"/>
    <w:rsid w:val="008B4109"/>
    <w:rsid w:val="008B4128"/>
    <w:rsid w:val="008B446B"/>
    <w:rsid w:val="008B4519"/>
    <w:rsid w:val="008B57DD"/>
    <w:rsid w:val="008B59B2"/>
    <w:rsid w:val="008B620F"/>
    <w:rsid w:val="008B7837"/>
    <w:rsid w:val="008B7E5A"/>
    <w:rsid w:val="008C0D52"/>
    <w:rsid w:val="008C17FE"/>
    <w:rsid w:val="008C1856"/>
    <w:rsid w:val="008C1A4F"/>
    <w:rsid w:val="008C2AE6"/>
    <w:rsid w:val="008C39A9"/>
    <w:rsid w:val="008C42B6"/>
    <w:rsid w:val="008C4C53"/>
    <w:rsid w:val="008C4C9F"/>
    <w:rsid w:val="008C5F1F"/>
    <w:rsid w:val="008C706A"/>
    <w:rsid w:val="008C707C"/>
    <w:rsid w:val="008C797F"/>
    <w:rsid w:val="008D11BB"/>
    <w:rsid w:val="008D11C8"/>
    <w:rsid w:val="008D1B39"/>
    <w:rsid w:val="008D1DCD"/>
    <w:rsid w:val="008D1F97"/>
    <w:rsid w:val="008D20DE"/>
    <w:rsid w:val="008D2A23"/>
    <w:rsid w:val="008D3153"/>
    <w:rsid w:val="008D382F"/>
    <w:rsid w:val="008D3A8E"/>
    <w:rsid w:val="008D4154"/>
    <w:rsid w:val="008D4656"/>
    <w:rsid w:val="008D47D7"/>
    <w:rsid w:val="008D5067"/>
    <w:rsid w:val="008D5A08"/>
    <w:rsid w:val="008D6749"/>
    <w:rsid w:val="008D6A3A"/>
    <w:rsid w:val="008D7299"/>
    <w:rsid w:val="008D7B90"/>
    <w:rsid w:val="008E0BEA"/>
    <w:rsid w:val="008E125F"/>
    <w:rsid w:val="008E1ED4"/>
    <w:rsid w:val="008E2D9F"/>
    <w:rsid w:val="008E31C5"/>
    <w:rsid w:val="008E330D"/>
    <w:rsid w:val="008E466C"/>
    <w:rsid w:val="008E4B04"/>
    <w:rsid w:val="008E4D36"/>
    <w:rsid w:val="008E5692"/>
    <w:rsid w:val="008E577B"/>
    <w:rsid w:val="008E5B6E"/>
    <w:rsid w:val="008E5EB4"/>
    <w:rsid w:val="008E6150"/>
    <w:rsid w:val="008E61F4"/>
    <w:rsid w:val="008E747B"/>
    <w:rsid w:val="008E7D3C"/>
    <w:rsid w:val="008F17B3"/>
    <w:rsid w:val="008F17FE"/>
    <w:rsid w:val="008F295B"/>
    <w:rsid w:val="008F329F"/>
    <w:rsid w:val="008F3335"/>
    <w:rsid w:val="008F43C6"/>
    <w:rsid w:val="008F48F1"/>
    <w:rsid w:val="008F5E1A"/>
    <w:rsid w:val="008F67D8"/>
    <w:rsid w:val="008F6AA1"/>
    <w:rsid w:val="008F6D8A"/>
    <w:rsid w:val="008F7DF4"/>
    <w:rsid w:val="009000C5"/>
    <w:rsid w:val="00900FCD"/>
    <w:rsid w:val="00901373"/>
    <w:rsid w:val="009038A2"/>
    <w:rsid w:val="00904C4E"/>
    <w:rsid w:val="009051D8"/>
    <w:rsid w:val="009052A3"/>
    <w:rsid w:val="0090533A"/>
    <w:rsid w:val="00905DD8"/>
    <w:rsid w:val="00905F79"/>
    <w:rsid w:val="00906C11"/>
    <w:rsid w:val="009077C8"/>
    <w:rsid w:val="009078F9"/>
    <w:rsid w:val="00910757"/>
    <w:rsid w:val="009110AE"/>
    <w:rsid w:val="00911FC6"/>
    <w:rsid w:val="0091433A"/>
    <w:rsid w:val="0091491B"/>
    <w:rsid w:val="00914AC6"/>
    <w:rsid w:val="00916BB8"/>
    <w:rsid w:val="009176D0"/>
    <w:rsid w:val="00917798"/>
    <w:rsid w:val="00917913"/>
    <w:rsid w:val="00917D07"/>
    <w:rsid w:val="00920F5F"/>
    <w:rsid w:val="00921043"/>
    <w:rsid w:val="00922A16"/>
    <w:rsid w:val="00923C8D"/>
    <w:rsid w:val="00924411"/>
    <w:rsid w:val="0092498A"/>
    <w:rsid w:val="009259C5"/>
    <w:rsid w:val="00926548"/>
    <w:rsid w:val="00927102"/>
    <w:rsid w:val="00930ABC"/>
    <w:rsid w:val="00930CB4"/>
    <w:rsid w:val="00931A1B"/>
    <w:rsid w:val="009329F1"/>
    <w:rsid w:val="00933D27"/>
    <w:rsid w:val="00933FA6"/>
    <w:rsid w:val="00934065"/>
    <w:rsid w:val="00936473"/>
    <w:rsid w:val="00936A06"/>
    <w:rsid w:val="00937084"/>
    <w:rsid w:val="00937AE9"/>
    <w:rsid w:val="0094084A"/>
    <w:rsid w:val="00940B2A"/>
    <w:rsid w:val="00940BC5"/>
    <w:rsid w:val="009410AE"/>
    <w:rsid w:val="00942691"/>
    <w:rsid w:val="00943217"/>
    <w:rsid w:val="00943840"/>
    <w:rsid w:val="00943BDE"/>
    <w:rsid w:val="00943E93"/>
    <w:rsid w:val="009448E1"/>
    <w:rsid w:val="009449E7"/>
    <w:rsid w:val="00944A85"/>
    <w:rsid w:val="00945270"/>
    <w:rsid w:val="0094546E"/>
    <w:rsid w:val="0094624E"/>
    <w:rsid w:val="009476B8"/>
    <w:rsid w:val="0094774B"/>
    <w:rsid w:val="009479EA"/>
    <w:rsid w:val="00950784"/>
    <w:rsid w:val="00951C19"/>
    <w:rsid w:val="00952829"/>
    <w:rsid w:val="00954491"/>
    <w:rsid w:val="009550C7"/>
    <w:rsid w:val="009550C9"/>
    <w:rsid w:val="00955117"/>
    <w:rsid w:val="00955F36"/>
    <w:rsid w:val="00956B72"/>
    <w:rsid w:val="0095760A"/>
    <w:rsid w:val="009578A0"/>
    <w:rsid w:val="009610F7"/>
    <w:rsid w:val="009612CD"/>
    <w:rsid w:val="00962D34"/>
    <w:rsid w:val="00963A3E"/>
    <w:rsid w:val="00963E6D"/>
    <w:rsid w:val="00964186"/>
    <w:rsid w:val="0096477B"/>
    <w:rsid w:val="00964DCB"/>
    <w:rsid w:val="00964E5D"/>
    <w:rsid w:val="009654A8"/>
    <w:rsid w:val="009657AF"/>
    <w:rsid w:val="009664C8"/>
    <w:rsid w:val="009677C3"/>
    <w:rsid w:val="009706C3"/>
    <w:rsid w:val="009709EC"/>
    <w:rsid w:val="00970BB6"/>
    <w:rsid w:val="009712D2"/>
    <w:rsid w:val="00971C8C"/>
    <w:rsid w:val="0097312F"/>
    <w:rsid w:val="0097367A"/>
    <w:rsid w:val="00973B87"/>
    <w:rsid w:val="00973BC2"/>
    <w:rsid w:val="00973CDD"/>
    <w:rsid w:val="00975714"/>
    <w:rsid w:val="00975C7C"/>
    <w:rsid w:val="00975CFE"/>
    <w:rsid w:val="009762DF"/>
    <w:rsid w:val="009769EB"/>
    <w:rsid w:val="00976DA3"/>
    <w:rsid w:val="00977866"/>
    <w:rsid w:val="00977888"/>
    <w:rsid w:val="00980035"/>
    <w:rsid w:val="009811EF"/>
    <w:rsid w:val="00981536"/>
    <w:rsid w:val="00981B74"/>
    <w:rsid w:val="00981F1A"/>
    <w:rsid w:val="00982001"/>
    <w:rsid w:val="00982581"/>
    <w:rsid w:val="00982682"/>
    <w:rsid w:val="00982765"/>
    <w:rsid w:val="00982E36"/>
    <w:rsid w:val="00983111"/>
    <w:rsid w:val="00983296"/>
    <w:rsid w:val="0098360B"/>
    <w:rsid w:val="00983E08"/>
    <w:rsid w:val="00983EFF"/>
    <w:rsid w:val="0098598E"/>
    <w:rsid w:val="00986A29"/>
    <w:rsid w:val="00986B96"/>
    <w:rsid w:val="00986C81"/>
    <w:rsid w:val="009876AB"/>
    <w:rsid w:val="00987897"/>
    <w:rsid w:val="009904DF"/>
    <w:rsid w:val="00990AB9"/>
    <w:rsid w:val="0099113F"/>
    <w:rsid w:val="00991BE8"/>
    <w:rsid w:val="0099206C"/>
    <w:rsid w:val="0099243E"/>
    <w:rsid w:val="009930CB"/>
    <w:rsid w:val="00993EE8"/>
    <w:rsid w:val="009940E8"/>
    <w:rsid w:val="00994BD0"/>
    <w:rsid w:val="00994DD6"/>
    <w:rsid w:val="009950FA"/>
    <w:rsid w:val="00995E83"/>
    <w:rsid w:val="00996DEA"/>
    <w:rsid w:val="00996E68"/>
    <w:rsid w:val="00997244"/>
    <w:rsid w:val="00997D79"/>
    <w:rsid w:val="00997FFA"/>
    <w:rsid w:val="009A0BF6"/>
    <w:rsid w:val="009A1B42"/>
    <w:rsid w:val="009A1E88"/>
    <w:rsid w:val="009A275F"/>
    <w:rsid w:val="009A3211"/>
    <w:rsid w:val="009A3320"/>
    <w:rsid w:val="009A3AD5"/>
    <w:rsid w:val="009A3B00"/>
    <w:rsid w:val="009A5EBA"/>
    <w:rsid w:val="009A63A1"/>
    <w:rsid w:val="009A6982"/>
    <w:rsid w:val="009A6CD3"/>
    <w:rsid w:val="009A7AED"/>
    <w:rsid w:val="009B035F"/>
    <w:rsid w:val="009B04B1"/>
    <w:rsid w:val="009B1337"/>
    <w:rsid w:val="009B13D4"/>
    <w:rsid w:val="009B17A4"/>
    <w:rsid w:val="009B17BD"/>
    <w:rsid w:val="009B1AD1"/>
    <w:rsid w:val="009B26CF"/>
    <w:rsid w:val="009B3052"/>
    <w:rsid w:val="009B44B9"/>
    <w:rsid w:val="009B5300"/>
    <w:rsid w:val="009B5708"/>
    <w:rsid w:val="009B5944"/>
    <w:rsid w:val="009B59F3"/>
    <w:rsid w:val="009B62EA"/>
    <w:rsid w:val="009B71A0"/>
    <w:rsid w:val="009B7534"/>
    <w:rsid w:val="009B7C66"/>
    <w:rsid w:val="009C0C1E"/>
    <w:rsid w:val="009C0C2E"/>
    <w:rsid w:val="009C142A"/>
    <w:rsid w:val="009C2035"/>
    <w:rsid w:val="009C3A16"/>
    <w:rsid w:val="009C3AFD"/>
    <w:rsid w:val="009C444C"/>
    <w:rsid w:val="009C63CB"/>
    <w:rsid w:val="009C6C53"/>
    <w:rsid w:val="009C6FD4"/>
    <w:rsid w:val="009D0461"/>
    <w:rsid w:val="009D067A"/>
    <w:rsid w:val="009D0866"/>
    <w:rsid w:val="009D0E48"/>
    <w:rsid w:val="009D14BF"/>
    <w:rsid w:val="009D2305"/>
    <w:rsid w:val="009D2E40"/>
    <w:rsid w:val="009D2FBB"/>
    <w:rsid w:val="009D33E0"/>
    <w:rsid w:val="009D3545"/>
    <w:rsid w:val="009D3A98"/>
    <w:rsid w:val="009D487F"/>
    <w:rsid w:val="009D4FCD"/>
    <w:rsid w:val="009D56B5"/>
    <w:rsid w:val="009D5CA3"/>
    <w:rsid w:val="009D66F8"/>
    <w:rsid w:val="009D71C5"/>
    <w:rsid w:val="009D7382"/>
    <w:rsid w:val="009D76D8"/>
    <w:rsid w:val="009D79DE"/>
    <w:rsid w:val="009E18F1"/>
    <w:rsid w:val="009E2463"/>
    <w:rsid w:val="009E2BFA"/>
    <w:rsid w:val="009E3970"/>
    <w:rsid w:val="009E4E42"/>
    <w:rsid w:val="009E512A"/>
    <w:rsid w:val="009E59CD"/>
    <w:rsid w:val="009E5D40"/>
    <w:rsid w:val="009E6B32"/>
    <w:rsid w:val="009E70A1"/>
    <w:rsid w:val="009E7E8C"/>
    <w:rsid w:val="009E7F3C"/>
    <w:rsid w:val="009F26B8"/>
    <w:rsid w:val="009F2E1E"/>
    <w:rsid w:val="009F37FD"/>
    <w:rsid w:val="009F3EE3"/>
    <w:rsid w:val="009F4287"/>
    <w:rsid w:val="009F45B1"/>
    <w:rsid w:val="009F49DF"/>
    <w:rsid w:val="009F4E58"/>
    <w:rsid w:val="009F5096"/>
    <w:rsid w:val="009F563F"/>
    <w:rsid w:val="009F5D79"/>
    <w:rsid w:val="009F6C4E"/>
    <w:rsid w:val="009F6F36"/>
    <w:rsid w:val="009F78F8"/>
    <w:rsid w:val="009F7FF7"/>
    <w:rsid w:val="00A006AC"/>
    <w:rsid w:val="00A009D6"/>
    <w:rsid w:val="00A00BD8"/>
    <w:rsid w:val="00A01F97"/>
    <w:rsid w:val="00A033BF"/>
    <w:rsid w:val="00A034CC"/>
    <w:rsid w:val="00A035B0"/>
    <w:rsid w:val="00A047BC"/>
    <w:rsid w:val="00A04C37"/>
    <w:rsid w:val="00A0525C"/>
    <w:rsid w:val="00A0544F"/>
    <w:rsid w:val="00A065C3"/>
    <w:rsid w:val="00A11CF2"/>
    <w:rsid w:val="00A122C2"/>
    <w:rsid w:val="00A126B7"/>
    <w:rsid w:val="00A12AB2"/>
    <w:rsid w:val="00A138AD"/>
    <w:rsid w:val="00A14130"/>
    <w:rsid w:val="00A14C59"/>
    <w:rsid w:val="00A15CB4"/>
    <w:rsid w:val="00A1716A"/>
    <w:rsid w:val="00A20CA1"/>
    <w:rsid w:val="00A22042"/>
    <w:rsid w:val="00A22A76"/>
    <w:rsid w:val="00A22B56"/>
    <w:rsid w:val="00A23055"/>
    <w:rsid w:val="00A23F02"/>
    <w:rsid w:val="00A23F97"/>
    <w:rsid w:val="00A24736"/>
    <w:rsid w:val="00A259BF"/>
    <w:rsid w:val="00A25C39"/>
    <w:rsid w:val="00A2664D"/>
    <w:rsid w:val="00A2740C"/>
    <w:rsid w:val="00A30045"/>
    <w:rsid w:val="00A30345"/>
    <w:rsid w:val="00A309FE"/>
    <w:rsid w:val="00A31243"/>
    <w:rsid w:val="00A316CE"/>
    <w:rsid w:val="00A31D87"/>
    <w:rsid w:val="00A32B77"/>
    <w:rsid w:val="00A33E76"/>
    <w:rsid w:val="00A34540"/>
    <w:rsid w:val="00A35500"/>
    <w:rsid w:val="00A35636"/>
    <w:rsid w:val="00A35FA2"/>
    <w:rsid w:val="00A3685D"/>
    <w:rsid w:val="00A36A08"/>
    <w:rsid w:val="00A36EFC"/>
    <w:rsid w:val="00A3793B"/>
    <w:rsid w:val="00A400CD"/>
    <w:rsid w:val="00A408C7"/>
    <w:rsid w:val="00A4137A"/>
    <w:rsid w:val="00A41643"/>
    <w:rsid w:val="00A41CC1"/>
    <w:rsid w:val="00A4239B"/>
    <w:rsid w:val="00A4271C"/>
    <w:rsid w:val="00A43298"/>
    <w:rsid w:val="00A44784"/>
    <w:rsid w:val="00A453A9"/>
    <w:rsid w:val="00A453DF"/>
    <w:rsid w:val="00A4559D"/>
    <w:rsid w:val="00A45F11"/>
    <w:rsid w:val="00A4684B"/>
    <w:rsid w:val="00A4716D"/>
    <w:rsid w:val="00A4724F"/>
    <w:rsid w:val="00A50676"/>
    <w:rsid w:val="00A50A1C"/>
    <w:rsid w:val="00A5228F"/>
    <w:rsid w:val="00A536F1"/>
    <w:rsid w:val="00A547E2"/>
    <w:rsid w:val="00A55D0B"/>
    <w:rsid w:val="00A6037D"/>
    <w:rsid w:val="00A605FD"/>
    <w:rsid w:val="00A60838"/>
    <w:rsid w:val="00A616B4"/>
    <w:rsid w:val="00A6179A"/>
    <w:rsid w:val="00A61F10"/>
    <w:rsid w:val="00A6269E"/>
    <w:rsid w:val="00A65244"/>
    <w:rsid w:val="00A65FF4"/>
    <w:rsid w:val="00A6623C"/>
    <w:rsid w:val="00A66509"/>
    <w:rsid w:val="00A66EDB"/>
    <w:rsid w:val="00A674E7"/>
    <w:rsid w:val="00A70549"/>
    <w:rsid w:val="00A71454"/>
    <w:rsid w:val="00A7250B"/>
    <w:rsid w:val="00A72FD5"/>
    <w:rsid w:val="00A73934"/>
    <w:rsid w:val="00A73F61"/>
    <w:rsid w:val="00A744CF"/>
    <w:rsid w:val="00A74538"/>
    <w:rsid w:val="00A74AD2"/>
    <w:rsid w:val="00A751C9"/>
    <w:rsid w:val="00A7655C"/>
    <w:rsid w:val="00A76842"/>
    <w:rsid w:val="00A76B39"/>
    <w:rsid w:val="00A7711F"/>
    <w:rsid w:val="00A77479"/>
    <w:rsid w:val="00A77A51"/>
    <w:rsid w:val="00A77B10"/>
    <w:rsid w:val="00A816DE"/>
    <w:rsid w:val="00A8214B"/>
    <w:rsid w:val="00A82E3E"/>
    <w:rsid w:val="00A83D11"/>
    <w:rsid w:val="00A84364"/>
    <w:rsid w:val="00A84462"/>
    <w:rsid w:val="00A8524E"/>
    <w:rsid w:val="00A856BC"/>
    <w:rsid w:val="00A85994"/>
    <w:rsid w:val="00A8599E"/>
    <w:rsid w:val="00A85D30"/>
    <w:rsid w:val="00A873DE"/>
    <w:rsid w:val="00A878EA"/>
    <w:rsid w:val="00A9021D"/>
    <w:rsid w:val="00A9054B"/>
    <w:rsid w:val="00A921E9"/>
    <w:rsid w:val="00A92E06"/>
    <w:rsid w:val="00A93004"/>
    <w:rsid w:val="00A93535"/>
    <w:rsid w:val="00A945A3"/>
    <w:rsid w:val="00A946C2"/>
    <w:rsid w:val="00A94B81"/>
    <w:rsid w:val="00A9512A"/>
    <w:rsid w:val="00A955F8"/>
    <w:rsid w:val="00A9689E"/>
    <w:rsid w:val="00A9758E"/>
    <w:rsid w:val="00AA1224"/>
    <w:rsid w:val="00AA2960"/>
    <w:rsid w:val="00AA2E9A"/>
    <w:rsid w:val="00AA36AA"/>
    <w:rsid w:val="00AA3745"/>
    <w:rsid w:val="00AA4003"/>
    <w:rsid w:val="00AA47BF"/>
    <w:rsid w:val="00AA5B79"/>
    <w:rsid w:val="00AA5D07"/>
    <w:rsid w:val="00AA7283"/>
    <w:rsid w:val="00AB03F8"/>
    <w:rsid w:val="00AB0AD0"/>
    <w:rsid w:val="00AB0DE9"/>
    <w:rsid w:val="00AB0EB0"/>
    <w:rsid w:val="00AB104A"/>
    <w:rsid w:val="00AB1714"/>
    <w:rsid w:val="00AB1AB5"/>
    <w:rsid w:val="00AB1EBE"/>
    <w:rsid w:val="00AB3577"/>
    <w:rsid w:val="00AB3E8B"/>
    <w:rsid w:val="00AB4C74"/>
    <w:rsid w:val="00AB4E89"/>
    <w:rsid w:val="00AB6186"/>
    <w:rsid w:val="00AB6546"/>
    <w:rsid w:val="00AB714B"/>
    <w:rsid w:val="00AB73E1"/>
    <w:rsid w:val="00AB7CB9"/>
    <w:rsid w:val="00AB7F85"/>
    <w:rsid w:val="00AC03BB"/>
    <w:rsid w:val="00AC0830"/>
    <w:rsid w:val="00AC0865"/>
    <w:rsid w:val="00AC1371"/>
    <w:rsid w:val="00AC1751"/>
    <w:rsid w:val="00AC2285"/>
    <w:rsid w:val="00AC2CFE"/>
    <w:rsid w:val="00AC3726"/>
    <w:rsid w:val="00AC3C27"/>
    <w:rsid w:val="00AC3E6B"/>
    <w:rsid w:val="00AC4087"/>
    <w:rsid w:val="00AC5EDC"/>
    <w:rsid w:val="00AD0A2D"/>
    <w:rsid w:val="00AD0BD4"/>
    <w:rsid w:val="00AD0BF9"/>
    <w:rsid w:val="00AD10C5"/>
    <w:rsid w:val="00AD146A"/>
    <w:rsid w:val="00AD163C"/>
    <w:rsid w:val="00AD16EE"/>
    <w:rsid w:val="00AD20F9"/>
    <w:rsid w:val="00AD21AB"/>
    <w:rsid w:val="00AD39D4"/>
    <w:rsid w:val="00AD3D0F"/>
    <w:rsid w:val="00AD3E21"/>
    <w:rsid w:val="00AD4459"/>
    <w:rsid w:val="00AD4ECA"/>
    <w:rsid w:val="00AD4FA5"/>
    <w:rsid w:val="00AD54CB"/>
    <w:rsid w:val="00AD6046"/>
    <w:rsid w:val="00AD60AD"/>
    <w:rsid w:val="00AD620D"/>
    <w:rsid w:val="00AD665F"/>
    <w:rsid w:val="00AD6778"/>
    <w:rsid w:val="00AD6D5E"/>
    <w:rsid w:val="00AD7521"/>
    <w:rsid w:val="00AD7E3B"/>
    <w:rsid w:val="00AD7F04"/>
    <w:rsid w:val="00AE000C"/>
    <w:rsid w:val="00AE08A9"/>
    <w:rsid w:val="00AE09D1"/>
    <w:rsid w:val="00AE0CB7"/>
    <w:rsid w:val="00AE14B4"/>
    <w:rsid w:val="00AE3468"/>
    <w:rsid w:val="00AE3E71"/>
    <w:rsid w:val="00AE4A83"/>
    <w:rsid w:val="00AE4BA7"/>
    <w:rsid w:val="00AE4C8B"/>
    <w:rsid w:val="00AE4DA3"/>
    <w:rsid w:val="00AE4E16"/>
    <w:rsid w:val="00AE541D"/>
    <w:rsid w:val="00AE58DC"/>
    <w:rsid w:val="00AE688A"/>
    <w:rsid w:val="00AE6FF3"/>
    <w:rsid w:val="00AF1731"/>
    <w:rsid w:val="00AF1B4B"/>
    <w:rsid w:val="00AF22C7"/>
    <w:rsid w:val="00AF2344"/>
    <w:rsid w:val="00AF2607"/>
    <w:rsid w:val="00AF2AC2"/>
    <w:rsid w:val="00AF3AB8"/>
    <w:rsid w:val="00AF3E2C"/>
    <w:rsid w:val="00AF7633"/>
    <w:rsid w:val="00AF796F"/>
    <w:rsid w:val="00AF7FA0"/>
    <w:rsid w:val="00B00A33"/>
    <w:rsid w:val="00B00F7F"/>
    <w:rsid w:val="00B011FD"/>
    <w:rsid w:val="00B0161D"/>
    <w:rsid w:val="00B01651"/>
    <w:rsid w:val="00B0189E"/>
    <w:rsid w:val="00B05527"/>
    <w:rsid w:val="00B06ED2"/>
    <w:rsid w:val="00B10C50"/>
    <w:rsid w:val="00B11329"/>
    <w:rsid w:val="00B11490"/>
    <w:rsid w:val="00B11B24"/>
    <w:rsid w:val="00B12001"/>
    <w:rsid w:val="00B12A1F"/>
    <w:rsid w:val="00B12B33"/>
    <w:rsid w:val="00B12C9E"/>
    <w:rsid w:val="00B13AC7"/>
    <w:rsid w:val="00B13FB5"/>
    <w:rsid w:val="00B14CD6"/>
    <w:rsid w:val="00B1613A"/>
    <w:rsid w:val="00B16232"/>
    <w:rsid w:val="00B1743F"/>
    <w:rsid w:val="00B2019B"/>
    <w:rsid w:val="00B215BC"/>
    <w:rsid w:val="00B21743"/>
    <w:rsid w:val="00B218FE"/>
    <w:rsid w:val="00B224B4"/>
    <w:rsid w:val="00B226B7"/>
    <w:rsid w:val="00B2343B"/>
    <w:rsid w:val="00B23873"/>
    <w:rsid w:val="00B23FE7"/>
    <w:rsid w:val="00B248CA"/>
    <w:rsid w:val="00B254A5"/>
    <w:rsid w:val="00B27941"/>
    <w:rsid w:val="00B3056F"/>
    <w:rsid w:val="00B310E6"/>
    <w:rsid w:val="00B31B82"/>
    <w:rsid w:val="00B31E9E"/>
    <w:rsid w:val="00B323FF"/>
    <w:rsid w:val="00B326D0"/>
    <w:rsid w:val="00B329DA"/>
    <w:rsid w:val="00B33EF2"/>
    <w:rsid w:val="00B34688"/>
    <w:rsid w:val="00B3508E"/>
    <w:rsid w:val="00B358F6"/>
    <w:rsid w:val="00B36EF8"/>
    <w:rsid w:val="00B375A6"/>
    <w:rsid w:val="00B37BBB"/>
    <w:rsid w:val="00B37C8E"/>
    <w:rsid w:val="00B4043D"/>
    <w:rsid w:val="00B40618"/>
    <w:rsid w:val="00B40B40"/>
    <w:rsid w:val="00B40DE0"/>
    <w:rsid w:val="00B413F9"/>
    <w:rsid w:val="00B41E06"/>
    <w:rsid w:val="00B43894"/>
    <w:rsid w:val="00B44A0C"/>
    <w:rsid w:val="00B45B39"/>
    <w:rsid w:val="00B45ED2"/>
    <w:rsid w:val="00B46230"/>
    <w:rsid w:val="00B46505"/>
    <w:rsid w:val="00B46B4F"/>
    <w:rsid w:val="00B471F9"/>
    <w:rsid w:val="00B47443"/>
    <w:rsid w:val="00B47E51"/>
    <w:rsid w:val="00B47EEF"/>
    <w:rsid w:val="00B502F8"/>
    <w:rsid w:val="00B50D60"/>
    <w:rsid w:val="00B5104C"/>
    <w:rsid w:val="00B5143D"/>
    <w:rsid w:val="00B51C6B"/>
    <w:rsid w:val="00B52786"/>
    <w:rsid w:val="00B548CB"/>
    <w:rsid w:val="00B568CF"/>
    <w:rsid w:val="00B61705"/>
    <w:rsid w:val="00B617B5"/>
    <w:rsid w:val="00B61A16"/>
    <w:rsid w:val="00B61A83"/>
    <w:rsid w:val="00B61C11"/>
    <w:rsid w:val="00B61CE5"/>
    <w:rsid w:val="00B6396A"/>
    <w:rsid w:val="00B63D06"/>
    <w:rsid w:val="00B643EF"/>
    <w:rsid w:val="00B6453A"/>
    <w:rsid w:val="00B6464D"/>
    <w:rsid w:val="00B64D6B"/>
    <w:rsid w:val="00B651F2"/>
    <w:rsid w:val="00B65B8B"/>
    <w:rsid w:val="00B65BA6"/>
    <w:rsid w:val="00B66665"/>
    <w:rsid w:val="00B67343"/>
    <w:rsid w:val="00B67C4F"/>
    <w:rsid w:val="00B70086"/>
    <w:rsid w:val="00B70613"/>
    <w:rsid w:val="00B70980"/>
    <w:rsid w:val="00B70CA5"/>
    <w:rsid w:val="00B71458"/>
    <w:rsid w:val="00B766F2"/>
    <w:rsid w:val="00B77656"/>
    <w:rsid w:val="00B77F2D"/>
    <w:rsid w:val="00B8040E"/>
    <w:rsid w:val="00B8056A"/>
    <w:rsid w:val="00B80B02"/>
    <w:rsid w:val="00B80BD5"/>
    <w:rsid w:val="00B81638"/>
    <w:rsid w:val="00B82948"/>
    <w:rsid w:val="00B83520"/>
    <w:rsid w:val="00B83A75"/>
    <w:rsid w:val="00B83EBA"/>
    <w:rsid w:val="00B84293"/>
    <w:rsid w:val="00B84B0B"/>
    <w:rsid w:val="00B854D4"/>
    <w:rsid w:val="00B856D6"/>
    <w:rsid w:val="00B85786"/>
    <w:rsid w:val="00B85A46"/>
    <w:rsid w:val="00B90895"/>
    <w:rsid w:val="00B90D58"/>
    <w:rsid w:val="00B923EF"/>
    <w:rsid w:val="00B9265C"/>
    <w:rsid w:val="00B92ED9"/>
    <w:rsid w:val="00B93302"/>
    <w:rsid w:val="00B942BF"/>
    <w:rsid w:val="00B94A3F"/>
    <w:rsid w:val="00B95CF9"/>
    <w:rsid w:val="00B95D51"/>
    <w:rsid w:val="00B96717"/>
    <w:rsid w:val="00BA0276"/>
    <w:rsid w:val="00BA0277"/>
    <w:rsid w:val="00BA0585"/>
    <w:rsid w:val="00BA05C3"/>
    <w:rsid w:val="00BA1A13"/>
    <w:rsid w:val="00BA21F1"/>
    <w:rsid w:val="00BA2B3D"/>
    <w:rsid w:val="00BA31CD"/>
    <w:rsid w:val="00BA325D"/>
    <w:rsid w:val="00BA3E07"/>
    <w:rsid w:val="00BA4372"/>
    <w:rsid w:val="00BA5EB3"/>
    <w:rsid w:val="00BA5EED"/>
    <w:rsid w:val="00BA6014"/>
    <w:rsid w:val="00BA613E"/>
    <w:rsid w:val="00BA7263"/>
    <w:rsid w:val="00BA7985"/>
    <w:rsid w:val="00BA7FB3"/>
    <w:rsid w:val="00BB1B83"/>
    <w:rsid w:val="00BB2165"/>
    <w:rsid w:val="00BB299E"/>
    <w:rsid w:val="00BB2EBB"/>
    <w:rsid w:val="00BB3D1E"/>
    <w:rsid w:val="00BB4378"/>
    <w:rsid w:val="00BB4D6E"/>
    <w:rsid w:val="00BB57F0"/>
    <w:rsid w:val="00BB610F"/>
    <w:rsid w:val="00BB6792"/>
    <w:rsid w:val="00BB6AEB"/>
    <w:rsid w:val="00BB75EC"/>
    <w:rsid w:val="00BB79F2"/>
    <w:rsid w:val="00BC005F"/>
    <w:rsid w:val="00BC0438"/>
    <w:rsid w:val="00BC094B"/>
    <w:rsid w:val="00BC0A47"/>
    <w:rsid w:val="00BC1D2B"/>
    <w:rsid w:val="00BC1D9E"/>
    <w:rsid w:val="00BC2B3A"/>
    <w:rsid w:val="00BC2C32"/>
    <w:rsid w:val="00BC31DB"/>
    <w:rsid w:val="00BC44DF"/>
    <w:rsid w:val="00BC55E8"/>
    <w:rsid w:val="00BC5D88"/>
    <w:rsid w:val="00BC5EB5"/>
    <w:rsid w:val="00BC66AA"/>
    <w:rsid w:val="00BC6C8B"/>
    <w:rsid w:val="00BC736B"/>
    <w:rsid w:val="00BC7D35"/>
    <w:rsid w:val="00BD05EA"/>
    <w:rsid w:val="00BD07B5"/>
    <w:rsid w:val="00BD0B45"/>
    <w:rsid w:val="00BD0D30"/>
    <w:rsid w:val="00BD1538"/>
    <w:rsid w:val="00BD2191"/>
    <w:rsid w:val="00BD281C"/>
    <w:rsid w:val="00BD2E87"/>
    <w:rsid w:val="00BD41FD"/>
    <w:rsid w:val="00BD5498"/>
    <w:rsid w:val="00BD5AD5"/>
    <w:rsid w:val="00BD6E9C"/>
    <w:rsid w:val="00BD6FBF"/>
    <w:rsid w:val="00BD7277"/>
    <w:rsid w:val="00BD7B31"/>
    <w:rsid w:val="00BD7CC9"/>
    <w:rsid w:val="00BE0031"/>
    <w:rsid w:val="00BE043D"/>
    <w:rsid w:val="00BE06F3"/>
    <w:rsid w:val="00BE231D"/>
    <w:rsid w:val="00BE24A4"/>
    <w:rsid w:val="00BE44DC"/>
    <w:rsid w:val="00BE50AC"/>
    <w:rsid w:val="00BE6E61"/>
    <w:rsid w:val="00BE793C"/>
    <w:rsid w:val="00BF0E2D"/>
    <w:rsid w:val="00BF157D"/>
    <w:rsid w:val="00BF1E96"/>
    <w:rsid w:val="00BF2760"/>
    <w:rsid w:val="00BF3355"/>
    <w:rsid w:val="00BF35A4"/>
    <w:rsid w:val="00BF454F"/>
    <w:rsid w:val="00BF516B"/>
    <w:rsid w:val="00BF5382"/>
    <w:rsid w:val="00BF5929"/>
    <w:rsid w:val="00BF6479"/>
    <w:rsid w:val="00BF76B4"/>
    <w:rsid w:val="00BF7DA9"/>
    <w:rsid w:val="00C002D7"/>
    <w:rsid w:val="00C0062C"/>
    <w:rsid w:val="00C00D28"/>
    <w:rsid w:val="00C00E62"/>
    <w:rsid w:val="00C0241B"/>
    <w:rsid w:val="00C0334B"/>
    <w:rsid w:val="00C03532"/>
    <w:rsid w:val="00C03EFC"/>
    <w:rsid w:val="00C03F84"/>
    <w:rsid w:val="00C046BB"/>
    <w:rsid w:val="00C06637"/>
    <w:rsid w:val="00C07215"/>
    <w:rsid w:val="00C076EE"/>
    <w:rsid w:val="00C103D0"/>
    <w:rsid w:val="00C105C3"/>
    <w:rsid w:val="00C10EF5"/>
    <w:rsid w:val="00C11571"/>
    <w:rsid w:val="00C12F34"/>
    <w:rsid w:val="00C130F1"/>
    <w:rsid w:val="00C13243"/>
    <w:rsid w:val="00C14410"/>
    <w:rsid w:val="00C144BB"/>
    <w:rsid w:val="00C16442"/>
    <w:rsid w:val="00C16B1C"/>
    <w:rsid w:val="00C17D76"/>
    <w:rsid w:val="00C2040B"/>
    <w:rsid w:val="00C20B77"/>
    <w:rsid w:val="00C21461"/>
    <w:rsid w:val="00C21B3A"/>
    <w:rsid w:val="00C221A2"/>
    <w:rsid w:val="00C2279A"/>
    <w:rsid w:val="00C22C44"/>
    <w:rsid w:val="00C24473"/>
    <w:rsid w:val="00C24741"/>
    <w:rsid w:val="00C24F1F"/>
    <w:rsid w:val="00C2654D"/>
    <w:rsid w:val="00C26D3E"/>
    <w:rsid w:val="00C26ED7"/>
    <w:rsid w:val="00C2734B"/>
    <w:rsid w:val="00C2786A"/>
    <w:rsid w:val="00C3039D"/>
    <w:rsid w:val="00C31B40"/>
    <w:rsid w:val="00C31F3D"/>
    <w:rsid w:val="00C323C4"/>
    <w:rsid w:val="00C32828"/>
    <w:rsid w:val="00C32AE8"/>
    <w:rsid w:val="00C336CE"/>
    <w:rsid w:val="00C34010"/>
    <w:rsid w:val="00C35281"/>
    <w:rsid w:val="00C358EB"/>
    <w:rsid w:val="00C35C14"/>
    <w:rsid w:val="00C364AF"/>
    <w:rsid w:val="00C37024"/>
    <w:rsid w:val="00C37FEB"/>
    <w:rsid w:val="00C40030"/>
    <w:rsid w:val="00C407B8"/>
    <w:rsid w:val="00C40DAA"/>
    <w:rsid w:val="00C41A8F"/>
    <w:rsid w:val="00C41A92"/>
    <w:rsid w:val="00C41C52"/>
    <w:rsid w:val="00C427CA"/>
    <w:rsid w:val="00C42D43"/>
    <w:rsid w:val="00C42E1E"/>
    <w:rsid w:val="00C43C42"/>
    <w:rsid w:val="00C45A42"/>
    <w:rsid w:val="00C46128"/>
    <w:rsid w:val="00C46F87"/>
    <w:rsid w:val="00C50689"/>
    <w:rsid w:val="00C50BFA"/>
    <w:rsid w:val="00C51892"/>
    <w:rsid w:val="00C51F74"/>
    <w:rsid w:val="00C521CA"/>
    <w:rsid w:val="00C525CF"/>
    <w:rsid w:val="00C531B2"/>
    <w:rsid w:val="00C53C3E"/>
    <w:rsid w:val="00C53CA1"/>
    <w:rsid w:val="00C53D75"/>
    <w:rsid w:val="00C53F0C"/>
    <w:rsid w:val="00C5405D"/>
    <w:rsid w:val="00C54064"/>
    <w:rsid w:val="00C54101"/>
    <w:rsid w:val="00C55B14"/>
    <w:rsid w:val="00C56216"/>
    <w:rsid w:val="00C56757"/>
    <w:rsid w:val="00C568EA"/>
    <w:rsid w:val="00C61BE8"/>
    <w:rsid w:val="00C61C2B"/>
    <w:rsid w:val="00C62271"/>
    <w:rsid w:val="00C6241E"/>
    <w:rsid w:val="00C62D40"/>
    <w:rsid w:val="00C63602"/>
    <w:rsid w:val="00C6363C"/>
    <w:rsid w:val="00C63D68"/>
    <w:rsid w:val="00C64587"/>
    <w:rsid w:val="00C656F5"/>
    <w:rsid w:val="00C65AB9"/>
    <w:rsid w:val="00C66D9D"/>
    <w:rsid w:val="00C67073"/>
    <w:rsid w:val="00C67D4A"/>
    <w:rsid w:val="00C7056D"/>
    <w:rsid w:val="00C70F54"/>
    <w:rsid w:val="00C71110"/>
    <w:rsid w:val="00C711E9"/>
    <w:rsid w:val="00C715F7"/>
    <w:rsid w:val="00C74502"/>
    <w:rsid w:val="00C74648"/>
    <w:rsid w:val="00C7517A"/>
    <w:rsid w:val="00C756E4"/>
    <w:rsid w:val="00C76223"/>
    <w:rsid w:val="00C770BB"/>
    <w:rsid w:val="00C7741D"/>
    <w:rsid w:val="00C77B37"/>
    <w:rsid w:val="00C77C30"/>
    <w:rsid w:val="00C77D97"/>
    <w:rsid w:val="00C77DDF"/>
    <w:rsid w:val="00C8133B"/>
    <w:rsid w:val="00C813C8"/>
    <w:rsid w:val="00C81AAD"/>
    <w:rsid w:val="00C82330"/>
    <w:rsid w:val="00C82767"/>
    <w:rsid w:val="00C83221"/>
    <w:rsid w:val="00C838BB"/>
    <w:rsid w:val="00C83B9F"/>
    <w:rsid w:val="00C83D5D"/>
    <w:rsid w:val="00C84008"/>
    <w:rsid w:val="00C84ABC"/>
    <w:rsid w:val="00C85488"/>
    <w:rsid w:val="00C86123"/>
    <w:rsid w:val="00C86C0B"/>
    <w:rsid w:val="00C901B5"/>
    <w:rsid w:val="00C9075B"/>
    <w:rsid w:val="00C90972"/>
    <w:rsid w:val="00C92223"/>
    <w:rsid w:val="00C93ED7"/>
    <w:rsid w:val="00C94F68"/>
    <w:rsid w:val="00C95E87"/>
    <w:rsid w:val="00CA0A75"/>
    <w:rsid w:val="00CA15C0"/>
    <w:rsid w:val="00CA4B7F"/>
    <w:rsid w:val="00CA5052"/>
    <w:rsid w:val="00CA628C"/>
    <w:rsid w:val="00CA653D"/>
    <w:rsid w:val="00CA69FD"/>
    <w:rsid w:val="00CA7934"/>
    <w:rsid w:val="00CB0338"/>
    <w:rsid w:val="00CB0F7D"/>
    <w:rsid w:val="00CB1B13"/>
    <w:rsid w:val="00CB2A73"/>
    <w:rsid w:val="00CB2CEA"/>
    <w:rsid w:val="00CB3278"/>
    <w:rsid w:val="00CB3FBC"/>
    <w:rsid w:val="00CB4765"/>
    <w:rsid w:val="00CB594F"/>
    <w:rsid w:val="00CB5C7B"/>
    <w:rsid w:val="00CC0251"/>
    <w:rsid w:val="00CC0F21"/>
    <w:rsid w:val="00CC2390"/>
    <w:rsid w:val="00CC2E04"/>
    <w:rsid w:val="00CC38E2"/>
    <w:rsid w:val="00CC3984"/>
    <w:rsid w:val="00CC4022"/>
    <w:rsid w:val="00CC417F"/>
    <w:rsid w:val="00CC5915"/>
    <w:rsid w:val="00CC5CFB"/>
    <w:rsid w:val="00CC6490"/>
    <w:rsid w:val="00CC69FA"/>
    <w:rsid w:val="00CC71E3"/>
    <w:rsid w:val="00CC72A1"/>
    <w:rsid w:val="00CC7CE2"/>
    <w:rsid w:val="00CC7D64"/>
    <w:rsid w:val="00CC7E6B"/>
    <w:rsid w:val="00CC7F3F"/>
    <w:rsid w:val="00CD001F"/>
    <w:rsid w:val="00CD1AE8"/>
    <w:rsid w:val="00CD1EE5"/>
    <w:rsid w:val="00CD2DB5"/>
    <w:rsid w:val="00CD337F"/>
    <w:rsid w:val="00CD3607"/>
    <w:rsid w:val="00CD3F51"/>
    <w:rsid w:val="00CD48AC"/>
    <w:rsid w:val="00CD4D99"/>
    <w:rsid w:val="00CD58C8"/>
    <w:rsid w:val="00CD5C69"/>
    <w:rsid w:val="00CD6748"/>
    <w:rsid w:val="00CD68FD"/>
    <w:rsid w:val="00CD7364"/>
    <w:rsid w:val="00CD7958"/>
    <w:rsid w:val="00CE0353"/>
    <w:rsid w:val="00CE1927"/>
    <w:rsid w:val="00CE19DB"/>
    <w:rsid w:val="00CE1BAE"/>
    <w:rsid w:val="00CE33E6"/>
    <w:rsid w:val="00CE3D3A"/>
    <w:rsid w:val="00CE426C"/>
    <w:rsid w:val="00CE44D3"/>
    <w:rsid w:val="00CE4E4C"/>
    <w:rsid w:val="00CE5219"/>
    <w:rsid w:val="00CE6600"/>
    <w:rsid w:val="00CE6885"/>
    <w:rsid w:val="00CF0672"/>
    <w:rsid w:val="00CF087C"/>
    <w:rsid w:val="00CF0EB8"/>
    <w:rsid w:val="00CF1102"/>
    <w:rsid w:val="00CF2CE6"/>
    <w:rsid w:val="00CF4357"/>
    <w:rsid w:val="00CF4DDC"/>
    <w:rsid w:val="00CF5129"/>
    <w:rsid w:val="00CF539A"/>
    <w:rsid w:val="00CF5858"/>
    <w:rsid w:val="00CF5CF2"/>
    <w:rsid w:val="00CF63F4"/>
    <w:rsid w:val="00CF710B"/>
    <w:rsid w:val="00CF7742"/>
    <w:rsid w:val="00D01A14"/>
    <w:rsid w:val="00D01B52"/>
    <w:rsid w:val="00D01E28"/>
    <w:rsid w:val="00D01FBB"/>
    <w:rsid w:val="00D023C2"/>
    <w:rsid w:val="00D024E7"/>
    <w:rsid w:val="00D0368D"/>
    <w:rsid w:val="00D0465A"/>
    <w:rsid w:val="00D06570"/>
    <w:rsid w:val="00D06752"/>
    <w:rsid w:val="00D07DC5"/>
    <w:rsid w:val="00D101CB"/>
    <w:rsid w:val="00D108B4"/>
    <w:rsid w:val="00D11DDD"/>
    <w:rsid w:val="00D11F78"/>
    <w:rsid w:val="00D124B9"/>
    <w:rsid w:val="00D13521"/>
    <w:rsid w:val="00D1362D"/>
    <w:rsid w:val="00D13708"/>
    <w:rsid w:val="00D13A74"/>
    <w:rsid w:val="00D15054"/>
    <w:rsid w:val="00D155F7"/>
    <w:rsid w:val="00D15AE4"/>
    <w:rsid w:val="00D15DC6"/>
    <w:rsid w:val="00D17588"/>
    <w:rsid w:val="00D20165"/>
    <w:rsid w:val="00D2017F"/>
    <w:rsid w:val="00D202E4"/>
    <w:rsid w:val="00D203DC"/>
    <w:rsid w:val="00D204CF"/>
    <w:rsid w:val="00D2053E"/>
    <w:rsid w:val="00D20582"/>
    <w:rsid w:val="00D20940"/>
    <w:rsid w:val="00D21288"/>
    <w:rsid w:val="00D21512"/>
    <w:rsid w:val="00D21BD2"/>
    <w:rsid w:val="00D22381"/>
    <w:rsid w:val="00D22E7B"/>
    <w:rsid w:val="00D2382A"/>
    <w:rsid w:val="00D240BF"/>
    <w:rsid w:val="00D241EF"/>
    <w:rsid w:val="00D2562C"/>
    <w:rsid w:val="00D26923"/>
    <w:rsid w:val="00D2733C"/>
    <w:rsid w:val="00D27B3A"/>
    <w:rsid w:val="00D31E9E"/>
    <w:rsid w:val="00D3278B"/>
    <w:rsid w:val="00D32B03"/>
    <w:rsid w:val="00D330D3"/>
    <w:rsid w:val="00D3443D"/>
    <w:rsid w:val="00D347C3"/>
    <w:rsid w:val="00D34923"/>
    <w:rsid w:val="00D34BA4"/>
    <w:rsid w:val="00D35D8A"/>
    <w:rsid w:val="00D37BF2"/>
    <w:rsid w:val="00D400D2"/>
    <w:rsid w:val="00D40387"/>
    <w:rsid w:val="00D40602"/>
    <w:rsid w:val="00D40CAF"/>
    <w:rsid w:val="00D40F8F"/>
    <w:rsid w:val="00D4170C"/>
    <w:rsid w:val="00D419F9"/>
    <w:rsid w:val="00D41D2E"/>
    <w:rsid w:val="00D4217F"/>
    <w:rsid w:val="00D4250D"/>
    <w:rsid w:val="00D43050"/>
    <w:rsid w:val="00D4308A"/>
    <w:rsid w:val="00D430F5"/>
    <w:rsid w:val="00D43464"/>
    <w:rsid w:val="00D46044"/>
    <w:rsid w:val="00D46248"/>
    <w:rsid w:val="00D46A52"/>
    <w:rsid w:val="00D47259"/>
    <w:rsid w:val="00D47635"/>
    <w:rsid w:val="00D47BCD"/>
    <w:rsid w:val="00D5032C"/>
    <w:rsid w:val="00D50C42"/>
    <w:rsid w:val="00D52283"/>
    <w:rsid w:val="00D52B8C"/>
    <w:rsid w:val="00D53047"/>
    <w:rsid w:val="00D53A82"/>
    <w:rsid w:val="00D54091"/>
    <w:rsid w:val="00D54D43"/>
    <w:rsid w:val="00D55DC6"/>
    <w:rsid w:val="00D55F7B"/>
    <w:rsid w:val="00D56204"/>
    <w:rsid w:val="00D5663F"/>
    <w:rsid w:val="00D5680D"/>
    <w:rsid w:val="00D57A7D"/>
    <w:rsid w:val="00D57E24"/>
    <w:rsid w:val="00D60364"/>
    <w:rsid w:val="00D611FE"/>
    <w:rsid w:val="00D612F0"/>
    <w:rsid w:val="00D62DFA"/>
    <w:rsid w:val="00D630C2"/>
    <w:rsid w:val="00D63174"/>
    <w:rsid w:val="00D63659"/>
    <w:rsid w:val="00D646EE"/>
    <w:rsid w:val="00D64C12"/>
    <w:rsid w:val="00D654F3"/>
    <w:rsid w:val="00D664FF"/>
    <w:rsid w:val="00D70786"/>
    <w:rsid w:val="00D7110A"/>
    <w:rsid w:val="00D72583"/>
    <w:rsid w:val="00D7269A"/>
    <w:rsid w:val="00D7320B"/>
    <w:rsid w:val="00D7402F"/>
    <w:rsid w:val="00D75173"/>
    <w:rsid w:val="00D76901"/>
    <w:rsid w:val="00D76ACE"/>
    <w:rsid w:val="00D76CA3"/>
    <w:rsid w:val="00D76D55"/>
    <w:rsid w:val="00D76ED7"/>
    <w:rsid w:val="00D77119"/>
    <w:rsid w:val="00D77AFC"/>
    <w:rsid w:val="00D8139C"/>
    <w:rsid w:val="00D81EA2"/>
    <w:rsid w:val="00D82CC3"/>
    <w:rsid w:val="00D82CE1"/>
    <w:rsid w:val="00D82FFD"/>
    <w:rsid w:val="00D83453"/>
    <w:rsid w:val="00D8362C"/>
    <w:rsid w:val="00D83945"/>
    <w:rsid w:val="00D83E03"/>
    <w:rsid w:val="00D84389"/>
    <w:rsid w:val="00D85217"/>
    <w:rsid w:val="00D86AAC"/>
    <w:rsid w:val="00D87D3B"/>
    <w:rsid w:val="00D90271"/>
    <w:rsid w:val="00D90689"/>
    <w:rsid w:val="00D90A4E"/>
    <w:rsid w:val="00D90BA6"/>
    <w:rsid w:val="00D9123C"/>
    <w:rsid w:val="00D916AA"/>
    <w:rsid w:val="00D92207"/>
    <w:rsid w:val="00D92820"/>
    <w:rsid w:val="00D9310B"/>
    <w:rsid w:val="00D93183"/>
    <w:rsid w:val="00D9348F"/>
    <w:rsid w:val="00D937DB"/>
    <w:rsid w:val="00D94331"/>
    <w:rsid w:val="00D94371"/>
    <w:rsid w:val="00D94880"/>
    <w:rsid w:val="00D94D39"/>
    <w:rsid w:val="00D953C1"/>
    <w:rsid w:val="00D957F6"/>
    <w:rsid w:val="00D9633A"/>
    <w:rsid w:val="00D967D6"/>
    <w:rsid w:val="00D96992"/>
    <w:rsid w:val="00DA02F1"/>
    <w:rsid w:val="00DA07E0"/>
    <w:rsid w:val="00DA08D0"/>
    <w:rsid w:val="00DA0FB7"/>
    <w:rsid w:val="00DA1916"/>
    <w:rsid w:val="00DA2437"/>
    <w:rsid w:val="00DA34D7"/>
    <w:rsid w:val="00DA39D9"/>
    <w:rsid w:val="00DA43B8"/>
    <w:rsid w:val="00DA4BC5"/>
    <w:rsid w:val="00DA4C2F"/>
    <w:rsid w:val="00DA5B2E"/>
    <w:rsid w:val="00DA6235"/>
    <w:rsid w:val="00DA6A2C"/>
    <w:rsid w:val="00DA6F9C"/>
    <w:rsid w:val="00DA71ED"/>
    <w:rsid w:val="00DA785A"/>
    <w:rsid w:val="00DA7D5F"/>
    <w:rsid w:val="00DB0405"/>
    <w:rsid w:val="00DB11A6"/>
    <w:rsid w:val="00DB11C0"/>
    <w:rsid w:val="00DB1390"/>
    <w:rsid w:val="00DB1F6C"/>
    <w:rsid w:val="00DB1FC5"/>
    <w:rsid w:val="00DB220F"/>
    <w:rsid w:val="00DB2293"/>
    <w:rsid w:val="00DB2836"/>
    <w:rsid w:val="00DB2CAB"/>
    <w:rsid w:val="00DB37ED"/>
    <w:rsid w:val="00DB4AA0"/>
    <w:rsid w:val="00DB58B5"/>
    <w:rsid w:val="00DB5FFE"/>
    <w:rsid w:val="00DB71EA"/>
    <w:rsid w:val="00DB7B2E"/>
    <w:rsid w:val="00DC0064"/>
    <w:rsid w:val="00DC1A32"/>
    <w:rsid w:val="00DC1DEE"/>
    <w:rsid w:val="00DC221C"/>
    <w:rsid w:val="00DC262E"/>
    <w:rsid w:val="00DC29CA"/>
    <w:rsid w:val="00DC2D0F"/>
    <w:rsid w:val="00DC2F67"/>
    <w:rsid w:val="00DC3521"/>
    <w:rsid w:val="00DC3E99"/>
    <w:rsid w:val="00DC4704"/>
    <w:rsid w:val="00DC4751"/>
    <w:rsid w:val="00DC5354"/>
    <w:rsid w:val="00DC5BA6"/>
    <w:rsid w:val="00DC6573"/>
    <w:rsid w:val="00DC7F5A"/>
    <w:rsid w:val="00DD0F66"/>
    <w:rsid w:val="00DD0F8B"/>
    <w:rsid w:val="00DD1194"/>
    <w:rsid w:val="00DD11B8"/>
    <w:rsid w:val="00DD1D79"/>
    <w:rsid w:val="00DD210C"/>
    <w:rsid w:val="00DD2300"/>
    <w:rsid w:val="00DD2B89"/>
    <w:rsid w:val="00DD2D61"/>
    <w:rsid w:val="00DD447A"/>
    <w:rsid w:val="00DD497C"/>
    <w:rsid w:val="00DD4C18"/>
    <w:rsid w:val="00DD534F"/>
    <w:rsid w:val="00DD552B"/>
    <w:rsid w:val="00DD5560"/>
    <w:rsid w:val="00DD55BA"/>
    <w:rsid w:val="00DD5D40"/>
    <w:rsid w:val="00DD6DDD"/>
    <w:rsid w:val="00DD6E91"/>
    <w:rsid w:val="00DE02F1"/>
    <w:rsid w:val="00DE044C"/>
    <w:rsid w:val="00DE0482"/>
    <w:rsid w:val="00DE0D18"/>
    <w:rsid w:val="00DE0EE4"/>
    <w:rsid w:val="00DE0EE6"/>
    <w:rsid w:val="00DE274E"/>
    <w:rsid w:val="00DE3996"/>
    <w:rsid w:val="00DE4BF9"/>
    <w:rsid w:val="00DE526C"/>
    <w:rsid w:val="00DE6240"/>
    <w:rsid w:val="00DE69E7"/>
    <w:rsid w:val="00DE6DD3"/>
    <w:rsid w:val="00DE7895"/>
    <w:rsid w:val="00DE7A57"/>
    <w:rsid w:val="00DE7BF6"/>
    <w:rsid w:val="00DE7FC8"/>
    <w:rsid w:val="00DF0D63"/>
    <w:rsid w:val="00DF10B7"/>
    <w:rsid w:val="00DF15D6"/>
    <w:rsid w:val="00DF1D64"/>
    <w:rsid w:val="00DF2B00"/>
    <w:rsid w:val="00DF3835"/>
    <w:rsid w:val="00DF39E8"/>
    <w:rsid w:val="00DF4692"/>
    <w:rsid w:val="00DF47B4"/>
    <w:rsid w:val="00DF51A3"/>
    <w:rsid w:val="00DF5B82"/>
    <w:rsid w:val="00DF61FD"/>
    <w:rsid w:val="00DF6DCA"/>
    <w:rsid w:val="00E007C7"/>
    <w:rsid w:val="00E00D05"/>
    <w:rsid w:val="00E01D98"/>
    <w:rsid w:val="00E01DC9"/>
    <w:rsid w:val="00E035BE"/>
    <w:rsid w:val="00E04544"/>
    <w:rsid w:val="00E048A8"/>
    <w:rsid w:val="00E04D32"/>
    <w:rsid w:val="00E04EBE"/>
    <w:rsid w:val="00E04F5E"/>
    <w:rsid w:val="00E0534B"/>
    <w:rsid w:val="00E0598A"/>
    <w:rsid w:val="00E05C2A"/>
    <w:rsid w:val="00E05DEA"/>
    <w:rsid w:val="00E06415"/>
    <w:rsid w:val="00E065D5"/>
    <w:rsid w:val="00E06816"/>
    <w:rsid w:val="00E07099"/>
    <w:rsid w:val="00E07954"/>
    <w:rsid w:val="00E07ABA"/>
    <w:rsid w:val="00E07C57"/>
    <w:rsid w:val="00E10212"/>
    <w:rsid w:val="00E10FED"/>
    <w:rsid w:val="00E11CC2"/>
    <w:rsid w:val="00E12896"/>
    <w:rsid w:val="00E138A2"/>
    <w:rsid w:val="00E14CA2"/>
    <w:rsid w:val="00E154C0"/>
    <w:rsid w:val="00E15A9A"/>
    <w:rsid w:val="00E20923"/>
    <w:rsid w:val="00E211B0"/>
    <w:rsid w:val="00E21520"/>
    <w:rsid w:val="00E21D11"/>
    <w:rsid w:val="00E235B6"/>
    <w:rsid w:val="00E239A8"/>
    <w:rsid w:val="00E2416D"/>
    <w:rsid w:val="00E2557D"/>
    <w:rsid w:val="00E256A1"/>
    <w:rsid w:val="00E25740"/>
    <w:rsid w:val="00E25CE0"/>
    <w:rsid w:val="00E26351"/>
    <w:rsid w:val="00E26458"/>
    <w:rsid w:val="00E2676B"/>
    <w:rsid w:val="00E26A9E"/>
    <w:rsid w:val="00E26AC7"/>
    <w:rsid w:val="00E26DB1"/>
    <w:rsid w:val="00E26F60"/>
    <w:rsid w:val="00E27C42"/>
    <w:rsid w:val="00E30261"/>
    <w:rsid w:val="00E304CA"/>
    <w:rsid w:val="00E3086F"/>
    <w:rsid w:val="00E30F63"/>
    <w:rsid w:val="00E314E5"/>
    <w:rsid w:val="00E31604"/>
    <w:rsid w:val="00E32417"/>
    <w:rsid w:val="00E3251E"/>
    <w:rsid w:val="00E32BAE"/>
    <w:rsid w:val="00E33F56"/>
    <w:rsid w:val="00E3415F"/>
    <w:rsid w:val="00E342D5"/>
    <w:rsid w:val="00E34925"/>
    <w:rsid w:val="00E35316"/>
    <w:rsid w:val="00E35641"/>
    <w:rsid w:val="00E35956"/>
    <w:rsid w:val="00E36766"/>
    <w:rsid w:val="00E37FB5"/>
    <w:rsid w:val="00E4003A"/>
    <w:rsid w:val="00E4004D"/>
    <w:rsid w:val="00E407D2"/>
    <w:rsid w:val="00E40967"/>
    <w:rsid w:val="00E40AF2"/>
    <w:rsid w:val="00E40B09"/>
    <w:rsid w:val="00E413AB"/>
    <w:rsid w:val="00E41DD9"/>
    <w:rsid w:val="00E43863"/>
    <w:rsid w:val="00E448D3"/>
    <w:rsid w:val="00E44E9B"/>
    <w:rsid w:val="00E4528A"/>
    <w:rsid w:val="00E45BEC"/>
    <w:rsid w:val="00E4623E"/>
    <w:rsid w:val="00E4660E"/>
    <w:rsid w:val="00E46D40"/>
    <w:rsid w:val="00E46F62"/>
    <w:rsid w:val="00E47487"/>
    <w:rsid w:val="00E4757B"/>
    <w:rsid w:val="00E50AA9"/>
    <w:rsid w:val="00E5118A"/>
    <w:rsid w:val="00E5169E"/>
    <w:rsid w:val="00E51725"/>
    <w:rsid w:val="00E51CBB"/>
    <w:rsid w:val="00E52082"/>
    <w:rsid w:val="00E5398C"/>
    <w:rsid w:val="00E54069"/>
    <w:rsid w:val="00E540D9"/>
    <w:rsid w:val="00E5456B"/>
    <w:rsid w:val="00E547AE"/>
    <w:rsid w:val="00E57513"/>
    <w:rsid w:val="00E601EC"/>
    <w:rsid w:val="00E6020B"/>
    <w:rsid w:val="00E6047F"/>
    <w:rsid w:val="00E60B42"/>
    <w:rsid w:val="00E60F57"/>
    <w:rsid w:val="00E631A0"/>
    <w:rsid w:val="00E63E66"/>
    <w:rsid w:val="00E6569A"/>
    <w:rsid w:val="00E66733"/>
    <w:rsid w:val="00E66D81"/>
    <w:rsid w:val="00E71796"/>
    <w:rsid w:val="00E71AA0"/>
    <w:rsid w:val="00E71ACB"/>
    <w:rsid w:val="00E741BF"/>
    <w:rsid w:val="00E74483"/>
    <w:rsid w:val="00E751D5"/>
    <w:rsid w:val="00E7525C"/>
    <w:rsid w:val="00E75313"/>
    <w:rsid w:val="00E76986"/>
    <w:rsid w:val="00E771E1"/>
    <w:rsid w:val="00E77A30"/>
    <w:rsid w:val="00E77D50"/>
    <w:rsid w:val="00E80BE2"/>
    <w:rsid w:val="00E80E0B"/>
    <w:rsid w:val="00E80EA8"/>
    <w:rsid w:val="00E80FA3"/>
    <w:rsid w:val="00E80FBC"/>
    <w:rsid w:val="00E818F6"/>
    <w:rsid w:val="00E8224F"/>
    <w:rsid w:val="00E822F1"/>
    <w:rsid w:val="00E8300C"/>
    <w:rsid w:val="00E83219"/>
    <w:rsid w:val="00E83AC3"/>
    <w:rsid w:val="00E85300"/>
    <w:rsid w:val="00E86D7C"/>
    <w:rsid w:val="00E876B9"/>
    <w:rsid w:val="00E906FE"/>
    <w:rsid w:val="00E90724"/>
    <w:rsid w:val="00E90762"/>
    <w:rsid w:val="00E91AFA"/>
    <w:rsid w:val="00E9214B"/>
    <w:rsid w:val="00E92CF5"/>
    <w:rsid w:val="00E93CCA"/>
    <w:rsid w:val="00E94A67"/>
    <w:rsid w:val="00E959AB"/>
    <w:rsid w:val="00E95FF7"/>
    <w:rsid w:val="00E971AE"/>
    <w:rsid w:val="00E97A69"/>
    <w:rsid w:val="00E97EDC"/>
    <w:rsid w:val="00EA027F"/>
    <w:rsid w:val="00EA0E27"/>
    <w:rsid w:val="00EA1863"/>
    <w:rsid w:val="00EA1E36"/>
    <w:rsid w:val="00EA2562"/>
    <w:rsid w:val="00EA290B"/>
    <w:rsid w:val="00EA34EF"/>
    <w:rsid w:val="00EA5CBC"/>
    <w:rsid w:val="00EA6349"/>
    <w:rsid w:val="00EA78F2"/>
    <w:rsid w:val="00EA7D8D"/>
    <w:rsid w:val="00EA7DEE"/>
    <w:rsid w:val="00EB0203"/>
    <w:rsid w:val="00EB0D00"/>
    <w:rsid w:val="00EB20BE"/>
    <w:rsid w:val="00EB28A3"/>
    <w:rsid w:val="00EB2BF0"/>
    <w:rsid w:val="00EB355E"/>
    <w:rsid w:val="00EB565D"/>
    <w:rsid w:val="00EB5749"/>
    <w:rsid w:val="00EB60F4"/>
    <w:rsid w:val="00EB6504"/>
    <w:rsid w:val="00EB6982"/>
    <w:rsid w:val="00EB6BA3"/>
    <w:rsid w:val="00EB7165"/>
    <w:rsid w:val="00EB75AC"/>
    <w:rsid w:val="00EB75C6"/>
    <w:rsid w:val="00EC043E"/>
    <w:rsid w:val="00EC08D8"/>
    <w:rsid w:val="00EC1863"/>
    <w:rsid w:val="00EC1B24"/>
    <w:rsid w:val="00EC1BB5"/>
    <w:rsid w:val="00EC2041"/>
    <w:rsid w:val="00EC2C62"/>
    <w:rsid w:val="00EC2CE1"/>
    <w:rsid w:val="00EC383D"/>
    <w:rsid w:val="00EC3D53"/>
    <w:rsid w:val="00EC5124"/>
    <w:rsid w:val="00EC6395"/>
    <w:rsid w:val="00EC6BDD"/>
    <w:rsid w:val="00EC6CBA"/>
    <w:rsid w:val="00EC6F14"/>
    <w:rsid w:val="00EC7147"/>
    <w:rsid w:val="00EC71B9"/>
    <w:rsid w:val="00EC77DD"/>
    <w:rsid w:val="00EC78B5"/>
    <w:rsid w:val="00EC7AF9"/>
    <w:rsid w:val="00ED037D"/>
    <w:rsid w:val="00ED21C1"/>
    <w:rsid w:val="00ED2391"/>
    <w:rsid w:val="00ED337D"/>
    <w:rsid w:val="00ED39F6"/>
    <w:rsid w:val="00ED3E91"/>
    <w:rsid w:val="00ED45C4"/>
    <w:rsid w:val="00ED50BE"/>
    <w:rsid w:val="00ED5327"/>
    <w:rsid w:val="00EE16D8"/>
    <w:rsid w:val="00EE1A1C"/>
    <w:rsid w:val="00EE304F"/>
    <w:rsid w:val="00EE3152"/>
    <w:rsid w:val="00EE3DEA"/>
    <w:rsid w:val="00EE426E"/>
    <w:rsid w:val="00EE49A0"/>
    <w:rsid w:val="00EE4AE4"/>
    <w:rsid w:val="00EE576C"/>
    <w:rsid w:val="00EE612D"/>
    <w:rsid w:val="00EE66AA"/>
    <w:rsid w:val="00EF102D"/>
    <w:rsid w:val="00EF1940"/>
    <w:rsid w:val="00EF209F"/>
    <w:rsid w:val="00EF388E"/>
    <w:rsid w:val="00EF454D"/>
    <w:rsid w:val="00EF493B"/>
    <w:rsid w:val="00EF51FE"/>
    <w:rsid w:val="00EF58C9"/>
    <w:rsid w:val="00EF62BC"/>
    <w:rsid w:val="00EF6569"/>
    <w:rsid w:val="00EF6826"/>
    <w:rsid w:val="00F00C59"/>
    <w:rsid w:val="00F01E0C"/>
    <w:rsid w:val="00F02D4E"/>
    <w:rsid w:val="00F0389C"/>
    <w:rsid w:val="00F03C4C"/>
    <w:rsid w:val="00F04881"/>
    <w:rsid w:val="00F04A9C"/>
    <w:rsid w:val="00F0616E"/>
    <w:rsid w:val="00F063E5"/>
    <w:rsid w:val="00F079DC"/>
    <w:rsid w:val="00F1043C"/>
    <w:rsid w:val="00F1187E"/>
    <w:rsid w:val="00F11A70"/>
    <w:rsid w:val="00F11EA4"/>
    <w:rsid w:val="00F120DF"/>
    <w:rsid w:val="00F13F03"/>
    <w:rsid w:val="00F14143"/>
    <w:rsid w:val="00F14331"/>
    <w:rsid w:val="00F14F75"/>
    <w:rsid w:val="00F156EB"/>
    <w:rsid w:val="00F15C97"/>
    <w:rsid w:val="00F16882"/>
    <w:rsid w:val="00F16BBC"/>
    <w:rsid w:val="00F16DED"/>
    <w:rsid w:val="00F16FD6"/>
    <w:rsid w:val="00F177B2"/>
    <w:rsid w:val="00F17C4A"/>
    <w:rsid w:val="00F245AA"/>
    <w:rsid w:val="00F2490D"/>
    <w:rsid w:val="00F24BCE"/>
    <w:rsid w:val="00F25484"/>
    <w:rsid w:val="00F25C74"/>
    <w:rsid w:val="00F2637D"/>
    <w:rsid w:val="00F2693B"/>
    <w:rsid w:val="00F27043"/>
    <w:rsid w:val="00F302CD"/>
    <w:rsid w:val="00F3097D"/>
    <w:rsid w:val="00F30A73"/>
    <w:rsid w:val="00F30DC4"/>
    <w:rsid w:val="00F323FD"/>
    <w:rsid w:val="00F32B01"/>
    <w:rsid w:val="00F337FE"/>
    <w:rsid w:val="00F33DA0"/>
    <w:rsid w:val="00F33F89"/>
    <w:rsid w:val="00F34CB3"/>
    <w:rsid w:val="00F352F6"/>
    <w:rsid w:val="00F3530B"/>
    <w:rsid w:val="00F356C6"/>
    <w:rsid w:val="00F35D19"/>
    <w:rsid w:val="00F36343"/>
    <w:rsid w:val="00F365B7"/>
    <w:rsid w:val="00F3675F"/>
    <w:rsid w:val="00F36BBE"/>
    <w:rsid w:val="00F36D52"/>
    <w:rsid w:val="00F379B6"/>
    <w:rsid w:val="00F412EB"/>
    <w:rsid w:val="00F4165D"/>
    <w:rsid w:val="00F4195A"/>
    <w:rsid w:val="00F41A4D"/>
    <w:rsid w:val="00F42368"/>
    <w:rsid w:val="00F42805"/>
    <w:rsid w:val="00F42900"/>
    <w:rsid w:val="00F43A5F"/>
    <w:rsid w:val="00F43AAA"/>
    <w:rsid w:val="00F43E29"/>
    <w:rsid w:val="00F44EB9"/>
    <w:rsid w:val="00F45054"/>
    <w:rsid w:val="00F461C5"/>
    <w:rsid w:val="00F50E12"/>
    <w:rsid w:val="00F50FA0"/>
    <w:rsid w:val="00F5325B"/>
    <w:rsid w:val="00F53A81"/>
    <w:rsid w:val="00F53CE2"/>
    <w:rsid w:val="00F54159"/>
    <w:rsid w:val="00F54A47"/>
    <w:rsid w:val="00F54AF6"/>
    <w:rsid w:val="00F54BBC"/>
    <w:rsid w:val="00F54BE0"/>
    <w:rsid w:val="00F54FFF"/>
    <w:rsid w:val="00F5652E"/>
    <w:rsid w:val="00F56643"/>
    <w:rsid w:val="00F574BC"/>
    <w:rsid w:val="00F57BEE"/>
    <w:rsid w:val="00F6163F"/>
    <w:rsid w:val="00F6177A"/>
    <w:rsid w:val="00F61819"/>
    <w:rsid w:val="00F61E7A"/>
    <w:rsid w:val="00F622FF"/>
    <w:rsid w:val="00F63151"/>
    <w:rsid w:val="00F6344E"/>
    <w:rsid w:val="00F64723"/>
    <w:rsid w:val="00F66091"/>
    <w:rsid w:val="00F661E0"/>
    <w:rsid w:val="00F666C9"/>
    <w:rsid w:val="00F67AB5"/>
    <w:rsid w:val="00F67BEE"/>
    <w:rsid w:val="00F710D7"/>
    <w:rsid w:val="00F71932"/>
    <w:rsid w:val="00F728CB"/>
    <w:rsid w:val="00F72E87"/>
    <w:rsid w:val="00F72E8B"/>
    <w:rsid w:val="00F7370D"/>
    <w:rsid w:val="00F73DE7"/>
    <w:rsid w:val="00F73F4B"/>
    <w:rsid w:val="00F748D0"/>
    <w:rsid w:val="00F75482"/>
    <w:rsid w:val="00F755FE"/>
    <w:rsid w:val="00F75F0A"/>
    <w:rsid w:val="00F779CE"/>
    <w:rsid w:val="00F77EEF"/>
    <w:rsid w:val="00F804B7"/>
    <w:rsid w:val="00F80C04"/>
    <w:rsid w:val="00F820D8"/>
    <w:rsid w:val="00F82D3E"/>
    <w:rsid w:val="00F82E1D"/>
    <w:rsid w:val="00F83A73"/>
    <w:rsid w:val="00F83B17"/>
    <w:rsid w:val="00F83CBF"/>
    <w:rsid w:val="00F83D5A"/>
    <w:rsid w:val="00F83F59"/>
    <w:rsid w:val="00F851B5"/>
    <w:rsid w:val="00F851C0"/>
    <w:rsid w:val="00F86600"/>
    <w:rsid w:val="00F904C5"/>
    <w:rsid w:val="00F9053E"/>
    <w:rsid w:val="00F90759"/>
    <w:rsid w:val="00F907CA"/>
    <w:rsid w:val="00F90B8C"/>
    <w:rsid w:val="00F91594"/>
    <w:rsid w:val="00F91EE5"/>
    <w:rsid w:val="00F92536"/>
    <w:rsid w:val="00F92790"/>
    <w:rsid w:val="00F92E08"/>
    <w:rsid w:val="00F93173"/>
    <w:rsid w:val="00F9493C"/>
    <w:rsid w:val="00F95B1D"/>
    <w:rsid w:val="00F95DC4"/>
    <w:rsid w:val="00F96AD6"/>
    <w:rsid w:val="00F974D8"/>
    <w:rsid w:val="00FA3220"/>
    <w:rsid w:val="00FA3243"/>
    <w:rsid w:val="00FA35C5"/>
    <w:rsid w:val="00FA3740"/>
    <w:rsid w:val="00FA3A4E"/>
    <w:rsid w:val="00FA3FB4"/>
    <w:rsid w:val="00FA4F12"/>
    <w:rsid w:val="00FA625B"/>
    <w:rsid w:val="00FA68BA"/>
    <w:rsid w:val="00FA6DF8"/>
    <w:rsid w:val="00FA734C"/>
    <w:rsid w:val="00FA76B9"/>
    <w:rsid w:val="00FB097C"/>
    <w:rsid w:val="00FB0D61"/>
    <w:rsid w:val="00FB13A0"/>
    <w:rsid w:val="00FB1961"/>
    <w:rsid w:val="00FB296B"/>
    <w:rsid w:val="00FB2E9B"/>
    <w:rsid w:val="00FB31DB"/>
    <w:rsid w:val="00FB33FE"/>
    <w:rsid w:val="00FB35F2"/>
    <w:rsid w:val="00FB4DA8"/>
    <w:rsid w:val="00FB4DC2"/>
    <w:rsid w:val="00FB71B8"/>
    <w:rsid w:val="00FC01DF"/>
    <w:rsid w:val="00FC047C"/>
    <w:rsid w:val="00FC095A"/>
    <w:rsid w:val="00FC097F"/>
    <w:rsid w:val="00FC1454"/>
    <w:rsid w:val="00FC1FAB"/>
    <w:rsid w:val="00FC2230"/>
    <w:rsid w:val="00FC295E"/>
    <w:rsid w:val="00FC2D95"/>
    <w:rsid w:val="00FC32B6"/>
    <w:rsid w:val="00FC412B"/>
    <w:rsid w:val="00FC4DF6"/>
    <w:rsid w:val="00FC54EC"/>
    <w:rsid w:val="00FC657A"/>
    <w:rsid w:val="00FC6721"/>
    <w:rsid w:val="00FC756A"/>
    <w:rsid w:val="00FD1423"/>
    <w:rsid w:val="00FD1712"/>
    <w:rsid w:val="00FD1718"/>
    <w:rsid w:val="00FD18CF"/>
    <w:rsid w:val="00FD19D6"/>
    <w:rsid w:val="00FD1D68"/>
    <w:rsid w:val="00FD2DC5"/>
    <w:rsid w:val="00FD374F"/>
    <w:rsid w:val="00FD4838"/>
    <w:rsid w:val="00FD4F75"/>
    <w:rsid w:val="00FD709D"/>
    <w:rsid w:val="00FD7F10"/>
    <w:rsid w:val="00FE1528"/>
    <w:rsid w:val="00FE2262"/>
    <w:rsid w:val="00FE2364"/>
    <w:rsid w:val="00FE450C"/>
    <w:rsid w:val="00FE46E4"/>
    <w:rsid w:val="00FE4976"/>
    <w:rsid w:val="00FE53B8"/>
    <w:rsid w:val="00FE64B8"/>
    <w:rsid w:val="00FE7425"/>
    <w:rsid w:val="00FE7A19"/>
    <w:rsid w:val="00FE7FAF"/>
    <w:rsid w:val="00FF0489"/>
    <w:rsid w:val="00FF07F7"/>
    <w:rsid w:val="00FF0DFC"/>
    <w:rsid w:val="00FF10CF"/>
    <w:rsid w:val="00FF1576"/>
    <w:rsid w:val="00FF2B88"/>
    <w:rsid w:val="00FF2BC2"/>
    <w:rsid w:val="00FF2DB6"/>
    <w:rsid w:val="00FF348B"/>
    <w:rsid w:val="00FF348F"/>
    <w:rsid w:val="00FF36A4"/>
    <w:rsid w:val="00FF691C"/>
    <w:rsid w:val="00FF7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3728E4"/>
  <w15:docId w15:val="{D30D885E-1F8E-4282-ADAB-20983FDBD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DE1"/>
  </w:style>
  <w:style w:type="paragraph" w:styleId="Heading1">
    <w:name w:val="heading 1"/>
    <w:basedOn w:val="Normal"/>
    <w:next w:val="Normal"/>
    <w:link w:val="Heading1Char"/>
    <w:uiPriority w:val="9"/>
    <w:qFormat/>
    <w:rsid w:val="00E12896"/>
    <w:pPr>
      <w:keepNext/>
      <w:keepLines/>
      <w:numPr>
        <w:numId w:val="58"/>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0E9E"/>
    <w:pPr>
      <w:keepNext/>
      <w:keepLines/>
      <w:numPr>
        <w:ilvl w:val="1"/>
        <w:numId w:val="58"/>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14810"/>
    <w:pPr>
      <w:keepNext/>
      <w:keepLines/>
      <w:numPr>
        <w:ilvl w:val="2"/>
        <w:numId w:val="58"/>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37FEB"/>
    <w:pPr>
      <w:keepNext/>
      <w:keepLines/>
      <w:numPr>
        <w:ilvl w:val="3"/>
        <w:numId w:val="58"/>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14130"/>
    <w:pPr>
      <w:keepNext/>
      <w:keepLines/>
      <w:numPr>
        <w:ilvl w:val="4"/>
        <w:numId w:val="58"/>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37FEB"/>
    <w:pPr>
      <w:keepNext/>
      <w:keepLines/>
      <w:numPr>
        <w:ilvl w:val="5"/>
        <w:numId w:val="5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37FEB"/>
    <w:pPr>
      <w:keepNext/>
      <w:keepLines/>
      <w:numPr>
        <w:ilvl w:val="6"/>
        <w:numId w:val="5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37FEB"/>
    <w:pPr>
      <w:keepNext/>
      <w:keepLines/>
      <w:numPr>
        <w:ilvl w:val="7"/>
        <w:numId w:val="5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37FEB"/>
    <w:pPr>
      <w:keepNext/>
      <w:keepLines/>
      <w:numPr>
        <w:ilvl w:val="8"/>
        <w:numId w:val="5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89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12896"/>
    <w:pPr>
      <w:spacing w:line="259" w:lineRule="auto"/>
      <w:outlineLvl w:val="9"/>
    </w:pPr>
    <w:rPr>
      <w:lang w:eastAsia="en-US"/>
    </w:rPr>
  </w:style>
  <w:style w:type="paragraph" w:customStyle="1" w:styleId="normaluvuceni3">
    <w:name w:val="normal_uvuceni3"/>
    <w:basedOn w:val="Normal"/>
    <w:rsid w:val="00B776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77656"/>
  </w:style>
  <w:style w:type="paragraph" w:customStyle="1" w:styleId="Normal1">
    <w:name w:val="Normal1"/>
    <w:basedOn w:val="Heading1"/>
    <w:next w:val="Heading2"/>
    <w:autoRedefine/>
    <w:qFormat/>
    <w:rsid w:val="006864B3"/>
    <w:pPr>
      <w:numPr>
        <w:numId w:val="4"/>
      </w:numPr>
      <w:spacing w:before="0" w:line="240" w:lineRule="auto"/>
      <w:ind w:left="851" w:hanging="851"/>
    </w:pPr>
    <w:rPr>
      <w:rFonts w:ascii="Cambria" w:eastAsia="Times New Roman" w:hAnsi="Cambria" w:cs="Times New Roman"/>
      <w:color w:val="000000" w:themeColor="text1"/>
      <w:sz w:val="22"/>
      <w:szCs w:val="24"/>
      <w:lang w:val="sr-Cyrl-RS"/>
    </w:rPr>
  </w:style>
  <w:style w:type="paragraph" w:styleId="Header">
    <w:name w:val="header"/>
    <w:basedOn w:val="Normal"/>
    <w:link w:val="HeaderChar"/>
    <w:uiPriority w:val="99"/>
    <w:unhideWhenUsed/>
    <w:rsid w:val="00580E9E"/>
    <w:pPr>
      <w:tabs>
        <w:tab w:val="center" w:pos="4680"/>
        <w:tab w:val="right" w:pos="9360"/>
      </w:tabs>
      <w:spacing w:line="240" w:lineRule="auto"/>
    </w:pPr>
  </w:style>
  <w:style w:type="character" w:customStyle="1" w:styleId="HeaderChar">
    <w:name w:val="Header Char"/>
    <w:basedOn w:val="DefaultParagraphFont"/>
    <w:link w:val="Header"/>
    <w:uiPriority w:val="99"/>
    <w:rsid w:val="00580E9E"/>
  </w:style>
  <w:style w:type="paragraph" w:styleId="Footer">
    <w:name w:val="footer"/>
    <w:aliases w:val="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80E9E"/>
    <w:pPr>
      <w:tabs>
        <w:tab w:val="center" w:pos="4680"/>
        <w:tab w:val="right" w:pos="9360"/>
      </w:tabs>
      <w:spacing w:line="240" w:lineRule="auto"/>
    </w:pPr>
  </w:style>
  <w:style w:type="character" w:customStyle="1" w:styleId="FooterChar">
    <w:name w:val="Footer Char"/>
    <w:aliases w:val="Char Char Char Char1,Char Char1,Char Char Char1,Char Char Char Char Char Char Char Char,Char Char Char Char Char Char Char Char Char Char,Char Char Char Char Char Char Char Char Char Char Char Char Char Char,Char1 Char,Char Cha Char"/>
    <w:basedOn w:val="DefaultParagraphFont"/>
    <w:link w:val="Footer"/>
    <w:uiPriority w:val="99"/>
    <w:rsid w:val="00580E9E"/>
  </w:style>
  <w:style w:type="paragraph" w:styleId="TOC1">
    <w:name w:val="toc 1"/>
    <w:basedOn w:val="Normal"/>
    <w:next w:val="Normal"/>
    <w:autoRedefine/>
    <w:uiPriority w:val="39"/>
    <w:unhideWhenUsed/>
    <w:rsid w:val="0085416C"/>
    <w:pPr>
      <w:tabs>
        <w:tab w:val="left" w:pos="440"/>
        <w:tab w:val="right" w:leader="dot" w:pos="9629"/>
      </w:tabs>
      <w:spacing w:after="60"/>
    </w:pPr>
  </w:style>
  <w:style w:type="character" w:customStyle="1" w:styleId="Heading2Char">
    <w:name w:val="Heading 2 Char"/>
    <w:basedOn w:val="DefaultParagraphFont"/>
    <w:link w:val="Heading2"/>
    <w:uiPriority w:val="9"/>
    <w:rsid w:val="00580E9E"/>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5246EF"/>
    <w:rPr>
      <w:color w:val="0563C1" w:themeColor="hyperlink"/>
      <w:u w:val="single"/>
    </w:rPr>
  </w:style>
  <w:style w:type="paragraph" w:styleId="ListParagraph">
    <w:name w:val="List Paragraph"/>
    <w:basedOn w:val="Normal"/>
    <w:uiPriority w:val="34"/>
    <w:qFormat/>
    <w:rsid w:val="005246EF"/>
    <w:pPr>
      <w:ind w:left="720"/>
      <w:contextualSpacing/>
    </w:pPr>
  </w:style>
  <w:style w:type="paragraph" w:styleId="TOC2">
    <w:name w:val="toc 2"/>
    <w:basedOn w:val="Normal"/>
    <w:next w:val="Normal"/>
    <w:autoRedefine/>
    <w:uiPriority w:val="39"/>
    <w:unhideWhenUsed/>
    <w:rsid w:val="006864B3"/>
    <w:pPr>
      <w:spacing w:after="100"/>
      <w:ind w:left="220"/>
    </w:pPr>
  </w:style>
  <w:style w:type="paragraph" w:styleId="FootnoteText">
    <w:name w:val="footnote text"/>
    <w:basedOn w:val="Normal"/>
    <w:link w:val="FootnoteTextChar"/>
    <w:uiPriority w:val="99"/>
    <w:semiHidden/>
    <w:unhideWhenUsed/>
    <w:rsid w:val="00836571"/>
    <w:pPr>
      <w:spacing w:line="240" w:lineRule="auto"/>
    </w:pPr>
    <w:rPr>
      <w:sz w:val="20"/>
      <w:szCs w:val="20"/>
    </w:rPr>
  </w:style>
  <w:style w:type="character" w:customStyle="1" w:styleId="FootnoteTextChar">
    <w:name w:val="Footnote Text Char"/>
    <w:basedOn w:val="DefaultParagraphFont"/>
    <w:link w:val="FootnoteText"/>
    <w:uiPriority w:val="99"/>
    <w:semiHidden/>
    <w:rsid w:val="00836571"/>
    <w:rPr>
      <w:sz w:val="20"/>
      <w:szCs w:val="20"/>
    </w:rPr>
  </w:style>
  <w:style w:type="character" w:styleId="FootnoteReference">
    <w:name w:val="footnote reference"/>
    <w:basedOn w:val="DefaultParagraphFont"/>
    <w:uiPriority w:val="99"/>
    <w:semiHidden/>
    <w:unhideWhenUsed/>
    <w:rsid w:val="00836571"/>
    <w:rPr>
      <w:vertAlign w:val="superscript"/>
    </w:rPr>
  </w:style>
  <w:style w:type="character" w:styleId="CommentReference">
    <w:name w:val="annotation reference"/>
    <w:basedOn w:val="DefaultParagraphFont"/>
    <w:uiPriority w:val="99"/>
    <w:semiHidden/>
    <w:unhideWhenUsed/>
    <w:rsid w:val="00472269"/>
    <w:rPr>
      <w:sz w:val="16"/>
      <w:szCs w:val="16"/>
    </w:rPr>
  </w:style>
  <w:style w:type="paragraph" w:styleId="CommentText">
    <w:name w:val="annotation text"/>
    <w:basedOn w:val="Normal"/>
    <w:link w:val="CommentTextChar"/>
    <w:uiPriority w:val="99"/>
    <w:unhideWhenUsed/>
    <w:rsid w:val="00472269"/>
    <w:pPr>
      <w:spacing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472269"/>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4722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269"/>
    <w:rPr>
      <w:rFonts w:ascii="Segoe UI" w:hAnsi="Segoe UI" w:cs="Segoe UI"/>
      <w:sz w:val="18"/>
      <w:szCs w:val="18"/>
    </w:rPr>
  </w:style>
  <w:style w:type="character" w:customStyle="1" w:styleId="Heading3Char">
    <w:name w:val="Heading 3 Char"/>
    <w:basedOn w:val="DefaultParagraphFont"/>
    <w:link w:val="Heading3"/>
    <w:uiPriority w:val="9"/>
    <w:rsid w:val="00714810"/>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semiHidden/>
    <w:unhideWhenUsed/>
    <w:rsid w:val="00113A8F"/>
    <w:rPr>
      <w:rFonts w:asciiTheme="minorHAnsi" w:eastAsiaTheme="minorEastAsia" w:hAnsiTheme="minorHAnsi" w:cstheme="minorBidi"/>
      <w:b/>
      <w:bCs/>
      <w:lang w:val="en-US" w:eastAsia="zh-CN"/>
    </w:rPr>
  </w:style>
  <w:style w:type="character" w:customStyle="1" w:styleId="CommentSubjectChar">
    <w:name w:val="Comment Subject Char"/>
    <w:basedOn w:val="CommentTextChar"/>
    <w:link w:val="CommentSubject"/>
    <w:uiPriority w:val="99"/>
    <w:semiHidden/>
    <w:rsid w:val="00113A8F"/>
    <w:rPr>
      <w:rFonts w:ascii="Times New Roman" w:eastAsia="Times New Roman" w:hAnsi="Times New Roman" w:cs="Times New Roman"/>
      <w:b/>
      <w:bCs/>
      <w:sz w:val="20"/>
      <w:szCs w:val="20"/>
      <w:lang w:val="en-GB" w:eastAsia="en-GB"/>
    </w:rPr>
  </w:style>
  <w:style w:type="paragraph" w:styleId="TOC3">
    <w:name w:val="toc 3"/>
    <w:basedOn w:val="Normal"/>
    <w:next w:val="Normal"/>
    <w:autoRedefine/>
    <w:uiPriority w:val="39"/>
    <w:unhideWhenUsed/>
    <w:rsid w:val="000A3B57"/>
    <w:pPr>
      <w:spacing w:after="100"/>
      <w:ind w:left="440"/>
    </w:pPr>
  </w:style>
  <w:style w:type="paragraph" w:customStyle="1" w:styleId="Style1">
    <w:name w:val="Style1"/>
    <w:basedOn w:val="Heading5"/>
    <w:link w:val="Style1Char"/>
    <w:qFormat/>
    <w:rsid w:val="00A14130"/>
    <w:pPr>
      <w:tabs>
        <w:tab w:val="left" w:pos="1320"/>
        <w:tab w:val="right" w:leader="dot" w:pos="9629"/>
      </w:tabs>
    </w:pPr>
    <w:rPr>
      <w:rFonts w:ascii="Cambria" w:hAnsi="Cambria"/>
      <w:noProof/>
      <w:lang w:val="sr-Cyrl-RS"/>
    </w:rPr>
  </w:style>
  <w:style w:type="table" w:styleId="TableGrid">
    <w:name w:val="Table Grid"/>
    <w:basedOn w:val="TableNormal"/>
    <w:uiPriority w:val="39"/>
    <w:rsid w:val="00983296"/>
    <w:pPr>
      <w:spacing w:line="240" w:lineRule="auto"/>
    </w:pPr>
    <w:rPr>
      <w:rFonts w:eastAsiaTheme="minorHAnsi"/>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A14130"/>
    <w:rPr>
      <w:rFonts w:asciiTheme="majorHAnsi" w:eastAsiaTheme="majorEastAsia" w:hAnsiTheme="majorHAnsi" w:cstheme="majorBidi"/>
      <w:color w:val="2E74B5" w:themeColor="accent1" w:themeShade="BF"/>
    </w:rPr>
  </w:style>
  <w:style w:type="character" w:customStyle="1" w:styleId="Style1Char">
    <w:name w:val="Style1 Char"/>
    <w:basedOn w:val="Heading5Char"/>
    <w:link w:val="Style1"/>
    <w:rsid w:val="00A14130"/>
    <w:rPr>
      <w:rFonts w:ascii="Cambria" w:eastAsiaTheme="majorEastAsia" w:hAnsi="Cambria" w:cstheme="majorBidi"/>
      <w:noProof/>
      <w:color w:val="2E74B5" w:themeColor="accent1" w:themeShade="BF"/>
      <w:lang w:val="sr-Cyrl-RS"/>
    </w:rPr>
  </w:style>
  <w:style w:type="paragraph" w:styleId="TOC4">
    <w:name w:val="toc 4"/>
    <w:basedOn w:val="Normal"/>
    <w:next w:val="Normal"/>
    <w:autoRedefine/>
    <w:uiPriority w:val="39"/>
    <w:unhideWhenUsed/>
    <w:rsid w:val="00DB11C0"/>
    <w:pPr>
      <w:spacing w:after="100" w:line="259" w:lineRule="auto"/>
      <w:ind w:left="660"/>
    </w:pPr>
  </w:style>
  <w:style w:type="paragraph" w:styleId="TOC5">
    <w:name w:val="toc 5"/>
    <w:basedOn w:val="Normal"/>
    <w:next w:val="Normal"/>
    <w:autoRedefine/>
    <w:uiPriority w:val="39"/>
    <w:unhideWhenUsed/>
    <w:rsid w:val="00DB11C0"/>
    <w:pPr>
      <w:spacing w:after="100" w:line="259" w:lineRule="auto"/>
      <w:ind w:left="880"/>
    </w:pPr>
  </w:style>
  <w:style w:type="paragraph" w:styleId="TOC6">
    <w:name w:val="toc 6"/>
    <w:basedOn w:val="Normal"/>
    <w:next w:val="Normal"/>
    <w:autoRedefine/>
    <w:uiPriority w:val="39"/>
    <w:unhideWhenUsed/>
    <w:rsid w:val="00DB11C0"/>
    <w:pPr>
      <w:spacing w:after="100" w:line="259" w:lineRule="auto"/>
      <w:ind w:left="1100"/>
    </w:pPr>
  </w:style>
  <w:style w:type="paragraph" w:styleId="TOC7">
    <w:name w:val="toc 7"/>
    <w:basedOn w:val="Normal"/>
    <w:next w:val="Normal"/>
    <w:autoRedefine/>
    <w:uiPriority w:val="39"/>
    <w:unhideWhenUsed/>
    <w:rsid w:val="00DB11C0"/>
    <w:pPr>
      <w:spacing w:after="100" w:line="259" w:lineRule="auto"/>
      <w:ind w:left="1320"/>
    </w:pPr>
  </w:style>
  <w:style w:type="paragraph" w:styleId="TOC8">
    <w:name w:val="toc 8"/>
    <w:basedOn w:val="Normal"/>
    <w:next w:val="Normal"/>
    <w:autoRedefine/>
    <w:uiPriority w:val="39"/>
    <w:unhideWhenUsed/>
    <w:rsid w:val="00DB11C0"/>
    <w:pPr>
      <w:spacing w:after="100" w:line="259" w:lineRule="auto"/>
      <w:ind w:left="1540"/>
    </w:pPr>
  </w:style>
  <w:style w:type="paragraph" w:styleId="TOC9">
    <w:name w:val="toc 9"/>
    <w:basedOn w:val="Normal"/>
    <w:next w:val="Normal"/>
    <w:autoRedefine/>
    <w:uiPriority w:val="39"/>
    <w:unhideWhenUsed/>
    <w:rsid w:val="00DB11C0"/>
    <w:pPr>
      <w:spacing w:after="100" w:line="259" w:lineRule="auto"/>
      <w:ind w:left="1760"/>
    </w:pPr>
  </w:style>
  <w:style w:type="paragraph" w:customStyle="1" w:styleId="Normal2">
    <w:name w:val="Normal2"/>
    <w:basedOn w:val="Normal"/>
    <w:rsid w:val="00DB11A6"/>
    <w:pPr>
      <w:spacing w:before="100" w:beforeAutospacing="1" w:after="100" w:afterAutospacing="1" w:line="240" w:lineRule="auto"/>
    </w:pPr>
    <w:rPr>
      <w:rFonts w:ascii="Arial" w:eastAsia="Times New Roman" w:hAnsi="Arial" w:cs="Arial"/>
    </w:rPr>
  </w:style>
  <w:style w:type="paragraph" w:customStyle="1" w:styleId="Normal3">
    <w:name w:val="Normal3"/>
    <w:basedOn w:val="Normal"/>
    <w:rsid w:val="0002208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022C1"/>
    <w:rPr>
      <w:color w:val="954F72" w:themeColor="followedHyperlink"/>
      <w:u w:val="single"/>
    </w:rPr>
  </w:style>
  <w:style w:type="paragraph" w:customStyle="1" w:styleId="Default">
    <w:name w:val="Default"/>
    <w:rsid w:val="006934F9"/>
    <w:pPr>
      <w:autoSpaceDE w:val="0"/>
      <w:autoSpaceDN w:val="0"/>
      <w:adjustRightInd w:val="0"/>
      <w:spacing w:line="240" w:lineRule="auto"/>
    </w:pPr>
    <w:rPr>
      <w:rFonts w:ascii="Cambria" w:hAnsi="Cambria" w:cs="Cambria"/>
      <w:color w:val="000000"/>
      <w:sz w:val="24"/>
      <w:szCs w:val="24"/>
    </w:rPr>
  </w:style>
  <w:style w:type="paragraph" w:styleId="Revision">
    <w:name w:val="Revision"/>
    <w:hidden/>
    <w:uiPriority w:val="99"/>
    <w:semiHidden/>
    <w:rsid w:val="00B61A16"/>
    <w:pPr>
      <w:spacing w:line="240" w:lineRule="auto"/>
    </w:pPr>
  </w:style>
  <w:style w:type="paragraph" w:customStyle="1" w:styleId="Normal4">
    <w:name w:val="Normal4"/>
    <w:basedOn w:val="Normal"/>
    <w:rsid w:val="007911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A453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6">
    <w:name w:val="Normal6"/>
    <w:basedOn w:val="Normal"/>
    <w:rsid w:val="00B617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B617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B617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7">
    <w:name w:val="Normal7"/>
    <w:basedOn w:val="Normal"/>
    <w:rsid w:val="00805793"/>
    <w:pPr>
      <w:spacing w:before="100" w:beforeAutospacing="1" w:after="100" w:afterAutospacing="1" w:line="240" w:lineRule="auto"/>
    </w:pPr>
    <w:rPr>
      <w:rFonts w:ascii="Arial" w:eastAsia="Times New Roman" w:hAnsi="Arial" w:cs="Arial"/>
    </w:rPr>
  </w:style>
  <w:style w:type="paragraph" w:customStyle="1" w:styleId="normaltd">
    <w:name w:val="normaltd"/>
    <w:basedOn w:val="Normal"/>
    <w:rsid w:val="006372DD"/>
    <w:pPr>
      <w:spacing w:before="100" w:beforeAutospacing="1" w:after="100" w:afterAutospacing="1" w:line="240" w:lineRule="auto"/>
      <w:jc w:val="right"/>
    </w:pPr>
    <w:rPr>
      <w:rFonts w:ascii="Arial" w:eastAsia="Times New Roman" w:hAnsi="Arial" w:cs="Arial"/>
    </w:rPr>
  </w:style>
  <w:style w:type="paragraph" w:customStyle="1" w:styleId="podnaslovpropisa">
    <w:name w:val="podnaslovpropisa"/>
    <w:basedOn w:val="Normal"/>
    <w:rsid w:val="007B52D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702A5"/>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customStyle="1" w:styleId="Normal8">
    <w:name w:val="Normal8"/>
    <w:basedOn w:val="Normal"/>
    <w:rsid w:val="00F379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9">
    <w:name w:val="Normal9"/>
    <w:basedOn w:val="Normal"/>
    <w:rsid w:val="00EB2B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
    <w:name w:val="Char Char Char Char"/>
    <w:basedOn w:val="Normal"/>
    <w:rsid w:val="00CD68FD"/>
    <w:pPr>
      <w:spacing w:after="160" w:line="240" w:lineRule="exact"/>
    </w:pPr>
    <w:rPr>
      <w:rFonts w:ascii="Tahoma" w:eastAsia="Times New Roman" w:hAnsi="Tahoma" w:cs="Times New Roman"/>
      <w:sz w:val="20"/>
      <w:szCs w:val="20"/>
      <w:lang w:eastAsia="en-US"/>
    </w:rPr>
  </w:style>
  <w:style w:type="character" w:customStyle="1" w:styleId="UnresolvedMention1">
    <w:name w:val="Unresolved Mention1"/>
    <w:basedOn w:val="DefaultParagraphFont"/>
    <w:uiPriority w:val="99"/>
    <w:semiHidden/>
    <w:unhideWhenUsed/>
    <w:rsid w:val="00175500"/>
    <w:rPr>
      <w:color w:val="605E5C"/>
      <w:shd w:val="clear" w:color="auto" w:fill="E1DFDD"/>
    </w:rPr>
  </w:style>
  <w:style w:type="paragraph" w:customStyle="1" w:styleId="Normal10">
    <w:name w:val="Normal10"/>
    <w:basedOn w:val="Normal"/>
    <w:rsid w:val="00C130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1">
    <w:name w:val="Normal11"/>
    <w:basedOn w:val="Normal"/>
    <w:rsid w:val="0037259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39A0"/>
    <w:rPr>
      <w:b/>
      <w:bCs/>
    </w:rPr>
  </w:style>
  <w:style w:type="character" w:customStyle="1" w:styleId="Heading4Char">
    <w:name w:val="Heading 4 Char"/>
    <w:basedOn w:val="DefaultParagraphFont"/>
    <w:link w:val="Heading4"/>
    <w:uiPriority w:val="9"/>
    <w:rsid w:val="00C37FEB"/>
    <w:rPr>
      <w:rFonts w:asciiTheme="majorHAnsi" w:eastAsiaTheme="majorEastAsia" w:hAnsiTheme="majorHAnsi" w:cstheme="majorBidi"/>
      <w:i/>
      <w:iCs/>
      <w:color w:val="2E74B5" w:themeColor="accent1" w:themeShade="BF"/>
    </w:rPr>
  </w:style>
  <w:style w:type="character" w:customStyle="1" w:styleId="Heading6Char">
    <w:name w:val="Heading 6 Char"/>
    <w:basedOn w:val="DefaultParagraphFont"/>
    <w:link w:val="Heading6"/>
    <w:uiPriority w:val="9"/>
    <w:semiHidden/>
    <w:rsid w:val="00C37FE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37FEB"/>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37FE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37FEB"/>
    <w:rPr>
      <w:rFonts w:asciiTheme="majorHAnsi" w:eastAsiaTheme="majorEastAsia" w:hAnsiTheme="majorHAnsi" w:cstheme="majorBidi"/>
      <w:i/>
      <w:iCs/>
      <w:color w:val="272727" w:themeColor="text1" w:themeTint="D8"/>
      <w:sz w:val="21"/>
      <w:szCs w:val="21"/>
    </w:rPr>
  </w:style>
  <w:style w:type="character" w:customStyle="1" w:styleId="UnresolvedMention2">
    <w:name w:val="Unresolved Mention2"/>
    <w:basedOn w:val="DefaultParagraphFont"/>
    <w:uiPriority w:val="99"/>
    <w:semiHidden/>
    <w:unhideWhenUsed/>
    <w:rsid w:val="007A1194"/>
    <w:rPr>
      <w:color w:val="605E5C"/>
      <w:shd w:val="clear" w:color="auto" w:fill="E1DFDD"/>
    </w:rPr>
  </w:style>
  <w:style w:type="paragraph" w:customStyle="1" w:styleId="odluka-zakon">
    <w:name w:val="odluka-zakon"/>
    <w:basedOn w:val="Normal"/>
    <w:rsid w:val="007F786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aslov">
    <w:name w:val="naslov"/>
    <w:basedOn w:val="Normal"/>
    <w:rsid w:val="007F786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auto-style1">
    <w:name w:val="auto-style1"/>
    <w:basedOn w:val="Normal"/>
    <w:rsid w:val="007F786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1tekst">
    <w:name w:val="1tekst"/>
    <w:basedOn w:val="Normal"/>
    <w:rsid w:val="00AD7521"/>
    <w:pPr>
      <w:spacing w:before="100" w:after="100" w:line="240" w:lineRule="auto"/>
      <w:ind w:firstLine="240"/>
      <w:jc w:val="both"/>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895">
      <w:bodyDiv w:val="1"/>
      <w:marLeft w:val="0"/>
      <w:marRight w:val="0"/>
      <w:marTop w:val="0"/>
      <w:marBottom w:val="0"/>
      <w:divBdr>
        <w:top w:val="none" w:sz="0" w:space="0" w:color="auto"/>
        <w:left w:val="none" w:sz="0" w:space="0" w:color="auto"/>
        <w:bottom w:val="none" w:sz="0" w:space="0" w:color="auto"/>
        <w:right w:val="none" w:sz="0" w:space="0" w:color="auto"/>
      </w:divBdr>
    </w:div>
    <w:div w:id="10765950">
      <w:bodyDiv w:val="1"/>
      <w:marLeft w:val="0"/>
      <w:marRight w:val="0"/>
      <w:marTop w:val="0"/>
      <w:marBottom w:val="0"/>
      <w:divBdr>
        <w:top w:val="none" w:sz="0" w:space="0" w:color="auto"/>
        <w:left w:val="none" w:sz="0" w:space="0" w:color="auto"/>
        <w:bottom w:val="none" w:sz="0" w:space="0" w:color="auto"/>
        <w:right w:val="none" w:sz="0" w:space="0" w:color="auto"/>
      </w:divBdr>
    </w:div>
    <w:div w:id="26418866">
      <w:bodyDiv w:val="1"/>
      <w:marLeft w:val="0"/>
      <w:marRight w:val="0"/>
      <w:marTop w:val="0"/>
      <w:marBottom w:val="0"/>
      <w:divBdr>
        <w:top w:val="none" w:sz="0" w:space="0" w:color="auto"/>
        <w:left w:val="none" w:sz="0" w:space="0" w:color="auto"/>
        <w:bottom w:val="none" w:sz="0" w:space="0" w:color="auto"/>
        <w:right w:val="none" w:sz="0" w:space="0" w:color="auto"/>
      </w:divBdr>
    </w:div>
    <w:div w:id="35856148">
      <w:bodyDiv w:val="1"/>
      <w:marLeft w:val="0"/>
      <w:marRight w:val="0"/>
      <w:marTop w:val="0"/>
      <w:marBottom w:val="0"/>
      <w:divBdr>
        <w:top w:val="none" w:sz="0" w:space="0" w:color="auto"/>
        <w:left w:val="none" w:sz="0" w:space="0" w:color="auto"/>
        <w:bottom w:val="none" w:sz="0" w:space="0" w:color="auto"/>
        <w:right w:val="none" w:sz="0" w:space="0" w:color="auto"/>
      </w:divBdr>
    </w:div>
    <w:div w:id="69278409">
      <w:bodyDiv w:val="1"/>
      <w:marLeft w:val="0"/>
      <w:marRight w:val="0"/>
      <w:marTop w:val="0"/>
      <w:marBottom w:val="0"/>
      <w:divBdr>
        <w:top w:val="none" w:sz="0" w:space="0" w:color="auto"/>
        <w:left w:val="none" w:sz="0" w:space="0" w:color="auto"/>
        <w:bottom w:val="none" w:sz="0" w:space="0" w:color="auto"/>
        <w:right w:val="none" w:sz="0" w:space="0" w:color="auto"/>
      </w:divBdr>
    </w:div>
    <w:div w:id="76371168">
      <w:bodyDiv w:val="1"/>
      <w:marLeft w:val="0"/>
      <w:marRight w:val="0"/>
      <w:marTop w:val="0"/>
      <w:marBottom w:val="0"/>
      <w:divBdr>
        <w:top w:val="none" w:sz="0" w:space="0" w:color="auto"/>
        <w:left w:val="none" w:sz="0" w:space="0" w:color="auto"/>
        <w:bottom w:val="none" w:sz="0" w:space="0" w:color="auto"/>
        <w:right w:val="none" w:sz="0" w:space="0" w:color="auto"/>
      </w:divBdr>
    </w:div>
    <w:div w:id="97676260">
      <w:bodyDiv w:val="1"/>
      <w:marLeft w:val="0"/>
      <w:marRight w:val="0"/>
      <w:marTop w:val="0"/>
      <w:marBottom w:val="0"/>
      <w:divBdr>
        <w:top w:val="none" w:sz="0" w:space="0" w:color="auto"/>
        <w:left w:val="none" w:sz="0" w:space="0" w:color="auto"/>
        <w:bottom w:val="none" w:sz="0" w:space="0" w:color="auto"/>
        <w:right w:val="none" w:sz="0" w:space="0" w:color="auto"/>
      </w:divBdr>
    </w:div>
    <w:div w:id="114060112">
      <w:bodyDiv w:val="1"/>
      <w:marLeft w:val="0"/>
      <w:marRight w:val="0"/>
      <w:marTop w:val="0"/>
      <w:marBottom w:val="0"/>
      <w:divBdr>
        <w:top w:val="none" w:sz="0" w:space="0" w:color="auto"/>
        <w:left w:val="none" w:sz="0" w:space="0" w:color="auto"/>
        <w:bottom w:val="none" w:sz="0" w:space="0" w:color="auto"/>
        <w:right w:val="none" w:sz="0" w:space="0" w:color="auto"/>
      </w:divBdr>
    </w:div>
    <w:div w:id="121072553">
      <w:bodyDiv w:val="1"/>
      <w:marLeft w:val="0"/>
      <w:marRight w:val="0"/>
      <w:marTop w:val="0"/>
      <w:marBottom w:val="0"/>
      <w:divBdr>
        <w:top w:val="none" w:sz="0" w:space="0" w:color="auto"/>
        <w:left w:val="none" w:sz="0" w:space="0" w:color="auto"/>
        <w:bottom w:val="none" w:sz="0" w:space="0" w:color="auto"/>
        <w:right w:val="none" w:sz="0" w:space="0" w:color="auto"/>
      </w:divBdr>
    </w:div>
    <w:div w:id="129711603">
      <w:bodyDiv w:val="1"/>
      <w:marLeft w:val="0"/>
      <w:marRight w:val="0"/>
      <w:marTop w:val="0"/>
      <w:marBottom w:val="0"/>
      <w:divBdr>
        <w:top w:val="none" w:sz="0" w:space="0" w:color="auto"/>
        <w:left w:val="none" w:sz="0" w:space="0" w:color="auto"/>
        <w:bottom w:val="none" w:sz="0" w:space="0" w:color="auto"/>
        <w:right w:val="none" w:sz="0" w:space="0" w:color="auto"/>
      </w:divBdr>
    </w:div>
    <w:div w:id="131875008">
      <w:bodyDiv w:val="1"/>
      <w:marLeft w:val="0"/>
      <w:marRight w:val="0"/>
      <w:marTop w:val="0"/>
      <w:marBottom w:val="0"/>
      <w:divBdr>
        <w:top w:val="none" w:sz="0" w:space="0" w:color="auto"/>
        <w:left w:val="none" w:sz="0" w:space="0" w:color="auto"/>
        <w:bottom w:val="none" w:sz="0" w:space="0" w:color="auto"/>
        <w:right w:val="none" w:sz="0" w:space="0" w:color="auto"/>
      </w:divBdr>
    </w:div>
    <w:div w:id="132989680">
      <w:bodyDiv w:val="1"/>
      <w:marLeft w:val="0"/>
      <w:marRight w:val="0"/>
      <w:marTop w:val="0"/>
      <w:marBottom w:val="0"/>
      <w:divBdr>
        <w:top w:val="none" w:sz="0" w:space="0" w:color="auto"/>
        <w:left w:val="none" w:sz="0" w:space="0" w:color="auto"/>
        <w:bottom w:val="none" w:sz="0" w:space="0" w:color="auto"/>
        <w:right w:val="none" w:sz="0" w:space="0" w:color="auto"/>
      </w:divBdr>
    </w:div>
    <w:div w:id="134638816">
      <w:bodyDiv w:val="1"/>
      <w:marLeft w:val="0"/>
      <w:marRight w:val="0"/>
      <w:marTop w:val="0"/>
      <w:marBottom w:val="0"/>
      <w:divBdr>
        <w:top w:val="none" w:sz="0" w:space="0" w:color="auto"/>
        <w:left w:val="none" w:sz="0" w:space="0" w:color="auto"/>
        <w:bottom w:val="none" w:sz="0" w:space="0" w:color="auto"/>
        <w:right w:val="none" w:sz="0" w:space="0" w:color="auto"/>
      </w:divBdr>
    </w:div>
    <w:div w:id="144321418">
      <w:bodyDiv w:val="1"/>
      <w:marLeft w:val="0"/>
      <w:marRight w:val="0"/>
      <w:marTop w:val="0"/>
      <w:marBottom w:val="0"/>
      <w:divBdr>
        <w:top w:val="none" w:sz="0" w:space="0" w:color="auto"/>
        <w:left w:val="none" w:sz="0" w:space="0" w:color="auto"/>
        <w:bottom w:val="none" w:sz="0" w:space="0" w:color="auto"/>
        <w:right w:val="none" w:sz="0" w:space="0" w:color="auto"/>
      </w:divBdr>
    </w:div>
    <w:div w:id="145051638">
      <w:bodyDiv w:val="1"/>
      <w:marLeft w:val="0"/>
      <w:marRight w:val="0"/>
      <w:marTop w:val="0"/>
      <w:marBottom w:val="0"/>
      <w:divBdr>
        <w:top w:val="none" w:sz="0" w:space="0" w:color="auto"/>
        <w:left w:val="none" w:sz="0" w:space="0" w:color="auto"/>
        <w:bottom w:val="none" w:sz="0" w:space="0" w:color="auto"/>
        <w:right w:val="none" w:sz="0" w:space="0" w:color="auto"/>
      </w:divBdr>
    </w:div>
    <w:div w:id="146288940">
      <w:bodyDiv w:val="1"/>
      <w:marLeft w:val="0"/>
      <w:marRight w:val="0"/>
      <w:marTop w:val="0"/>
      <w:marBottom w:val="0"/>
      <w:divBdr>
        <w:top w:val="none" w:sz="0" w:space="0" w:color="auto"/>
        <w:left w:val="none" w:sz="0" w:space="0" w:color="auto"/>
        <w:bottom w:val="none" w:sz="0" w:space="0" w:color="auto"/>
        <w:right w:val="none" w:sz="0" w:space="0" w:color="auto"/>
      </w:divBdr>
    </w:div>
    <w:div w:id="154032206">
      <w:bodyDiv w:val="1"/>
      <w:marLeft w:val="0"/>
      <w:marRight w:val="0"/>
      <w:marTop w:val="0"/>
      <w:marBottom w:val="0"/>
      <w:divBdr>
        <w:top w:val="none" w:sz="0" w:space="0" w:color="auto"/>
        <w:left w:val="none" w:sz="0" w:space="0" w:color="auto"/>
        <w:bottom w:val="none" w:sz="0" w:space="0" w:color="auto"/>
        <w:right w:val="none" w:sz="0" w:space="0" w:color="auto"/>
      </w:divBdr>
    </w:div>
    <w:div w:id="170073514">
      <w:bodyDiv w:val="1"/>
      <w:marLeft w:val="0"/>
      <w:marRight w:val="0"/>
      <w:marTop w:val="0"/>
      <w:marBottom w:val="0"/>
      <w:divBdr>
        <w:top w:val="none" w:sz="0" w:space="0" w:color="auto"/>
        <w:left w:val="none" w:sz="0" w:space="0" w:color="auto"/>
        <w:bottom w:val="none" w:sz="0" w:space="0" w:color="auto"/>
        <w:right w:val="none" w:sz="0" w:space="0" w:color="auto"/>
      </w:divBdr>
    </w:div>
    <w:div w:id="178811457">
      <w:bodyDiv w:val="1"/>
      <w:marLeft w:val="0"/>
      <w:marRight w:val="0"/>
      <w:marTop w:val="0"/>
      <w:marBottom w:val="0"/>
      <w:divBdr>
        <w:top w:val="none" w:sz="0" w:space="0" w:color="auto"/>
        <w:left w:val="none" w:sz="0" w:space="0" w:color="auto"/>
        <w:bottom w:val="none" w:sz="0" w:space="0" w:color="auto"/>
        <w:right w:val="none" w:sz="0" w:space="0" w:color="auto"/>
      </w:divBdr>
    </w:div>
    <w:div w:id="197939904">
      <w:bodyDiv w:val="1"/>
      <w:marLeft w:val="0"/>
      <w:marRight w:val="0"/>
      <w:marTop w:val="0"/>
      <w:marBottom w:val="0"/>
      <w:divBdr>
        <w:top w:val="none" w:sz="0" w:space="0" w:color="auto"/>
        <w:left w:val="none" w:sz="0" w:space="0" w:color="auto"/>
        <w:bottom w:val="none" w:sz="0" w:space="0" w:color="auto"/>
        <w:right w:val="none" w:sz="0" w:space="0" w:color="auto"/>
      </w:divBdr>
    </w:div>
    <w:div w:id="220218851">
      <w:bodyDiv w:val="1"/>
      <w:marLeft w:val="0"/>
      <w:marRight w:val="0"/>
      <w:marTop w:val="0"/>
      <w:marBottom w:val="0"/>
      <w:divBdr>
        <w:top w:val="none" w:sz="0" w:space="0" w:color="auto"/>
        <w:left w:val="none" w:sz="0" w:space="0" w:color="auto"/>
        <w:bottom w:val="none" w:sz="0" w:space="0" w:color="auto"/>
        <w:right w:val="none" w:sz="0" w:space="0" w:color="auto"/>
      </w:divBdr>
    </w:div>
    <w:div w:id="233205642">
      <w:bodyDiv w:val="1"/>
      <w:marLeft w:val="0"/>
      <w:marRight w:val="0"/>
      <w:marTop w:val="0"/>
      <w:marBottom w:val="0"/>
      <w:divBdr>
        <w:top w:val="none" w:sz="0" w:space="0" w:color="auto"/>
        <w:left w:val="none" w:sz="0" w:space="0" w:color="auto"/>
        <w:bottom w:val="none" w:sz="0" w:space="0" w:color="auto"/>
        <w:right w:val="none" w:sz="0" w:space="0" w:color="auto"/>
      </w:divBdr>
    </w:div>
    <w:div w:id="266085251">
      <w:bodyDiv w:val="1"/>
      <w:marLeft w:val="0"/>
      <w:marRight w:val="0"/>
      <w:marTop w:val="0"/>
      <w:marBottom w:val="0"/>
      <w:divBdr>
        <w:top w:val="none" w:sz="0" w:space="0" w:color="auto"/>
        <w:left w:val="none" w:sz="0" w:space="0" w:color="auto"/>
        <w:bottom w:val="none" w:sz="0" w:space="0" w:color="auto"/>
        <w:right w:val="none" w:sz="0" w:space="0" w:color="auto"/>
      </w:divBdr>
    </w:div>
    <w:div w:id="268660354">
      <w:bodyDiv w:val="1"/>
      <w:marLeft w:val="0"/>
      <w:marRight w:val="0"/>
      <w:marTop w:val="0"/>
      <w:marBottom w:val="0"/>
      <w:divBdr>
        <w:top w:val="none" w:sz="0" w:space="0" w:color="auto"/>
        <w:left w:val="none" w:sz="0" w:space="0" w:color="auto"/>
        <w:bottom w:val="none" w:sz="0" w:space="0" w:color="auto"/>
        <w:right w:val="none" w:sz="0" w:space="0" w:color="auto"/>
      </w:divBdr>
    </w:div>
    <w:div w:id="269970295">
      <w:bodyDiv w:val="1"/>
      <w:marLeft w:val="0"/>
      <w:marRight w:val="0"/>
      <w:marTop w:val="0"/>
      <w:marBottom w:val="0"/>
      <w:divBdr>
        <w:top w:val="none" w:sz="0" w:space="0" w:color="auto"/>
        <w:left w:val="none" w:sz="0" w:space="0" w:color="auto"/>
        <w:bottom w:val="none" w:sz="0" w:space="0" w:color="auto"/>
        <w:right w:val="none" w:sz="0" w:space="0" w:color="auto"/>
      </w:divBdr>
    </w:div>
    <w:div w:id="277182231">
      <w:bodyDiv w:val="1"/>
      <w:marLeft w:val="0"/>
      <w:marRight w:val="0"/>
      <w:marTop w:val="0"/>
      <w:marBottom w:val="0"/>
      <w:divBdr>
        <w:top w:val="none" w:sz="0" w:space="0" w:color="auto"/>
        <w:left w:val="none" w:sz="0" w:space="0" w:color="auto"/>
        <w:bottom w:val="none" w:sz="0" w:space="0" w:color="auto"/>
        <w:right w:val="none" w:sz="0" w:space="0" w:color="auto"/>
      </w:divBdr>
    </w:div>
    <w:div w:id="280653944">
      <w:bodyDiv w:val="1"/>
      <w:marLeft w:val="0"/>
      <w:marRight w:val="0"/>
      <w:marTop w:val="0"/>
      <w:marBottom w:val="0"/>
      <w:divBdr>
        <w:top w:val="none" w:sz="0" w:space="0" w:color="auto"/>
        <w:left w:val="none" w:sz="0" w:space="0" w:color="auto"/>
        <w:bottom w:val="none" w:sz="0" w:space="0" w:color="auto"/>
        <w:right w:val="none" w:sz="0" w:space="0" w:color="auto"/>
      </w:divBdr>
    </w:div>
    <w:div w:id="286393719">
      <w:bodyDiv w:val="1"/>
      <w:marLeft w:val="0"/>
      <w:marRight w:val="0"/>
      <w:marTop w:val="0"/>
      <w:marBottom w:val="0"/>
      <w:divBdr>
        <w:top w:val="none" w:sz="0" w:space="0" w:color="auto"/>
        <w:left w:val="none" w:sz="0" w:space="0" w:color="auto"/>
        <w:bottom w:val="none" w:sz="0" w:space="0" w:color="auto"/>
        <w:right w:val="none" w:sz="0" w:space="0" w:color="auto"/>
      </w:divBdr>
    </w:div>
    <w:div w:id="315182424">
      <w:bodyDiv w:val="1"/>
      <w:marLeft w:val="0"/>
      <w:marRight w:val="0"/>
      <w:marTop w:val="0"/>
      <w:marBottom w:val="0"/>
      <w:divBdr>
        <w:top w:val="none" w:sz="0" w:space="0" w:color="auto"/>
        <w:left w:val="none" w:sz="0" w:space="0" w:color="auto"/>
        <w:bottom w:val="none" w:sz="0" w:space="0" w:color="auto"/>
        <w:right w:val="none" w:sz="0" w:space="0" w:color="auto"/>
      </w:divBdr>
    </w:div>
    <w:div w:id="317730012">
      <w:bodyDiv w:val="1"/>
      <w:marLeft w:val="0"/>
      <w:marRight w:val="0"/>
      <w:marTop w:val="0"/>
      <w:marBottom w:val="0"/>
      <w:divBdr>
        <w:top w:val="none" w:sz="0" w:space="0" w:color="auto"/>
        <w:left w:val="none" w:sz="0" w:space="0" w:color="auto"/>
        <w:bottom w:val="none" w:sz="0" w:space="0" w:color="auto"/>
        <w:right w:val="none" w:sz="0" w:space="0" w:color="auto"/>
      </w:divBdr>
    </w:div>
    <w:div w:id="363749176">
      <w:bodyDiv w:val="1"/>
      <w:marLeft w:val="0"/>
      <w:marRight w:val="0"/>
      <w:marTop w:val="0"/>
      <w:marBottom w:val="0"/>
      <w:divBdr>
        <w:top w:val="none" w:sz="0" w:space="0" w:color="auto"/>
        <w:left w:val="none" w:sz="0" w:space="0" w:color="auto"/>
        <w:bottom w:val="none" w:sz="0" w:space="0" w:color="auto"/>
        <w:right w:val="none" w:sz="0" w:space="0" w:color="auto"/>
      </w:divBdr>
    </w:div>
    <w:div w:id="397557111">
      <w:bodyDiv w:val="1"/>
      <w:marLeft w:val="0"/>
      <w:marRight w:val="0"/>
      <w:marTop w:val="0"/>
      <w:marBottom w:val="0"/>
      <w:divBdr>
        <w:top w:val="none" w:sz="0" w:space="0" w:color="auto"/>
        <w:left w:val="none" w:sz="0" w:space="0" w:color="auto"/>
        <w:bottom w:val="none" w:sz="0" w:space="0" w:color="auto"/>
        <w:right w:val="none" w:sz="0" w:space="0" w:color="auto"/>
      </w:divBdr>
    </w:div>
    <w:div w:id="424503270">
      <w:bodyDiv w:val="1"/>
      <w:marLeft w:val="0"/>
      <w:marRight w:val="0"/>
      <w:marTop w:val="0"/>
      <w:marBottom w:val="0"/>
      <w:divBdr>
        <w:top w:val="none" w:sz="0" w:space="0" w:color="auto"/>
        <w:left w:val="none" w:sz="0" w:space="0" w:color="auto"/>
        <w:bottom w:val="none" w:sz="0" w:space="0" w:color="auto"/>
        <w:right w:val="none" w:sz="0" w:space="0" w:color="auto"/>
      </w:divBdr>
    </w:div>
    <w:div w:id="429274879">
      <w:bodyDiv w:val="1"/>
      <w:marLeft w:val="0"/>
      <w:marRight w:val="0"/>
      <w:marTop w:val="0"/>
      <w:marBottom w:val="0"/>
      <w:divBdr>
        <w:top w:val="none" w:sz="0" w:space="0" w:color="auto"/>
        <w:left w:val="none" w:sz="0" w:space="0" w:color="auto"/>
        <w:bottom w:val="none" w:sz="0" w:space="0" w:color="auto"/>
        <w:right w:val="none" w:sz="0" w:space="0" w:color="auto"/>
      </w:divBdr>
    </w:div>
    <w:div w:id="433205689">
      <w:bodyDiv w:val="1"/>
      <w:marLeft w:val="0"/>
      <w:marRight w:val="0"/>
      <w:marTop w:val="0"/>
      <w:marBottom w:val="0"/>
      <w:divBdr>
        <w:top w:val="none" w:sz="0" w:space="0" w:color="auto"/>
        <w:left w:val="none" w:sz="0" w:space="0" w:color="auto"/>
        <w:bottom w:val="none" w:sz="0" w:space="0" w:color="auto"/>
        <w:right w:val="none" w:sz="0" w:space="0" w:color="auto"/>
      </w:divBdr>
    </w:div>
    <w:div w:id="441993149">
      <w:bodyDiv w:val="1"/>
      <w:marLeft w:val="0"/>
      <w:marRight w:val="0"/>
      <w:marTop w:val="0"/>
      <w:marBottom w:val="0"/>
      <w:divBdr>
        <w:top w:val="none" w:sz="0" w:space="0" w:color="auto"/>
        <w:left w:val="none" w:sz="0" w:space="0" w:color="auto"/>
        <w:bottom w:val="none" w:sz="0" w:space="0" w:color="auto"/>
        <w:right w:val="none" w:sz="0" w:space="0" w:color="auto"/>
      </w:divBdr>
    </w:div>
    <w:div w:id="463306592">
      <w:bodyDiv w:val="1"/>
      <w:marLeft w:val="0"/>
      <w:marRight w:val="0"/>
      <w:marTop w:val="0"/>
      <w:marBottom w:val="0"/>
      <w:divBdr>
        <w:top w:val="none" w:sz="0" w:space="0" w:color="auto"/>
        <w:left w:val="none" w:sz="0" w:space="0" w:color="auto"/>
        <w:bottom w:val="none" w:sz="0" w:space="0" w:color="auto"/>
        <w:right w:val="none" w:sz="0" w:space="0" w:color="auto"/>
      </w:divBdr>
    </w:div>
    <w:div w:id="465247291">
      <w:bodyDiv w:val="1"/>
      <w:marLeft w:val="0"/>
      <w:marRight w:val="0"/>
      <w:marTop w:val="0"/>
      <w:marBottom w:val="0"/>
      <w:divBdr>
        <w:top w:val="none" w:sz="0" w:space="0" w:color="auto"/>
        <w:left w:val="none" w:sz="0" w:space="0" w:color="auto"/>
        <w:bottom w:val="none" w:sz="0" w:space="0" w:color="auto"/>
        <w:right w:val="none" w:sz="0" w:space="0" w:color="auto"/>
      </w:divBdr>
    </w:div>
    <w:div w:id="468713837">
      <w:bodyDiv w:val="1"/>
      <w:marLeft w:val="0"/>
      <w:marRight w:val="0"/>
      <w:marTop w:val="0"/>
      <w:marBottom w:val="0"/>
      <w:divBdr>
        <w:top w:val="none" w:sz="0" w:space="0" w:color="auto"/>
        <w:left w:val="none" w:sz="0" w:space="0" w:color="auto"/>
        <w:bottom w:val="none" w:sz="0" w:space="0" w:color="auto"/>
        <w:right w:val="none" w:sz="0" w:space="0" w:color="auto"/>
      </w:divBdr>
    </w:div>
    <w:div w:id="477458686">
      <w:bodyDiv w:val="1"/>
      <w:marLeft w:val="0"/>
      <w:marRight w:val="0"/>
      <w:marTop w:val="0"/>
      <w:marBottom w:val="0"/>
      <w:divBdr>
        <w:top w:val="none" w:sz="0" w:space="0" w:color="auto"/>
        <w:left w:val="none" w:sz="0" w:space="0" w:color="auto"/>
        <w:bottom w:val="none" w:sz="0" w:space="0" w:color="auto"/>
        <w:right w:val="none" w:sz="0" w:space="0" w:color="auto"/>
      </w:divBdr>
    </w:div>
    <w:div w:id="482160941">
      <w:bodyDiv w:val="1"/>
      <w:marLeft w:val="0"/>
      <w:marRight w:val="0"/>
      <w:marTop w:val="0"/>
      <w:marBottom w:val="0"/>
      <w:divBdr>
        <w:top w:val="none" w:sz="0" w:space="0" w:color="auto"/>
        <w:left w:val="none" w:sz="0" w:space="0" w:color="auto"/>
        <w:bottom w:val="none" w:sz="0" w:space="0" w:color="auto"/>
        <w:right w:val="none" w:sz="0" w:space="0" w:color="auto"/>
      </w:divBdr>
    </w:div>
    <w:div w:id="482237012">
      <w:bodyDiv w:val="1"/>
      <w:marLeft w:val="0"/>
      <w:marRight w:val="0"/>
      <w:marTop w:val="0"/>
      <w:marBottom w:val="0"/>
      <w:divBdr>
        <w:top w:val="none" w:sz="0" w:space="0" w:color="auto"/>
        <w:left w:val="none" w:sz="0" w:space="0" w:color="auto"/>
        <w:bottom w:val="none" w:sz="0" w:space="0" w:color="auto"/>
        <w:right w:val="none" w:sz="0" w:space="0" w:color="auto"/>
      </w:divBdr>
    </w:div>
    <w:div w:id="485824372">
      <w:bodyDiv w:val="1"/>
      <w:marLeft w:val="0"/>
      <w:marRight w:val="0"/>
      <w:marTop w:val="0"/>
      <w:marBottom w:val="0"/>
      <w:divBdr>
        <w:top w:val="none" w:sz="0" w:space="0" w:color="auto"/>
        <w:left w:val="none" w:sz="0" w:space="0" w:color="auto"/>
        <w:bottom w:val="none" w:sz="0" w:space="0" w:color="auto"/>
        <w:right w:val="none" w:sz="0" w:space="0" w:color="auto"/>
      </w:divBdr>
    </w:div>
    <w:div w:id="517355502">
      <w:bodyDiv w:val="1"/>
      <w:marLeft w:val="0"/>
      <w:marRight w:val="0"/>
      <w:marTop w:val="0"/>
      <w:marBottom w:val="0"/>
      <w:divBdr>
        <w:top w:val="none" w:sz="0" w:space="0" w:color="auto"/>
        <w:left w:val="none" w:sz="0" w:space="0" w:color="auto"/>
        <w:bottom w:val="none" w:sz="0" w:space="0" w:color="auto"/>
        <w:right w:val="none" w:sz="0" w:space="0" w:color="auto"/>
      </w:divBdr>
    </w:div>
    <w:div w:id="527448235">
      <w:bodyDiv w:val="1"/>
      <w:marLeft w:val="0"/>
      <w:marRight w:val="0"/>
      <w:marTop w:val="0"/>
      <w:marBottom w:val="0"/>
      <w:divBdr>
        <w:top w:val="none" w:sz="0" w:space="0" w:color="auto"/>
        <w:left w:val="none" w:sz="0" w:space="0" w:color="auto"/>
        <w:bottom w:val="none" w:sz="0" w:space="0" w:color="auto"/>
        <w:right w:val="none" w:sz="0" w:space="0" w:color="auto"/>
      </w:divBdr>
    </w:div>
    <w:div w:id="531650811">
      <w:bodyDiv w:val="1"/>
      <w:marLeft w:val="0"/>
      <w:marRight w:val="0"/>
      <w:marTop w:val="0"/>
      <w:marBottom w:val="0"/>
      <w:divBdr>
        <w:top w:val="none" w:sz="0" w:space="0" w:color="auto"/>
        <w:left w:val="none" w:sz="0" w:space="0" w:color="auto"/>
        <w:bottom w:val="none" w:sz="0" w:space="0" w:color="auto"/>
        <w:right w:val="none" w:sz="0" w:space="0" w:color="auto"/>
      </w:divBdr>
    </w:div>
    <w:div w:id="544952461">
      <w:bodyDiv w:val="1"/>
      <w:marLeft w:val="0"/>
      <w:marRight w:val="0"/>
      <w:marTop w:val="0"/>
      <w:marBottom w:val="0"/>
      <w:divBdr>
        <w:top w:val="none" w:sz="0" w:space="0" w:color="auto"/>
        <w:left w:val="none" w:sz="0" w:space="0" w:color="auto"/>
        <w:bottom w:val="none" w:sz="0" w:space="0" w:color="auto"/>
        <w:right w:val="none" w:sz="0" w:space="0" w:color="auto"/>
      </w:divBdr>
    </w:div>
    <w:div w:id="552811069">
      <w:bodyDiv w:val="1"/>
      <w:marLeft w:val="0"/>
      <w:marRight w:val="0"/>
      <w:marTop w:val="0"/>
      <w:marBottom w:val="0"/>
      <w:divBdr>
        <w:top w:val="none" w:sz="0" w:space="0" w:color="auto"/>
        <w:left w:val="none" w:sz="0" w:space="0" w:color="auto"/>
        <w:bottom w:val="none" w:sz="0" w:space="0" w:color="auto"/>
        <w:right w:val="none" w:sz="0" w:space="0" w:color="auto"/>
      </w:divBdr>
    </w:div>
    <w:div w:id="560336122">
      <w:bodyDiv w:val="1"/>
      <w:marLeft w:val="0"/>
      <w:marRight w:val="0"/>
      <w:marTop w:val="0"/>
      <w:marBottom w:val="0"/>
      <w:divBdr>
        <w:top w:val="none" w:sz="0" w:space="0" w:color="auto"/>
        <w:left w:val="none" w:sz="0" w:space="0" w:color="auto"/>
        <w:bottom w:val="none" w:sz="0" w:space="0" w:color="auto"/>
        <w:right w:val="none" w:sz="0" w:space="0" w:color="auto"/>
      </w:divBdr>
    </w:div>
    <w:div w:id="563028690">
      <w:bodyDiv w:val="1"/>
      <w:marLeft w:val="0"/>
      <w:marRight w:val="0"/>
      <w:marTop w:val="0"/>
      <w:marBottom w:val="0"/>
      <w:divBdr>
        <w:top w:val="none" w:sz="0" w:space="0" w:color="auto"/>
        <w:left w:val="none" w:sz="0" w:space="0" w:color="auto"/>
        <w:bottom w:val="none" w:sz="0" w:space="0" w:color="auto"/>
        <w:right w:val="none" w:sz="0" w:space="0" w:color="auto"/>
      </w:divBdr>
    </w:div>
    <w:div w:id="577983764">
      <w:bodyDiv w:val="1"/>
      <w:marLeft w:val="0"/>
      <w:marRight w:val="0"/>
      <w:marTop w:val="0"/>
      <w:marBottom w:val="0"/>
      <w:divBdr>
        <w:top w:val="none" w:sz="0" w:space="0" w:color="auto"/>
        <w:left w:val="none" w:sz="0" w:space="0" w:color="auto"/>
        <w:bottom w:val="none" w:sz="0" w:space="0" w:color="auto"/>
        <w:right w:val="none" w:sz="0" w:space="0" w:color="auto"/>
      </w:divBdr>
    </w:div>
    <w:div w:id="578029201">
      <w:bodyDiv w:val="1"/>
      <w:marLeft w:val="0"/>
      <w:marRight w:val="0"/>
      <w:marTop w:val="0"/>
      <w:marBottom w:val="0"/>
      <w:divBdr>
        <w:top w:val="none" w:sz="0" w:space="0" w:color="auto"/>
        <w:left w:val="none" w:sz="0" w:space="0" w:color="auto"/>
        <w:bottom w:val="none" w:sz="0" w:space="0" w:color="auto"/>
        <w:right w:val="none" w:sz="0" w:space="0" w:color="auto"/>
      </w:divBdr>
    </w:div>
    <w:div w:id="582107040">
      <w:bodyDiv w:val="1"/>
      <w:marLeft w:val="0"/>
      <w:marRight w:val="0"/>
      <w:marTop w:val="0"/>
      <w:marBottom w:val="0"/>
      <w:divBdr>
        <w:top w:val="none" w:sz="0" w:space="0" w:color="auto"/>
        <w:left w:val="none" w:sz="0" w:space="0" w:color="auto"/>
        <w:bottom w:val="none" w:sz="0" w:space="0" w:color="auto"/>
        <w:right w:val="none" w:sz="0" w:space="0" w:color="auto"/>
      </w:divBdr>
    </w:div>
    <w:div w:id="601037465">
      <w:bodyDiv w:val="1"/>
      <w:marLeft w:val="0"/>
      <w:marRight w:val="0"/>
      <w:marTop w:val="0"/>
      <w:marBottom w:val="0"/>
      <w:divBdr>
        <w:top w:val="none" w:sz="0" w:space="0" w:color="auto"/>
        <w:left w:val="none" w:sz="0" w:space="0" w:color="auto"/>
        <w:bottom w:val="none" w:sz="0" w:space="0" w:color="auto"/>
        <w:right w:val="none" w:sz="0" w:space="0" w:color="auto"/>
      </w:divBdr>
    </w:div>
    <w:div w:id="606813155">
      <w:bodyDiv w:val="1"/>
      <w:marLeft w:val="0"/>
      <w:marRight w:val="0"/>
      <w:marTop w:val="0"/>
      <w:marBottom w:val="0"/>
      <w:divBdr>
        <w:top w:val="none" w:sz="0" w:space="0" w:color="auto"/>
        <w:left w:val="none" w:sz="0" w:space="0" w:color="auto"/>
        <w:bottom w:val="none" w:sz="0" w:space="0" w:color="auto"/>
        <w:right w:val="none" w:sz="0" w:space="0" w:color="auto"/>
      </w:divBdr>
    </w:div>
    <w:div w:id="615714442">
      <w:bodyDiv w:val="1"/>
      <w:marLeft w:val="0"/>
      <w:marRight w:val="0"/>
      <w:marTop w:val="0"/>
      <w:marBottom w:val="0"/>
      <w:divBdr>
        <w:top w:val="none" w:sz="0" w:space="0" w:color="auto"/>
        <w:left w:val="none" w:sz="0" w:space="0" w:color="auto"/>
        <w:bottom w:val="none" w:sz="0" w:space="0" w:color="auto"/>
        <w:right w:val="none" w:sz="0" w:space="0" w:color="auto"/>
      </w:divBdr>
    </w:div>
    <w:div w:id="616987780">
      <w:bodyDiv w:val="1"/>
      <w:marLeft w:val="0"/>
      <w:marRight w:val="0"/>
      <w:marTop w:val="0"/>
      <w:marBottom w:val="0"/>
      <w:divBdr>
        <w:top w:val="none" w:sz="0" w:space="0" w:color="auto"/>
        <w:left w:val="none" w:sz="0" w:space="0" w:color="auto"/>
        <w:bottom w:val="none" w:sz="0" w:space="0" w:color="auto"/>
        <w:right w:val="none" w:sz="0" w:space="0" w:color="auto"/>
      </w:divBdr>
    </w:div>
    <w:div w:id="620302658">
      <w:bodyDiv w:val="1"/>
      <w:marLeft w:val="0"/>
      <w:marRight w:val="0"/>
      <w:marTop w:val="0"/>
      <w:marBottom w:val="0"/>
      <w:divBdr>
        <w:top w:val="none" w:sz="0" w:space="0" w:color="auto"/>
        <w:left w:val="none" w:sz="0" w:space="0" w:color="auto"/>
        <w:bottom w:val="none" w:sz="0" w:space="0" w:color="auto"/>
        <w:right w:val="none" w:sz="0" w:space="0" w:color="auto"/>
      </w:divBdr>
    </w:div>
    <w:div w:id="631717027">
      <w:bodyDiv w:val="1"/>
      <w:marLeft w:val="0"/>
      <w:marRight w:val="0"/>
      <w:marTop w:val="0"/>
      <w:marBottom w:val="0"/>
      <w:divBdr>
        <w:top w:val="none" w:sz="0" w:space="0" w:color="auto"/>
        <w:left w:val="none" w:sz="0" w:space="0" w:color="auto"/>
        <w:bottom w:val="none" w:sz="0" w:space="0" w:color="auto"/>
        <w:right w:val="none" w:sz="0" w:space="0" w:color="auto"/>
      </w:divBdr>
    </w:div>
    <w:div w:id="632441299">
      <w:bodyDiv w:val="1"/>
      <w:marLeft w:val="0"/>
      <w:marRight w:val="0"/>
      <w:marTop w:val="0"/>
      <w:marBottom w:val="0"/>
      <w:divBdr>
        <w:top w:val="none" w:sz="0" w:space="0" w:color="auto"/>
        <w:left w:val="none" w:sz="0" w:space="0" w:color="auto"/>
        <w:bottom w:val="none" w:sz="0" w:space="0" w:color="auto"/>
        <w:right w:val="none" w:sz="0" w:space="0" w:color="auto"/>
      </w:divBdr>
    </w:div>
    <w:div w:id="635306357">
      <w:bodyDiv w:val="1"/>
      <w:marLeft w:val="0"/>
      <w:marRight w:val="0"/>
      <w:marTop w:val="0"/>
      <w:marBottom w:val="0"/>
      <w:divBdr>
        <w:top w:val="none" w:sz="0" w:space="0" w:color="auto"/>
        <w:left w:val="none" w:sz="0" w:space="0" w:color="auto"/>
        <w:bottom w:val="none" w:sz="0" w:space="0" w:color="auto"/>
        <w:right w:val="none" w:sz="0" w:space="0" w:color="auto"/>
      </w:divBdr>
    </w:div>
    <w:div w:id="643318308">
      <w:bodyDiv w:val="1"/>
      <w:marLeft w:val="0"/>
      <w:marRight w:val="0"/>
      <w:marTop w:val="0"/>
      <w:marBottom w:val="0"/>
      <w:divBdr>
        <w:top w:val="none" w:sz="0" w:space="0" w:color="auto"/>
        <w:left w:val="none" w:sz="0" w:space="0" w:color="auto"/>
        <w:bottom w:val="none" w:sz="0" w:space="0" w:color="auto"/>
        <w:right w:val="none" w:sz="0" w:space="0" w:color="auto"/>
      </w:divBdr>
    </w:div>
    <w:div w:id="646594767">
      <w:bodyDiv w:val="1"/>
      <w:marLeft w:val="0"/>
      <w:marRight w:val="0"/>
      <w:marTop w:val="0"/>
      <w:marBottom w:val="0"/>
      <w:divBdr>
        <w:top w:val="none" w:sz="0" w:space="0" w:color="auto"/>
        <w:left w:val="none" w:sz="0" w:space="0" w:color="auto"/>
        <w:bottom w:val="none" w:sz="0" w:space="0" w:color="auto"/>
        <w:right w:val="none" w:sz="0" w:space="0" w:color="auto"/>
      </w:divBdr>
    </w:div>
    <w:div w:id="655306193">
      <w:bodyDiv w:val="1"/>
      <w:marLeft w:val="0"/>
      <w:marRight w:val="0"/>
      <w:marTop w:val="0"/>
      <w:marBottom w:val="0"/>
      <w:divBdr>
        <w:top w:val="none" w:sz="0" w:space="0" w:color="auto"/>
        <w:left w:val="none" w:sz="0" w:space="0" w:color="auto"/>
        <w:bottom w:val="none" w:sz="0" w:space="0" w:color="auto"/>
        <w:right w:val="none" w:sz="0" w:space="0" w:color="auto"/>
      </w:divBdr>
    </w:div>
    <w:div w:id="657880773">
      <w:bodyDiv w:val="1"/>
      <w:marLeft w:val="0"/>
      <w:marRight w:val="0"/>
      <w:marTop w:val="0"/>
      <w:marBottom w:val="0"/>
      <w:divBdr>
        <w:top w:val="none" w:sz="0" w:space="0" w:color="auto"/>
        <w:left w:val="none" w:sz="0" w:space="0" w:color="auto"/>
        <w:bottom w:val="none" w:sz="0" w:space="0" w:color="auto"/>
        <w:right w:val="none" w:sz="0" w:space="0" w:color="auto"/>
      </w:divBdr>
    </w:div>
    <w:div w:id="671027698">
      <w:bodyDiv w:val="1"/>
      <w:marLeft w:val="0"/>
      <w:marRight w:val="0"/>
      <w:marTop w:val="0"/>
      <w:marBottom w:val="0"/>
      <w:divBdr>
        <w:top w:val="none" w:sz="0" w:space="0" w:color="auto"/>
        <w:left w:val="none" w:sz="0" w:space="0" w:color="auto"/>
        <w:bottom w:val="none" w:sz="0" w:space="0" w:color="auto"/>
        <w:right w:val="none" w:sz="0" w:space="0" w:color="auto"/>
      </w:divBdr>
    </w:div>
    <w:div w:id="687802649">
      <w:bodyDiv w:val="1"/>
      <w:marLeft w:val="0"/>
      <w:marRight w:val="0"/>
      <w:marTop w:val="0"/>
      <w:marBottom w:val="0"/>
      <w:divBdr>
        <w:top w:val="none" w:sz="0" w:space="0" w:color="auto"/>
        <w:left w:val="none" w:sz="0" w:space="0" w:color="auto"/>
        <w:bottom w:val="none" w:sz="0" w:space="0" w:color="auto"/>
        <w:right w:val="none" w:sz="0" w:space="0" w:color="auto"/>
      </w:divBdr>
    </w:div>
    <w:div w:id="688335381">
      <w:bodyDiv w:val="1"/>
      <w:marLeft w:val="0"/>
      <w:marRight w:val="0"/>
      <w:marTop w:val="0"/>
      <w:marBottom w:val="0"/>
      <w:divBdr>
        <w:top w:val="none" w:sz="0" w:space="0" w:color="auto"/>
        <w:left w:val="none" w:sz="0" w:space="0" w:color="auto"/>
        <w:bottom w:val="none" w:sz="0" w:space="0" w:color="auto"/>
        <w:right w:val="none" w:sz="0" w:space="0" w:color="auto"/>
      </w:divBdr>
    </w:div>
    <w:div w:id="714238281">
      <w:bodyDiv w:val="1"/>
      <w:marLeft w:val="0"/>
      <w:marRight w:val="0"/>
      <w:marTop w:val="0"/>
      <w:marBottom w:val="0"/>
      <w:divBdr>
        <w:top w:val="none" w:sz="0" w:space="0" w:color="auto"/>
        <w:left w:val="none" w:sz="0" w:space="0" w:color="auto"/>
        <w:bottom w:val="none" w:sz="0" w:space="0" w:color="auto"/>
        <w:right w:val="none" w:sz="0" w:space="0" w:color="auto"/>
      </w:divBdr>
    </w:div>
    <w:div w:id="728650791">
      <w:bodyDiv w:val="1"/>
      <w:marLeft w:val="0"/>
      <w:marRight w:val="0"/>
      <w:marTop w:val="0"/>
      <w:marBottom w:val="0"/>
      <w:divBdr>
        <w:top w:val="none" w:sz="0" w:space="0" w:color="auto"/>
        <w:left w:val="none" w:sz="0" w:space="0" w:color="auto"/>
        <w:bottom w:val="none" w:sz="0" w:space="0" w:color="auto"/>
        <w:right w:val="none" w:sz="0" w:space="0" w:color="auto"/>
      </w:divBdr>
    </w:div>
    <w:div w:id="731006761">
      <w:bodyDiv w:val="1"/>
      <w:marLeft w:val="0"/>
      <w:marRight w:val="0"/>
      <w:marTop w:val="0"/>
      <w:marBottom w:val="0"/>
      <w:divBdr>
        <w:top w:val="none" w:sz="0" w:space="0" w:color="auto"/>
        <w:left w:val="none" w:sz="0" w:space="0" w:color="auto"/>
        <w:bottom w:val="none" w:sz="0" w:space="0" w:color="auto"/>
        <w:right w:val="none" w:sz="0" w:space="0" w:color="auto"/>
      </w:divBdr>
    </w:div>
    <w:div w:id="731998558">
      <w:bodyDiv w:val="1"/>
      <w:marLeft w:val="0"/>
      <w:marRight w:val="0"/>
      <w:marTop w:val="0"/>
      <w:marBottom w:val="0"/>
      <w:divBdr>
        <w:top w:val="none" w:sz="0" w:space="0" w:color="auto"/>
        <w:left w:val="none" w:sz="0" w:space="0" w:color="auto"/>
        <w:bottom w:val="none" w:sz="0" w:space="0" w:color="auto"/>
        <w:right w:val="none" w:sz="0" w:space="0" w:color="auto"/>
      </w:divBdr>
    </w:div>
    <w:div w:id="746264186">
      <w:bodyDiv w:val="1"/>
      <w:marLeft w:val="0"/>
      <w:marRight w:val="0"/>
      <w:marTop w:val="0"/>
      <w:marBottom w:val="0"/>
      <w:divBdr>
        <w:top w:val="none" w:sz="0" w:space="0" w:color="auto"/>
        <w:left w:val="none" w:sz="0" w:space="0" w:color="auto"/>
        <w:bottom w:val="none" w:sz="0" w:space="0" w:color="auto"/>
        <w:right w:val="none" w:sz="0" w:space="0" w:color="auto"/>
      </w:divBdr>
    </w:div>
    <w:div w:id="747923341">
      <w:bodyDiv w:val="1"/>
      <w:marLeft w:val="0"/>
      <w:marRight w:val="0"/>
      <w:marTop w:val="0"/>
      <w:marBottom w:val="0"/>
      <w:divBdr>
        <w:top w:val="none" w:sz="0" w:space="0" w:color="auto"/>
        <w:left w:val="none" w:sz="0" w:space="0" w:color="auto"/>
        <w:bottom w:val="none" w:sz="0" w:space="0" w:color="auto"/>
        <w:right w:val="none" w:sz="0" w:space="0" w:color="auto"/>
      </w:divBdr>
    </w:div>
    <w:div w:id="770711351">
      <w:bodyDiv w:val="1"/>
      <w:marLeft w:val="0"/>
      <w:marRight w:val="0"/>
      <w:marTop w:val="0"/>
      <w:marBottom w:val="0"/>
      <w:divBdr>
        <w:top w:val="none" w:sz="0" w:space="0" w:color="auto"/>
        <w:left w:val="none" w:sz="0" w:space="0" w:color="auto"/>
        <w:bottom w:val="none" w:sz="0" w:space="0" w:color="auto"/>
        <w:right w:val="none" w:sz="0" w:space="0" w:color="auto"/>
      </w:divBdr>
    </w:div>
    <w:div w:id="782262164">
      <w:bodyDiv w:val="1"/>
      <w:marLeft w:val="0"/>
      <w:marRight w:val="0"/>
      <w:marTop w:val="0"/>
      <w:marBottom w:val="0"/>
      <w:divBdr>
        <w:top w:val="none" w:sz="0" w:space="0" w:color="auto"/>
        <w:left w:val="none" w:sz="0" w:space="0" w:color="auto"/>
        <w:bottom w:val="none" w:sz="0" w:space="0" w:color="auto"/>
        <w:right w:val="none" w:sz="0" w:space="0" w:color="auto"/>
      </w:divBdr>
    </w:div>
    <w:div w:id="789085048">
      <w:bodyDiv w:val="1"/>
      <w:marLeft w:val="0"/>
      <w:marRight w:val="0"/>
      <w:marTop w:val="0"/>
      <w:marBottom w:val="0"/>
      <w:divBdr>
        <w:top w:val="none" w:sz="0" w:space="0" w:color="auto"/>
        <w:left w:val="none" w:sz="0" w:space="0" w:color="auto"/>
        <w:bottom w:val="none" w:sz="0" w:space="0" w:color="auto"/>
        <w:right w:val="none" w:sz="0" w:space="0" w:color="auto"/>
      </w:divBdr>
    </w:div>
    <w:div w:id="792479413">
      <w:bodyDiv w:val="1"/>
      <w:marLeft w:val="0"/>
      <w:marRight w:val="0"/>
      <w:marTop w:val="0"/>
      <w:marBottom w:val="0"/>
      <w:divBdr>
        <w:top w:val="none" w:sz="0" w:space="0" w:color="auto"/>
        <w:left w:val="none" w:sz="0" w:space="0" w:color="auto"/>
        <w:bottom w:val="none" w:sz="0" w:space="0" w:color="auto"/>
        <w:right w:val="none" w:sz="0" w:space="0" w:color="auto"/>
      </w:divBdr>
    </w:div>
    <w:div w:id="835418365">
      <w:bodyDiv w:val="1"/>
      <w:marLeft w:val="0"/>
      <w:marRight w:val="0"/>
      <w:marTop w:val="0"/>
      <w:marBottom w:val="0"/>
      <w:divBdr>
        <w:top w:val="none" w:sz="0" w:space="0" w:color="auto"/>
        <w:left w:val="none" w:sz="0" w:space="0" w:color="auto"/>
        <w:bottom w:val="none" w:sz="0" w:space="0" w:color="auto"/>
        <w:right w:val="none" w:sz="0" w:space="0" w:color="auto"/>
      </w:divBdr>
    </w:div>
    <w:div w:id="835918580">
      <w:bodyDiv w:val="1"/>
      <w:marLeft w:val="0"/>
      <w:marRight w:val="0"/>
      <w:marTop w:val="0"/>
      <w:marBottom w:val="0"/>
      <w:divBdr>
        <w:top w:val="none" w:sz="0" w:space="0" w:color="auto"/>
        <w:left w:val="none" w:sz="0" w:space="0" w:color="auto"/>
        <w:bottom w:val="none" w:sz="0" w:space="0" w:color="auto"/>
        <w:right w:val="none" w:sz="0" w:space="0" w:color="auto"/>
      </w:divBdr>
    </w:div>
    <w:div w:id="842740453">
      <w:bodyDiv w:val="1"/>
      <w:marLeft w:val="0"/>
      <w:marRight w:val="0"/>
      <w:marTop w:val="0"/>
      <w:marBottom w:val="0"/>
      <w:divBdr>
        <w:top w:val="none" w:sz="0" w:space="0" w:color="auto"/>
        <w:left w:val="none" w:sz="0" w:space="0" w:color="auto"/>
        <w:bottom w:val="none" w:sz="0" w:space="0" w:color="auto"/>
        <w:right w:val="none" w:sz="0" w:space="0" w:color="auto"/>
      </w:divBdr>
    </w:div>
    <w:div w:id="889924648">
      <w:bodyDiv w:val="1"/>
      <w:marLeft w:val="0"/>
      <w:marRight w:val="0"/>
      <w:marTop w:val="0"/>
      <w:marBottom w:val="0"/>
      <w:divBdr>
        <w:top w:val="none" w:sz="0" w:space="0" w:color="auto"/>
        <w:left w:val="none" w:sz="0" w:space="0" w:color="auto"/>
        <w:bottom w:val="none" w:sz="0" w:space="0" w:color="auto"/>
        <w:right w:val="none" w:sz="0" w:space="0" w:color="auto"/>
      </w:divBdr>
    </w:div>
    <w:div w:id="908001484">
      <w:bodyDiv w:val="1"/>
      <w:marLeft w:val="0"/>
      <w:marRight w:val="0"/>
      <w:marTop w:val="0"/>
      <w:marBottom w:val="0"/>
      <w:divBdr>
        <w:top w:val="none" w:sz="0" w:space="0" w:color="auto"/>
        <w:left w:val="none" w:sz="0" w:space="0" w:color="auto"/>
        <w:bottom w:val="none" w:sz="0" w:space="0" w:color="auto"/>
        <w:right w:val="none" w:sz="0" w:space="0" w:color="auto"/>
      </w:divBdr>
    </w:div>
    <w:div w:id="909581509">
      <w:bodyDiv w:val="1"/>
      <w:marLeft w:val="0"/>
      <w:marRight w:val="0"/>
      <w:marTop w:val="0"/>
      <w:marBottom w:val="0"/>
      <w:divBdr>
        <w:top w:val="none" w:sz="0" w:space="0" w:color="auto"/>
        <w:left w:val="none" w:sz="0" w:space="0" w:color="auto"/>
        <w:bottom w:val="none" w:sz="0" w:space="0" w:color="auto"/>
        <w:right w:val="none" w:sz="0" w:space="0" w:color="auto"/>
      </w:divBdr>
    </w:div>
    <w:div w:id="911739873">
      <w:bodyDiv w:val="1"/>
      <w:marLeft w:val="0"/>
      <w:marRight w:val="0"/>
      <w:marTop w:val="0"/>
      <w:marBottom w:val="0"/>
      <w:divBdr>
        <w:top w:val="none" w:sz="0" w:space="0" w:color="auto"/>
        <w:left w:val="none" w:sz="0" w:space="0" w:color="auto"/>
        <w:bottom w:val="none" w:sz="0" w:space="0" w:color="auto"/>
        <w:right w:val="none" w:sz="0" w:space="0" w:color="auto"/>
      </w:divBdr>
    </w:div>
    <w:div w:id="922297302">
      <w:bodyDiv w:val="1"/>
      <w:marLeft w:val="0"/>
      <w:marRight w:val="0"/>
      <w:marTop w:val="0"/>
      <w:marBottom w:val="0"/>
      <w:divBdr>
        <w:top w:val="none" w:sz="0" w:space="0" w:color="auto"/>
        <w:left w:val="none" w:sz="0" w:space="0" w:color="auto"/>
        <w:bottom w:val="none" w:sz="0" w:space="0" w:color="auto"/>
        <w:right w:val="none" w:sz="0" w:space="0" w:color="auto"/>
      </w:divBdr>
    </w:div>
    <w:div w:id="923756828">
      <w:bodyDiv w:val="1"/>
      <w:marLeft w:val="0"/>
      <w:marRight w:val="0"/>
      <w:marTop w:val="0"/>
      <w:marBottom w:val="0"/>
      <w:divBdr>
        <w:top w:val="none" w:sz="0" w:space="0" w:color="auto"/>
        <w:left w:val="none" w:sz="0" w:space="0" w:color="auto"/>
        <w:bottom w:val="none" w:sz="0" w:space="0" w:color="auto"/>
        <w:right w:val="none" w:sz="0" w:space="0" w:color="auto"/>
      </w:divBdr>
    </w:div>
    <w:div w:id="925458090">
      <w:bodyDiv w:val="1"/>
      <w:marLeft w:val="0"/>
      <w:marRight w:val="0"/>
      <w:marTop w:val="0"/>
      <w:marBottom w:val="0"/>
      <w:divBdr>
        <w:top w:val="none" w:sz="0" w:space="0" w:color="auto"/>
        <w:left w:val="none" w:sz="0" w:space="0" w:color="auto"/>
        <w:bottom w:val="none" w:sz="0" w:space="0" w:color="auto"/>
        <w:right w:val="none" w:sz="0" w:space="0" w:color="auto"/>
      </w:divBdr>
    </w:div>
    <w:div w:id="939140836">
      <w:bodyDiv w:val="1"/>
      <w:marLeft w:val="0"/>
      <w:marRight w:val="0"/>
      <w:marTop w:val="0"/>
      <w:marBottom w:val="0"/>
      <w:divBdr>
        <w:top w:val="none" w:sz="0" w:space="0" w:color="auto"/>
        <w:left w:val="none" w:sz="0" w:space="0" w:color="auto"/>
        <w:bottom w:val="none" w:sz="0" w:space="0" w:color="auto"/>
        <w:right w:val="none" w:sz="0" w:space="0" w:color="auto"/>
      </w:divBdr>
    </w:div>
    <w:div w:id="950278368">
      <w:bodyDiv w:val="1"/>
      <w:marLeft w:val="0"/>
      <w:marRight w:val="0"/>
      <w:marTop w:val="0"/>
      <w:marBottom w:val="0"/>
      <w:divBdr>
        <w:top w:val="none" w:sz="0" w:space="0" w:color="auto"/>
        <w:left w:val="none" w:sz="0" w:space="0" w:color="auto"/>
        <w:bottom w:val="none" w:sz="0" w:space="0" w:color="auto"/>
        <w:right w:val="none" w:sz="0" w:space="0" w:color="auto"/>
      </w:divBdr>
    </w:div>
    <w:div w:id="961762243">
      <w:bodyDiv w:val="1"/>
      <w:marLeft w:val="0"/>
      <w:marRight w:val="0"/>
      <w:marTop w:val="0"/>
      <w:marBottom w:val="0"/>
      <w:divBdr>
        <w:top w:val="none" w:sz="0" w:space="0" w:color="auto"/>
        <w:left w:val="none" w:sz="0" w:space="0" w:color="auto"/>
        <w:bottom w:val="none" w:sz="0" w:space="0" w:color="auto"/>
        <w:right w:val="none" w:sz="0" w:space="0" w:color="auto"/>
      </w:divBdr>
    </w:div>
    <w:div w:id="972833262">
      <w:bodyDiv w:val="1"/>
      <w:marLeft w:val="0"/>
      <w:marRight w:val="0"/>
      <w:marTop w:val="0"/>
      <w:marBottom w:val="0"/>
      <w:divBdr>
        <w:top w:val="none" w:sz="0" w:space="0" w:color="auto"/>
        <w:left w:val="none" w:sz="0" w:space="0" w:color="auto"/>
        <w:bottom w:val="none" w:sz="0" w:space="0" w:color="auto"/>
        <w:right w:val="none" w:sz="0" w:space="0" w:color="auto"/>
      </w:divBdr>
    </w:div>
    <w:div w:id="994803112">
      <w:bodyDiv w:val="1"/>
      <w:marLeft w:val="0"/>
      <w:marRight w:val="0"/>
      <w:marTop w:val="0"/>
      <w:marBottom w:val="0"/>
      <w:divBdr>
        <w:top w:val="none" w:sz="0" w:space="0" w:color="auto"/>
        <w:left w:val="none" w:sz="0" w:space="0" w:color="auto"/>
        <w:bottom w:val="none" w:sz="0" w:space="0" w:color="auto"/>
        <w:right w:val="none" w:sz="0" w:space="0" w:color="auto"/>
      </w:divBdr>
    </w:div>
    <w:div w:id="998921993">
      <w:bodyDiv w:val="1"/>
      <w:marLeft w:val="0"/>
      <w:marRight w:val="0"/>
      <w:marTop w:val="0"/>
      <w:marBottom w:val="0"/>
      <w:divBdr>
        <w:top w:val="none" w:sz="0" w:space="0" w:color="auto"/>
        <w:left w:val="none" w:sz="0" w:space="0" w:color="auto"/>
        <w:bottom w:val="none" w:sz="0" w:space="0" w:color="auto"/>
        <w:right w:val="none" w:sz="0" w:space="0" w:color="auto"/>
      </w:divBdr>
    </w:div>
    <w:div w:id="1004212240">
      <w:bodyDiv w:val="1"/>
      <w:marLeft w:val="0"/>
      <w:marRight w:val="0"/>
      <w:marTop w:val="0"/>
      <w:marBottom w:val="0"/>
      <w:divBdr>
        <w:top w:val="none" w:sz="0" w:space="0" w:color="auto"/>
        <w:left w:val="none" w:sz="0" w:space="0" w:color="auto"/>
        <w:bottom w:val="none" w:sz="0" w:space="0" w:color="auto"/>
        <w:right w:val="none" w:sz="0" w:space="0" w:color="auto"/>
      </w:divBdr>
    </w:div>
    <w:div w:id="1006711566">
      <w:bodyDiv w:val="1"/>
      <w:marLeft w:val="0"/>
      <w:marRight w:val="0"/>
      <w:marTop w:val="0"/>
      <w:marBottom w:val="0"/>
      <w:divBdr>
        <w:top w:val="none" w:sz="0" w:space="0" w:color="auto"/>
        <w:left w:val="none" w:sz="0" w:space="0" w:color="auto"/>
        <w:bottom w:val="none" w:sz="0" w:space="0" w:color="auto"/>
        <w:right w:val="none" w:sz="0" w:space="0" w:color="auto"/>
      </w:divBdr>
    </w:div>
    <w:div w:id="1016813460">
      <w:bodyDiv w:val="1"/>
      <w:marLeft w:val="0"/>
      <w:marRight w:val="0"/>
      <w:marTop w:val="0"/>
      <w:marBottom w:val="0"/>
      <w:divBdr>
        <w:top w:val="none" w:sz="0" w:space="0" w:color="auto"/>
        <w:left w:val="none" w:sz="0" w:space="0" w:color="auto"/>
        <w:bottom w:val="none" w:sz="0" w:space="0" w:color="auto"/>
        <w:right w:val="none" w:sz="0" w:space="0" w:color="auto"/>
      </w:divBdr>
    </w:div>
    <w:div w:id="1020349313">
      <w:bodyDiv w:val="1"/>
      <w:marLeft w:val="0"/>
      <w:marRight w:val="0"/>
      <w:marTop w:val="0"/>
      <w:marBottom w:val="0"/>
      <w:divBdr>
        <w:top w:val="none" w:sz="0" w:space="0" w:color="auto"/>
        <w:left w:val="none" w:sz="0" w:space="0" w:color="auto"/>
        <w:bottom w:val="none" w:sz="0" w:space="0" w:color="auto"/>
        <w:right w:val="none" w:sz="0" w:space="0" w:color="auto"/>
      </w:divBdr>
    </w:div>
    <w:div w:id="1021980035">
      <w:bodyDiv w:val="1"/>
      <w:marLeft w:val="0"/>
      <w:marRight w:val="0"/>
      <w:marTop w:val="0"/>
      <w:marBottom w:val="0"/>
      <w:divBdr>
        <w:top w:val="none" w:sz="0" w:space="0" w:color="auto"/>
        <w:left w:val="none" w:sz="0" w:space="0" w:color="auto"/>
        <w:bottom w:val="none" w:sz="0" w:space="0" w:color="auto"/>
        <w:right w:val="none" w:sz="0" w:space="0" w:color="auto"/>
      </w:divBdr>
    </w:div>
    <w:div w:id="1028413176">
      <w:bodyDiv w:val="1"/>
      <w:marLeft w:val="0"/>
      <w:marRight w:val="0"/>
      <w:marTop w:val="0"/>
      <w:marBottom w:val="0"/>
      <w:divBdr>
        <w:top w:val="none" w:sz="0" w:space="0" w:color="auto"/>
        <w:left w:val="none" w:sz="0" w:space="0" w:color="auto"/>
        <w:bottom w:val="none" w:sz="0" w:space="0" w:color="auto"/>
        <w:right w:val="none" w:sz="0" w:space="0" w:color="auto"/>
      </w:divBdr>
    </w:div>
    <w:div w:id="1037850589">
      <w:bodyDiv w:val="1"/>
      <w:marLeft w:val="0"/>
      <w:marRight w:val="0"/>
      <w:marTop w:val="0"/>
      <w:marBottom w:val="0"/>
      <w:divBdr>
        <w:top w:val="none" w:sz="0" w:space="0" w:color="auto"/>
        <w:left w:val="none" w:sz="0" w:space="0" w:color="auto"/>
        <w:bottom w:val="none" w:sz="0" w:space="0" w:color="auto"/>
        <w:right w:val="none" w:sz="0" w:space="0" w:color="auto"/>
      </w:divBdr>
    </w:div>
    <w:div w:id="1039360015">
      <w:bodyDiv w:val="1"/>
      <w:marLeft w:val="0"/>
      <w:marRight w:val="0"/>
      <w:marTop w:val="0"/>
      <w:marBottom w:val="0"/>
      <w:divBdr>
        <w:top w:val="none" w:sz="0" w:space="0" w:color="auto"/>
        <w:left w:val="none" w:sz="0" w:space="0" w:color="auto"/>
        <w:bottom w:val="none" w:sz="0" w:space="0" w:color="auto"/>
        <w:right w:val="none" w:sz="0" w:space="0" w:color="auto"/>
      </w:divBdr>
    </w:div>
    <w:div w:id="1043093258">
      <w:bodyDiv w:val="1"/>
      <w:marLeft w:val="0"/>
      <w:marRight w:val="0"/>
      <w:marTop w:val="0"/>
      <w:marBottom w:val="0"/>
      <w:divBdr>
        <w:top w:val="none" w:sz="0" w:space="0" w:color="auto"/>
        <w:left w:val="none" w:sz="0" w:space="0" w:color="auto"/>
        <w:bottom w:val="none" w:sz="0" w:space="0" w:color="auto"/>
        <w:right w:val="none" w:sz="0" w:space="0" w:color="auto"/>
      </w:divBdr>
    </w:div>
    <w:div w:id="1046678521">
      <w:bodyDiv w:val="1"/>
      <w:marLeft w:val="0"/>
      <w:marRight w:val="0"/>
      <w:marTop w:val="0"/>
      <w:marBottom w:val="0"/>
      <w:divBdr>
        <w:top w:val="none" w:sz="0" w:space="0" w:color="auto"/>
        <w:left w:val="none" w:sz="0" w:space="0" w:color="auto"/>
        <w:bottom w:val="none" w:sz="0" w:space="0" w:color="auto"/>
        <w:right w:val="none" w:sz="0" w:space="0" w:color="auto"/>
      </w:divBdr>
    </w:div>
    <w:div w:id="1067647131">
      <w:bodyDiv w:val="1"/>
      <w:marLeft w:val="0"/>
      <w:marRight w:val="0"/>
      <w:marTop w:val="0"/>
      <w:marBottom w:val="0"/>
      <w:divBdr>
        <w:top w:val="none" w:sz="0" w:space="0" w:color="auto"/>
        <w:left w:val="none" w:sz="0" w:space="0" w:color="auto"/>
        <w:bottom w:val="none" w:sz="0" w:space="0" w:color="auto"/>
        <w:right w:val="none" w:sz="0" w:space="0" w:color="auto"/>
      </w:divBdr>
    </w:div>
    <w:div w:id="1098795730">
      <w:bodyDiv w:val="1"/>
      <w:marLeft w:val="0"/>
      <w:marRight w:val="0"/>
      <w:marTop w:val="0"/>
      <w:marBottom w:val="0"/>
      <w:divBdr>
        <w:top w:val="none" w:sz="0" w:space="0" w:color="auto"/>
        <w:left w:val="none" w:sz="0" w:space="0" w:color="auto"/>
        <w:bottom w:val="none" w:sz="0" w:space="0" w:color="auto"/>
        <w:right w:val="none" w:sz="0" w:space="0" w:color="auto"/>
      </w:divBdr>
    </w:div>
    <w:div w:id="1150320422">
      <w:bodyDiv w:val="1"/>
      <w:marLeft w:val="0"/>
      <w:marRight w:val="0"/>
      <w:marTop w:val="0"/>
      <w:marBottom w:val="0"/>
      <w:divBdr>
        <w:top w:val="none" w:sz="0" w:space="0" w:color="auto"/>
        <w:left w:val="none" w:sz="0" w:space="0" w:color="auto"/>
        <w:bottom w:val="none" w:sz="0" w:space="0" w:color="auto"/>
        <w:right w:val="none" w:sz="0" w:space="0" w:color="auto"/>
      </w:divBdr>
    </w:div>
    <w:div w:id="1196963289">
      <w:bodyDiv w:val="1"/>
      <w:marLeft w:val="0"/>
      <w:marRight w:val="0"/>
      <w:marTop w:val="0"/>
      <w:marBottom w:val="0"/>
      <w:divBdr>
        <w:top w:val="none" w:sz="0" w:space="0" w:color="auto"/>
        <w:left w:val="none" w:sz="0" w:space="0" w:color="auto"/>
        <w:bottom w:val="none" w:sz="0" w:space="0" w:color="auto"/>
        <w:right w:val="none" w:sz="0" w:space="0" w:color="auto"/>
      </w:divBdr>
    </w:div>
    <w:div w:id="1208109892">
      <w:bodyDiv w:val="1"/>
      <w:marLeft w:val="0"/>
      <w:marRight w:val="0"/>
      <w:marTop w:val="0"/>
      <w:marBottom w:val="0"/>
      <w:divBdr>
        <w:top w:val="none" w:sz="0" w:space="0" w:color="auto"/>
        <w:left w:val="none" w:sz="0" w:space="0" w:color="auto"/>
        <w:bottom w:val="none" w:sz="0" w:space="0" w:color="auto"/>
        <w:right w:val="none" w:sz="0" w:space="0" w:color="auto"/>
      </w:divBdr>
    </w:div>
    <w:div w:id="1225331926">
      <w:bodyDiv w:val="1"/>
      <w:marLeft w:val="0"/>
      <w:marRight w:val="0"/>
      <w:marTop w:val="0"/>
      <w:marBottom w:val="0"/>
      <w:divBdr>
        <w:top w:val="none" w:sz="0" w:space="0" w:color="auto"/>
        <w:left w:val="none" w:sz="0" w:space="0" w:color="auto"/>
        <w:bottom w:val="none" w:sz="0" w:space="0" w:color="auto"/>
        <w:right w:val="none" w:sz="0" w:space="0" w:color="auto"/>
      </w:divBdr>
    </w:div>
    <w:div w:id="1246645889">
      <w:bodyDiv w:val="1"/>
      <w:marLeft w:val="0"/>
      <w:marRight w:val="0"/>
      <w:marTop w:val="0"/>
      <w:marBottom w:val="0"/>
      <w:divBdr>
        <w:top w:val="none" w:sz="0" w:space="0" w:color="auto"/>
        <w:left w:val="none" w:sz="0" w:space="0" w:color="auto"/>
        <w:bottom w:val="none" w:sz="0" w:space="0" w:color="auto"/>
        <w:right w:val="none" w:sz="0" w:space="0" w:color="auto"/>
      </w:divBdr>
    </w:div>
    <w:div w:id="1269001026">
      <w:bodyDiv w:val="1"/>
      <w:marLeft w:val="0"/>
      <w:marRight w:val="0"/>
      <w:marTop w:val="0"/>
      <w:marBottom w:val="0"/>
      <w:divBdr>
        <w:top w:val="none" w:sz="0" w:space="0" w:color="auto"/>
        <w:left w:val="none" w:sz="0" w:space="0" w:color="auto"/>
        <w:bottom w:val="none" w:sz="0" w:space="0" w:color="auto"/>
        <w:right w:val="none" w:sz="0" w:space="0" w:color="auto"/>
      </w:divBdr>
    </w:div>
    <w:div w:id="1278638490">
      <w:bodyDiv w:val="1"/>
      <w:marLeft w:val="0"/>
      <w:marRight w:val="0"/>
      <w:marTop w:val="0"/>
      <w:marBottom w:val="0"/>
      <w:divBdr>
        <w:top w:val="none" w:sz="0" w:space="0" w:color="auto"/>
        <w:left w:val="none" w:sz="0" w:space="0" w:color="auto"/>
        <w:bottom w:val="none" w:sz="0" w:space="0" w:color="auto"/>
        <w:right w:val="none" w:sz="0" w:space="0" w:color="auto"/>
      </w:divBdr>
    </w:div>
    <w:div w:id="1294410824">
      <w:bodyDiv w:val="1"/>
      <w:marLeft w:val="0"/>
      <w:marRight w:val="0"/>
      <w:marTop w:val="0"/>
      <w:marBottom w:val="0"/>
      <w:divBdr>
        <w:top w:val="none" w:sz="0" w:space="0" w:color="auto"/>
        <w:left w:val="none" w:sz="0" w:space="0" w:color="auto"/>
        <w:bottom w:val="none" w:sz="0" w:space="0" w:color="auto"/>
        <w:right w:val="none" w:sz="0" w:space="0" w:color="auto"/>
      </w:divBdr>
    </w:div>
    <w:div w:id="1299535539">
      <w:bodyDiv w:val="1"/>
      <w:marLeft w:val="0"/>
      <w:marRight w:val="0"/>
      <w:marTop w:val="0"/>
      <w:marBottom w:val="0"/>
      <w:divBdr>
        <w:top w:val="none" w:sz="0" w:space="0" w:color="auto"/>
        <w:left w:val="none" w:sz="0" w:space="0" w:color="auto"/>
        <w:bottom w:val="none" w:sz="0" w:space="0" w:color="auto"/>
        <w:right w:val="none" w:sz="0" w:space="0" w:color="auto"/>
      </w:divBdr>
    </w:div>
    <w:div w:id="1309936657">
      <w:bodyDiv w:val="1"/>
      <w:marLeft w:val="0"/>
      <w:marRight w:val="0"/>
      <w:marTop w:val="0"/>
      <w:marBottom w:val="0"/>
      <w:divBdr>
        <w:top w:val="none" w:sz="0" w:space="0" w:color="auto"/>
        <w:left w:val="none" w:sz="0" w:space="0" w:color="auto"/>
        <w:bottom w:val="none" w:sz="0" w:space="0" w:color="auto"/>
        <w:right w:val="none" w:sz="0" w:space="0" w:color="auto"/>
      </w:divBdr>
    </w:div>
    <w:div w:id="1314067998">
      <w:bodyDiv w:val="1"/>
      <w:marLeft w:val="0"/>
      <w:marRight w:val="0"/>
      <w:marTop w:val="0"/>
      <w:marBottom w:val="0"/>
      <w:divBdr>
        <w:top w:val="none" w:sz="0" w:space="0" w:color="auto"/>
        <w:left w:val="none" w:sz="0" w:space="0" w:color="auto"/>
        <w:bottom w:val="none" w:sz="0" w:space="0" w:color="auto"/>
        <w:right w:val="none" w:sz="0" w:space="0" w:color="auto"/>
      </w:divBdr>
    </w:div>
    <w:div w:id="1326514187">
      <w:bodyDiv w:val="1"/>
      <w:marLeft w:val="0"/>
      <w:marRight w:val="0"/>
      <w:marTop w:val="0"/>
      <w:marBottom w:val="0"/>
      <w:divBdr>
        <w:top w:val="none" w:sz="0" w:space="0" w:color="auto"/>
        <w:left w:val="none" w:sz="0" w:space="0" w:color="auto"/>
        <w:bottom w:val="none" w:sz="0" w:space="0" w:color="auto"/>
        <w:right w:val="none" w:sz="0" w:space="0" w:color="auto"/>
      </w:divBdr>
    </w:div>
    <w:div w:id="1342732827">
      <w:bodyDiv w:val="1"/>
      <w:marLeft w:val="0"/>
      <w:marRight w:val="0"/>
      <w:marTop w:val="0"/>
      <w:marBottom w:val="0"/>
      <w:divBdr>
        <w:top w:val="none" w:sz="0" w:space="0" w:color="auto"/>
        <w:left w:val="none" w:sz="0" w:space="0" w:color="auto"/>
        <w:bottom w:val="none" w:sz="0" w:space="0" w:color="auto"/>
        <w:right w:val="none" w:sz="0" w:space="0" w:color="auto"/>
      </w:divBdr>
    </w:div>
    <w:div w:id="1370835208">
      <w:bodyDiv w:val="1"/>
      <w:marLeft w:val="0"/>
      <w:marRight w:val="0"/>
      <w:marTop w:val="0"/>
      <w:marBottom w:val="0"/>
      <w:divBdr>
        <w:top w:val="none" w:sz="0" w:space="0" w:color="auto"/>
        <w:left w:val="none" w:sz="0" w:space="0" w:color="auto"/>
        <w:bottom w:val="none" w:sz="0" w:space="0" w:color="auto"/>
        <w:right w:val="none" w:sz="0" w:space="0" w:color="auto"/>
      </w:divBdr>
    </w:div>
    <w:div w:id="1371875208">
      <w:bodyDiv w:val="1"/>
      <w:marLeft w:val="0"/>
      <w:marRight w:val="0"/>
      <w:marTop w:val="0"/>
      <w:marBottom w:val="0"/>
      <w:divBdr>
        <w:top w:val="none" w:sz="0" w:space="0" w:color="auto"/>
        <w:left w:val="none" w:sz="0" w:space="0" w:color="auto"/>
        <w:bottom w:val="none" w:sz="0" w:space="0" w:color="auto"/>
        <w:right w:val="none" w:sz="0" w:space="0" w:color="auto"/>
      </w:divBdr>
    </w:div>
    <w:div w:id="1376389482">
      <w:bodyDiv w:val="1"/>
      <w:marLeft w:val="0"/>
      <w:marRight w:val="0"/>
      <w:marTop w:val="0"/>
      <w:marBottom w:val="0"/>
      <w:divBdr>
        <w:top w:val="none" w:sz="0" w:space="0" w:color="auto"/>
        <w:left w:val="none" w:sz="0" w:space="0" w:color="auto"/>
        <w:bottom w:val="none" w:sz="0" w:space="0" w:color="auto"/>
        <w:right w:val="none" w:sz="0" w:space="0" w:color="auto"/>
      </w:divBdr>
    </w:div>
    <w:div w:id="1377587329">
      <w:bodyDiv w:val="1"/>
      <w:marLeft w:val="0"/>
      <w:marRight w:val="0"/>
      <w:marTop w:val="0"/>
      <w:marBottom w:val="0"/>
      <w:divBdr>
        <w:top w:val="none" w:sz="0" w:space="0" w:color="auto"/>
        <w:left w:val="none" w:sz="0" w:space="0" w:color="auto"/>
        <w:bottom w:val="none" w:sz="0" w:space="0" w:color="auto"/>
        <w:right w:val="none" w:sz="0" w:space="0" w:color="auto"/>
      </w:divBdr>
    </w:div>
    <w:div w:id="1384407276">
      <w:bodyDiv w:val="1"/>
      <w:marLeft w:val="0"/>
      <w:marRight w:val="0"/>
      <w:marTop w:val="0"/>
      <w:marBottom w:val="0"/>
      <w:divBdr>
        <w:top w:val="none" w:sz="0" w:space="0" w:color="auto"/>
        <w:left w:val="none" w:sz="0" w:space="0" w:color="auto"/>
        <w:bottom w:val="none" w:sz="0" w:space="0" w:color="auto"/>
        <w:right w:val="none" w:sz="0" w:space="0" w:color="auto"/>
      </w:divBdr>
    </w:div>
    <w:div w:id="1385525327">
      <w:bodyDiv w:val="1"/>
      <w:marLeft w:val="0"/>
      <w:marRight w:val="0"/>
      <w:marTop w:val="0"/>
      <w:marBottom w:val="0"/>
      <w:divBdr>
        <w:top w:val="none" w:sz="0" w:space="0" w:color="auto"/>
        <w:left w:val="none" w:sz="0" w:space="0" w:color="auto"/>
        <w:bottom w:val="none" w:sz="0" w:space="0" w:color="auto"/>
        <w:right w:val="none" w:sz="0" w:space="0" w:color="auto"/>
      </w:divBdr>
    </w:div>
    <w:div w:id="1394815597">
      <w:bodyDiv w:val="1"/>
      <w:marLeft w:val="0"/>
      <w:marRight w:val="0"/>
      <w:marTop w:val="0"/>
      <w:marBottom w:val="0"/>
      <w:divBdr>
        <w:top w:val="none" w:sz="0" w:space="0" w:color="auto"/>
        <w:left w:val="none" w:sz="0" w:space="0" w:color="auto"/>
        <w:bottom w:val="none" w:sz="0" w:space="0" w:color="auto"/>
        <w:right w:val="none" w:sz="0" w:space="0" w:color="auto"/>
      </w:divBdr>
    </w:div>
    <w:div w:id="1407344421">
      <w:bodyDiv w:val="1"/>
      <w:marLeft w:val="0"/>
      <w:marRight w:val="0"/>
      <w:marTop w:val="0"/>
      <w:marBottom w:val="0"/>
      <w:divBdr>
        <w:top w:val="none" w:sz="0" w:space="0" w:color="auto"/>
        <w:left w:val="none" w:sz="0" w:space="0" w:color="auto"/>
        <w:bottom w:val="none" w:sz="0" w:space="0" w:color="auto"/>
        <w:right w:val="none" w:sz="0" w:space="0" w:color="auto"/>
      </w:divBdr>
    </w:div>
    <w:div w:id="1409839075">
      <w:bodyDiv w:val="1"/>
      <w:marLeft w:val="0"/>
      <w:marRight w:val="0"/>
      <w:marTop w:val="0"/>
      <w:marBottom w:val="0"/>
      <w:divBdr>
        <w:top w:val="none" w:sz="0" w:space="0" w:color="auto"/>
        <w:left w:val="none" w:sz="0" w:space="0" w:color="auto"/>
        <w:bottom w:val="none" w:sz="0" w:space="0" w:color="auto"/>
        <w:right w:val="none" w:sz="0" w:space="0" w:color="auto"/>
      </w:divBdr>
    </w:div>
    <w:div w:id="1411344342">
      <w:bodyDiv w:val="1"/>
      <w:marLeft w:val="0"/>
      <w:marRight w:val="0"/>
      <w:marTop w:val="0"/>
      <w:marBottom w:val="0"/>
      <w:divBdr>
        <w:top w:val="none" w:sz="0" w:space="0" w:color="auto"/>
        <w:left w:val="none" w:sz="0" w:space="0" w:color="auto"/>
        <w:bottom w:val="none" w:sz="0" w:space="0" w:color="auto"/>
        <w:right w:val="none" w:sz="0" w:space="0" w:color="auto"/>
      </w:divBdr>
    </w:div>
    <w:div w:id="1416122889">
      <w:bodyDiv w:val="1"/>
      <w:marLeft w:val="0"/>
      <w:marRight w:val="0"/>
      <w:marTop w:val="0"/>
      <w:marBottom w:val="0"/>
      <w:divBdr>
        <w:top w:val="none" w:sz="0" w:space="0" w:color="auto"/>
        <w:left w:val="none" w:sz="0" w:space="0" w:color="auto"/>
        <w:bottom w:val="none" w:sz="0" w:space="0" w:color="auto"/>
        <w:right w:val="none" w:sz="0" w:space="0" w:color="auto"/>
      </w:divBdr>
    </w:div>
    <w:div w:id="1428118356">
      <w:bodyDiv w:val="1"/>
      <w:marLeft w:val="0"/>
      <w:marRight w:val="0"/>
      <w:marTop w:val="0"/>
      <w:marBottom w:val="0"/>
      <w:divBdr>
        <w:top w:val="none" w:sz="0" w:space="0" w:color="auto"/>
        <w:left w:val="none" w:sz="0" w:space="0" w:color="auto"/>
        <w:bottom w:val="none" w:sz="0" w:space="0" w:color="auto"/>
        <w:right w:val="none" w:sz="0" w:space="0" w:color="auto"/>
      </w:divBdr>
    </w:div>
    <w:div w:id="1429039794">
      <w:bodyDiv w:val="1"/>
      <w:marLeft w:val="0"/>
      <w:marRight w:val="0"/>
      <w:marTop w:val="0"/>
      <w:marBottom w:val="0"/>
      <w:divBdr>
        <w:top w:val="none" w:sz="0" w:space="0" w:color="auto"/>
        <w:left w:val="none" w:sz="0" w:space="0" w:color="auto"/>
        <w:bottom w:val="none" w:sz="0" w:space="0" w:color="auto"/>
        <w:right w:val="none" w:sz="0" w:space="0" w:color="auto"/>
      </w:divBdr>
    </w:div>
    <w:div w:id="1433158888">
      <w:bodyDiv w:val="1"/>
      <w:marLeft w:val="0"/>
      <w:marRight w:val="0"/>
      <w:marTop w:val="0"/>
      <w:marBottom w:val="0"/>
      <w:divBdr>
        <w:top w:val="none" w:sz="0" w:space="0" w:color="auto"/>
        <w:left w:val="none" w:sz="0" w:space="0" w:color="auto"/>
        <w:bottom w:val="none" w:sz="0" w:space="0" w:color="auto"/>
        <w:right w:val="none" w:sz="0" w:space="0" w:color="auto"/>
      </w:divBdr>
    </w:div>
    <w:div w:id="1446995769">
      <w:bodyDiv w:val="1"/>
      <w:marLeft w:val="0"/>
      <w:marRight w:val="0"/>
      <w:marTop w:val="0"/>
      <w:marBottom w:val="0"/>
      <w:divBdr>
        <w:top w:val="none" w:sz="0" w:space="0" w:color="auto"/>
        <w:left w:val="none" w:sz="0" w:space="0" w:color="auto"/>
        <w:bottom w:val="none" w:sz="0" w:space="0" w:color="auto"/>
        <w:right w:val="none" w:sz="0" w:space="0" w:color="auto"/>
      </w:divBdr>
    </w:div>
    <w:div w:id="1455908666">
      <w:bodyDiv w:val="1"/>
      <w:marLeft w:val="0"/>
      <w:marRight w:val="0"/>
      <w:marTop w:val="0"/>
      <w:marBottom w:val="0"/>
      <w:divBdr>
        <w:top w:val="none" w:sz="0" w:space="0" w:color="auto"/>
        <w:left w:val="none" w:sz="0" w:space="0" w:color="auto"/>
        <w:bottom w:val="none" w:sz="0" w:space="0" w:color="auto"/>
        <w:right w:val="none" w:sz="0" w:space="0" w:color="auto"/>
      </w:divBdr>
    </w:div>
    <w:div w:id="1459374671">
      <w:bodyDiv w:val="1"/>
      <w:marLeft w:val="0"/>
      <w:marRight w:val="0"/>
      <w:marTop w:val="0"/>
      <w:marBottom w:val="0"/>
      <w:divBdr>
        <w:top w:val="none" w:sz="0" w:space="0" w:color="auto"/>
        <w:left w:val="none" w:sz="0" w:space="0" w:color="auto"/>
        <w:bottom w:val="none" w:sz="0" w:space="0" w:color="auto"/>
        <w:right w:val="none" w:sz="0" w:space="0" w:color="auto"/>
      </w:divBdr>
    </w:div>
    <w:div w:id="1475414674">
      <w:bodyDiv w:val="1"/>
      <w:marLeft w:val="0"/>
      <w:marRight w:val="0"/>
      <w:marTop w:val="0"/>
      <w:marBottom w:val="0"/>
      <w:divBdr>
        <w:top w:val="none" w:sz="0" w:space="0" w:color="auto"/>
        <w:left w:val="none" w:sz="0" w:space="0" w:color="auto"/>
        <w:bottom w:val="none" w:sz="0" w:space="0" w:color="auto"/>
        <w:right w:val="none" w:sz="0" w:space="0" w:color="auto"/>
      </w:divBdr>
    </w:div>
    <w:div w:id="1517229657">
      <w:bodyDiv w:val="1"/>
      <w:marLeft w:val="0"/>
      <w:marRight w:val="0"/>
      <w:marTop w:val="0"/>
      <w:marBottom w:val="0"/>
      <w:divBdr>
        <w:top w:val="none" w:sz="0" w:space="0" w:color="auto"/>
        <w:left w:val="none" w:sz="0" w:space="0" w:color="auto"/>
        <w:bottom w:val="none" w:sz="0" w:space="0" w:color="auto"/>
        <w:right w:val="none" w:sz="0" w:space="0" w:color="auto"/>
      </w:divBdr>
    </w:div>
    <w:div w:id="1521967357">
      <w:bodyDiv w:val="1"/>
      <w:marLeft w:val="0"/>
      <w:marRight w:val="0"/>
      <w:marTop w:val="0"/>
      <w:marBottom w:val="0"/>
      <w:divBdr>
        <w:top w:val="none" w:sz="0" w:space="0" w:color="auto"/>
        <w:left w:val="none" w:sz="0" w:space="0" w:color="auto"/>
        <w:bottom w:val="none" w:sz="0" w:space="0" w:color="auto"/>
        <w:right w:val="none" w:sz="0" w:space="0" w:color="auto"/>
      </w:divBdr>
    </w:div>
    <w:div w:id="1530415382">
      <w:bodyDiv w:val="1"/>
      <w:marLeft w:val="0"/>
      <w:marRight w:val="0"/>
      <w:marTop w:val="0"/>
      <w:marBottom w:val="0"/>
      <w:divBdr>
        <w:top w:val="none" w:sz="0" w:space="0" w:color="auto"/>
        <w:left w:val="none" w:sz="0" w:space="0" w:color="auto"/>
        <w:bottom w:val="none" w:sz="0" w:space="0" w:color="auto"/>
        <w:right w:val="none" w:sz="0" w:space="0" w:color="auto"/>
      </w:divBdr>
    </w:div>
    <w:div w:id="1533611442">
      <w:bodyDiv w:val="1"/>
      <w:marLeft w:val="0"/>
      <w:marRight w:val="0"/>
      <w:marTop w:val="0"/>
      <w:marBottom w:val="0"/>
      <w:divBdr>
        <w:top w:val="none" w:sz="0" w:space="0" w:color="auto"/>
        <w:left w:val="none" w:sz="0" w:space="0" w:color="auto"/>
        <w:bottom w:val="none" w:sz="0" w:space="0" w:color="auto"/>
        <w:right w:val="none" w:sz="0" w:space="0" w:color="auto"/>
      </w:divBdr>
    </w:div>
    <w:div w:id="1539275847">
      <w:bodyDiv w:val="1"/>
      <w:marLeft w:val="0"/>
      <w:marRight w:val="0"/>
      <w:marTop w:val="0"/>
      <w:marBottom w:val="0"/>
      <w:divBdr>
        <w:top w:val="none" w:sz="0" w:space="0" w:color="auto"/>
        <w:left w:val="none" w:sz="0" w:space="0" w:color="auto"/>
        <w:bottom w:val="none" w:sz="0" w:space="0" w:color="auto"/>
        <w:right w:val="none" w:sz="0" w:space="0" w:color="auto"/>
      </w:divBdr>
    </w:div>
    <w:div w:id="1540434420">
      <w:bodyDiv w:val="1"/>
      <w:marLeft w:val="0"/>
      <w:marRight w:val="0"/>
      <w:marTop w:val="0"/>
      <w:marBottom w:val="0"/>
      <w:divBdr>
        <w:top w:val="none" w:sz="0" w:space="0" w:color="auto"/>
        <w:left w:val="none" w:sz="0" w:space="0" w:color="auto"/>
        <w:bottom w:val="none" w:sz="0" w:space="0" w:color="auto"/>
        <w:right w:val="none" w:sz="0" w:space="0" w:color="auto"/>
      </w:divBdr>
    </w:div>
    <w:div w:id="1565023182">
      <w:bodyDiv w:val="1"/>
      <w:marLeft w:val="0"/>
      <w:marRight w:val="0"/>
      <w:marTop w:val="0"/>
      <w:marBottom w:val="0"/>
      <w:divBdr>
        <w:top w:val="none" w:sz="0" w:space="0" w:color="auto"/>
        <w:left w:val="none" w:sz="0" w:space="0" w:color="auto"/>
        <w:bottom w:val="none" w:sz="0" w:space="0" w:color="auto"/>
        <w:right w:val="none" w:sz="0" w:space="0" w:color="auto"/>
      </w:divBdr>
    </w:div>
    <w:div w:id="1565674334">
      <w:bodyDiv w:val="1"/>
      <w:marLeft w:val="0"/>
      <w:marRight w:val="0"/>
      <w:marTop w:val="0"/>
      <w:marBottom w:val="0"/>
      <w:divBdr>
        <w:top w:val="none" w:sz="0" w:space="0" w:color="auto"/>
        <w:left w:val="none" w:sz="0" w:space="0" w:color="auto"/>
        <w:bottom w:val="none" w:sz="0" w:space="0" w:color="auto"/>
        <w:right w:val="none" w:sz="0" w:space="0" w:color="auto"/>
      </w:divBdr>
    </w:div>
    <w:div w:id="1605188258">
      <w:bodyDiv w:val="1"/>
      <w:marLeft w:val="0"/>
      <w:marRight w:val="0"/>
      <w:marTop w:val="0"/>
      <w:marBottom w:val="0"/>
      <w:divBdr>
        <w:top w:val="none" w:sz="0" w:space="0" w:color="auto"/>
        <w:left w:val="none" w:sz="0" w:space="0" w:color="auto"/>
        <w:bottom w:val="none" w:sz="0" w:space="0" w:color="auto"/>
        <w:right w:val="none" w:sz="0" w:space="0" w:color="auto"/>
      </w:divBdr>
    </w:div>
    <w:div w:id="1605260379">
      <w:bodyDiv w:val="1"/>
      <w:marLeft w:val="0"/>
      <w:marRight w:val="0"/>
      <w:marTop w:val="0"/>
      <w:marBottom w:val="0"/>
      <w:divBdr>
        <w:top w:val="none" w:sz="0" w:space="0" w:color="auto"/>
        <w:left w:val="none" w:sz="0" w:space="0" w:color="auto"/>
        <w:bottom w:val="none" w:sz="0" w:space="0" w:color="auto"/>
        <w:right w:val="none" w:sz="0" w:space="0" w:color="auto"/>
      </w:divBdr>
    </w:div>
    <w:div w:id="1605528877">
      <w:bodyDiv w:val="1"/>
      <w:marLeft w:val="0"/>
      <w:marRight w:val="0"/>
      <w:marTop w:val="0"/>
      <w:marBottom w:val="0"/>
      <w:divBdr>
        <w:top w:val="none" w:sz="0" w:space="0" w:color="auto"/>
        <w:left w:val="none" w:sz="0" w:space="0" w:color="auto"/>
        <w:bottom w:val="none" w:sz="0" w:space="0" w:color="auto"/>
        <w:right w:val="none" w:sz="0" w:space="0" w:color="auto"/>
      </w:divBdr>
    </w:div>
    <w:div w:id="1622110450">
      <w:bodyDiv w:val="1"/>
      <w:marLeft w:val="0"/>
      <w:marRight w:val="0"/>
      <w:marTop w:val="0"/>
      <w:marBottom w:val="0"/>
      <w:divBdr>
        <w:top w:val="none" w:sz="0" w:space="0" w:color="auto"/>
        <w:left w:val="none" w:sz="0" w:space="0" w:color="auto"/>
        <w:bottom w:val="none" w:sz="0" w:space="0" w:color="auto"/>
        <w:right w:val="none" w:sz="0" w:space="0" w:color="auto"/>
      </w:divBdr>
    </w:div>
    <w:div w:id="1641107811">
      <w:bodyDiv w:val="1"/>
      <w:marLeft w:val="0"/>
      <w:marRight w:val="0"/>
      <w:marTop w:val="0"/>
      <w:marBottom w:val="0"/>
      <w:divBdr>
        <w:top w:val="none" w:sz="0" w:space="0" w:color="auto"/>
        <w:left w:val="none" w:sz="0" w:space="0" w:color="auto"/>
        <w:bottom w:val="none" w:sz="0" w:space="0" w:color="auto"/>
        <w:right w:val="none" w:sz="0" w:space="0" w:color="auto"/>
      </w:divBdr>
    </w:div>
    <w:div w:id="1669940762">
      <w:bodyDiv w:val="1"/>
      <w:marLeft w:val="0"/>
      <w:marRight w:val="0"/>
      <w:marTop w:val="0"/>
      <w:marBottom w:val="0"/>
      <w:divBdr>
        <w:top w:val="none" w:sz="0" w:space="0" w:color="auto"/>
        <w:left w:val="none" w:sz="0" w:space="0" w:color="auto"/>
        <w:bottom w:val="none" w:sz="0" w:space="0" w:color="auto"/>
        <w:right w:val="none" w:sz="0" w:space="0" w:color="auto"/>
      </w:divBdr>
    </w:div>
    <w:div w:id="1701978926">
      <w:bodyDiv w:val="1"/>
      <w:marLeft w:val="0"/>
      <w:marRight w:val="0"/>
      <w:marTop w:val="0"/>
      <w:marBottom w:val="0"/>
      <w:divBdr>
        <w:top w:val="none" w:sz="0" w:space="0" w:color="auto"/>
        <w:left w:val="none" w:sz="0" w:space="0" w:color="auto"/>
        <w:bottom w:val="none" w:sz="0" w:space="0" w:color="auto"/>
        <w:right w:val="none" w:sz="0" w:space="0" w:color="auto"/>
      </w:divBdr>
    </w:div>
    <w:div w:id="1706057112">
      <w:bodyDiv w:val="1"/>
      <w:marLeft w:val="0"/>
      <w:marRight w:val="0"/>
      <w:marTop w:val="0"/>
      <w:marBottom w:val="0"/>
      <w:divBdr>
        <w:top w:val="none" w:sz="0" w:space="0" w:color="auto"/>
        <w:left w:val="none" w:sz="0" w:space="0" w:color="auto"/>
        <w:bottom w:val="none" w:sz="0" w:space="0" w:color="auto"/>
        <w:right w:val="none" w:sz="0" w:space="0" w:color="auto"/>
      </w:divBdr>
    </w:div>
    <w:div w:id="1725257164">
      <w:bodyDiv w:val="1"/>
      <w:marLeft w:val="0"/>
      <w:marRight w:val="0"/>
      <w:marTop w:val="0"/>
      <w:marBottom w:val="0"/>
      <w:divBdr>
        <w:top w:val="none" w:sz="0" w:space="0" w:color="auto"/>
        <w:left w:val="none" w:sz="0" w:space="0" w:color="auto"/>
        <w:bottom w:val="none" w:sz="0" w:space="0" w:color="auto"/>
        <w:right w:val="none" w:sz="0" w:space="0" w:color="auto"/>
      </w:divBdr>
    </w:div>
    <w:div w:id="1728601134">
      <w:bodyDiv w:val="1"/>
      <w:marLeft w:val="0"/>
      <w:marRight w:val="0"/>
      <w:marTop w:val="0"/>
      <w:marBottom w:val="0"/>
      <w:divBdr>
        <w:top w:val="none" w:sz="0" w:space="0" w:color="auto"/>
        <w:left w:val="none" w:sz="0" w:space="0" w:color="auto"/>
        <w:bottom w:val="none" w:sz="0" w:space="0" w:color="auto"/>
        <w:right w:val="none" w:sz="0" w:space="0" w:color="auto"/>
      </w:divBdr>
    </w:div>
    <w:div w:id="1738743302">
      <w:bodyDiv w:val="1"/>
      <w:marLeft w:val="0"/>
      <w:marRight w:val="0"/>
      <w:marTop w:val="0"/>
      <w:marBottom w:val="0"/>
      <w:divBdr>
        <w:top w:val="none" w:sz="0" w:space="0" w:color="auto"/>
        <w:left w:val="none" w:sz="0" w:space="0" w:color="auto"/>
        <w:bottom w:val="none" w:sz="0" w:space="0" w:color="auto"/>
        <w:right w:val="none" w:sz="0" w:space="0" w:color="auto"/>
      </w:divBdr>
    </w:div>
    <w:div w:id="1741243662">
      <w:bodyDiv w:val="1"/>
      <w:marLeft w:val="0"/>
      <w:marRight w:val="0"/>
      <w:marTop w:val="0"/>
      <w:marBottom w:val="0"/>
      <w:divBdr>
        <w:top w:val="none" w:sz="0" w:space="0" w:color="auto"/>
        <w:left w:val="none" w:sz="0" w:space="0" w:color="auto"/>
        <w:bottom w:val="none" w:sz="0" w:space="0" w:color="auto"/>
        <w:right w:val="none" w:sz="0" w:space="0" w:color="auto"/>
      </w:divBdr>
    </w:div>
    <w:div w:id="1747338070">
      <w:bodyDiv w:val="1"/>
      <w:marLeft w:val="0"/>
      <w:marRight w:val="0"/>
      <w:marTop w:val="0"/>
      <w:marBottom w:val="0"/>
      <w:divBdr>
        <w:top w:val="none" w:sz="0" w:space="0" w:color="auto"/>
        <w:left w:val="none" w:sz="0" w:space="0" w:color="auto"/>
        <w:bottom w:val="none" w:sz="0" w:space="0" w:color="auto"/>
        <w:right w:val="none" w:sz="0" w:space="0" w:color="auto"/>
      </w:divBdr>
    </w:div>
    <w:div w:id="1748071454">
      <w:bodyDiv w:val="1"/>
      <w:marLeft w:val="0"/>
      <w:marRight w:val="0"/>
      <w:marTop w:val="0"/>
      <w:marBottom w:val="0"/>
      <w:divBdr>
        <w:top w:val="none" w:sz="0" w:space="0" w:color="auto"/>
        <w:left w:val="none" w:sz="0" w:space="0" w:color="auto"/>
        <w:bottom w:val="none" w:sz="0" w:space="0" w:color="auto"/>
        <w:right w:val="none" w:sz="0" w:space="0" w:color="auto"/>
      </w:divBdr>
    </w:div>
    <w:div w:id="1765951069">
      <w:bodyDiv w:val="1"/>
      <w:marLeft w:val="0"/>
      <w:marRight w:val="0"/>
      <w:marTop w:val="0"/>
      <w:marBottom w:val="0"/>
      <w:divBdr>
        <w:top w:val="none" w:sz="0" w:space="0" w:color="auto"/>
        <w:left w:val="none" w:sz="0" w:space="0" w:color="auto"/>
        <w:bottom w:val="none" w:sz="0" w:space="0" w:color="auto"/>
        <w:right w:val="none" w:sz="0" w:space="0" w:color="auto"/>
      </w:divBdr>
    </w:div>
    <w:div w:id="1771004170">
      <w:bodyDiv w:val="1"/>
      <w:marLeft w:val="0"/>
      <w:marRight w:val="0"/>
      <w:marTop w:val="0"/>
      <w:marBottom w:val="0"/>
      <w:divBdr>
        <w:top w:val="none" w:sz="0" w:space="0" w:color="auto"/>
        <w:left w:val="none" w:sz="0" w:space="0" w:color="auto"/>
        <w:bottom w:val="none" w:sz="0" w:space="0" w:color="auto"/>
        <w:right w:val="none" w:sz="0" w:space="0" w:color="auto"/>
      </w:divBdr>
    </w:div>
    <w:div w:id="1774787831">
      <w:bodyDiv w:val="1"/>
      <w:marLeft w:val="0"/>
      <w:marRight w:val="0"/>
      <w:marTop w:val="0"/>
      <w:marBottom w:val="0"/>
      <w:divBdr>
        <w:top w:val="none" w:sz="0" w:space="0" w:color="auto"/>
        <w:left w:val="none" w:sz="0" w:space="0" w:color="auto"/>
        <w:bottom w:val="none" w:sz="0" w:space="0" w:color="auto"/>
        <w:right w:val="none" w:sz="0" w:space="0" w:color="auto"/>
      </w:divBdr>
    </w:div>
    <w:div w:id="1778937808">
      <w:bodyDiv w:val="1"/>
      <w:marLeft w:val="0"/>
      <w:marRight w:val="0"/>
      <w:marTop w:val="0"/>
      <w:marBottom w:val="0"/>
      <w:divBdr>
        <w:top w:val="none" w:sz="0" w:space="0" w:color="auto"/>
        <w:left w:val="none" w:sz="0" w:space="0" w:color="auto"/>
        <w:bottom w:val="none" w:sz="0" w:space="0" w:color="auto"/>
        <w:right w:val="none" w:sz="0" w:space="0" w:color="auto"/>
      </w:divBdr>
    </w:div>
    <w:div w:id="1779642319">
      <w:bodyDiv w:val="1"/>
      <w:marLeft w:val="0"/>
      <w:marRight w:val="0"/>
      <w:marTop w:val="0"/>
      <w:marBottom w:val="0"/>
      <w:divBdr>
        <w:top w:val="none" w:sz="0" w:space="0" w:color="auto"/>
        <w:left w:val="none" w:sz="0" w:space="0" w:color="auto"/>
        <w:bottom w:val="none" w:sz="0" w:space="0" w:color="auto"/>
        <w:right w:val="none" w:sz="0" w:space="0" w:color="auto"/>
      </w:divBdr>
    </w:div>
    <w:div w:id="1792288539">
      <w:bodyDiv w:val="1"/>
      <w:marLeft w:val="0"/>
      <w:marRight w:val="0"/>
      <w:marTop w:val="0"/>
      <w:marBottom w:val="0"/>
      <w:divBdr>
        <w:top w:val="none" w:sz="0" w:space="0" w:color="auto"/>
        <w:left w:val="none" w:sz="0" w:space="0" w:color="auto"/>
        <w:bottom w:val="none" w:sz="0" w:space="0" w:color="auto"/>
        <w:right w:val="none" w:sz="0" w:space="0" w:color="auto"/>
      </w:divBdr>
    </w:div>
    <w:div w:id="1798378239">
      <w:bodyDiv w:val="1"/>
      <w:marLeft w:val="0"/>
      <w:marRight w:val="0"/>
      <w:marTop w:val="0"/>
      <w:marBottom w:val="0"/>
      <w:divBdr>
        <w:top w:val="none" w:sz="0" w:space="0" w:color="auto"/>
        <w:left w:val="none" w:sz="0" w:space="0" w:color="auto"/>
        <w:bottom w:val="none" w:sz="0" w:space="0" w:color="auto"/>
        <w:right w:val="none" w:sz="0" w:space="0" w:color="auto"/>
      </w:divBdr>
    </w:div>
    <w:div w:id="1801654000">
      <w:bodyDiv w:val="1"/>
      <w:marLeft w:val="0"/>
      <w:marRight w:val="0"/>
      <w:marTop w:val="0"/>
      <w:marBottom w:val="0"/>
      <w:divBdr>
        <w:top w:val="none" w:sz="0" w:space="0" w:color="auto"/>
        <w:left w:val="none" w:sz="0" w:space="0" w:color="auto"/>
        <w:bottom w:val="none" w:sz="0" w:space="0" w:color="auto"/>
        <w:right w:val="none" w:sz="0" w:space="0" w:color="auto"/>
      </w:divBdr>
    </w:div>
    <w:div w:id="1805124078">
      <w:bodyDiv w:val="1"/>
      <w:marLeft w:val="0"/>
      <w:marRight w:val="0"/>
      <w:marTop w:val="0"/>
      <w:marBottom w:val="0"/>
      <w:divBdr>
        <w:top w:val="none" w:sz="0" w:space="0" w:color="auto"/>
        <w:left w:val="none" w:sz="0" w:space="0" w:color="auto"/>
        <w:bottom w:val="none" w:sz="0" w:space="0" w:color="auto"/>
        <w:right w:val="none" w:sz="0" w:space="0" w:color="auto"/>
      </w:divBdr>
    </w:div>
    <w:div w:id="1811749618">
      <w:bodyDiv w:val="1"/>
      <w:marLeft w:val="0"/>
      <w:marRight w:val="0"/>
      <w:marTop w:val="0"/>
      <w:marBottom w:val="0"/>
      <w:divBdr>
        <w:top w:val="none" w:sz="0" w:space="0" w:color="auto"/>
        <w:left w:val="none" w:sz="0" w:space="0" w:color="auto"/>
        <w:bottom w:val="none" w:sz="0" w:space="0" w:color="auto"/>
        <w:right w:val="none" w:sz="0" w:space="0" w:color="auto"/>
      </w:divBdr>
    </w:div>
    <w:div w:id="1816138550">
      <w:bodyDiv w:val="1"/>
      <w:marLeft w:val="0"/>
      <w:marRight w:val="0"/>
      <w:marTop w:val="0"/>
      <w:marBottom w:val="0"/>
      <w:divBdr>
        <w:top w:val="none" w:sz="0" w:space="0" w:color="auto"/>
        <w:left w:val="none" w:sz="0" w:space="0" w:color="auto"/>
        <w:bottom w:val="none" w:sz="0" w:space="0" w:color="auto"/>
        <w:right w:val="none" w:sz="0" w:space="0" w:color="auto"/>
      </w:divBdr>
    </w:div>
    <w:div w:id="1822575395">
      <w:bodyDiv w:val="1"/>
      <w:marLeft w:val="0"/>
      <w:marRight w:val="0"/>
      <w:marTop w:val="0"/>
      <w:marBottom w:val="0"/>
      <w:divBdr>
        <w:top w:val="none" w:sz="0" w:space="0" w:color="auto"/>
        <w:left w:val="none" w:sz="0" w:space="0" w:color="auto"/>
        <w:bottom w:val="none" w:sz="0" w:space="0" w:color="auto"/>
        <w:right w:val="none" w:sz="0" w:space="0" w:color="auto"/>
      </w:divBdr>
    </w:div>
    <w:div w:id="1823156225">
      <w:bodyDiv w:val="1"/>
      <w:marLeft w:val="0"/>
      <w:marRight w:val="0"/>
      <w:marTop w:val="0"/>
      <w:marBottom w:val="0"/>
      <w:divBdr>
        <w:top w:val="none" w:sz="0" w:space="0" w:color="auto"/>
        <w:left w:val="none" w:sz="0" w:space="0" w:color="auto"/>
        <w:bottom w:val="none" w:sz="0" w:space="0" w:color="auto"/>
        <w:right w:val="none" w:sz="0" w:space="0" w:color="auto"/>
      </w:divBdr>
    </w:div>
    <w:div w:id="1844708429">
      <w:bodyDiv w:val="1"/>
      <w:marLeft w:val="0"/>
      <w:marRight w:val="0"/>
      <w:marTop w:val="0"/>
      <w:marBottom w:val="0"/>
      <w:divBdr>
        <w:top w:val="none" w:sz="0" w:space="0" w:color="auto"/>
        <w:left w:val="none" w:sz="0" w:space="0" w:color="auto"/>
        <w:bottom w:val="none" w:sz="0" w:space="0" w:color="auto"/>
        <w:right w:val="none" w:sz="0" w:space="0" w:color="auto"/>
      </w:divBdr>
    </w:div>
    <w:div w:id="1864246214">
      <w:bodyDiv w:val="1"/>
      <w:marLeft w:val="0"/>
      <w:marRight w:val="0"/>
      <w:marTop w:val="0"/>
      <w:marBottom w:val="0"/>
      <w:divBdr>
        <w:top w:val="none" w:sz="0" w:space="0" w:color="auto"/>
        <w:left w:val="none" w:sz="0" w:space="0" w:color="auto"/>
        <w:bottom w:val="none" w:sz="0" w:space="0" w:color="auto"/>
        <w:right w:val="none" w:sz="0" w:space="0" w:color="auto"/>
      </w:divBdr>
    </w:div>
    <w:div w:id="1870872233">
      <w:bodyDiv w:val="1"/>
      <w:marLeft w:val="0"/>
      <w:marRight w:val="0"/>
      <w:marTop w:val="0"/>
      <w:marBottom w:val="0"/>
      <w:divBdr>
        <w:top w:val="none" w:sz="0" w:space="0" w:color="auto"/>
        <w:left w:val="none" w:sz="0" w:space="0" w:color="auto"/>
        <w:bottom w:val="none" w:sz="0" w:space="0" w:color="auto"/>
        <w:right w:val="none" w:sz="0" w:space="0" w:color="auto"/>
      </w:divBdr>
    </w:div>
    <w:div w:id="1892843491">
      <w:bodyDiv w:val="1"/>
      <w:marLeft w:val="0"/>
      <w:marRight w:val="0"/>
      <w:marTop w:val="0"/>
      <w:marBottom w:val="0"/>
      <w:divBdr>
        <w:top w:val="none" w:sz="0" w:space="0" w:color="auto"/>
        <w:left w:val="none" w:sz="0" w:space="0" w:color="auto"/>
        <w:bottom w:val="none" w:sz="0" w:space="0" w:color="auto"/>
        <w:right w:val="none" w:sz="0" w:space="0" w:color="auto"/>
      </w:divBdr>
    </w:div>
    <w:div w:id="1896311700">
      <w:bodyDiv w:val="1"/>
      <w:marLeft w:val="0"/>
      <w:marRight w:val="0"/>
      <w:marTop w:val="0"/>
      <w:marBottom w:val="0"/>
      <w:divBdr>
        <w:top w:val="none" w:sz="0" w:space="0" w:color="auto"/>
        <w:left w:val="none" w:sz="0" w:space="0" w:color="auto"/>
        <w:bottom w:val="none" w:sz="0" w:space="0" w:color="auto"/>
        <w:right w:val="none" w:sz="0" w:space="0" w:color="auto"/>
      </w:divBdr>
    </w:div>
    <w:div w:id="1904563298">
      <w:bodyDiv w:val="1"/>
      <w:marLeft w:val="0"/>
      <w:marRight w:val="0"/>
      <w:marTop w:val="0"/>
      <w:marBottom w:val="0"/>
      <w:divBdr>
        <w:top w:val="none" w:sz="0" w:space="0" w:color="auto"/>
        <w:left w:val="none" w:sz="0" w:space="0" w:color="auto"/>
        <w:bottom w:val="none" w:sz="0" w:space="0" w:color="auto"/>
        <w:right w:val="none" w:sz="0" w:space="0" w:color="auto"/>
      </w:divBdr>
    </w:div>
    <w:div w:id="1904942993">
      <w:bodyDiv w:val="1"/>
      <w:marLeft w:val="0"/>
      <w:marRight w:val="0"/>
      <w:marTop w:val="0"/>
      <w:marBottom w:val="0"/>
      <w:divBdr>
        <w:top w:val="none" w:sz="0" w:space="0" w:color="auto"/>
        <w:left w:val="none" w:sz="0" w:space="0" w:color="auto"/>
        <w:bottom w:val="none" w:sz="0" w:space="0" w:color="auto"/>
        <w:right w:val="none" w:sz="0" w:space="0" w:color="auto"/>
      </w:divBdr>
    </w:div>
    <w:div w:id="1906720987">
      <w:bodyDiv w:val="1"/>
      <w:marLeft w:val="0"/>
      <w:marRight w:val="0"/>
      <w:marTop w:val="0"/>
      <w:marBottom w:val="0"/>
      <w:divBdr>
        <w:top w:val="none" w:sz="0" w:space="0" w:color="auto"/>
        <w:left w:val="none" w:sz="0" w:space="0" w:color="auto"/>
        <w:bottom w:val="none" w:sz="0" w:space="0" w:color="auto"/>
        <w:right w:val="none" w:sz="0" w:space="0" w:color="auto"/>
      </w:divBdr>
    </w:div>
    <w:div w:id="1916275955">
      <w:bodyDiv w:val="1"/>
      <w:marLeft w:val="0"/>
      <w:marRight w:val="0"/>
      <w:marTop w:val="0"/>
      <w:marBottom w:val="0"/>
      <w:divBdr>
        <w:top w:val="none" w:sz="0" w:space="0" w:color="auto"/>
        <w:left w:val="none" w:sz="0" w:space="0" w:color="auto"/>
        <w:bottom w:val="none" w:sz="0" w:space="0" w:color="auto"/>
        <w:right w:val="none" w:sz="0" w:space="0" w:color="auto"/>
      </w:divBdr>
    </w:div>
    <w:div w:id="1916546677">
      <w:bodyDiv w:val="1"/>
      <w:marLeft w:val="0"/>
      <w:marRight w:val="0"/>
      <w:marTop w:val="0"/>
      <w:marBottom w:val="0"/>
      <w:divBdr>
        <w:top w:val="none" w:sz="0" w:space="0" w:color="auto"/>
        <w:left w:val="none" w:sz="0" w:space="0" w:color="auto"/>
        <w:bottom w:val="none" w:sz="0" w:space="0" w:color="auto"/>
        <w:right w:val="none" w:sz="0" w:space="0" w:color="auto"/>
      </w:divBdr>
    </w:div>
    <w:div w:id="1917741307">
      <w:bodyDiv w:val="1"/>
      <w:marLeft w:val="0"/>
      <w:marRight w:val="0"/>
      <w:marTop w:val="0"/>
      <w:marBottom w:val="0"/>
      <w:divBdr>
        <w:top w:val="none" w:sz="0" w:space="0" w:color="auto"/>
        <w:left w:val="none" w:sz="0" w:space="0" w:color="auto"/>
        <w:bottom w:val="none" w:sz="0" w:space="0" w:color="auto"/>
        <w:right w:val="none" w:sz="0" w:space="0" w:color="auto"/>
      </w:divBdr>
    </w:div>
    <w:div w:id="1922324222">
      <w:bodyDiv w:val="1"/>
      <w:marLeft w:val="0"/>
      <w:marRight w:val="0"/>
      <w:marTop w:val="0"/>
      <w:marBottom w:val="0"/>
      <w:divBdr>
        <w:top w:val="none" w:sz="0" w:space="0" w:color="auto"/>
        <w:left w:val="none" w:sz="0" w:space="0" w:color="auto"/>
        <w:bottom w:val="none" w:sz="0" w:space="0" w:color="auto"/>
        <w:right w:val="none" w:sz="0" w:space="0" w:color="auto"/>
      </w:divBdr>
    </w:div>
    <w:div w:id="1923177887">
      <w:bodyDiv w:val="1"/>
      <w:marLeft w:val="0"/>
      <w:marRight w:val="0"/>
      <w:marTop w:val="0"/>
      <w:marBottom w:val="0"/>
      <w:divBdr>
        <w:top w:val="none" w:sz="0" w:space="0" w:color="auto"/>
        <w:left w:val="none" w:sz="0" w:space="0" w:color="auto"/>
        <w:bottom w:val="none" w:sz="0" w:space="0" w:color="auto"/>
        <w:right w:val="none" w:sz="0" w:space="0" w:color="auto"/>
      </w:divBdr>
    </w:div>
    <w:div w:id="1927569919">
      <w:bodyDiv w:val="1"/>
      <w:marLeft w:val="0"/>
      <w:marRight w:val="0"/>
      <w:marTop w:val="0"/>
      <w:marBottom w:val="0"/>
      <w:divBdr>
        <w:top w:val="none" w:sz="0" w:space="0" w:color="auto"/>
        <w:left w:val="none" w:sz="0" w:space="0" w:color="auto"/>
        <w:bottom w:val="none" w:sz="0" w:space="0" w:color="auto"/>
        <w:right w:val="none" w:sz="0" w:space="0" w:color="auto"/>
      </w:divBdr>
    </w:div>
    <w:div w:id="1928616560">
      <w:bodyDiv w:val="1"/>
      <w:marLeft w:val="0"/>
      <w:marRight w:val="0"/>
      <w:marTop w:val="0"/>
      <w:marBottom w:val="0"/>
      <w:divBdr>
        <w:top w:val="none" w:sz="0" w:space="0" w:color="auto"/>
        <w:left w:val="none" w:sz="0" w:space="0" w:color="auto"/>
        <w:bottom w:val="none" w:sz="0" w:space="0" w:color="auto"/>
        <w:right w:val="none" w:sz="0" w:space="0" w:color="auto"/>
      </w:divBdr>
    </w:div>
    <w:div w:id="1956643171">
      <w:bodyDiv w:val="1"/>
      <w:marLeft w:val="0"/>
      <w:marRight w:val="0"/>
      <w:marTop w:val="0"/>
      <w:marBottom w:val="0"/>
      <w:divBdr>
        <w:top w:val="none" w:sz="0" w:space="0" w:color="auto"/>
        <w:left w:val="none" w:sz="0" w:space="0" w:color="auto"/>
        <w:bottom w:val="none" w:sz="0" w:space="0" w:color="auto"/>
        <w:right w:val="none" w:sz="0" w:space="0" w:color="auto"/>
      </w:divBdr>
    </w:div>
    <w:div w:id="1959141429">
      <w:bodyDiv w:val="1"/>
      <w:marLeft w:val="0"/>
      <w:marRight w:val="0"/>
      <w:marTop w:val="0"/>
      <w:marBottom w:val="0"/>
      <w:divBdr>
        <w:top w:val="none" w:sz="0" w:space="0" w:color="auto"/>
        <w:left w:val="none" w:sz="0" w:space="0" w:color="auto"/>
        <w:bottom w:val="none" w:sz="0" w:space="0" w:color="auto"/>
        <w:right w:val="none" w:sz="0" w:space="0" w:color="auto"/>
      </w:divBdr>
    </w:div>
    <w:div w:id="1969243642">
      <w:bodyDiv w:val="1"/>
      <w:marLeft w:val="0"/>
      <w:marRight w:val="0"/>
      <w:marTop w:val="0"/>
      <w:marBottom w:val="0"/>
      <w:divBdr>
        <w:top w:val="none" w:sz="0" w:space="0" w:color="auto"/>
        <w:left w:val="none" w:sz="0" w:space="0" w:color="auto"/>
        <w:bottom w:val="none" w:sz="0" w:space="0" w:color="auto"/>
        <w:right w:val="none" w:sz="0" w:space="0" w:color="auto"/>
      </w:divBdr>
    </w:div>
    <w:div w:id="1988122888">
      <w:bodyDiv w:val="1"/>
      <w:marLeft w:val="0"/>
      <w:marRight w:val="0"/>
      <w:marTop w:val="0"/>
      <w:marBottom w:val="0"/>
      <w:divBdr>
        <w:top w:val="none" w:sz="0" w:space="0" w:color="auto"/>
        <w:left w:val="none" w:sz="0" w:space="0" w:color="auto"/>
        <w:bottom w:val="none" w:sz="0" w:space="0" w:color="auto"/>
        <w:right w:val="none" w:sz="0" w:space="0" w:color="auto"/>
      </w:divBdr>
    </w:div>
    <w:div w:id="2035227575">
      <w:bodyDiv w:val="1"/>
      <w:marLeft w:val="0"/>
      <w:marRight w:val="0"/>
      <w:marTop w:val="0"/>
      <w:marBottom w:val="0"/>
      <w:divBdr>
        <w:top w:val="none" w:sz="0" w:space="0" w:color="auto"/>
        <w:left w:val="none" w:sz="0" w:space="0" w:color="auto"/>
        <w:bottom w:val="none" w:sz="0" w:space="0" w:color="auto"/>
        <w:right w:val="none" w:sz="0" w:space="0" w:color="auto"/>
      </w:divBdr>
    </w:div>
    <w:div w:id="2039549960">
      <w:bodyDiv w:val="1"/>
      <w:marLeft w:val="0"/>
      <w:marRight w:val="0"/>
      <w:marTop w:val="0"/>
      <w:marBottom w:val="0"/>
      <w:divBdr>
        <w:top w:val="none" w:sz="0" w:space="0" w:color="auto"/>
        <w:left w:val="none" w:sz="0" w:space="0" w:color="auto"/>
        <w:bottom w:val="none" w:sz="0" w:space="0" w:color="auto"/>
        <w:right w:val="none" w:sz="0" w:space="0" w:color="auto"/>
      </w:divBdr>
    </w:div>
    <w:div w:id="2040541947">
      <w:bodyDiv w:val="1"/>
      <w:marLeft w:val="0"/>
      <w:marRight w:val="0"/>
      <w:marTop w:val="0"/>
      <w:marBottom w:val="0"/>
      <w:divBdr>
        <w:top w:val="none" w:sz="0" w:space="0" w:color="auto"/>
        <w:left w:val="none" w:sz="0" w:space="0" w:color="auto"/>
        <w:bottom w:val="none" w:sz="0" w:space="0" w:color="auto"/>
        <w:right w:val="none" w:sz="0" w:space="0" w:color="auto"/>
      </w:divBdr>
    </w:div>
    <w:div w:id="2045981666">
      <w:bodyDiv w:val="1"/>
      <w:marLeft w:val="0"/>
      <w:marRight w:val="0"/>
      <w:marTop w:val="0"/>
      <w:marBottom w:val="0"/>
      <w:divBdr>
        <w:top w:val="none" w:sz="0" w:space="0" w:color="auto"/>
        <w:left w:val="none" w:sz="0" w:space="0" w:color="auto"/>
        <w:bottom w:val="none" w:sz="0" w:space="0" w:color="auto"/>
        <w:right w:val="none" w:sz="0" w:space="0" w:color="auto"/>
      </w:divBdr>
    </w:div>
    <w:div w:id="2068068686">
      <w:bodyDiv w:val="1"/>
      <w:marLeft w:val="0"/>
      <w:marRight w:val="0"/>
      <w:marTop w:val="0"/>
      <w:marBottom w:val="0"/>
      <w:divBdr>
        <w:top w:val="none" w:sz="0" w:space="0" w:color="auto"/>
        <w:left w:val="none" w:sz="0" w:space="0" w:color="auto"/>
        <w:bottom w:val="none" w:sz="0" w:space="0" w:color="auto"/>
        <w:right w:val="none" w:sz="0" w:space="0" w:color="auto"/>
      </w:divBdr>
    </w:div>
    <w:div w:id="2077244352">
      <w:bodyDiv w:val="1"/>
      <w:marLeft w:val="0"/>
      <w:marRight w:val="0"/>
      <w:marTop w:val="0"/>
      <w:marBottom w:val="0"/>
      <w:divBdr>
        <w:top w:val="none" w:sz="0" w:space="0" w:color="auto"/>
        <w:left w:val="none" w:sz="0" w:space="0" w:color="auto"/>
        <w:bottom w:val="none" w:sz="0" w:space="0" w:color="auto"/>
        <w:right w:val="none" w:sz="0" w:space="0" w:color="auto"/>
      </w:divBdr>
    </w:div>
    <w:div w:id="2088570613">
      <w:bodyDiv w:val="1"/>
      <w:marLeft w:val="0"/>
      <w:marRight w:val="0"/>
      <w:marTop w:val="0"/>
      <w:marBottom w:val="0"/>
      <w:divBdr>
        <w:top w:val="none" w:sz="0" w:space="0" w:color="auto"/>
        <w:left w:val="none" w:sz="0" w:space="0" w:color="auto"/>
        <w:bottom w:val="none" w:sz="0" w:space="0" w:color="auto"/>
        <w:right w:val="none" w:sz="0" w:space="0" w:color="auto"/>
      </w:divBdr>
    </w:div>
    <w:div w:id="2106269859">
      <w:bodyDiv w:val="1"/>
      <w:marLeft w:val="0"/>
      <w:marRight w:val="0"/>
      <w:marTop w:val="0"/>
      <w:marBottom w:val="0"/>
      <w:divBdr>
        <w:top w:val="none" w:sz="0" w:space="0" w:color="auto"/>
        <w:left w:val="none" w:sz="0" w:space="0" w:color="auto"/>
        <w:bottom w:val="none" w:sz="0" w:space="0" w:color="auto"/>
        <w:right w:val="none" w:sz="0" w:space="0" w:color="auto"/>
      </w:divBdr>
    </w:div>
    <w:div w:id="2107073814">
      <w:bodyDiv w:val="1"/>
      <w:marLeft w:val="0"/>
      <w:marRight w:val="0"/>
      <w:marTop w:val="0"/>
      <w:marBottom w:val="0"/>
      <w:divBdr>
        <w:top w:val="none" w:sz="0" w:space="0" w:color="auto"/>
        <w:left w:val="none" w:sz="0" w:space="0" w:color="auto"/>
        <w:bottom w:val="none" w:sz="0" w:space="0" w:color="auto"/>
        <w:right w:val="none" w:sz="0" w:space="0" w:color="auto"/>
      </w:divBdr>
    </w:div>
    <w:div w:id="21398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cestra.rs/srb/Project_details.php?idp=101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62543-230C-4F83-AD16-5E76A5B2E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78</Pages>
  <Words>27120</Words>
  <Characters>154587</Characters>
  <Application>Microsoft Office Word</Application>
  <DocSecurity>0</DocSecurity>
  <Lines>1288</Lines>
  <Paragraphs>362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181345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Daktilobiro09</cp:lastModifiedBy>
  <cp:revision>27</cp:revision>
  <cp:lastPrinted>2021-12-30T09:47:00Z</cp:lastPrinted>
  <dcterms:created xsi:type="dcterms:W3CDTF">2021-12-22T07:44:00Z</dcterms:created>
  <dcterms:modified xsi:type="dcterms:W3CDTF">2021-12-30T09:57:00Z</dcterms:modified>
</cp:coreProperties>
</file>