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5E94E" w14:textId="30879189" w:rsidR="00113175" w:rsidRPr="00E94EFD" w:rsidRDefault="00113175" w:rsidP="00321F1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>На основу члана 38. став 1. Закона о планском систему Републике Србије („Службени гласник РС”, број 30/18),</w:t>
      </w:r>
    </w:p>
    <w:p w14:paraId="0FF43E64" w14:textId="6978457F" w:rsidR="00113175" w:rsidRDefault="00113175" w:rsidP="0011317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>Влада усваја</w:t>
      </w:r>
    </w:p>
    <w:p w14:paraId="460F18E4" w14:textId="77777777" w:rsidR="00321F1F" w:rsidRPr="00E94EFD" w:rsidRDefault="00321F1F" w:rsidP="0011317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280A28EB" w14:textId="77777777" w:rsidR="00113175" w:rsidRPr="00E94EFD" w:rsidRDefault="00113175" w:rsidP="0011317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77B57BA" w14:textId="77777777" w:rsidR="00321F1F" w:rsidRDefault="00113175" w:rsidP="0011317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 xml:space="preserve">АКЦИОНИ ПЛАН </w:t>
      </w:r>
    </w:p>
    <w:p w14:paraId="28D087C1" w14:textId="144E3607" w:rsidR="00113175" w:rsidRPr="00E94EFD" w:rsidRDefault="00113175" w:rsidP="0011317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>ЗА ПЕРИОД 2021</w:t>
      </w:r>
      <w:r w:rsidRPr="00E94EFD">
        <w:rPr>
          <w:rFonts w:ascii="Times New Roman" w:hAnsi="Times New Roman" w:cs="Times New Roman"/>
          <w:b/>
          <w:color w:val="000000"/>
        </w:rPr>
        <w:t>–</w:t>
      </w:r>
      <w:r w:rsidRPr="00E94EFD">
        <w:rPr>
          <w:rFonts w:ascii="Times New Roman" w:hAnsi="Times New Roman" w:cs="Times New Roman"/>
        </w:rPr>
        <w:t xml:space="preserve">2023. ГОДИНЕ </w:t>
      </w:r>
    </w:p>
    <w:p w14:paraId="62F4BC6C" w14:textId="4A2BE44B" w:rsidR="00113175" w:rsidRPr="00E94EFD" w:rsidRDefault="00113175" w:rsidP="0011317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>ЗА СПРОВОЂЕЊЕ СТРАТЕГИЈЕ ЗА РАЗВОЈ ТРЖИШТА КАПИТАЛА ЗА ПЕРИОД ОД 2021. ДО 2026. ГОДИНЕ</w:t>
      </w:r>
    </w:p>
    <w:p w14:paraId="544E4E33" w14:textId="28938247" w:rsidR="00CD5678" w:rsidRPr="00E94EFD" w:rsidRDefault="00CD5678" w:rsidP="00CD5678">
      <w:pPr>
        <w:spacing w:after="0"/>
        <w:rPr>
          <w:rFonts w:ascii="Times New Roman" w:hAnsi="Times New Roman" w:cs="Times New Roman"/>
          <w:lang w:val="sr-Latn-RS"/>
        </w:rPr>
      </w:pPr>
    </w:p>
    <w:p w14:paraId="3DF9B922" w14:textId="304010F0" w:rsidR="00113175" w:rsidRPr="00E94EFD" w:rsidRDefault="00113175" w:rsidP="00CD5678">
      <w:pPr>
        <w:spacing w:after="0"/>
        <w:rPr>
          <w:rFonts w:ascii="Times New Roman" w:hAnsi="Times New Roman" w:cs="Times New Roman"/>
          <w:lang w:val="sr-Latn-RS"/>
        </w:rPr>
      </w:pPr>
    </w:p>
    <w:p w14:paraId="24D69AE2" w14:textId="5DB25DDA" w:rsidR="00113175" w:rsidRPr="00E94EFD" w:rsidRDefault="00113175" w:rsidP="00CD5678">
      <w:pPr>
        <w:spacing w:after="0"/>
        <w:rPr>
          <w:rFonts w:ascii="Times New Roman" w:hAnsi="Times New Roman" w:cs="Times New Roman"/>
          <w:lang w:val="sr-Latn-RS"/>
        </w:rPr>
      </w:pPr>
    </w:p>
    <w:p w14:paraId="02BFA2E2" w14:textId="77777777" w:rsidR="00113175" w:rsidRPr="00E94EFD" w:rsidRDefault="00113175" w:rsidP="00113175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>УВОД</w:t>
      </w:r>
    </w:p>
    <w:p w14:paraId="0CD87BFD" w14:textId="2F93CCF1" w:rsidR="00113175" w:rsidRPr="00E94EFD" w:rsidRDefault="00113175" w:rsidP="00C10173">
      <w:pPr>
        <w:spacing w:after="120" w:line="240" w:lineRule="auto"/>
        <w:ind w:firstLine="360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>Акциони план за период 2021</w:t>
      </w:r>
      <w:r w:rsidRPr="00E94EFD">
        <w:rPr>
          <w:rFonts w:ascii="Times New Roman" w:hAnsi="Times New Roman" w:cs="Times New Roman"/>
          <w:b/>
          <w:color w:val="000000"/>
        </w:rPr>
        <w:t>–</w:t>
      </w:r>
      <w:r w:rsidRPr="00E94EFD">
        <w:rPr>
          <w:rFonts w:ascii="Times New Roman" w:hAnsi="Times New Roman" w:cs="Times New Roman"/>
        </w:rPr>
        <w:t xml:space="preserve">2023. године </w:t>
      </w:r>
      <w:r w:rsidR="003A2916" w:rsidRPr="00E94EFD">
        <w:rPr>
          <w:rFonts w:ascii="Times New Roman" w:hAnsi="Times New Roman" w:cs="Times New Roman"/>
        </w:rPr>
        <w:t>з</w:t>
      </w:r>
      <w:r w:rsidRPr="00E94EFD">
        <w:rPr>
          <w:rFonts w:ascii="Times New Roman" w:hAnsi="Times New Roman" w:cs="Times New Roman"/>
        </w:rPr>
        <w:t>а спровођење Стратегије за развој тржишта капитала за период</w:t>
      </w:r>
      <w:r w:rsidR="00321F1F">
        <w:rPr>
          <w:rFonts w:ascii="Times New Roman" w:hAnsi="Times New Roman" w:cs="Times New Roman"/>
        </w:rPr>
        <w:t xml:space="preserve"> од 2021 до </w:t>
      </w:r>
      <w:r w:rsidRPr="00E94EFD">
        <w:rPr>
          <w:rFonts w:ascii="Times New Roman" w:hAnsi="Times New Roman" w:cs="Times New Roman"/>
        </w:rPr>
        <w:t xml:space="preserve">2026. године (у даљем тексту: АП) представља документ јавне политике који се доноси ради </w:t>
      </w:r>
      <w:r w:rsidR="00E521B6" w:rsidRPr="00E94EFD">
        <w:rPr>
          <w:rFonts w:ascii="Times New Roman" w:hAnsi="Times New Roman" w:cs="Times New Roman"/>
        </w:rPr>
        <w:t>операционализације</w:t>
      </w:r>
      <w:r w:rsidRPr="00E94EFD">
        <w:rPr>
          <w:rFonts w:ascii="Times New Roman" w:hAnsi="Times New Roman" w:cs="Times New Roman"/>
        </w:rPr>
        <w:t xml:space="preserve"> и остваривања општег и посебних циљева утврђених Стратегијом за развој тржишта капитала за период</w:t>
      </w:r>
      <w:r w:rsidR="00321F1F">
        <w:rPr>
          <w:rFonts w:ascii="Times New Roman" w:hAnsi="Times New Roman" w:cs="Times New Roman"/>
        </w:rPr>
        <w:t xml:space="preserve"> од 2021 до </w:t>
      </w:r>
      <w:r w:rsidRPr="00E94EFD">
        <w:rPr>
          <w:rFonts w:ascii="Times New Roman" w:hAnsi="Times New Roman" w:cs="Times New Roman"/>
        </w:rPr>
        <w:t xml:space="preserve">2026. године („Службени гласник РС”, број </w:t>
      </w:r>
      <w:r w:rsidR="00441749" w:rsidRPr="00E94EFD">
        <w:rPr>
          <w:rFonts w:ascii="Times New Roman" w:hAnsi="Times New Roman" w:cs="Times New Roman"/>
        </w:rPr>
        <w:t>102</w:t>
      </w:r>
      <w:r w:rsidRPr="00E94EFD">
        <w:rPr>
          <w:rFonts w:ascii="Times New Roman" w:hAnsi="Times New Roman" w:cs="Times New Roman"/>
        </w:rPr>
        <w:t>/21 – у даљем тексту: Стратегија).</w:t>
      </w:r>
    </w:p>
    <w:p w14:paraId="6819621E" w14:textId="013BAB48" w:rsidR="00113175" w:rsidRPr="00E94EFD" w:rsidRDefault="00113175" w:rsidP="00C10173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  <w:bCs/>
          <w:color w:val="000000"/>
        </w:rPr>
        <w:t xml:space="preserve">Општи циљ Стратегије је активирање тржишта капитала у функцији економског раста, запошљавања и квалитетнијег живота </w:t>
      </w:r>
      <w:r w:rsidRPr="00E94EFD">
        <w:rPr>
          <w:rFonts w:ascii="Times New Roman" w:hAnsi="Times New Roman" w:cs="Times New Roman"/>
        </w:rPr>
        <w:t>грађана,</w:t>
      </w:r>
      <w:r w:rsidR="00C8124F" w:rsidRPr="00E94EFD">
        <w:rPr>
          <w:rFonts w:ascii="Times New Roman" w:hAnsi="Times New Roman" w:cs="Times New Roman"/>
        </w:rPr>
        <w:t xml:space="preserve"> </w:t>
      </w:r>
      <w:r w:rsidRPr="00E94EFD">
        <w:rPr>
          <w:rFonts w:ascii="Times New Roman" w:hAnsi="Times New Roman" w:cs="Times New Roman"/>
        </w:rPr>
        <w:t>док су као посебни циљеви истакнути:</w:t>
      </w:r>
    </w:p>
    <w:p w14:paraId="30D5F521" w14:textId="77777777" w:rsidR="00113175" w:rsidRPr="00E94EFD" w:rsidRDefault="00113175" w:rsidP="00113175">
      <w:pPr>
        <w:pStyle w:val="ListParagraph"/>
        <w:spacing w:line="276" w:lineRule="auto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>1. Унапређен институционални оквир и законска регулатива као предуслов за привлачење домаћих и међународних, индивидуалних и институционалних инвеститора, и боље, транспарентније и ефикасније тржиште капитала;</w:t>
      </w:r>
    </w:p>
    <w:p w14:paraId="1B29AE2F" w14:textId="77777777" w:rsidR="00113175" w:rsidRPr="00E94EFD" w:rsidRDefault="00113175" w:rsidP="00113175">
      <w:pPr>
        <w:pStyle w:val="ListParagraph"/>
        <w:spacing w:after="120" w:line="240" w:lineRule="auto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>2. Измењена структура и проширен спектар услуга на домаћем тржишту капитала;</w:t>
      </w:r>
    </w:p>
    <w:p w14:paraId="290C0795" w14:textId="77777777" w:rsidR="00113175" w:rsidRPr="00E94EFD" w:rsidRDefault="00113175" w:rsidP="00113175">
      <w:pPr>
        <w:pStyle w:val="ListParagraph"/>
        <w:spacing w:after="120" w:line="240" w:lineRule="auto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>3. Подигнути капацитети и ниво знања свих учесника на тржишту капитала;</w:t>
      </w:r>
    </w:p>
    <w:p w14:paraId="4D8BB60C" w14:textId="3E8128A8" w:rsidR="00113175" w:rsidRPr="00E94EFD" w:rsidRDefault="00113175" w:rsidP="00C10173">
      <w:pPr>
        <w:spacing w:after="120" w:line="240" w:lineRule="auto"/>
        <w:ind w:firstLine="720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>Стратегијом је предвиђено доношење трогодишњих АП ради њеног спровођења, а за први АП предвиђено је да се донесе за период 2021‒2023. године.</w:t>
      </w:r>
    </w:p>
    <w:p w14:paraId="7C019DDA" w14:textId="3B261C58" w:rsidR="00C10173" w:rsidRPr="00E94EFD" w:rsidRDefault="00C10173" w:rsidP="00C10173">
      <w:pPr>
        <w:spacing w:after="120" w:line="240" w:lineRule="auto"/>
        <w:ind w:firstLine="720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 xml:space="preserve">Министарство финансија ће у најкраћем року формирати Радну групу која ће бити одговорна за спровођење Стратегије и мера АП и </w:t>
      </w:r>
      <w:r w:rsidR="008C3FEB" w:rsidRPr="00E94EFD">
        <w:rPr>
          <w:rFonts w:ascii="Times New Roman" w:hAnsi="Times New Roman" w:cs="Times New Roman"/>
        </w:rPr>
        <w:t>уложиће максималне напоре да у детаље разради</w:t>
      </w:r>
      <w:r w:rsidR="00456AD5" w:rsidRPr="00E94EFD">
        <w:rPr>
          <w:rFonts w:ascii="Times New Roman" w:hAnsi="Times New Roman" w:cs="Times New Roman"/>
          <w:lang w:val="sr-Latn-RS"/>
        </w:rPr>
        <w:t xml:space="preserve"> </w:t>
      </w:r>
      <w:r w:rsidR="00456AD5" w:rsidRPr="00E94EFD">
        <w:rPr>
          <w:rFonts w:ascii="Times New Roman" w:hAnsi="Times New Roman" w:cs="Times New Roman"/>
        </w:rPr>
        <w:t>и усвоји</w:t>
      </w:r>
      <w:r w:rsidR="008C3FEB" w:rsidRPr="00E94EFD">
        <w:rPr>
          <w:rFonts w:ascii="Times New Roman" w:hAnsi="Times New Roman" w:cs="Times New Roman"/>
        </w:rPr>
        <w:t xml:space="preserve"> Оперативни план активности у вези са имплементацијом мера Стратегије и тиме допринесе што бољем разумевању улога и одговорности свих учесника у процесу. </w:t>
      </w:r>
    </w:p>
    <w:p w14:paraId="5AD7E4BA" w14:textId="0F50E731" w:rsidR="00C10173" w:rsidRPr="00E94EFD" w:rsidRDefault="00C10173" w:rsidP="00113175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2DC20111" w14:textId="3FE8A537" w:rsidR="00C10173" w:rsidRDefault="00C10173" w:rsidP="00113175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B170406" w14:textId="4CB6C741" w:rsidR="00AE1AAE" w:rsidRDefault="00AE1AAE" w:rsidP="00113175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1B06EA8C" w14:textId="77777777" w:rsidR="00AE1AAE" w:rsidRPr="00E94EFD" w:rsidRDefault="00AE1AAE" w:rsidP="00113175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5CC90418" w14:textId="3C7FDB9A" w:rsidR="00C10173" w:rsidRPr="00E94EFD" w:rsidRDefault="00C10173" w:rsidP="00113175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345680D1" w14:textId="77777777" w:rsidR="00BF46F5" w:rsidRPr="00E94EFD" w:rsidRDefault="00BF46F5" w:rsidP="00BF46F5">
      <w:pPr>
        <w:snapToGrid w:val="0"/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>Листа скраћеница:</w:t>
      </w:r>
    </w:p>
    <w:tbl>
      <w:tblPr>
        <w:tblW w:w="0" w:type="auto"/>
        <w:tblInd w:w="108" w:type="dxa"/>
        <w:tblBorders>
          <w:top w:val="single" w:sz="4" w:space="0" w:color="F2F2F2"/>
          <w:left w:val="single" w:sz="4" w:space="0" w:color="F2F2F2"/>
          <w:bottom w:val="single" w:sz="4" w:space="0" w:color="F2F2F2"/>
          <w:right w:val="single" w:sz="4" w:space="0" w:color="F2F2F2"/>
          <w:insideH w:val="single" w:sz="4" w:space="0" w:color="F2F2F2"/>
          <w:insideV w:val="single" w:sz="4" w:space="0" w:color="F2F2F2"/>
        </w:tblBorders>
        <w:tblLook w:val="04A0" w:firstRow="1" w:lastRow="0" w:firstColumn="1" w:lastColumn="0" w:noHBand="0" w:noVBand="1"/>
      </w:tblPr>
      <w:tblGrid>
        <w:gridCol w:w="1243"/>
        <w:gridCol w:w="7757"/>
      </w:tblGrid>
      <w:tr w:rsidR="00BF46F5" w:rsidRPr="00E94EFD" w14:paraId="539A00D7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75988FAA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ББ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78CC605E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Београдска берза</w:t>
            </w:r>
          </w:p>
        </w:tc>
      </w:tr>
      <w:tr w:rsidR="00BF46F5" w:rsidRPr="00E94EFD" w14:paraId="40D5A1A3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561F1A56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БДП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0242341B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Бруто домаћи производ</w:t>
            </w:r>
          </w:p>
        </w:tc>
      </w:tr>
      <w:tr w:rsidR="00BF46F5" w:rsidRPr="00E94EFD" w14:paraId="3DF907DD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5EA6BC0A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КХоВ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3D88A399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Комисија за хартије од вредности</w:t>
            </w:r>
          </w:p>
        </w:tc>
      </w:tr>
      <w:tr w:rsidR="00BF46F5" w:rsidRPr="00E94EFD" w14:paraId="75620D41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hideMark/>
          </w:tcPr>
          <w:p w14:paraId="15AF769D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МПНТР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hideMark/>
          </w:tcPr>
          <w:p w14:paraId="076629E6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Министарство просвете, науке и технолошког развоја</w:t>
            </w:r>
          </w:p>
        </w:tc>
      </w:tr>
      <w:tr w:rsidR="00BF46F5" w:rsidRPr="00E94EFD" w14:paraId="5A311420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4DA3795D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Мприв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1373BD47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Министарство привреде</w:t>
            </w:r>
          </w:p>
        </w:tc>
      </w:tr>
      <w:tr w:rsidR="00BF46F5" w:rsidRPr="00E94EFD" w14:paraId="40362AAE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27DDE678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МДУЛС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06DF5114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Министарство државне управе и локалне самоуправе</w:t>
            </w:r>
          </w:p>
        </w:tc>
      </w:tr>
      <w:tr w:rsidR="00BF46F5" w:rsidRPr="00E94EFD" w14:paraId="532807FD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79103ACF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НБС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7EAD2316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Народна банка Србије</w:t>
            </w:r>
          </w:p>
        </w:tc>
      </w:tr>
      <w:tr w:rsidR="00BF46F5" w:rsidRPr="00E94EFD" w14:paraId="7404D271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41C75EA2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ПКС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18865202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Привредна комора Србије</w:t>
            </w:r>
          </w:p>
        </w:tc>
      </w:tr>
      <w:tr w:rsidR="00BF46F5" w:rsidRPr="00E94EFD" w14:paraId="5BE444FE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780A3055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РЗС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39ED33AD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 xml:space="preserve">Републички завод за статистику </w:t>
            </w:r>
          </w:p>
        </w:tc>
      </w:tr>
      <w:tr w:rsidR="00A55714" w:rsidRPr="00E94EFD" w14:paraId="241098B2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0763242B" w14:textId="6FA04483" w:rsidR="00A55714" w:rsidRPr="00E94EFD" w:rsidRDefault="00A55714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РС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016F40AB" w14:textId="58098C0E" w:rsidR="00A55714" w:rsidRPr="00E94EFD" w:rsidRDefault="00A55714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Република Србија</w:t>
            </w:r>
          </w:p>
        </w:tc>
      </w:tr>
      <w:tr w:rsidR="00AD24D5" w:rsidRPr="00E94EFD" w14:paraId="71BC5BD8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289A1551" w14:textId="79EED0C7" w:rsidR="00AD24D5" w:rsidRPr="00E94EFD" w:rsidRDefault="00AD24D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СБ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3A308072" w14:textId="3275F181" w:rsidR="00AD24D5" w:rsidRPr="00E94EFD" w:rsidRDefault="00AD24D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Светска банка</w:t>
            </w:r>
          </w:p>
        </w:tc>
      </w:tr>
      <w:tr w:rsidR="00BF46F5" w:rsidRPr="00E94EFD" w14:paraId="47CFE884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5F37B99C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УЈП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77D880BE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Управа за јавни дуг</w:t>
            </w:r>
          </w:p>
        </w:tc>
      </w:tr>
      <w:tr w:rsidR="00BF46F5" w:rsidRPr="00E94EFD" w14:paraId="7B468C83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0E17F496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УСПН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480ECFCB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 xml:space="preserve">Управа за спречавање прања новца </w:t>
            </w:r>
          </w:p>
        </w:tc>
      </w:tr>
      <w:tr w:rsidR="00BF46F5" w:rsidRPr="00E94EFD" w14:paraId="25B01C78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5C8981C3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ЦРХоВ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2243FF91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Централни регистар, депо и клиринг хартија од вредности</w:t>
            </w:r>
          </w:p>
        </w:tc>
      </w:tr>
      <w:tr w:rsidR="00BF46F5" w:rsidRPr="00E94EFD" w14:paraId="092C57FC" w14:textId="77777777" w:rsidTr="006322CB">
        <w:tc>
          <w:tcPr>
            <w:tcW w:w="1243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7040E34F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ПУ</w:t>
            </w:r>
          </w:p>
        </w:tc>
        <w:tc>
          <w:tcPr>
            <w:tcW w:w="7757" w:type="dxa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</w:tcPr>
          <w:p w14:paraId="045D44FD" w14:textId="77777777" w:rsidR="00BF46F5" w:rsidRPr="00E94EFD" w:rsidRDefault="00BF46F5" w:rsidP="006322CB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 w:rsidRPr="00E94EFD">
              <w:rPr>
                <w:rFonts w:ascii="Times New Roman" w:eastAsia="Times New Roman" w:hAnsi="Times New Roman" w:cs="Times New Roman"/>
                <w:lang w:eastAsia="de-DE"/>
              </w:rPr>
              <w:t>Пореска управа</w:t>
            </w:r>
          </w:p>
        </w:tc>
      </w:tr>
    </w:tbl>
    <w:p w14:paraId="3C3830A4" w14:textId="77777777" w:rsidR="00BF46F5" w:rsidRPr="00E94EFD" w:rsidRDefault="00BF46F5" w:rsidP="00113175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1EC74CFD" w14:textId="77777777" w:rsidR="00113175" w:rsidRPr="00E94EFD" w:rsidRDefault="00113175" w:rsidP="00CD5678">
      <w:pPr>
        <w:spacing w:after="0"/>
        <w:rPr>
          <w:rFonts w:ascii="Times New Roman" w:hAnsi="Times New Roman" w:cs="Times New Roman"/>
          <w:lang w:val="sr-Latn-RS"/>
        </w:rPr>
      </w:pPr>
    </w:p>
    <w:p w14:paraId="000DC80B" w14:textId="77777777" w:rsidR="00234F0F" w:rsidRPr="00E94EFD" w:rsidRDefault="00234F0F" w:rsidP="00234F0F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>ПРОЦЕНА ФИНАНСИЈСКИХ СРЕДСТАВА</w:t>
      </w:r>
    </w:p>
    <w:p w14:paraId="2BBFFA0E" w14:textId="77777777" w:rsidR="00234F0F" w:rsidRPr="00E94EFD" w:rsidRDefault="00234F0F" w:rsidP="00234F0F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EE8BD6E" w14:textId="1234E291" w:rsidR="00234F0F" w:rsidRPr="00E94EFD" w:rsidRDefault="004C5A5B" w:rsidP="00234F0F">
      <w:pPr>
        <w:spacing w:line="256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Стратег</w:t>
      </w:r>
      <w:r w:rsidR="00321F1F">
        <w:rPr>
          <w:rFonts w:ascii="Times New Roman" w:hAnsi="Times New Roman" w:cs="Times New Roman"/>
        </w:rPr>
        <w:t>ијом је</w:t>
      </w:r>
      <w:r w:rsidR="00F831E6">
        <w:rPr>
          <w:rFonts w:ascii="Times New Roman" w:hAnsi="Times New Roman" w:cs="Times New Roman"/>
        </w:rPr>
        <w:t xml:space="preserve"> </w:t>
      </w:r>
      <w:r w:rsidR="006E6348" w:rsidRPr="00E94EFD">
        <w:rPr>
          <w:rFonts w:ascii="Times New Roman" w:hAnsi="Times New Roman" w:cs="Times New Roman"/>
        </w:rPr>
        <w:t>предвиђено</w:t>
      </w:r>
      <w:r w:rsidR="00234F0F" w:rsidRPr="00E94EFD">
        <w:rPr>
          <w:rFonts w:ascii="Times New Roman" w:hAnsi="Times New Roman" w:cs="Times New Roman"/>
        </w:rPr>
        <w:t xml:space="preserve"> да се општи циљ реализује кроз три посебна циља, чија имплементација ће се остваривати кроз већи број мера које садрже појединачне активности  у периоду 2021-2023. године.</w:t>
      </w:r>
    </w:p>
    <w:p w14:paraId="41B82457" w14:textId="0B886AB6" w:rsidR="00234F0F" w:rsidRPr="00E94EFD" w:rsidRDefault="00234F0F" w:rsidP="00234F0F">
      <w:pPr>
        <w:spacing w:line="256" w:lineRule="auto"/>
        <w:ind w:firstLine="720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 xml:space="preserve"> Процена финансијских средстава неопходних за реализацију посебних циљева, мера и активности врше</w:t>
      </w:r>
      <w:r w:rsidR="00321F1F">
        <w:rPr>
          <w:rFonts w:ascii="Times New Roman" w:hAnsi="Times New Roman" w:cs="Times New Roman"/>
        </w:rPr>
        <w:t>на је од стране, предлагача</w:t>
      </w:r>
      <w:r w:rsidRPr="00E94EFD">
        <w:rPr>
          <w:rFonts w:ascii="Times New Roman" w:hAnsi="Times New Roman" w:cs="Times New Roman"/>
        </w:rPr>
        <w:t xml:space="preserve"> АП (Министарство финансија), а у складу са  планско - буџетским процедурама. У том смислу </w:t>
      </w:r>
      <w:r w:rsidR="00E37982" w:rsidRPr="00E94EFD">
        <w:rPr>
          <w:rFonts w:ascii="Times New Roman" w:hAnsi="Times New Roman" w:cs="Times New Roman"/>
        </w:rPr>
        <w:t xml:space="preserve">је </w:t>
      </w:r>
      <w:r w:rsidRPr="00E94EFD">
        <w:rPr>
          <w:rFonts w:ascii="Times New Roman" w:hAnsi="Times New Roman" w:cs="Times New Roman"/>
        </w:rPr>
        <w:t>изврш</w:t>
      </w:r>
      <w:r w:rsidR="00E37982" w:rsidRPr="00E94EFD">
        <w:rPr>
          <w:rFonts w:ascii="Times New Roman" w:hAnsi="Times New Roman" w:cs="Times New Roman"/>
        </w:rPr>
        <w:t>ена</w:t>
      </w:r>
      <w:r w:rsidRPr="00E94EFD">
        <w:rPr>
          <w:rFonts w:ascii="Times New Roman" w:hAnsi="Times New Roman" w:cs="Times New Roman"/>
        </w:rPr>
        <w:t xml:space="preserve"> оквирн</w:t>
      </w:r>
      <w:r w:rsidR="00E37982" w:rsidRPr="00E94EFD">
        <w:rPr>
          <w:rFonts w:ascii="Times New Roman" w:hAnsi="Times New Roman" w:cs="Times New Roman"/>
        </w:rPr>
        <w:t>а</w:t>
      </w:r>
      <w:r w:rsidRPr="00E94EFD">
        <w:rPr>
          <w:rFonts w:ascii="Times New Roman" w:hAnsi="Times New Roman" w:cs="Times New Roman"/>
        </w:rPr>
        <w:t xml:space="preserve"> процен</w:t>
      </w:r>
      <w:r w:rsidR="00E37982" w:rsidRPr="00E94EFD">
        <w:rPr>
          <w:rFonts w:ascii="Times New Roman" w:hAnsi="Times New Roman" w:cs="Times New Roman"/>
        </w:rPr>
        <w:t>а</w:t>
      </w:r>
      <w:r w:rsidRPr="00E94EFD">
        <w:rPr>
          <w:rFonts w:ascii="Times New Roman" w:hAnsi="Times New Roman" w:cs="Times New Roman"/>
        </w:rPr>
        <w:t xml:space="preserve"> трошкова ангажовања људских и других ресурса и потреба за реализацију планираних активности, попуњавањем прописаних ПФЕ образаца о финансијским ефектима исказаних  процењ</w:t>
      </w:r>
      <w:r w:rsidR="00FC6C07">
        <w:rPr>
          <w:rFonts w:ascii="Times New Roman" w:hAnsi="Times New Roman" w:cs="Times New Roman"/>
        </w:rPr>
        <w:t>ених оквирних трошкова на буџет</w:t>
      </w:r>
      <w:r w:rsidRPr="00E94EFD">
        <w:rPr>
          <w:rFonts w:ascii="Times New Roman" w:hAnsi="Times New Roman" w:cs="Times New Roman"/>
        </w:rPr>
        <w:t>, а у складу са Правилником о начину исказивања и извештавања о процењеним финансијским ефектима закона, другог прописа или другог акта на буџет, односно финансијске планове организација за  обавезно социјално осигурање („Службени гласник РС”, број 32/15).</w:t>
      </w:r>
    </w:p>
    <w:p w14:paraId="558F92E0" w14:textId="159D82CE" w:rsidR="00990625" w:rsidRPr="00E94EFD" w:rsidRDefault="00600D1D" w:rsidP="00600D1D">
      <w:pPr>
        <w:spacing w:line="256" w:lineRule="auto"/>
        <w:ind w:firstLine="360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lastRenderedPageBreak/>
        <w:t>Процена неопходних средстава вршена је по изворима средстава, из буџета Републике Србије, као и извора из донаторских или средстава Светске банке. При овоме је у ситуацијама када није било могуће проценити било износ или потенцијалног донатора, извршена само процена потребе обезбеђења донаторских средства, с тим да ће се у наредном периоду ближе дефинисати оквир потребних средстава.</w:t>
      </w:r>
    </w:p>
    <w:p w14:paraId="56AFD78D" w14:textId="77777777" w:rsidR="00600D1D" w:rsidRDefault="00600D1D" w:rsidP="00600D1D">
      <w:pPr>
        <w:spacing w:line="256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E1F309C" w14:textId="045451FC" w:rsidR="00990625" w:rsidRPr="00E94EFD" w:rsidRDefault="00990625" w:rsidP="00990625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>АНАЛИЗА ЕФЕКАТА МЕРА</w:t>
      </w:r>
    </w:p>
    <w:p w14:paraId="2B6FDB23" w14:textId="77777777" w:rsidR="00AE1AAE" w:rsidRDefault="00AE1AAE" w:rsidP="00CC65B5">
      <w:pPr>
        <w:ind w:firstLine="360"/>
        <w:jc w:val="both"/>
        <w:rPr>
          <w:rFonts w:ascii="Times New Roman" w:hAnsi="Times New Roman" w:cs="Times New Roman"/>
        </w:rPr>
      </w:pPr>
    </w:p>
    <w:p w14:paraId="17A59FBB" w14:textId="4F2F0420" w:rsidR="00990625" w:rsidRPr="00E94EFD" w:rsidRDefault="00990625" w:rsidP="00CC65B5">
      <w:pPr>
        <w:ind w:firstLine="360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 xml:space="preserve">Влада </w:t>
      </w:r>
      <w:r w:rsidR="00321F1F">
        <w:rPr>
          <w:rFonts w:ascii="Times New Roman" w:hAnsi="Times New Roman" w:cs="Times New Roman"/>
        </w:rPr>
        <w:t>верује да ће спровођење</w:t>
      </w:r>
      <w:r w:rsidRPr="00E94EFD">
        <w:rPr>
          <w:rFonts w:ascii="Times New Roman" w:hAnsi="Times New Roman" w:cs="Times New Roman"/>
        </w:rPr>
        <w:t xml:space="preserve"> Стратегије допринети даљем развоју тржишта капитала у Републици Србији и да ће створити темеље за коришћење ширег спектра финансијских инструмената у корист привреде и становништва Републике Србије кроз</w:t>
      </w:r>
      <w:r w:rsidR="00D2101D" w:rsidRPr="00E94EFD">
        <w:rPr>
          <w:rFonts w:ascii="Times New Roman" w:hAnsi="Times New Roman" w:cs="Times New Roman"/>
        </w:rPr>
        <w:t xml:space="preserve"> више позитивних ефеката.</w:t>
      </w:r>
      <w:r w:rsidRPr="00E94EFD">
        <w:rPr>
          <w:rFonts w:ascii="Times New Roman" w:hAnsi="Times New Roman" w:cs="Times New Roman"/>
        </w:rPr>
        <w:t xml:space="preserve"> </w:t>
      </w:r>
    </w:p>
    <w:p w14:paraId="1E745E33" w14:textId="5F4D8C51" w:rsidR="000B1ED5" w:rsidRPr="00E94EFD" w:rsidRDefault="000B1ED5" w:rsidP="00D2101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116D40" w14:textId="3E6B845F" w:rsidR="008D35E2" w:rsidRDefault="00990625" w:rsidP="00990625">
      <w:pPr>
        <w:jc w:val="both"/>
        <w:rPr>
          <w:rFonts w:ascii="Times New Roman" w:eastAsia="Calibri" w:hAnsi="Times New Roman" w:cs="Times New Roman"/>
          <w:bCs/>
          <w:lang w:val="sr-Latn-RS"/>
        </w:rPr>
      </w:pPr>
      <w:r w:rsidRPr="00E94EFD">
        <w:rPr>
          <w:rFonts w:ascii="Times New Roman" w:eastAsia="Calibri" w:hAnsi="Times New Roman" w:cs="Times New Roman"/>
          <w:bCs/>
        </w:rPr>
        <w:t>А) Анализа ефеката мера на друштво</w:t>
      </w:r>
      <w:r w:rsidR="00484F0C" w:rsidRPr="00E94EFD">
        <w:rPr>
          <w:rFonts w:ascii="Times New Roman" w:eastAsia="Calibri" w:hAnsi="Times New Roman" w:cs="Times New Roman"/>
          <w:bCs/>
          <w:lang w:val="sr-Latn-RS"/>
        </w:rPr>
        <w:t xml:space="preserve"> </w:t>
      </w:r>
    </w:p>
    <w:p w14:paraId="27043BAA" w14:textId="77777777" w:rsidR="00DD0236" w:rsidRPr="00E94EFD" w:rsidRDefault="00935FE6" w:rsidP="00DD0236">
      <w:pPr>
        <w:ind w:firstLine="720"/>
        <w:jc w:val="both"/>
        <w:rPr>
          <w:rFonts w:ascii="Times New Roman" w:hAnsi="Times New Roman" w:cs="Times New Roman"/>
          <w:bCs/>
          <w:lang w:val="en-GB"/>
        </w:rPr>
      </w:pPr>
      <w:r>
        <w:rPr>
          <w:rFonts w:ascii="Times New Roman" w:hAnsi="Times New Roman" w:cs="Times New Roman"/>
        </w:rPr>
        <w:t>С</w:t>
      </w:r>
      <w:r w:rsidRPr="00E94EFD">
        <w:rPr>
          <w:rFonts w:ascii="Times New Roman" w:hAnsi="Times New Roman" w:cs="Times New Roman"/>
        </w:rPr>
        <w:t>оцијални ризици имплементације мера АП су оцењени као умерени, јер се не очекује да ће исти имати значајне социјалне утицаје</w:t>
      </w:r>
      <w:r>
        <w:rPr>
          <w:rFonts w:ascii="Times New Roman" w:hAnsi="Times New Roman" w:cs="Times New Roman"/>
        </w:rPr>
        <w:t xml:space="preserve">. </w:t>
      </w:r>
      <w:r w:rsidR="00DD0236" w:rsidRPr="00E94EFD">
        <w:rPr>
          <w:rFonts w:ascii="Times New Roman" w:hAnsi="Times New Roman" w:cs="Times New Roman"/>
        </w:rPr>
        <w:t>Друштвени односно социјални ризици и утицаји су ограничени по обиму и трајању и могу се управљати стандардним мерама ублажавања. Не очекује се да ће мере негативно утицати на рањиве или угрожене групе.</w:t>
      </w:r>
      <w:r w:rsidR="00DD0236">
        <w:rPr>
          <w:rFonts w:ascii="Times New Roman" w:hAnsi="Times New Roman" w:cs="Times New Roman"/>
        </w:rPr>
        <w:t xml:space="preserve"> </w:t>
      </w:r>
      <w:r w:rsidR="00DD0236" w:rsidRPr="00E94EFD">
        <w:rPr>
          <w:rFonts w:ascii="Times New Roman" w:hAnsi="Times New Roman" w:cs="Times New Roman"/>
        </w:rPr>
        <w:t xml:space="preserve">С обзиром да ће се део реализације мера финансирати средствима </w:t>
      </w:r>
      <w:r w:rsidR="00DD0236">
        <w:rPr>
          <w:rFonts w:ascii="Times New Roman" w:hAnsi="Times New Roman" w:cs="Times New Roman"/>
        </w:rPr>
        <w:t>Светске банке</w:t>
      </w:r>
      <w:r w:rsidR="00DD0236" w:rsidRPr="00E94EFD">
        <w:rPr>
          <w:rFonts w:ascii="Times New Roman" w:hAnsi="Times New Roman" w:cs="Times New Roman"/>
        </w:rPr>
        <w:t xml:space="preserve"> иста неће подржати ниједно привредно друштво које ангажује дечији и принудни рад.</w:t>
      </w:r>
      <w:r w:rsidR="00DD0236">
        <w:rPr>
          <w:rFonts w:ascii="Times New Roman" w:hAnsi="Times New Roman" w:cs="Times New Roman"/>
        </w:rPr>
        <w:t xml:space="preserve"> </w:t>
      </w:r>
      <w:r w:rsidR="00DD0236" w:rsidRPr="00E94EFD">
        <w:rPr>
          <w:rFonts w:ascii="Times New Roman" w:hAnsi="Times New Roman" w:cs="Times New Roman"/>
          <w:bCs/>
        </w:rPr>
        <w:t>Ефекти Стратегије на целокупну економију огледају се у расту штедње и инвестиција, јачању институционалног оквира, као и обезбеђењу боље ликвидности свих учесника на тржишту капитала, а самим тим и већу стабилност и раст финансијског система и целокупне привреде.</w:t>
      </w:r>
    </w:p>
    <w:p w14:paraId="2229E3A4" w14:textId="147CCCC9" w:rsidR="00990625" w:rsidRDefault="008D35E2" w:rsidP="00990625">
      <w:pPr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Б) Анализа ефеката мера на</w:t>
      </w:r>
      <w:r w:rsidR="00484F0C" w:rsidRPr="00E94EFD">
        <w:rPr>
          <w:rFonts w:ascii="Times New Roman" w:eastAsia="Calibri" w:hAnsi="Times New Roman" w:cs="Times New Roman"/>
          <w:bCs/>
        </w:rPr>
        <w:t xml:space="preserve"> животну средину</w:t>
      </w:r>
    </w:p>
    <w:p w14:paraId="71255330" w14:textId="4FB6EF0E" w:rsidR="00234F0F" w:rsidRPr="00E94EFD" w:rsidRDefault="00935FE6" w:rsidP="00E46B9F">
      <w:pPr>
        <w:ind w:firstLine="720"/>
        <w:jc w:val="both"/>
        <w:rPr>
          <w:rFonts w:ascii="Times New Roman" w:hAnsi="Times New Roman" w:cs="Times New Roman"/>
          <w:bCs/>
          <w:lang w:val="en-GB"/>
        </w:rPr>
      </w:pPr>
      <w:r w:rsidRPr="00E94EFD">
        <w:rPr>
          <w:rFonts w:ascii="Times New Roman" w:hAnsi="Times New Roman" w:cs="Times New Roman"/>
        </w:rPr>
        <w:t>Еколошки ризици имплементације мера АП су оцењени као умерени, јер се не очекује да ће исти имати значајне еколошке утицаје</w:t>
      </w:r>
      <w:r>
        <w:rPr>
          <w:rFonts w:ascii="Times New Roman" w:hAnsi="Times New Roman" w:cs="Times New Roman"/>
        </w:rPr>
        <w:t>.</w:t>
      </w:r>
      <w:r w:rsidR="00E46B9F">
        <w:rPr>
          <w:rFonts w:ascii="Times New Roman" w:hAnsi="Times New Roman" w:cs="Times New Roman"/>
        </w:rPr>
        <w:t xml:space="preserve"> </w:t>
      </w:r>
      <w:r w:rsidR="00484F0C" w:rsidRPr="00E94EFD">
        <w:rPr>
          <w:rFonts w:ascii="Times New Roman" w:hAnsi="Times New Roman" w:cs="Times New Roman"/>
        </w:rPr>
        <w:t>Стратегија неће финансирати нити подржавати било какве грађевинске радове, тако да се не о</w:t>
      </w:r>
      <w:r w:rsidR="000559FC">
        <w:rPr>
          <w:rFonts w:ascii="Times New Roman" w:hAnsi="Times New Roman" w:cs="Times New Roman"/>
        </w:rPr>
        <w:t>чекују негативни утицаји на био</w:t>
      </w:r>
      <w:r w:rsidR="00484F0C" w:rsidRPr="00E94EFD">
        <w:rPr>
          <w:rFonts w:ascii="Times New Roman" w:hAnsi="Times New Roman" w:cs="Times New Roman"/>
        </w:rPr>
        <w:t>диверзитет, станишта и културно наслеђе. Поред тога, Стратегија има за циљ да донесе неке позитивне утицаје на животну средину у смислу подршке усклађивању оквира Ср</w:t>
      </w:r>
      <w:r w:rsidR="00321F1F">
        <w:rPr>
          <w:rFonts w:ascii="Times New Roman" w:hAnsi="Times New Roman" w:cs="Times New Roman"/>
        </w:rPr>
        <w:t>бије са иницијативама Европске у</w:t>
      </w:r>
      <w:r w:rsidR="00484F0C" w:rsidRPr="00E94EFD">
        <w:rPr>
          <w:rFonts w:ascii="Times New Roman" w:hAnsi="Times New Roman" w:cs="Times New Roman"/>
        </w:rPr>
        <w:t xml:space="preserve">није (у даљем тексту: ЕУ) за одрживо финансирање и са стандардом зелених обвезница ЕУ. Стратегија такође подржава успостављање </w:t>
      </w:r>
      <w:r w:rsidR="00484F0C" w:rsidRPr="00E94EFD">
        <w:rPr>
          <w:rFonts w:ascii="Times New Roman" w:hAnsi="Times New Roman" w:cs="Times New Roman"/>
          <w:lang w:val="sr-Latn-RS"/>
        </w:rPr>
        <w:t xml:space="preserve">one-stop-shop </w:t>
      </w:r>
      <w:r w:rsidR="00484F0C" w:rsidRPr="00E94EFD">
        <w:rPr>
          <w:rFonts w:ascii="Times New Roman" w:hAnsi="Times New Roman" w:cs="Times New Roman"/>
        </w:rPr>
        <w:t>платформе који ће обезбедити свеобухватан скуп услуга у вези са развојем тржишта капитала и такође би могла да подигне свест о потреби развоја зеленог финансирања у земљи и његовог позитивног утицаја на здравље људи.</w:t>
      </w:r>
      <w:r w:rsidR="00F56118" w:rsidRPr="00E94EFD">
        <w:rPr>
          <w:b/>
          <w:bCs/>
        </w:rPr>
        <w:t xml:space="preserve"> </w:t>
      </w:r>
    </w:p>
    <w:p w14:paraId="2DC03EF5" w14:textId="1B012CB3" w:rsidR="0056028C" w:rsidRPr="00E94EFD" w:rsidRDefault="0056028C" w:rsidP="00234F0F">
      <w:pPr>
        <w:pStyle w:val="BodyAA"/>
        <w:jc w:val="both"/>
        <w:rPr>
          <w:b/>
          <w:bCs/>
          <w:color w:val="auto"/>
          <w:sz w:val="22"/>
          <w:szCs w:val="22"/>
          <w:lang w:val="sr-Cyrl-RS"/>
        </w:rPr>
      </w:pPr>
    </w:p>
    <w:p w14:paraId="123A5A0A" w14:textId="0E0CCE9D" w:rsidR="00024394" w:rsidRDefault="00024394" w:rsidP="00CD5678">
      <w:pPr>
        <w:spacing w:after="0"/>
        <w:rPr>
          <w:rFonts w:ascii="Times New Roman" w:hAnsi="Times New Roman" w:cs="Times New Roman"/>
          <w:lang w:val="sr-Latn-RS"/>
        </w:rPr>
      </w:pPr>
    </w:p>
    <w:p w14:paraId="1C5F03B4" w14:textId="56CF25A0" w:rsidR="00DD0236" w:rsidRDefault="00DD0236" w:rsidP="00CD5678">
      <w:pPr>
        <w:spacing w:after="0"/>
        <w:rPr>
          <w:rFonts w:ascii="Times New Roman" w:hAnsi="Times New Roman" w:cs="Times New Roman"/>
          <w:lang w:val="sr-Latn-RS"/>
        </w:rPr>
      </w:pPr>
    </w:p>
    <w:p w14:paraId="63E35F1D" w14:textId="77777777" w:rsidR="00DD0236" w:rsidRPr="00E94EFD" w:rsidRDefault="00DD0236" w:rsidP="00CD5678">
      <w:pPr>
        <w:spacing w:after="0"/>
        <w:rPr>
          <w:rFonts w:ascii="Times New Roman" w:hAnsi="Times New Roman" w:cs="Times New Roman"/>
          <w:lang w:val="sr-Latn-RS"/>
        </w:rPr>
      </w:pPr>
    </w:p>
    <w:p w14:paraId="21F28D2E" w14:textId="77777777" w:rsidR="002B2FC7" w:rsidRDefault="002B2FC7" w:rsidP="00CD5678">
      <w:pPr>
        <w:spacing w:after="0"/>
        <w:rPr>
          <w:rFonts w:ascii="Times New Roman" w:hAnsi="Times New Roman" w:cs="Times New Roman"/>
        </w:rPr>
      </w:pPr>
    </w:p>
    <w:p w14:paraId="7BB40C2B" w14:textId="3D3128AF" w:rsidR="007D0C3B" w:rsidRPr="00E94EFD" w:rsidRDefault="00DD0236" w:rsidP="00CD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</w:t>
      </w:r>
      <w:r w:rsidR="00C85FC8" w:rsidRPr="00E94EFD">
        <w:rPr>
          <w:rFonts w:ascii="Times New Roman" w:hAnsi="Times New Roman" w:cs="Times New Roman"/>
        </w:rPr>
        <w:t>) Анализа ефеката мера које су дефинисане у оквиру посебних циљева</w:t>
      </w:r>
    </w:p>
    <w:p w14:paraId="1D8AC072" w14:textId="77777777" w:rsidR="00810BD2" w:rsidRPr="00E94EFD" w:rsidRDefault="00810BD2" w:rsidP="00CD5678">
      <w:pPr>
        <w:spacing w:after="0"/>
        <w:rPr>
          <w:rFonts w:ascii="Times New Roman" w:hAnsi="Times New Roman" w:cs="Times New Roman"/>
        </w:rPr>
      </w:pPr>
    </w:p>
    <w:p w14:paraId="3AF367FD" w14:textId="0ADD68C6" w:rsidR="00E21F6E" w:rsidRPr="00E94EFD" w:rsidRDefault="00140BE4" w:rsidP="001240E3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222222"/>
        </w:rPr>
      </w:pPr>
      <w:r w:rsidRPr="00E94EFD">
        <w:rPr>
          <w:rFonts w:ascii="Times New Roman" w:hAnsi="Times New Roman" w:cs="Times New Roman"/>
        </w:rPr>
        <w:t xml:space="preserve">Очекивани ефекти мера предвиђених у оквиру </w:t>
      </w:r>
      <w:r w:rsidRPr="00AE1AAE">
        <w:rPr>
          <w:rFonts w:ascii="Times New Roman" w:hAnsi="Times New Roman" w:cs="Times New Roman"/>
          <w:u w:val="single"/>
        </w:rPr>
        <w:t>Посебног циља</w:t>
      </w:r>
      <w:r w:rsidRPr="00E94EFD">
        <w:rPr>
          <w:rFonts w:ascii="Times New Roman" w:hAnsi="Times New Roman" w:cs="Times New Roman"/>
        </w:rPr>
        <w:t xml:space="preserve"> 1 су </w:t>
      </w:r>
      <w:r w:rsidR="007B7122" w:rsidRPr="00E94EFD">
        <w:rPr>
          <w:rFonts w:ascii="Times New Roman" w:eastAsia="Times New Roman" w:hAnsi="Times New Roman" w:cs="Times New Roman"/>
          <w:color w:val="222222"/>
        </w:rPr>
        <w:t>унапређен институционални оквир и законска регулатива</w:t>
      </w:r>
      <w:r w:rsidR="007E3919" w:rsidRPr="00E94EFD">
        <w:rPr>
          <w:rFonts w:ascii="Times New Roman" w:eastAsia="Times New Roman" w:hAnsi="Times New Roman" w:cs="Times New Roman"/>
          <w:color w:val="222222"/>
        </w:rPr>
        <w:t xml:space="preserve"> и </w:t>
      </w:r>
      <w:r w:rsidR="007B7122" w:rsidRPr="00E94EFD">
        <w:rPr>
          <w:rFonts w:ascii="Times New Roman" w:eastAsia="Times New Roman" w:hAnsi="Times New Roman" w:cs="Times New Roman"/>
          <w:color w:val="222222"/>
        </w:rPr>
        <w:t xml:space="preserve"> транспарентније и ефикасније тржиште капитала</w:t>
      </w:r>
      <w:r w:rsidR="00E21F6E" w:rsidRPr="00E94EFD">
        <w:rPr>
          <w:rFonts w:ascii="Times New Roman" w:eastAsia="Times New Roman" w:hAnsi="Times New Roman" w:cs="Times New Roman"/>
          <w:color w:val="222222"/>
        </w:rPr>
        <w:t xml:space="preserve">. </w:t>
      </w:r>
    </w:p>
    <w:p w14:paraId="5E61C092" w14:textId="0C66A1A5" w:rsidR="00E21F6E" w:rsidRPr="00E94EFD" w:rsidRDefault="00E21F6E" w:rsidP="001240E3">
      <w:pPr>
        <w:spacing w:after="0"/>
        <w:ind w:firstLine="720"/>
        <w:jc w:val="both"/>
        <w:rPr>
          <w:rFonts w:ascii="Times New Roman" w:eastAsia="Calibri" w:hAnsi="Times New Roman" w:cs="Times New Roman"/>
        </w:rPr>
      </w:pPr>
      <w:r w:rsidRPr="00E94EFD">
        <w:rPr>
          <w:rFonts w:ascii="Times New Roman" w:hAnsi="Times New Roman" w:cs="Times New Roman"/>
        </w:rPr>
        <w:t xml:space="preserve">Мера 1.1: </w:t>
      </w:r>
      <w:r w:rsidRPr="00E94EFD">
        <w:rPr>
          <w:rFonts w:ascii="Times New Roman" w:eastAsia="Calibri" w:hAnsi="Times New Roman" w:cs="Times New Roman"/>
        </w:rPr>
        <w:t xml:space="preserve">Унапређење регулаторног оквира </w:t>
      </w:r>
      <w:r w:rsidR="009710B5" w:rsidRPr="00E94EFD">
        <w:rPr>
          <w:rFonts w:ascii="Times New Roman" w:eastAsia="Calibri" w:hAnsi="Times New Roman" w:cs="Times New Roman"/>
        </w:rPr>
        <w:t>за даљи развој тржишта капитала има за циљ успостављање правног оквира усклађеног са ЕУ директивама како би се обезбедио транспарентан и ефикасан систем пословања субјеката на тржишту капитала.</w:t>
      </w:r>
      <w:r w:rsidR="001240E3" w:rsidRPr="00E94EFD">
        <w:rPr>
          <w:rFonts w:ascii="Times New Roman" w:eastAsia="Calibri" w:hAnsi="Times New Roman" w:cs="Times New Roman"/>
        </w:rPr>
        <w:t xml:space="preserve"> Очекивани ефекти мера 1.1. у кратком року </w:t>
      </w:r>
      <w:r w:rsidR="00E37AA9" w:rsidRPr="00E94EFD">
        <w:rPr>
          <w:rFonts w:ascii="Times New Roman" w:eastAsia="Calibri" w:hAnsi="Times New Roman" w:cs="Times New Roman"/>
        </w:rPr>
        <w:t xml:space="preserve">нису значајни </w:t>
      </w:r>
      <w:r w:rsidR="003109CF" w:rsidRPr="00E94EFD">
        <w:rPr>
          <w:rFonts w:ascii="Times New Roman" w:eastAsia="Calibri" w:hAnsi="Times New Roman" w:cs="Times New Roman"/>
        </w:rPr>
        <w:t>имајући</w:t>
      </w:r>
      <w:r w:rsidR="00E37AA9" w:rsidRPr="00E94EFD">
        <w:rPr>
          <w:rFonts w:ascii="Times New Roman" w:eastAsia="Calibri" w:hAnsi="Times New Roman" w:cs="Times New Roman"/>
        </w:rPr>
        <w:t xml:space="preserve"> у виду чињеницу да ће након усвајања сета закона бити потребно и усаглашавање подзаконских аката са истим. У дугорочном року очекујемо позитивне ефекте </w:t>
      </w:r>
      <w:r w:rsidR="007E3919" w:rsidRPr="00E94EFD">
        <w:rPr>
          <w:rFonts w:ascii="Times New Roman" w:eastAsia="Calibri" w:hAnsi="Times New Roman" w:cs="Times New Roman"/>
        </w:rPr>
        <w:t>на привреду и друштво с обзиром да ће се изменама закона обезбедити адекватан правни оквир за инвестирање на тржишту капитала. Такође, дефинисане мере АП ће допринети управљачкој одговорности при спровођењу мера АП.</w:t>
      </w:r>
    </w:p>
    <w:p w14:paraId="3CDF57F5" w14:textId="324C6515" w:rsidR="007E3919" w:rsidRDefault="007E3919" w:rsidP="007E3919">
      <w:pPr>
        <w:spacing w:after="0"/>
        <w:ind w:firstLine="720"/>
        <w:jc w:val="both"/>
        <w:rPr>
          <w:rFonts w:ascii="Times New Roman" w:eastAsia="Calibri" w:hAnsi="Times New Roman" w:cs="Times New Roman"/>
        </w:rPr>
      </w:pPr>
      <w:r w:rsidRPr="00E94EFD">
        <w:rPr>
          <w:rFonts w:ascii="Times New Roman" w:eastAsia="Calibri" w:hAnsi="Times New Roman" w:cs="Times New Roman"/>
        </w:rPr>
        <w:t>Мера 1.2: Унапређење институционалног оквира</w:t>
      </w:r>
      <w:r w:rsidR="00DF077D" w:rsidRPr="00E94EFD">
        <w:rPr>
          <w:rFonts w:ascii="Times New Roman" w:eastAsia="Calibri" w:hAnsi="Times New Roman" w:cs="Times New Roman"/>
        </w:rPr>
        <w:t xml:space="preserve"> има за циљ утврђивање и анализу свих пореских прописа и поступака, извештавања, дуплирања пореза, порез на репо и осигуране зајмове, одступања у третману сличних финансијских производа како би се на адекватан начин одговорило привредним субјектима који су заинтересовани за инвестирање на тржишту капитала. У кратком року не очекујемо значајне ефекте ове мере, али на дуги рок, након давања предлога за изменама свих </w:t>
      </w:r>
      <w:r w:rsidR="006E6348" w:rsidRPr="00E94EFD">
        <w:rPr>
          <w:rFonts w:ascii="Times New Roman" w:eastAsia="Calibri" w:hAnsi="Times New Roman" w:cs="Times New Roman"/>
        </w:rPr>
        <w:t>релевантних</w:t>
      </w:r>
      <w:r w:rsidR="00DF077D" w:rsidRPr="00E94EFD">
        <w:rPr>
          <w:rFonts w:ascii="Times New Roman" w:eastAsia="Calibri" w:hAnsi="Times New Roman" w:cs="Times New Roman"/>
        </w:rPr>
        <w:t xml:space="preserve"> законских и подзаконских аката на тему пореза и пореских поступака, очекујемо позитивне ефекте у делу већег броја инвеститора на тржишту капитала. </w:t>
      </w:r>
    </w:p>
    <w:p w14:paraId="66D2FE81" w14:textId="77777777" w:rsidR="003A31E5" w:rsidRPr="00E94EFD" w:rsidRDefault="003A31E5" w:rsidP="007E3919">
      <w:pPr>
        <w:spacing w:after="0"/>
        <w:ind w:firstLine="720"/>
        <w:jc w:val="both"/>
        <w:rPr>
          <w:rFonts w:ascii="Times New Roman" w:eastAsia="Calibri" w:hAnsi="Times New Roman" w:cs="Times New Roman"/>
        </w:rPr>
      </w:pPr>
    </w:p>
    <w:p w14:paraId="2A7FE6E8" w14:textId="5B9F03ED" w:rsidR="00024394" w:rsidRDefault="00C413F3" w:rsidP="00B32A65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E94EFD">
        <w:rPr>
          <w:rFonts w:ascii="Times New Roman" w:hAnsi="Times New Roman" w:cs="Times New Roman"/>
        </w:rPr>
        <w:t xml:space="preserve">Очекивани ефекти мера предвиђених у оквиру </w:t>
      </w:r>
      <w:r w:rsidRPr="00AE1AAE">
        <w:rPr>
          <w:rFonts w:ascii="Times New Roman" w:hAnsi="Times New Roman" w:cs="Times New Roman"/>
          <w:u w:val="single"/>
        </w:rPr>
        <w:t>Посебног циља 2</w:t>
      </w:r>
      <w:r w:rsidRPr="00E94EFD">
        <w:rPr>
          <w:rFonts w:ascii="Times New Roman" w:hAnsi="Times New Roman" w:cs="Times New Roman"/>
        </w:rPr>
        <w:t xml:space="preserve"> су </w:t>
      </w:r>
      <w:r w:rsidR="00B32A65" w:rsidRPr="00E94EFD">
        <w:rPr>
          <w:rFonts w:ascii="Times New Roman" w:hAnsi="Times New Roman" w:cs="Times New Roman"/>
        </w:rPr>
        <w:t>измењена структура и проширен спектар услуга на домаћем тржишту капитала.</w:t>
      </w:r>
    </w:p>
    <w:p w14:paraId="2AFDF7E6" w14:textId="48E76222" w:rsidR="009575D4" w:rsidRDefault="004536FD" w:rsidP="009575D4">
      <w:pPr>
        <w:spacing w:after="0"/>
        <w:ind w:firstLine="720"/>
        <w:jc w:val="both"/>
        <w:rPr>
          <w:rFonts w:ascii="Times New Roman" w:eastAsia="Calibri" w:hAnsi="Times New Roman" w:cs="Times New Roman"/>
        </w:rPr>
      </w:pPr>
      <w:r w:rsidRPr="004536FD">
        <w:rPr>
          <w:rFonts w:ascii="Times New Roman" w:hAnsi="Times New Roman" w:cs="Times New Roman"/>
        </w:rPr>
        <w:t xml:space="preserve">Мера 2.1: </w:t>
      </w:r>
      <w:r w:rsidRPr="004536FD">
        <w:rPr>
          <w:rFonts w:ascii="Times New Roman" w:eastAsia="Calibri" w:hAnsi="Times New Roman" w:cs="Times New Roman"/>
        </w:rPr>
        <w:t>Увођење нових инвестиционих производа и издавалаца на домаће тржиште капитала</w:t>
      </w:r>
      <w:r w:rsidR="009575D4">
        <w:rPr>
          <w:rFonts w:ascii="Times New Roman" w:eastAsia="Calibri" w:hAnsi="Times New Roman" w:cs="Times New Roman"/>
        </w:rPr>
        <w:t xml:space="preserve"> има за циљ да се предложеним активностима унапреди административни процес за издавање и трговање финансијским инструментима кроз дефинисање јединствене трошковне политике, имплементира програм издавања корпоративних (на бази анализе портфолија привредних друштава у државном </w:t>
      </w:r>
      <w:r w:rsidR="006E6348">
        <w:rPr>
          <w:rFonts w:ascii="Times New Roman" w:eastAsia="Calibri" w:hAnsi="Times New Roman" w:cs="Times New Roman"/>
        </w:rPr>
        <w:t>власништву</w:t>
      </w:r>
      <w:r w:rsidR="009575D4">
        <w:rPr>
          <w:rFonts w:ascii="Times New Roman" w:eastAsia="Calibri" w:hAnsi="Times New Roman" w:cs="Times New Roman"/>
        </w:rPr>
        <w:t xml:space="preserve">), зелених и муниципалних обвезница, како и увођење инвестиционих токена као новог инвестиционог производа. </w:t>
      </w:r>
      <w:r w:rsidR="009575D4" w:rsidRPr="00E94EFD">
        <w:rPr>
          <w:rFonts w:ascii="Times New Roman" w:eastAsia="Calibri" w:hAnsi="Times New Roman" w:cs="Times New Roman"/>
        </w:rPr>
        <w:t>У кратком року не очекујемо значајне ефекте ове мере</w:t>
      </w:r>
      <w:r w:rsidR="009575D4">
        <w:rPr>
          <w:rFonts w:ascii="Times New Roman" w:eastAsia="Calibri" w:hAnsi="Times New Roman" w:cs="Times New Roman"/>
        </w:rPr>
        <w:t xml:space="preserve">  с обзиром на обимност посла</w:t>
      </w:r>
      <w:r w:rsidR="009575D4" w:rsidRPr="00E94EFD">
        <w:rPr>
          <w:rFonts w:ascii="Times New Roman" w:eastAsia="Calibri" w:hAnsi="Times New Roman" w:cs="Times New Roman"/>
        </w:rPr>
        <w:t xml:space="preserve">, али на </w:t>
      </w:r>
      <w:r w:rsidR="009575D4">
        <w:rPr>
          <w:rFonts w:ascii="Times New Roman" w:eastAsia="Calibri" w:hAnsi="Times New Roman" w:cs="Times New Roman"/>
        </w:rPr>
        <w:t xml:space="preserve">средњи и </w:t>
      </w:r>
      <w:r w:rsidR="009575D4" w:rsidRPr="00E94EFD">
        <w:rPr>
          <w:rFonts w:ascii="Times New Roman" w:eastAsia="Calibri" w:hAnsi="Times New Roman" w:cs="Times New Roman"/>
        </w:rPr>
        <w:t xml:space="preserve">дуги рок, очекујемо позитивне ефекте </w:t>
      </w:r>
      <w:r w:rsidR="009575D4">
        <w:rPr>
          <w:rFonts w:ascii="Times New Roman" w:eastAsia="Calibri" w:hAnsi="Times New Roman" w:cs="Times New Roman"/>
        </w:rPr>
        <w:t xml:space="preserve">на друштво кроз </w:t>
      </w:r>
      <w:r w:rsidR="009575D4" w:rsidRPr="00E94EFD">
        <w:rPr>
          <w:rFonts w:ascii="Times New Roman" w:eastAsia="Calibri" w:hAnsi="Times New Roman" w:cs="Times New Roman"/>
        </w:rPr>
        <w:t>већ</w:t>
      </w:r>
      <w:r w:rsidR="009575D4">
        <w:rPr>
          <w:rFonts w:ascii="Times New Roman" w:eastAsia="Calibri" w:hAnsi="Times New Roman" w:cs="Times New Roman"/>
        </w:rPr>
        <w:t>и број</w:t>
      </w:r>
      <w:r w:rsidR="009575D4" w:rsidRPr="00E94EFD">
        <w:rPr>
          <w:rFonts w:ascii="Times New Roman" w:eastAsia="Calibri" w:hAnsi="Times New Roman" w:cs="Times New Roman"/>
        </w:rPr>
        <w:t xml:space="preserve"> инвеститора на тржишту</w:t>
      </w:r>
      <w:r w:rsidR="009575D4">
        <w:rPr>
          <w:rFonts w:ascii="Times New Roman" w:eastAsia="Calibri" w:hAnsi="Times New Roman" w:cs="Times New Roman"/>
        </w:rPr>
        <w:t xml:space="preserve"> капитала и привредни раст и боље еколошке прилике имајући у виду значај емисије зелених обвезница.</w:t>
      </w:r>
    </w:p>
    <w:p w14:paraId="5608619F" w14:textId="462154BE" w:rsidR="004536FD" w:rsidRDefault="00BA5946" w:rsidP="004536FD">
      <w:pPr>
        <w:ind w:firstLine="720"/>
        <w:rPr>
          <w:rFonts w:ascii="Times New Roman" w:eastAsia="Calibri" w:hAnsi="Times New Roman" w:cs="Times New Roman"/>
        </w:rPr>
      </w:pPr>
      <w:r w:rsidRPr="00BA5946">
        <w:rPr>
          <w:rFonts w:ascii="Times New Roman" w:eastAsia="Calibri" w:hAnsi="Times New Roman" w:cs="Times New Roman"/>
        </w:rPr>
        <w:t>Мера 2.2: Привлачење нових инвеститора</w:t>
      </w:r>
      <w:r w:rsidR="006131BF">
        <w:rPr>
          <w:rFonts w:ascii="Times New Roman" w:eastAsia="Calibri" w:hAnsi="Times New Roman" w:cs="Times New Roman"/>
        </w:rPr>
        <w:t xml:space="preserve">, а на бази измењене законске регулативе усклађене са ЕУ стандардима, има за циљ привлачење већег броја иностраних и домаћих инвеститора, којима ће приступ тржишту капитала  бити олакшан формирањем јединствене веб платформе на којој ће потенцијални инвеститори моћи да </w:t>
      </w:r>
      <w:r w:rsidR="00723DC3">
        <w:rPr>
          <w:rFonts w:ascii="Times New Roman" w:eastAsia="Calibri" w:hAnsi="Times New Roman" w:cs="Times New Roman"/>
        </w:rPr>
        <w:t>прате све измене релевантне за улагање на тржиште капитала.</w:t>
      </w:r>
      <w:r w:rsidR="008853B1">
        <w:rPr>
          <w:rFonts w:ascii="Times New Roman" w:eastAsia="Calibri" w:hAnsi="Times New Roman" w:cs="Times New Roman"/>
        </w:rPr>
        <w:t xml:space="preserve"> У кратком року не очекујемо значајне ефекте имајући у виду активности које је неопходно спровести, али у дугом року очекујемо позитивне ефекте кроз шири дијапазон улагања осигуравајућих друштава и пензијских фондова што ће допринети расту активности на тржишту капитала и веће заинтересо</w:t>
      </w:r>
      <w:r w:rsidR="00ED7A80">
        <w:rPr>
          <w:rFonts w:ascii="Times New Roman" w:eastAsia="Calibri" w:hAnsi="Times New Roman" w:cs="Times New Roman"/>
        </w:rPr>
        <w:t>ваности потенцијалних учесника з</w:t>
      </w:r>
      <w:r w:rsidR="008853B1">
        <w:rPr>
          <w:rFonts w:ascii="Times New Roman" w:eastAsia="Calibri" w:hAnsi="Times New Roman" w:cs="Times New Roman"/>
        </w:rPr>
        <w:t>а пласирање вишкова ликвидних средстава на тржиште капитала.</w:t>
      </w:r>
    </w:p>
    <w:p w14:paraId="6D972370" w14:textId="01AA9C08" w:rsidR="00ED7A80" w:rsidRDefault="00ED7A80" w:rsidP="00ED7A80">
      <w:pPr>
        <w:ind w:firstLine="7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Очекивани ефекти мера предвиђених у оквиру </w:t>
      </w:r>
      <w:r w:rsidRPr="00A21DA3">
        <w:rPr>
          <w:rFonts w:ascii="Times New Roman" w:eastAsia="Calibri" w:hAnsi="Times New Roman" w:cs="Times New Roman"/>
          <w:u w:val="single"/>
        </w:rPr>
        <w:t>Посебног циља 3</w:t>
      </w:r>
      <w:r>
        <w:rPr>
          <w:rFonts w:ascii="Times New Roman" w:eastAsia="Calibri" w:hAnsi="Times New Roman" w:cs="Times New Roman"/>
        </w:rPr>
        <w:t xml:space="preserve"> су повећани капацитети и ниво знања свих </w:t>
      </w:r>
      <w:r w:rsidR="00786162">
        <w:rPr>
          <w:rFonts w:ascii="Times New Roman" w:eastAsia="Calibri" w:hAnsi="Times New Roman" w:cs="Times New Roman"/>
        </w:rPr>
        <w:t>учесника</w:t>
      </w:r>
      <w:r>
        <w:rPr>
          <w:rFonts w:ascii="Times New Roman" w:eastAsia="Calibri" w:hAnsi="Times New Roman" w:cs="Times New Roman"/>
        </w:rPr>
        <w:t xml:space="preserve"> на тржишту капитала, са </w:t>
      </w:r>
      <w:r w:rsidR="00786162">
        <w:rPr>
          <w:rFonts w:ascii="Times New Roman" w:eastAsia="Calibri" w:hAnsi="Times New Roman" w:cs="Times New Roman"/>
        </w:rPr>
        <w:t>крајњим</w:t>
      </w:r>
      <w:r>
        <w:rPr>
          <w:rFonts w:ascii="Times New Roman" w:eastAsia="Calibri" w:hAnsi="Times New Roman" w:cs="Times New Roman"/>
        </w:rPr>
        <w:t xml:space="preserve"> циљем буђења свести појединаца и друштва на могућности и значај инвестирања на тржиште капитала (боља рочност улагања у односу на банкарске кредите, већи избор типова улагања у финансијске инструменте)</w:t>
      </w:r>
    </w:p>
    <w:p w14:paraId="0F1B3DE8" w14:textId="4FDE31DB" w:rsidR="00ED7A80" w:rsidRPr="00F83C46" w:rsidRDefault="00ED7A80" w:rsidP="0066642B">
      <w:pPr>
        <w:ind w:firstLine="720"/>
        <w:rPr>
          <w:rFonts w:ascii="Times New Roman" w:hAnsi="Times New Roman" w:cs="Times New Roman"/>
        </w:rPr>
      </w:pPr>
      <w:r w:rsidRPr="00F83C46">
        <w:rPr>
          <w:rFonts w:ascii="Times New Roman" w:eastAsia="Calibri" w:hAnsi="Times New Roman" w:cs="Times New Roman"/>
        </w:rPr>
        <w:lastRenderedPageBreak/>
        <w:t xml:space="preserve">Мера 3.1. </w:t>
      </w:r>
      <w:r w:rsidR="0066642B" w:rsidRPr="00F83C46">
        <w:rPr>
          <w:rFonts w:ascii="Times New Roman" w:hAnsi="Times New Roman" w:cs="Times New Roman"/>
        </w:rPr>
        <w:t xml:space="preserve">Јачање технолошких и људских капацитета институција има за циљ успостављање посебне јединце у оквиру Министарства финансија која би се бавила </w:t>
      </w:r>
      <w:r w:rsidR="003109CF" w:rsidRPr="00F83C46">
        <w:rPr>
          <w:rFonts w:ascii="Times New Roman" w:hAnsi="Times New Roman" w:cs="Times New Roman"/>
        </w:rPr>
        <w:t>имплементацијом</w:t>
      </w:r>
      <w:r w:rsidR="0066642B" w:rsidRPr="00F83C46">
        <w:rPr>
          <w:rFonts w:ascii="Times New Roman" w:hAnsi="Times New Roman" w:cs="Times New Roman"/>
        </w:rPr>
        <w:t xml:space="preserve"> и праћењем мера и активности овог АП. </w:t>
      </w:r>
      <w:r w:rsidR="00A844F4" w:rsidRPr="00F83C46">
        <w:rPr>
          <w:rFonts w:ascii="Times New Roman" w:hAnsi="Times New Roman" w:cs="Times New Roman"/>
        </w:rPr>
        <w:t>Такође, увођење новог софтвера у окв</w:t>
      </w:r>
      <w:r w:rsidR="00404B06">
        <w:rPr>
          <w:rFonts w:ascii="Times New Roman" w:hAnsi="Times New Roman" w:cs="Times New Roman"/>
        </w:rPr>
        <w:t>и</w:t>
      </w:r>
      <w:r w:rsidR="00A844F4" w:rsidRPr="00F83C46">
        <w:rPr>
          <w:rFonts w:ascii="Times New Roman" w:hAnsi="Times New Roman" w:cs="Times New Roman"/>
        </w:rPr>
        <w:t>р</w:t>
      </w:r>
      <w:r w:rsidR="00404B06">
        <w:rPr>
          <w:rFonts w:ascii="Times New Roman" w:hAnsi="Times New Roman" w:cs="Times New Roman"/>
        </w:rPr>
        <w:t>у</w:t>
      </w:r>
      <w:r w:rsidR="00A844F4" w:rsidRPr="00F83C46">
        <w:rPr>
          <w:rFonts w:ascii="Times New Roman" w:hAnsi="Times New Roman" w:cs="Times New Roman"/>
        </w:rPr>
        <w:t xml:space="preserve"> ЦРХоВ ће допринети већој ефикасности рада као и прилагођавање софтвера потребама које намећу кретања на развијеним тржиштима капитала. У кратком року се не очекују значајни ефекти поменуте мере, али на средњи и дуги рок се очекују позитивни ефекти на имплементацију мера АП имајући у виду квалитетан кадар који ће </w:t>
      </w:r>
      <w:r w:rsidR="00EC69EC" w:rsidRPr="00F83C46">
        <w:rPr>
          <w:rFonts w:ascii="Times New Roman" w:hAnsi="Times New Roman" w:cs="Times New Roman"/>
        </w:rPr>
        <w:t>бити ангажован у</w:t>
      </w:r>
      <w:r w:rsidR="00A844F4" w:rsidRPr="00F83C46">
        <w:rPr>
          <w:rFonts w:ascii="Times New Roman" w:hAnsi="Times New Roman" w:cs="Times New Roman"/>
        </w:rPr>
        <w:t xml:space="preserve"> пројектн</w:t>
      </w:r>
      <w:r w:rsidR="00EC69EC" w:rsidRPr="00F83C46">
        <w:rPr>
          <w:rFonts w:ascii="Times New Roman" w:hAnsi="Times New Roman" w:cs="Times New Roman"/>
        </w:rPr>
        <w:t>е</w:t>
      </w:r>
      <w:r w:rsidR="00A844F4" w:rsidRPr="00F83C46">
        <w:rPr>
          <w:rFonts w:ascii="Times New Roman" w:hAnsi="Times New Roman" w:cs="Times New Roman"/>
        </w:rPr>
        <w:t xml:space="preserve"> јединиц</w:t>
      </w:r>
      <w:r w:rsidR="00EC69EC" w:rsidRPr="00F83C46">
        <w:rPr>
          <w:rFonts w:ascii="Times New Roman" w:hAnsi="Times New Roman" w:cs="Times New Roman"/>
        </w:rPr>
        <w:t>е</w:t>
      </w:r>
      <w:r w:rsidR="00A844F4" w:rsidRPr="00F83C46">
        <w:rPr>
          <w:rFonts w:ascii="Times New Roman" w:hAnsi="Times New Roman" w:cs="Times New Roman"/>
        </w:rPr>
        <w:t xml:space="preserve"> у оквиру </w:t>
      </w:r>
      <w:r w:rsidR="003109CF" w:rsidRPr="00F83C46">
        <w:rPr>
          <w:rFonts w:ascii="Times New Roman" w:hAnsi="Times New Roman" w:cs="Times New Roman"/>
        </w:rPr>
        <w:t>Министарства</w:t>
      </w:r>
      <w:r w:rsidR="00EC69EC" w:rsidRPr="00F83C46">
        <w:rPr>
          <w:rFonts w:ascii="Times New Roman" w:hAnsi="Times New Roman" w:cs="Times New Roman"/>
        </w:rPr>
        <w:t xml:space="preserve"> финансија, те ће самим тим бити прецизно дефинисане њихове одговорности и управљачке функције по питању спровођења мера АП.</w:t>
      </w:r>
      <w:r w:rsidR="00A844F4" w:rsidRPr="00F83C46">
        <w:rPr>
          <w:rFonts w:ascii="Times New Roman" w:hAnsi="Times New Roman" w:cs="Times New Roman"/>
        </w:rPr>
        <w:t xml:space="preserve"> </w:t>
      </w:r>
      <w:r w:rsidR="00955547" w:rsidRPr="00F83C46">
        <w:rPr>
          <w:rFonts w:ascii="Times New Roman" w:hAnsi="Times New Roman" w:cs="Times New Roman"/>
        </w:rPr>
        <w:t xml:space="preserve">Исто тако нови </w:t>
      </w:r>
      <w:r w:rsidR="003109CF" w:rsidRPr="00F83C46">
        <w:rPr>
          <w:rFonts w:ascii="Times New Roman" w:hAnsi="Times New Roman" w:cs="Times New Roman"/>
        </w:rPr>
        <w:t>софтвер</w:t>
      </w:r>
      <w:r w:rsidR="00955547" w:rsidRPr="00F83C46">
        <w:rPr>
          <w:rFonts w:ascii="Times New Roman" w:hAnsi="Times New Roman" w:cs="Times New Roman"/>
        </w:rPr>
        <w:t xml:space="preserve"> у оквиру ЦРХоВ ће омогућити уштеду времена, боље праћење активности по питању регистрације и трговања финансијским инструментима.</w:t>
      </w:r>
    </w:p>
    <w:p w14:paraId="3532AA60" w14:textId="2F7C26C2" w:rsidR="00A844F4" w:rsidRDefault="00A844F4" w:rsidP="00A844F4">
      <w:pPr>
        <w:ind w:firstLine="720"/>
        <w:rPr>
          <w:rFonts w:ascii="Times New Roman" w:hAnsi="Times New Roman" w:cs="Times New Roman"/>
        </w:rPr>
      </w:pPr>
      <w:r w:rsidRPr="00F83C46">
        <w:rPr>
          <w:rFonts w:ascii="Times New Roman" w:hAnsi="Times New Roman" w:cs="Times New Roman"/>
        </w:rPr>
        <w:t>Мера 3.2: Промоција могућности учешћа на тржишту капитала и едукација свих потенцијалних учесника на тржишту има за циљ да се кроз сарадњу са МПНТР подигне свест о значају развијеног тржишта капитала и кроз разне догађаје рад</w:t>
      </w:r>
      <w:r w:rsidR="00E26F53">
        <w:rPr>
          <w:rFonts w:ascii="Times New Roman" w:hAnsi="Times New Roman" w:cs="Times New Roman"/>
        </w:rPr>
        <w:t xml:space="preserve">и на промоцији тржишта капитала како на локалном нивоу тако и на </w:t>
      </w:r>
      <w:r w:rsidR="003109CF">
        <w:rPr>
          <w:rFonts w:ascii="Times New Roman" w:hAnsi="Times New Roman" w:cs="Times New Roman"/>
        </w:rPr>
        <w:t>међународном</w:t>
      </w:r>
      <w:r w:rsidR="00E26F53">
        <w:rPr>
          <w:rFonts w:ascii="Times New Roman" w:hAnsi="Times New Roman" w:cs="Times New Roman"/>
        </w:rPr>
        <w:t xml:space="preserve"> нивоу.</w:t>
      </w:r>
      <w:r w:rsidR="00397A89">
        <w:rPr>
          <w:rFonts w:ascii="Times New Roman" w:hAnsi="Times New Roman" w:cs="Times New Roman"/>
        </w:rPr>
        <w:t xml:space="preserve"> Краткорочни ефекти ове мере нису значајни имајући у виду активности које обухватају и њихов евентуални утицај на образовни систем. Дугорочни </w:t>
      </w:r>
      <w:r w:rsidR="00567CAA">
        <w:rPr>
          <w:rFonts w:ascii="Times New Roman" w:hAnsi="Times New Roman" w:cs="Times New Roman"/>
        </w:rPr>
        <w:t>ефекти се оцењују као позитивни, јер се кроз промоцију тржишта капитала на полугодишњем нивоу очекује помак у свести потенцијалних учесника на тржишту капитала још у раној фази школовања.</w:t>
      </w:r>
    </w:p>
    <w:p w14:paraId="24B54011" w14:textId="69398C43" w:rsidR="006D3C87" w:rsidRDefault="006D3C87" w:rsidP="00A844F4">
      <w:pPr>
        <w:ind w:firstLine="720"/>
        <w:rPr>
          <w:rFonts w:ascii="Times New Roman" w:hAnsi="Times New Roman" w:cs="Times New Roman"/>
        </w:rPr>
      </w:pPr>
    </w:p>
    <w:p w14:paraId="7C32AB96" w14:textId="165CBE19" w:rsidR="006D3C87" w:rsidRPr="006D3C87" w:rsidRDefault="006D3C87" w:rsidP="006D3C8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D3C87">
        <w:rPr>
          <w:rFonts w:ascii="Times New Roman" w:hAnsi="Times New Roman" w:cs="Times New Roman"/>
          <w:b/>
          <w:sz w:val="24"/>
          <w:szCs w:val="24"/>
        </w:rPr>
        <w:t xml:space="preserve">АНАЛИЗА РИЗИКА </w:t>
      </w:r>
    </w:p>
    <w:p w14:paraId="3EED9FC4" w14:textId="732ED836" w:rsidR="006D3C87" w:rsidRPr="00AD5056" w:rsidRDefault="006D3C87" w:rsidP="004E4E49">
      <w:pPr>
        <w:ind w:firstLine="360"/>
        <w:jc w:val="both"/>
        <w:rPr>
          <w:rFonts w:ascii="Times New Roman" w:hAnsi="Times New Roman" w:cs="Times New Roman"/>
        </w:rPr>
      </w:pPr>
      <w:r w:rsidRPr="00AD5056">
        <w:rPr>
          <w:rFonts w:ascii="Times New Roman" w:hAnsi="Times New Roman" w:cs="Times New Roman"/>
        </w:rPr>
        <w:t xml:space="preserve">Имајући </w:t>
      </w:r>
      <w:r>
        <w:rPr>
          <w:rFonts w:ascii="Times New Roman" w:hAnsi="Times New Roman" w:cs="Times New Roman"/>
        </w:rPr>
        <w:t xml:space="preserve">у виду све </w:t>
      </w:r>
      <w:r w:rsidRPr="00AD5056">
        <w:rPr>
          <w:rFonts w:ascii="Times New Roman" w:hAnsi="Times New Roman" w:cs="Times New Roman"/>
        </w:rPr>
        <w:t xml:space="preserve">посебне циљеве и мере дефинисане у Стратегији, извршена је анализа и евидентирани су и идентификовани сви ризици, који могу имати негативне ефекте на реализацију </w:t>
      </w:r>
      <w:r w:rsidR="001C1447" w:rsidRPr="00AD5056">
        <w:rPr>
          <w:rFonts w:ascii="Times New Roman" w:hAnsi="Times New Roman" w:cs="Times New Roman"/>
        </w:rPr>
        <w:t>Стратегије</w:t>
      </w:r>
      <w:r w:rsidRPr="00AD5056">
        <w:rPr>
          <w:rFonts w:ascii="Times New Roman" w:hAnsi="Times New Roman" w:cs="Times New Roman"/>
        </w:rPr>
        <w:t>. Сви ризици су идентификовани и за сваки од њих је дефинисана активност која ће ублажити или спречити њихов ефекат, а институције које су одговорне за њихово праћење ће спроводити акције  за њихово ублажавање и отклањање. Поред одређених специфичности предложених акција за ублажавање ризика, за већину активности / праваца деловања важе следећи предуслови:</w:t>
      </w:r>
    </w:p>
    <w:p w14:paraId="3D16E8DC" w14:textId="77777777" w:rsidR="006D3C87" w:rsidRPr="00AD5056" w:rsidRDefault="006D3C87" w:rsidP="006D3C87">
      <w:pPr>
        <w:jc w:val="both"/>
        <w:rPr>
          <w:rFonts w:ascii="Times New Roman" w:hAnsi="Times New Roman" w:cs="Times New Roman"/>
        </w:rPr>
      </w:pPr>
      <w:r w:rsidRPr="00AD5056">
        <w:rPr>
          <w:rFonts w:ascii="Times New Roman" w:hAnsi="Times New Roman" w:cs="Times New Roman"/>
        </w:rPr>
        <w:t xml:space="preserve"> • политичко опредељење (активно ангажовање политички именованих лица за благовремено и ефикасно доношење одлука), </w:t>
      </w:r>
    </w:p>
    <w:p w14:paraId="32F024C7" w14:textId="77777777" w:rsidR="006D3C87" w:rsidRPr="00AD5056" w:rsidRDefault="006D3C87" w:rsidP="006D3C87">
      <w:pPr>
        <w:jc w:val="both"/>
        <w:rPr>
          <w:rFonts w:ascii="Times New Roman" w:hAnsi="Times New Roman" w:cs="Times New Roman"/>
        </w:rPr>
      </w:pPr>
      <w:r w:rsidRPr="00AD5056">
        <w:rPr>
          <w:rFonts w:ascii="Times New Roman" w:hAnsi="Times New Roman" w:cs="Times New Roman"/>
        </w:rPr>
        <w:t xml:space="preserve">• расположиви финансијски и људски ресурси за спровођење, </w:t>
      </w:r>
    </w:p>
    <w:p w14:paraId="41BFAC80" w14:textId="77777777" w:rsidR="006D3C87" w:rsidRPr="00AD5056" w:rsidRDefault="006D3C87" w:rsidP="006D3C87">
      <w:pPr>
        <w:jc w:val="both"/>
        <w:rPr>
          <w:rFonts w:ascii="Times New Roman" w:hAnsi="Times New Roman" w:cs="Times New Roman"/>
        </w:rPr>
      </w:pPr>
      <w:r w:rsidRPr="00AD5056">
        <w:rPr>
          <w:rFonts w:ascii="Times New Roman" w:hAnsi="Times New Roman" w:cs="Times New Roman"/>
        </w:rPr>
        <w:t xml:space="preserve">• ефикасно управљање и координација спровођења. </w:t>
      </w:r>
    </w:p>
    <w:p w14:paraId="71498BE7" w14:textId="77777777" w:rsidR="006D3C87" w:rsidRDefault="006D3C87" w:rsidP="004E4E49">
      <w:pPr>
        <w:ind w:firstLine="720"/>
        <w:jc w:val="both"/>
        <w:rPr>
          <w:rFonts w:ascii="Times New Roman" w:hAnsi="Times New Roman" w:cs="Times New Roman"/>
        </w:rPr>
      </w:pPr>
      <w:r w:rsidRPr="00AD5056">
        <w:rPr>
          <w:rFonts w:ascii="Times New Roman" w:hAnsi="Times New Roman" w:cs="Times New Roman"/>
        </w:rPr>
        <w:t xml:space="preserve">Ангажованија политичка подршка могла би се, између осталог, осигурати снажном видљивошћу и добром интерном и екстерном комуникацијом о спровођењу Стратегије и његовом утицају на грађане, пословање и државну управу. </w:t>
      </w:r>
    </w:p>
    <w:p w14:paraId="2D892238" w14:textId="77777777" w:rsidR="006D3C87" w:rsidRDefault="006D3C87" w:rsidP="004E4E49">
      <w:pPr>
        <w:ind w:firstLine="720"/>
        <w:jc w:val="both"/>
        <w:rPr>
          <w:rFonts w:ascii="Times New Roman" w:hAnsi="Times New Roman" w:cs="Times New Roman"/>
        </w:rPr>
      </w:pPr>
      <w:r w:rsidRPr="00AD5056">
        <w:rPr>
          <w:rFonts w:ascii="Times New Roman" w:hAnsi="Times New Roman" w:cs="Times New Roman"/>
        </w:rPr>
        <w:t xml:space="preserve">Правовремена доступност адекватних финансијских средстава могућа је само ако ће активности и трошкови акционог плана бити доследно интегрисани у средњорочне планове институција одговорних за активности, као и у годишње буџете реализатора, у непосредној сарадњи са Министарством финансија. </w:t>
      </w:r>
    </w:p>
    <w:p w14:paraId="00F27738" w14:textId="71972A3F" w:rsidR="006D3C87" w:rsidRDefault="006D3C87" w:rsidP="004E4E49">
      <w:pPr>
        <w:ind w:firstLine="720"/>
        <w:jc w:val="both"/>
        <w:rPr>
          <w:rFonts w:ascii="Times New Roman" w:hAnsi="Times New Roman" w:cs="Times New Roman"/>
        </w:rPr>
      </w:pPr>
      <w:r w:rsidRPr="00AD5056">
        <w:rPr>
          <w:rFonts w:ascii="Times New Roman" w:hAnsi="Times New Roman" w:cs="Times New Roman"/>
        </w:rPr>
        <w:lastRenderedPageBreak/>
        <w:t xml:space="preserve">Адекватни капацитети за координацију могу се осигурати систематским и континуираним праћењем, откривањем кашњења и успостављањем и одржавањем ефикасног система раног упозоравања. Стратегијом је дефинисано организација </w:t>
      </w:r>
      <w:r w:rsidR="001C1447" w:rsidRPr="00AD5056">
        <w:rPr>
          <w:rFonts w:ascii="Times New Roman" w:hAnsi="Times New Roman" w:cs="Times New Roman"/>
        </w:rPr>
        <w:t>посебне</w:t>
      </w:r>
      <w:r w:rsidRPr="00AD5056">
        <w:rPr>
          <w:rFonts w:ascii="Times New Roman" w:hAnsi="Times New Roman" w:cs="Times New Roman"/>
        </w:rPr>
        <w:t xml:space="preserve"> </w:t>
      </w:r>
      <w:r w:rsidR="001C1447" w:rsidRPr="00AD5056">
        <w:rPr>
          <w:rFonts w:ascii="Times New Roman" w:hAnsi="Times New Roman" w:cs="Times New Roman"/>
        </w:rPr>
        <w:t>организационе</w:t>
      </w:r>
      <w:r w:rsidRPr="00AD5056">
        <w:rPr>
          <w:rFonts w:ascii="Times New Roman" w:hAnsi="Times New Roman" w:cs="Times New Roman"/>
        </w:rPr>
        <w:t xml:space="preserve"> јединице везане за тржиште капитала, која </w:t>
      </w:r>
      <w:r w:rsidR="001C1447">
        <w:rPr>
          <w:rFonts w:ascii="Times New Roman" w:hAnsi="Times New Roman" w:cs="Times New Roman"/>
        </w:rPr>
        <w:t>ћ</w:t>
      </w:r>
      <w:r w:rsidRPr="00AD5056">
        <w:rPr>
          <w:rFonts w:ascii="Times New Roman" w:hAnsi="Times New Roman" w:cs="Times New Roman"/>
        </w:rPr>
        <w:t>е поре</w:t>
      </w:r>
      <w:r w:rsidR="001C1447">
        <w:rPr>
          <w:rFonts w:ascii="Times New Roman" w:hAnsi="Times New Roman" w:cs="Times New Roman"/>
        </w:rPr>
        <w:t>д</w:t>
      </w:r>
      <w:r w:rsidRPr="00AD5056">
        <w:rPr>
          <w:rFonts w:ascii="Times New Roman" w:hAnsi="Times New Roman" w:cs="Times New Roman"/>
        </w:rPr>
        <w:t xml:space="preserve"> ст</w:t>
      </w:r>
      <w:r w:rsidR="00542DFC">
        <w:rPr>
          <w:rFonts w:ascii="Times New Roman" w:hAnsi="Times New Roman" w:cs="Times New Roman"/>
        </w:rPr>
        <w:t>алног праћења свих активности и</w:t>
      </w:r>
      <w:r w:rsidRPr="00AD5056">
        <w:rPr>
          <w:rFonts w:ascii="Times New Roman" w:hAnsi="Times New Roman" w:cs="Times New Roman"/>
        </w:rPr>
        <w:t xml:space="preserve">мати и задатак прикупљања података у вези са праћењем ризика које могу негативно утицати на реализацију </w:t>
      </w:r>
      <w:r w:rsidR="001C1447" w:rsidRPr="00AD5056">
        <w:rPr>
          <w:rFonts w:ascii="Times New Roman" w:hAnsi="Times New Roman" w:cs="Times New Roman"/>
        </w:rPr>
        <w:t>дефинисаних</w:t>
      </w:r>
      <w:r w:rsidRPr="00AD5056">
        <w:rPr>
          <w:rFonts w:ascii="Times New Roman" w:hAnsi="Times New Roman" w:cs="Times New Roman"/>
        </w:rPr>
        <w:t xml:space="preserve"> </w:t>
      </w:r>
      <w:r w:rsidR="001C1447" w:rsidRPr="00AD5056">
        <w:rPr>
          <w:rFonts w:ascii="Times New Roman" w:hAnsi="Times New Roman" w:cs="Times New Roman"/>
        </w:rPr>
        <w:t>циљева</w:t>
      </w:r>
      <w:r w:rsidRPr="00AD5056">
        <w:rPr>
          <w:rFonts w:ascii="Times New Roman" w:hAnsi="Times New Roman" w:cs="Times New Roman"/>
        </w:rPr>
        <w:t xml:space="preserve">. Такође, предвиђено је редовно одржавање састанка организационе </w:t>
      </w:r>
      <w:r w:rsidR="001C1447" w:rsidRPr="00AD5056">
        <w:rPr>
          <w:rFonts w:ascii="Times New Roman" w:hAnsi="Times New Roman" w:cs="Times New Roman"/>
        </w:rPr>
        <w:t>јединице</w:t>
      </w:r>
      <w:r w:rsidRPr="00AD5056">
        <w:rPr>
          <w:rFonts w:ascii="Times New Roman" w:hAnsi="Times New Roman" w:cs="Times New Roman"/>
        </w:rPr>
        <w:t xml:space="preserve"> за развој тржишта капитала у Министарству финансија са осталим </w:t>
      </w:r>
      <w:r w:rsidR="001C1447" w:rsidRPr="00AD5056">
        <w:rPr>
          <w:rFonts w:ascii="Times New Roman" w:hAnsi="Times New Roman" w:cs="Times New Roman"/>
        </w:rPr>
        <w:t>институцијам</w:t>
      </w:r>
      <w:r w:rsidR="001C1447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, </w:t>
      </w:r>
      <w:r w:rsidRPr="00AD5056">
        <w:rPr>
          <w:rFonts w:ascii="Times New Roman" w:hAnsi="Times New Roman" w:cs="Times New Roman"/>
        </w:rPr>
        <w:t>које имају дефинисане ак</w:t>
      </w:r>
      <w:r w:rsidR="00321F1F">
        <w:rPr>
          <w:rFonts w:ascii="Times New Roman" w:hAnsi="Times New Roman" w:cs="Times New Roman"/>
        </w:rPr>
        <w:t>тивности у оквиру АП</w:t>
      </w:r>
      <w:r w:rsidRPr="00AD5056">
        <w:rPr>
          <w:rFonts w:ascii="Times New Roman" w:hAnsi="Times New Roman" w:cs="Times New Roman"/>
        </w:rPr>
        <w:t>, како би се идентификовали и размотрили међу-резултати у вези са Стратегијом и одговорило на одступања од плана, или како би се идентификовали новонастали ризици за спровођење активности (систем раног упозоравања).</w:t>
      </w:r>
    </w:p>
    <w:p w14:paraId="571F604D" w14:textId="0AF24CF0" w:rsidR="006D3C87" w:rsidRDefault="006D3C87" w:rsidP="004E4E49">
      <w:pPr>
        <w:ind w:firstLine="720"/>
        <w:jc w:val="both"/>
        <w:rPr>
          <w:rFonts w:ascii="Times New Roman" w:hAnsi="Times New Roman" w:cs="Times New Roman"/>
        </w:rPr>
      </w:pPr>
      <w:r w:rsidRPr="007B2FE8">
        <w:rPr>
          <w:rFonts w:ascii="Times New Roman" w:hAnsi="Times New Roman" w:cs="Times New Roman"/>
        </w:rPr>
        <w:t xml:space="preserve">У наредног табели дат је преглед идентификованих ризика заједно са препорукама за њихово </w:t>
      </w:r>
      <w:r w:rsidR="001C1447" w:rsidRPr="007B2FE8">
        <w:rPr>
          <w:rFonts w:ascii="Times New Roman" w:hAnsi="Times New Roman" w:cs="Times New Roman"/>
        </w:rPr>
        <w:t>ублажавање</w:t>
      </w:r>
      <w:r w:rsidRPr="007B2FE8">
        <w:rPr>
          <w:rFonts w:ascii="Times New Roman" w:hAnsi="Times New Roman" w:cs="Times New Roman"/>
        </w:rPr>
        <w:t xml:space="preserve"> и/или спречавање и односе се на групе активности/мера.</w:t>
      </w:r>
    </w:p>
    <w:p w14:paraId="69BE5A4A" w14:textId="2F68BFCA" w:rsidR="006D3C87" w:rsidRPr="00EF4C79" w:rsidRDefault="006D3C87" w:rsidP="006D3C87">
      <w:pPr>
        <w:jc w:val="center"/>
        <w:rPr>
          <w:rFonts w:ascii="Times New Roman" w:hAnsi="Times New Roman" w:cs="Times New Roman"/>
          <w:b/>
        </w:rPr>
      </w:pPr>
      <w:r w:rsidRPr="00EF4C79">
        <w:rPr>
          <w:rFonts w:ascii="Times New Roman" w:hAnsi="Times New Roman" w:cs="Times New Roman"/>
          <w:b/>
        </w:rPr>
        <w:t>Табела 1  - Преглед ризика и мера</w:t>
      </w:r>
      <w:r w:rsidR="00A1758B">
        <w:rPr>
          <w:rFonts w:ascii="Times New Roman" w:hAnsi="Times New Roman" w:cs="Times New Roman"/>
          <w:b/>
        </w:rPr>
        <w:t xml:space="preserve"> </w:t>
      </w:r>
      <w:r w:rsidRPr="00EF4C79">
        <w:rPr>
          <w:rFonts w:ascii="Times New Roman" w:hAnsi="Times New Roman" w:cs="Times New Roman"/>
          <w:b/>
        </w:rPr>
        <w:t>за њихово отклањање</w:t>
      </w:r>
    </w:p>
    <w:tbl>
      <w:tblPr>
        <w:tblW w:w="14492" w:type="dxa"/>
        <w:tblInd w:w="-5" w:type="dxa"/>
        <w:tblLook w:val="04A0" w:firstRow="1" w:lastRow="0" w:firstColumn="1" w:lastColumn="0" w:noHBand="0" w:noVBand="1"/>
      </w:tblPr>
      <w:tblGrid>
        <w:gridCol w:w="2846"/>
        <w:gridCol w:w="2210"/>
        <w:gridCol w:w="3261"/>
        <w:gridCol w:w="3082"/>
        <w:gridCol w:w="3093"/>
      </w:tblGrid>
      <w:tr w:rsidR="006D3C87" w:rsidRPr="00EF4C79" w14:paraId="6BD79266" w14:textId="77777777" w:rsidTr="006D3C87">
        <w:trPr>
          <w:trHeight w:val="9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6FC7263" w14:textId="77777777" w:rsidR="006D3C87" w:rsidRPr="00EF4C79" w:rsidRDefault="006D3C87" w:rsidP="007C7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Посебан циљ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DBD0B7F" w14:textId="77777777" w:rsidR="006D3C87" w:rsidRPr="00EF4C79" w:rsidRDefault="006D3C87" w:rsidP="007C7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Мера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86EBE36" w14:textId="77777777" w:rsidR="006D3C87" w:rsidRPr="00EF4C79" w:rsidRDefault="006D3C87" w:rsidP="007C7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Претпоставке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B83E480" w14:textId="77777777" w:rsidR="006D3C87" w:rsidRPr="00EF4C79" w:rsidRDefault="006D3C87" w:rsidP="007C7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Ризик</w:t>
            </w:r>
          </w:p>
        </w:tc>
        <w:tc>
          <w:tcPr>
            <w:tcW w:w="3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4DE1D5E5" w14:textId="77777777" w:rsidR="006D3C87" w:rsidRPr="00EF4C79" w:rsidRDefault="006D3C87" w:rsidP="007C7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Решење / мера за ублажавање ризика</w:t>
            </w:r>
          </w:p>
        </w:tc>
      </w:tr>
      <w:tr w:rsidR="006D3C87" w:rsidRPr="00EF4C79" w14:paraId="5A52D986" w14:textId="77777777" w:rsidTr="006D3C87">
        <w:trPr>
          <w:trHeight w:val="296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183596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  <w:lang w:eastAsia="en-GB"/>
              </w:rPr>
              <w:t>1. Унапређен институционални оквир и законска регулатива као предуслов за привлачење домаћих и међународних, индивидуалних и институционалних инвеститора, и боље, транспарентније и ефикасније тржиште капитала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8FEF" w14:textId="77777777" w:rsidR="006D3C87" w:rsidRPr="00EF4C79" w:rsidRDefault="006D3C87" w:rsidP="006D3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Мера 1.1: Унапређење регулаторног оквира за даљи развој тржишта капитала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AB8DD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Припрема прописа и праћење њихове примене и ефеката биће у складу са ЗТК и осталим елементима регулаторног оквира за развој тржишта капитала и засниваће се на систематском прикупљању података и аналитичкој обради података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2C57C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Недостатак политичког вођства за спровођење свеобухватне регулаторне реформе, која захтева значајну промену културе јавне управе приликом припреме нових прописа и континуиране евалуације и допуне постојећих, може резултирати успоравањем процеса развоја тржишта капитала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EFFA9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Мобилисати на време политичку подршку , руководства Министарства финансија и других релевантних актера, како би се подигла свест о значају развоја тржишта капитала за целокупну националну економију као  и предностима за друштво у целини.</w:t>
            </w:r>
          </w:p>
        </w:tc>
      </w:tr>
      <w:tr w:rsidR="006D3C87" w:rsidRPr="00EF4C79" w14:paraId="64533141" w14:textId="77777777" w:rsidTr="006D3C87">
        <w:trPr>
          <w:trHeight w:val="267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76FCF6F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5A26D" w14:textId="77777777" w:rsidR="006D3C87" w:rsidRPr="00EF4C79" w:rsidRDefault="006D3C87" w:rsidP="006D3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Мера 1.2: Унапређење институционалног оквира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505EA" w14:textId="77777777" w:rsidR="006D3C87" w:rsidRPr="00EF4C79" w:rsidRDefault="006D3C87" w:rsidP="006D3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Усвајање свих релевантних подзаконских аката у циљу ефикасне имплементације закона у области тржишта капитала, као и анализа пореских прописа и поступака, извештавања, дуплирања пореза, порез на репо и осигуране зајмове, одступања у третману сличних финансијских производа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0C570" w14:textId="77777777" w:rsidR="006D3C87" w:rsidRPr="00EF4C79" w:rsidRDefault="006D3C87" w:rsidP="006D3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Лоше разумљив правни и регулаторни оквир може довести до успореног напретка у остваривању очекиваних користи од његове примене. Непотпуна анализа негативних ефеката постојећег регулаторног пореског оквира може довести до  погрешне процене  постојећих недостатака 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334F4" w14:textId="77777777" w:rsidR="006D3C87" w:rsidRPr="00EF4C79" w:rsidRDefault="006D3C87" w:rsidP="006D3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Праћење анализе законских и подзаконских аката у циљу сагледавања негативних ефеката у претходном периоду. Подизање свести запослених и ангажовање стручних консултаната како би се обезбедила што квалитетнија анализа и сагледавање негативних ефеката постојеће регулативе на развој ТК.</w:t>
            </w:r>
          </w:p>
        </w:tc>
      </w:tr>
      <w:tr w:rsidR="006D3C87" w:rsidRPr="00EF4C79" w14:paraId="7003E604" w14:textId="77777777" w:rsidTr="006D3C87">
        <w:trPr>
          <w:trHeight w:val="390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75B41FD" w14:textId="77777777" w:rsidR="00263217" w:rsidRDefault="006D3C87" w:rsidP="00263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 xml:space="preserve">2. Измењена структура и </w:t>
            </w:r>
          </w:p>
          <w:p w14:paraId="669588CA" w14:textId="721DB610" w:rsidR="006D3C87" w:rsidRPr="00EF4C79" w:rsidRDefault="006D3C87" w:rsidP="00263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проширен спектар услуга на домаћем тржишту капитала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DA918" w14:textId="77777777" w:rsidR="006D3C87" w:rsidRPr="00EF4C79" w:rsidRDefault="006D3C87" w:rsidP="006D3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Мера 2.1: Увођење нових инвестиционих производа и издавалаца на домаће тржиште капитала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CACEC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Eдукацију емитената хартија од вредности у Републици Србији,  анализа и тржишно поређење трошкова и административног процеса за издавање, одржавање и трговање свим хартијама од вредности које су фокус стратегије, имплементације јединствене трошковне политике на нивоу свих учесника и институција, анализа и сагледавање могућности за имплементацију нових производа ТК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2C436" w14:textId="75D5D248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Недостатак едукације емитената хартија од вредности. Неадекватна анализа постојеће трошковне политике у вези са емисијом ХОВ, а у складу са тим и немогућност</w:t>
            </w:r>
            <w:r w:rsidR="00263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спровођења јединствене трошковне политике. Лоше разумљива регулаторни оквир у вези са увођењем и емисијом нових хартија од вредности у вези са свим емитентима и учесницима на тржишту капитала.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79BF8" w14:textId="3845827F" w:rsidR="006D3C87" w:rsidRPr="006D3C87" w:rsidRDefault="006D3C87" w:rsidP="006D3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Припремити програме обуке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емитената хартија од вредности. П</w:t>
            </w:r>
            <w:r w:rsidR="00E904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р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аћење </w:t>
            </w:r>
            <w:r w:rsidR="00263217"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свеобухватне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анализе регулаторног оквира и трошковних политика  у циљу креирања и имплементације јединствене трошковне политике, као и стварања предуслова за увођење нових производа.</w:t>
            </w:r>
          </w:p>
        </w:tc>
      </w:tr>
      <w:tr w:rsidR="006D3C87" w:rsidRPr="00EF4C79" w14:paraId="20EDB1BB" w14:textId="77777777" w:rsidTr="006D3C87">
        <w:trPr>
          <w:trHeight w:val="3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09C227C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3D2C6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GB"/>
              </w:rPr>
              <w:t>Мера 2.2: Привлачење нових инвеститора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ED11" w14:textId="4597C5C2" w:rsidR="006D3C87" w:rsidRPr="00EF4C79" w:rsidRDefault="006D3C87" w:rsidP="006D3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Креирање јединствене веб платформе са свеобухватним информацијама, процесима и процедурама, </w:t>
            </w:r>
            <w:r w:rsidR="00263217"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подацима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и трошковима, анализа ограничавајућих фактора за учешће свих институционалних инвеститора на тржишту капитала, повезивање са међународним депозитаром хартија од вредности.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877AC" w14:textId="4C1EE5A3" w:rsidR="006D3C87" w:rsidRPr="00EF4C79" w:rsidRDefault="006D3C87" w:rsidP="006D3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Кашњење у испоруци ИТ платформе, </w:t>
            </w:r>
            <w:r w:rsidR="00263217"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неадекватна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263217"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системска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решења,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недостатак финансијских средстава, 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непотпуно сагледавање свих ограничавајућих фактора у развоју тржишта капитала, недостатак подршке за успостављање међународне сарадње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3DACD" w14:textId="6A5761E3" w:rsidR="006D3C87" w:rsidRPr="00EF4C79" w:rsidRDefault="006D3C87" w:rsidP="006D3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Повећати ресурсе за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праћење и контролу креирања јединственог ИТ решења, у процесу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консултација како би подстакли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све релевантне учеснике да врше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консултације благовремено и на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правилан начин сагледају све недостатке. Мобилисати на време политичку подршку , руководства Министарства финансија и других релевантних актера у циљу повезивања са </w:t>
            </w:r>
            <w:r w:rsidR="00263217"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међународним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реномираним институцијама.</w:t>
            </w:r>
          </w:p>
        </w:tc>
      </w:tr>
      <w:tr w:rsidR="006D3C87" w:rsidRPr="00EF4C79" w14:paraId="14020DE8" w14:textId="77777777" w:rsidTr="006D3C87">
        <w:trPr>
          <w:trHeight w:val="371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C822CE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3. Подигнути капацитети и ниво знања свих учесника на тржишту капитала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C2ACD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Мера 3.1: Јачање технолошких и људских капацитета институција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2DEE1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Организација посебне организационе јединице у Министарству финансија за развој тржишта капитала. Обезбеђивање софтвера као и свеобухватног програма техничке подршке за релевантне институције у циљу довођења квалитетног кадра, спровођења додатних аналитичких активности, подршке у изради релевантних интерних аката,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D207F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Недостатак лидерства,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посвећености и аналитичких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вештина може успорити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оснивање организационе  јединице. Невољност или отпор да се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иновативна решења интегришу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у редовне активности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управљања које ће допринети ефикаснијем развоју тржишта капитала.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4A246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Повећати напоре на подизању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свести о потреби и користима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успостављања јединице и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проширити број смерница које указују на значај њеног рада за праћење развоја тржишта капитала. Добити претходне 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мандате за развој иновативних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решења и oсигурати широко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засноване консултације и учешће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значајног броја кључних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институција у развоју иновација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од самог почетка</w:t>
            </w:r>
          </w:p>
        </w:tc>
      </w:tr>
      <w:tr w:rsidR="006D3C87" w:rsidRPr="00EF4C79" w14:paraId="0EA89F15" w14:textId="77777777" w:rsidTr="006D3C87">
        <w:trPr>
          <w:trHeight w:val="27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DDC32C8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4F0A7" w14:textId="77777777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Мера 3.2: Промоција могућности учешћа на тржишту капитала и едукација свих потенцијалних учесника на тржишту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13A3E" w14:textId="5296175D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Организација промоције домаћег тржишта капитала и издаваоца финансијских инструмената, укључујући и Републику Србију, у водећим глобалним финансијским центрима и региону. Програми финансијског образовања ученика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434DD" w14:textId="6B2954C1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Нејасан и недовољно транспарентан материјал у вези са промоцијом значаја развоја тржишта капитала за националну економију.  Недовољни капацитети за обуку могу успорити развој потребних знања у вези са едукацијом свих </w:t>
            </w:r>
            <w:r w:rsidR="00263217"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потенцијалних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учесника на тржишту.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E20C" w14:textId="704808E1" w:rsidR="006D3C87" w:rsidRPr="00EF4C79" w:rsidRDefault="006D3C87" w:rsidP="007C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Припрема програма промоције и промотивног материјала уз подршку релевантних </w:t>
            </w:r>
            <w:r w:rsidR="00263217"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институција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 Повећати свест о важности</w:t>
            </w:r>
            <w:r w:rsidRPr="00EF4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финансијске едукације свих потенцијалних учесника за развој тржишта капитала.</w:t>
            </w:r>
          </w:p>
        </w:tc>
      </w:tr>
    </w:tbl>
    <w:p w14:paraId="5FC6C8F2" w14:textId="0D188204" w:rsidR="006D3C87" w:rsidRDefault="006D3C87" w:rsidP="00A844F4">
      <w:pPr>
        <w:ind w:firstLine="720"/>
        <w:rPr>
          <w:rFonts w:ascii="Times New Roman" w:hAnsi="Times New Roman" w:cs="Times New Roman"/>
        </w:rPr>
      </w:pPr>
    </w:p>
    <w:p w14:paraId="004084FC" w14:textId="272BAD11" w:rsidR="006D3C87" w:rsidRDefault="006D3C87" w:rsidP="00A844F4">
      <w:pPr>
        <w:ind w:firstLine="720"/>
        <w:rPr>
          <w:rFonts w:ascii="Times New Roman" w:hAnsi="Times New Roman" w:cs="Times New Roman"/>
        </w:rPr>
      </w:pPr>
    </w:p>
    <w:p w14:paraId="519B3ECA" w14:textId="35808BEA" w:rsidR="006D3C87" w:rsidRDefault="006D3C87" w:rsidP="00A844F4">
      <w:pPr>
        <w:ind w:firstLine="720"/>
        <w:rPr>
          <w:rFonts w:ascii="Times New Roman" w:hAnsi="Times New Roman" w:cs="Times New Roman"/>
        </w:rPr>
      </w:pPr>
    </w:p>
    <w:p w14:paraId="1F846FC5" w14:textId="62B6A296" w:rsidR="006D3C87" w:rsidRDefault="006D3C87" w:rsidP="00A844F4">
      <w:pPr>
        <w:ind w:firstLine="720"/>
        <w:rPr>
          <w:rFonts w:ascii="Times New Roman" w:hAnsi="Times New Roman" w:cs="Times New Roman"/>
        </w:rPr>
      </w:pPr>
    </w:p>
    <w:p w14:paraId="13882FD5" w14:textId="2A3C2946" w:rsidR="006D3C87" w:rsidRDefault="006D3C87" w:rsidP="00A844F4">
      <w:pPr>
        <w:ind w:firstLine="720"/>
        <w:rPr>
          <w:rFonts w:ascii="Times New Roman" w:hAnsi="Times New Roman" w:cs="Times New Roman"/>
        </w:rPr>
      </w:pPr>
    </w:p>
    <w:p w14:paraId="61083EF7" w14:textId="4EC900B4" w:rsidR="006D3C87" w:rsidRDefault="006D3C87" w:rsidP="00A844F4">
      <w:pPr>
        <w:ind w:firstLine="720"/>
        <w:rPr>
          <w:rFonts w:ascii="Times New Roman" w:hAnsi="Times New Roman" w:cs="Times New Roman"/>
        </w:rPr>
      </w:pPr>
    </w:p>
    <w:p w14:paraId="102CDBB3" w14:textId="3B4230BB" w:rsidR="006D3C87" w:rsidRDefault="006D3C87" w:rsidP="00A844F4">
      <w:pPr>
        <w:ind w:firstLine="720"/>
        <w:rPr>
          <w:rFonts w:ascii="Times New Roman" w:hAnsi="Times New Roman" w:cs="Times New Roman"/>
        </w:rPr>
      </w:pPr>
    </w:p>
    <w:p w14:paraId="755444D5" w14:textId="4C7862C0" w:rsidR="006D3C87" w:rsidRDefault="006D3C87" w:rsidP="00A844F4">
      <w:pPr>
        <w:ind w:firstLine="720"/>
        <w:rPr>
          <w:rFonts w:ascii="Times New Roman" w:hAnsi="Times New Roman" w:cs="Times New Roman"/>
        </w:rPr>
      </w:pPr>
    </w:p>
    <w:p w14:paraId="41712E46" w14:textId="4F819169" w:rsidR="006D3C87" w:rsidRDefault="006D3C87" w:rsidP="00A844F4">
      <w:pPr>
        <w:ind w:firstLine="720"/>
        <w:rPr>
          <w:rFonts w:ascii="Times New Roman" w:hAnsi="Times New Roman" w:cs="Times New Roman"/>
        </w:rPr>
      </w:pPr>
    </w:p>
    <w:p w14:paraId="38B44010" w14:textId="2897CF1E" w:rsidR="006D3C87" w:rsidRDefault="006D3C87" w:rsidP="00A844F4">
      <w:pPr>
        <w:ind w:firstLine="720"/>
        <w:rPr>
          <w:rFonts w:ascii="Times New Roman" w:hAnsi="Times New Roman" w:cs="Times New Roman"/>
        </w:rPr>
      </w:pPr>
    </w:p>
    <w:p w14:paraId="62F17D59" w14:textId="5AD93964" w:rsidR="006D3C87" w:rsidRDefault="006D3C87" w:rsidP="00A844F4">
      <w:pPr>
        <w:ind w:firstLine="720"/>
        <w:rPr>
          <w:rFonts w:ascii="Times New Roman" w:hAnsi="Times New Roman" w:cs="Times New Roman"/>
        </w:rPr>
      </w:pPr>
    </w:p>
    <w:p w14:paraId="5A7B962E" w14:textId="1916C699" w:rsidR="006D3C87" w:rsidRDefault="006D3C87" w:rsidP="00A844F4">
      <w:pPr>
        <w:ind w:firstLine="720"/>
        <w:rPr>
          <w:rFonts w:ascii="Times New Roman" w:hAnsi="Times New Roman" w:cs="Times New Roman"/>
        </w:rPr>
      </w:pPr>
    </w:p>
    <w:p w14:paraId="19CD8B77" w14:textId="77777777" w:rsidR="006D3C87" w:rsidRPr="00F83C46" w:rsidRDefault="006D3C87" w:rsidP="00A844F4">
      <w:pPr>
        <w:ind w:firstLine="720"/>
        <w:rPr>
          <w:rFonts w:ascii="Times New Roman" w:hAnsi="Times New Roman" w:cs="Times New Roman"/>
        </w:rPr>
      </w:pPr>
    </w:p>
    <w:p w14:paraId="7E668BB6" w14:textId="77777777" w:rsidR="004536FD" w:rsidRPr="00E94EFD" w:rsidRDefault="004536FD" w:rsidP="00B32A65">
      <w:pPr>
        <w:spacing w:after="0"/>
        <w:ind w:firstLine="720"/>
        <w:jc w:val="both"/>
        <w:rPr>
          <w:rFonts w:ascii="Times New Roman" w:hAnsi="Times New Roman" w:cs="Times New Roman"/>
        </w:rPr>
      </w:pPr>
    </w:p>
    <w:p w14:paraId="0C997896" w14:textId="77777777" w:rsidR="00B32A65" w:rsidRPr="00927FB8" w:rsidRDefault="00B32A65" w:rsidP="00B32A65">
      <w:pPr>
        <w:spacing w:after="0"/>
        <w:ind w:firstLine="720"/>
        <w:jc w:val="both"/>
        <w:rPr>
          <w:rFonts w:ascii="Times New Roman" w:hAnsi="Times New Roman" w:cs="Times New Roman"/>
          <w:sz w:val="16"/>
          <w:szCs w:val="16"/>
          <w:lang w:val="sr-Latn-RS"/>
        </w:rPr>
      </w:pPr>
    </w:p>
    <w:tbl>
      <w:tblPr>
        <w:tblStyle w:val="TableGrid"/>
        <w:tblpPr w:leftFromText="180" w:rightFromText="180" w:vertAnchor="text" w:horzAnchor="margin" w:tblpY="57"/>
        <w:tblW w:w="13877" w:type="dxa"/>
        <w:tblLook w:val="04A0" w:firstRow="1" w:lastRow="0" w:firstColumn="1" w:lastColumn="0" w:noHBand="0" w:noVBand="1"/>
      </w:tblPr>
      <w:tblGrid>
        <w:gridCol w:w="3434"/>
        <w:gridCol w:w="10443"/>
      </w:tblGrid>
      <w:tr w:rsidR="00CD5678" w:rsidRPr="003A16F9" w14:paraId="1DDB952F" w14:textId="77777777" w:rsidTr="007B40A7">
        <w:trPr>
          <w:trHeight w:val="291"/>
        </w:trPr>
        <w:tc>
          <w:tcPr>
            <w:tcW w:w="3434" w:type="dxa"/>
            <w:tcBorders>
              <w:left w:val="double" w:sz="4" w:space="0" w:color="auto"/>
            </w:tcBorders>
          </w:tcPr>
          <w:p w14:paraId="393B9CC6" w14:textId="77777777" w:rsidR="00CD5678" w:rsidRPr="003A16F9" w:rsidRDefault="00CD5678" w:rsidP="007B40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Акциони план:</w:t>
            </w:r>
          </w:p>
        </w:tc>
        <w:tc>
          <w:tcPr>
            <w:tcW w:w="10443" w:type="dxa"/>
          </w:tcPr>
          <w:p w14:paraId="3EFA27F4" w14:textId="06A37B53" w:rsidR="00CD5678" w:rsidRPr="003A16F9" w:rsidRDefault="00CD5678" w:rsidP="009D72C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A16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Акциони план за</w:t>
            </w:r>
            <w:r w:rsidRPr="003A16F9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3A16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период </w:t>
            </w:r>
            <w:r w:rsidR="009D72C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од </w:t>
            </w:r>
            <w:r w:rsidRPr="003A16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2021</w:t>
            </w:r>
            <w:r w:rsidR="009D72C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до </w:t>
            </w:r>
            <w:r w:rsidRPr="003A16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2023. године за спровођење </w:t>
            </w:r>
            <w:r w:rsidR="00674CCF" w:rsidRPr="003A16F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Стратегиј</w:t>
            </w:r>
            <w:r w:rsidR="00674C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r w:rsidR="00674CCF" w:rsidRPr="003A16F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74C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за развој тржишта капитала </w:t>
            </w:r>
            <w:r w:rsidR="00674CCF" w:rsidRPr="003A16F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за период </w:t>
            </w:r>
            <w:r w:rsidR="009D72C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од </w:t>
            </w:r>
            <w:r w:rsidR="00674CCF" w:rsidRPr="003A16F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2021</w:t>
            </w:r>
            <w:r w:rsidR="009D72C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до </w:t>
            </w:r>
            <w:r w:rsidR="00674CCF" w:rsidRPr="003A16F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202</w:t>
            </w:r>
            <w:r w:rsidR="00674CC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 w:rsidR="00674CCF" w:rsidRPr="003A16F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године</w:t>
            </w:r>
          </w:p>
        </w:tc>
      </w:tr>
      <w:tr w:rsidR="00424850" w:rsidRPr="003A16F9" w14:paraId="273562E8" w14:textId="77777777" w:rsidTr="007B40A7">
        <w:trPr>
          <w:trHeight w:val="291"/>
        </w:trPr>
        <w:tc>
          <w:tcPr>
            <w:tcW w:w="3434" w:type="dxa"/>
            <w:tcBorders>
              <w:left w:val="double" w:sz="4" w:space="0" w:color="auto"/>
            </w:tcBorders>
          </w:tcPr>
          <w:p w14:paraId="77E55713" w14:textId="3D969D30" w:rsidR="00424850" w:rsidRPr="00424850" w:rsidRDefault="00424850" w:rsidP="007B40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Предлагач:</w:t>
            </w:r>
          </w:p>
        </w:tc>
        <w:tc>
          <w:tcPr>
            <w:tcW w:w="10443" w:type="dxa"/>
          </w:tcPr>
          <w:p w14:paraId="344A7348" w14:textId="5156C561" w:rsidR="00424850" w:rsidRPr="003A16F9" w:rsidRDefault="00804DCE" w:rsidP="00674CC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Министарство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финансија</w:t>
            </w:r>
          </w:p>
        </w:tc>
      </w:tr>
      <w:tr w:rsidR="00CD5678" w:rsidRPr="003A16F9" w14:paraId="636EFE31" w14:textId="77777777" w:rsidTr="007B40A7">
        <w:trPr>
          <w:trHeight w:val="397"/>
        </w:trPr>
        <w:tc>
          <w:tcPr>
            <w:tcW w:w="3434" w:type="dxa"/>
            <w:tcBorders>
              <w:left w:val="double" w:sz="4" w:space="0" w:color="auto"/>
            </w:tcBorders>
          </w:tcPr>
          <w:p w14:paraId="0BF6E1E0" w14:textId="4AA7D7B2" w:rsidR="00CD5678" w:rsidRPr="00987CD6" w:rsidRDefault="00CD5678" w:rsidP="007B40A7">
            <w:pPr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</w:pPr>
            <w:r w:rsidRPr="00A078E1">
              <w:rPr>
                <w:rFonts w:ascii="Times New Roman" w:hAnsi="Times New Roman" w:cs="Times New Roman"/>
                <w:b/>
                <w:sz w:val="20"/>
                <w:szCs w:val="20"/>
              </w:rPr>
              <w:t>Координација и извештавање</w:t>
            </w:r>
            <w:r w:rsidR="002A7810" w:rsidRPr="00A078E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0443" w:type="dxa"/>
          </w:tcPr>
          <w:p w14:paraId="194411E3" w14:textId="2254AB5F" w:rsidR="00CD5678" w:rsidRPr="003A16F9" w:rsidRDefault="00CD5678" w:rsidP="00674CCF">
            <w:pPr>
              <w:shd w:val="clear" w:color="auto" w:fill="FBFBFB"/>
              <w:spacing w:before="100" w:beforeAutospacing="1" w:after="111" w:line="332" w:lineRule="atLeast"/>
              <w:ind w:left="-443" w:right="-443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Министарство </w:t>
            </w:r>
            <w:r w:rsidR="00674C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финансија</w:t>
            </w:r>
          </w:p>
        </w:tc>
      </w:tr>
    </w:tbl>
    <w:p w14:paraId="5455B1E1" w14:textId="77777777" w:rsidR="00CD5678" w:rsidRPr="003A16F9" w:rsidRDefault="00CD5678" w:rsidP="00CD5678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695D775" w14:textId="77777777" w:rsidR="00CD5678" w:rsidRPr="003A16F9" w:rsidRDefault="00CD5678" w:rsidP="00CD5678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3877" w:type="dxa"/>
        <w:tblLook w:val="04A0" w:firstRow="1" w:lastRow="0" w:firstColumn="1" w:lastColumn="0" w:noHBand="0" w:noVBand="1"/>
      </w:tblPr>
      <w:tblGrid>
        <w:gridCol w:w="4380"/>
        <w:gridCol w:w="1190"/>
        <w:gridCol w:w="1679"/>
        <w:gridCol w:w="2129"/>
        <w:gridCol w:w="1454"/>
        <w:gridCol w:w="1400"/>
        <w:gridCol w:w="1645"/>
      </w:tblGrid>
      <w:tr w:rsidR="00CD5678" w:rsidRPr="003A16F9" w14:paraId="3255EF3C" w14:textId="77777777" w:rsidTr="007B40A7">
        <w:trPr>
          <w:trHeight w:val="403"/>
        </w:trPr>
        <w:tc>
          <w:tcPr>
            <w:tcW w:w="1387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67AB512C" w14:textId="5FF3D0BD" w:rsidR="00CD5678" w:rsidRPr="003A16F9" w:rsidRDefault="00CD5678" w:rsidP="00546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Општи циљ: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609E">
              <w:rPr>
                <w:rFonts w:ascii="Times New Roman" w:hAnsi="Times New Roman" w:cs="Times New Roman"/>
                <w:sz w:val="20"/>
                <w:szCs w:val="20"/>
              </w:rPr>
              <w:t>Активирање тржишта капитала у функцији економског раста, запошљавања и квалитетнијег живота грађана</w:t>
            </w:r>
          </w:p>
        </w:tc>
      </w:tr>
      <w:tr w:rsidR="00CD5678" w:rsidRPr="003A16F9" w14:paraId="756BDD98" w14:textId="77777777" w:rsidTr="007B40A7">
        <w:trPr>
          <w:trHeight w:val="377"/>
        </w:trPr>
        <w:tc>
          <w:tcPr>
            <w:tcW w:w="13877" w:type="dxa"/>
            <w:gridSpan w:val="7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14:paraId="25C79A01" w14:textId="1A513831" w:rsidR="00CD5678" w:rsidRPr="003A16F9" w:rsidRDefault="00CD5678" w:rsidP="00546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Институција одговорна за праћење и контролу реализације: </w:t>
            </w:r>
            <w:r w:rsidRPr="003A16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Министарство </w:t>
            </w:r>
            <w:r w:rsidR="0054609E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финансија</w:t>
            </w:r>
          </w:p>
        </w:tc>
      </w:tr>
      <w:tr w:rsidR="00C67D83" w:rsidRPr="003A16F9" w14:paraId="1F8B2BA3" w14:textId="77777777" w:rsidTr="007B40A7">
        <w:trPr>
          <w:trHeight w:val="377"/>
        </w:trPr>
        <w:tc>
          <w:tcPr>
            <w:tcW w:w="438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210A21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Показатељ (и) на нивоу општег циља (показатељ ефекта)</w:t>
            </w:r>
          </w:p>
        </w:tc>
        <w:tc>
          <w:tcPr>
            <w:tcW w:w="119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C8E5BD7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Jединица мере</w:t>
            </w:r>
          </w:p>
          <w:p w14:paraId="7C664EB9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BE706B7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провере</w:t>
            </w:r>
          </w:p>
        </w:tc>
        <w:tc>
          <w:tcPr>
            <w:tcW w:w="212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8F98FE4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Почетна вредност </w:t>
            </w:r>
          </w:p>
        </w:tc>
        <w:tc>
          <w:tcPr>
            <w:tcW w:w="145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9120FF2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Базна година</w:t>
            </w:r>
          </w:p>
        </w:tc>
        <w:tc>
          <w:tcPr>
            <w:tcW w:w="140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4FA82E4" w14:textId="52848773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2023</w:t>
            </w:r>
            <w:r w:rsidR="00775F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4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97C45B6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Последња година важења АП</w:t>
            </w:r>
          </w:p>
        </w:tc>
      </w:tr>
      <w:tr w:rsidR="00C67D83" w:rsidRPr="003A16F9" w14:paraId="244C8ADD" w14:textId="77777777" w:rsidTr="007B40A7">
        <w:trPr>
          <w:trHeight w:val="377"/>
        </w:trPr>
        <w:tc>
          <w:tcPr>
            <w:tcW w:w="438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915E1DC" w14:textId="2B0EFB57" w:rsidR="00CD5678" w:rsidRPr="003A16F9" w:rsidRDefault="0054609E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Учешће тржишне капитализације</w:t>
            </w:r>
            <w:r w:rsidR="004339F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бруто домаћем производу</w:t>
            </w:r>
            <w:r w:rsidR="00CD5678"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9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7868001" w14:textId="3F9ED8CC" w:rsidR="00CD5678" w:rsidRPr="003A16F9" w:rsidRDefault="000D1928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7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DE959FE" w14:textId="0E51A34C" w:rsidR="00CD5678" w:rsidRPr="003A16F9" w:rsidRDefault="005C731D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РЗС</w:t>
            </w:r>
            <w:r w:rsidR="00D447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5678"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2458DB">
              <w:rPr>
                <w:rFonts w:ascii="Times New Roman" w:hAnsi="Times New Roman" w:cs="Times New Roman"/>
                <w:sz w:val="20"/>
                <w:szCs w:val="20"/>
              </w:rPr>
              <w:t>БДП</w:t>
            </w:r>
            <w:r w:rsidR="00F5537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54609E">
              <w:rPr>
                <w:rFonts w:ascii="Times New Roman" w:hAnsi="Times New Roman" w:cs="Times New Roman"/>
                <w:sz w:val="20"/>
                <w:szCs w:val="20"/>
              </w:rPr>
              <w:t>Б о тржишној капитализацији</w:t>
            </w:r>
          </w:p>
        </w:tc>
        <w:tc>
          <w:tcPr>
            <w:tcW w:w="212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C2E1E85" w14:textId="08A93431" w:rsidR="005744A5" w:rsidRPr="003A16F9" w:rsidRDefault="004B7E93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9,51</w:t>
            </w:r>
            <w:r w:rsidR="00CE75E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5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3C80FDB" w14:textId="77777777" w:rsidR="00CD5678" w:rsidRDefault="000D7188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447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F25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55A577" w14:textId="09029DA3" w:rsidR="00665561" w:rsidRPr="003A16F9" w:rsidRDefault="00665561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0B99534" w14:textId="69C9CD2C" w:rsidR="00B83253" w:rsidRPr="003A16F9" w:rsidRDefault="004B7E93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4064">
              <w:rPr>
                <w:rFonts w:ascii="Times New Roman" w:hAnsi="Times New Roman" w:cs="Times New Roman"/>
                <w:sz w:val="20"/>
                <w:szCs w:val="20"/>
              </w:rPr>
              <w:t>,5%</w:t>
            </w:r>
          </w:p>
        </w:tc>
        <w:tc>
          <w:tcPr>
            <w:tcW w:w="164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851D7C2" w14:textId="2EC67D7F" w:rsidR="00CD5678" w:rsidRDefault="00CD5678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14:paraId="4A9DD6F6" w14:textId="6DDED302" w:rsidR="00B83253" w:rsidRPr="003A16F9" w:rsidRDefault="00B83253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F4B6A8" w14:textId="7A8742C1" w:rsidR="00CD5678" w:rsidRDefault="004339F0" w:rsidP="00CD5678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</w:t>
      </w:r>
      <w:r w:rsidR="00C5560E">
        <w:rPr>
          <w:rFonts w:ascii="Times New Roman" w:hAnsi="Times New Roman" w:cs="Times New Roman"/>
          <w:sz w:val="16"/>
          <w:szCs w:val="16"/>
        </w:rPr>
        <w:t xml:space="preserve">тржишна капитализација </w:t>
      </w:r>
      <w:r w:rsidR="00CE75E4">
        <w:rPr>
          <w:rFonts w:ascii="Times New Roman" w:hAnsi="Times New Roman" w:cs="Times New Roman"/>
          <w:sz w:val="16"/>
          <w:szCs w:val="16"/>
        </w:rPr>
        <w:t>акција у БДП</w:t>
      </w:r>
    </w:p>
    <w:p w14:paraId="4B7D9263" w14:textId="77777777" w:rsidR="000951FB" w:rsidRPr="003A16F9" w:rsidRDefault="000951FB" w:rsidP="00CD5678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387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1426"/>
        <w:gridCol w:w="1576"/>
      </w:tblGrid>
      <w:tr w:rsidR="00CD5678" w:rsidRPr="003A16F9" w14:paraId="36C64585" w14:textId="77777777" w:rsidTr="007B40A7">
        <w:trPr>
          <w:trHeight w:val="320"/>
        </w:trPr>
        <w:tc>
          <w:tcPr>
            <w:tcW w:w="13877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3D2BDC0" w14:textId="0266D925" w:rsidR="00CD5678" w:rsidRPr="000F55D9" w:rsidRDefault="00CD5678" w:rsidP="00790377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0F55D9"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Посеб</w:t>
            </w:r>
            <w:r w:rsidR="00790377"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ан</w:t>
            </w:r>
            <w:r w:rsidRPr="000F55D9"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 xml:space="preserve"> циљ 1:</w:t>
            </w:r>
            <w:r w:rsidRPr="000F55D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 </w:t>
            </w:r>
            <w:r w:rsidR="000F55D9" w:rsidRPr="000F55D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Унапређен институционални оквир и законска регулатива као предуслов за привлачење домаћих и међународних, индивидуалних и институционалних инвеститора, и боље, транспарентније и ефикасније тржиште капитала</w:t>
            </w:r>
          </w:p>
        </w:tc>
      </w:tr>
      <w:tr w:rsidR="00CD5678" w:rsidRPr="003A16F9" w14:paraId="2D7D10EB" w14:textId="77777777" w:rsidTr="007B40A7">
        <w:trPr>
          <w:trHeight w:val="320"/>
        </w:trPr>
        <w:tc>
          <w:tcPr>
            <w:tcW w:w="13877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6F65BFD4" w14:textId="4A60280C" w:rsidR="00CD5678" w:rsidRPr="003A16F9" w:rsidRDefault="00CD5678" w:rsidP="00F47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Институција одговорна за праћење и контролу реализације: Министарство </w:t>
            </w:r>
            <w:r w:rsidR="00F475C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финансија</w:t>
            </w:r>
          </w:p>
        </w:tc>
      </w:tr>
      <w:tr w:rsidR="00CD5678" w:rsidRPr="003A16F9" w14:paraId="25F1F878" w14:textId="77777777" w:rsidTr="007B40A7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1FEC63D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Показатељ(и)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607D4D9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Jединица мере</w:t>
            </w:r>
          </w:p>
          <w:p w14:paraId="457D55A2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44B08A8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D9808F1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C9C05C1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958EDD" w14:textId="218AE106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Циљaна вредност у години 2021</w:t>
            </w:r>
            <w:r w:rsidR="00775F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C966E48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Циљaна вредност у години 2022</w:t>
            </w:r>
          </w:p>
        </w:tc>
        <w:tc>
          <w:tcPr>
            <w:tcW w:w="157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2118A42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Циљaна вредност у години 2023</w:t>
            </w:r>
          </w:p>
        </w:tc>
      </w:tr>
      <w:tr w:rsidR="002A6303" w:rsidRPr="003A16F9" w14:paraId="33B7C11E" w14:textId="77777777" w:rsidTr="007B40A7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80896F1" w14:textId="161EC389" w:rsidR="00096890" w:rsidRDefault="00096890" w:rsidP="002A630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2A6303">
              <w:rPr>
                <w:rFonts w:ascii="Times New Roman" w:hAnsi="Times New Roman" w:cs="Times New Roman"/>
                <w:sz w:val="20"/>
                <w:szCs w:val="20"/>
              </w:rPr>
              <w:t>Пораст броја учесника на тржишту капитала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правна лица</w:t>
            </w:r>
          </w:p>
          <w:p w14:paraId="4ED5DC0D" w14:textId="2477D896" w:rsidR="00096890" w:rsidRPr="003A16F9" w:rsidRDefault="00096890" w:rsidP="00AD542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2)Пораст броја учесника на тржишту капитала – </w:t>
            </w:r>
            <w:r w:rsidR="00AD5420">
              <w:rPr>
                <w:rFonts w:ascii="Times New Roman" w:hAnsi="Times New Roman" w:cs="Times New Roman"/>
                <w:sz w:val="20"/>
                <w:szCs w:val="20"/>
              </w:rPr>
              <w:t>физичка лица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D67AAFF" w14:textId="210DCE19" w:rsidR="002A6303" w:rsidRPr="003A16F9" w:rsidRDefault="002A6303" w:rsidP="002A630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D17F565" w14:textId="1936E0E2" w:rsidR="002A6303" w:rsidRPr="003A16F9" w:rsidRDefault="002A6303" w:rsidP="002A630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ББ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9DA277C" w14:textId="013A753C" w:rsidR="002A6303" w:rsidRPr="00C80D5D" w:rsidRDefault="00096890" w:rsidP="0009689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C80D5D" w:rsidRPr="00C80D5D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  <w:p w14:paraId="6177F821" w14:textId="7A7B0DA2" w:rsidR="00D66527" w:rsidRDefault="00096890" w:rsidP="0009689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C80D5D" w:rsidRPr="00C80D5D">
              <w:rPr>
                <w:rFonts w:ascii="Times New Roman" w:hAnsi="Times New Roman" w:cs="Times New Roman"/>
                <w:sz w:val="20"/>
                <w:szCs w:val="20"/>
              </w:rPr>
              <w:t>7.164</w:t>
            </w:r>
          </w:p>
          <w:p w14:paraId="6B2DE7CD" w14:textId="4A20729F" w:rsidR="00D66527" w:rsidRPr="003A16F9" w:rsidRDefault="00D66527" w:rsidP="002A630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98E6729" w14:textId="77777777" w:rsidR="002A6303" w:rsidRDefault="002A6303" w:rsidP="002A630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  <w:p w14:paraId="5B228195" w14:textId="778D7522" w:rsidR="002A6303" w:rsidRPr="003A16F9" w:rsidRDefault="002A6303" w:rsidP="002A630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F172359" w14:textId="23EFA4CB" w:rsidR="002A6303" w:rsidRPr="008F45C8" w:rsidRDefault="00834954" w:rsidP="002A630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DD1212" w:rsidRPr="008F45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5D2105D" w14:textId="249DC04B" w:rsidR="002A6303" w:rsidRPr="003A16F9" w:rsidRDefault="00834954" w:rsidP="002A630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DD1212" w:rsidRPr="008F45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92296C0" w14:textId="3D9B4451" w:rsidR="002A6303" w:rsidRPr="008F45C8" w:rsidRDefault="00EF6CF6" w:rsidP="00BF06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2A6303" w:rsidRPr="008F4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F45C8" w:rsidRPr="008F45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A6303" w:rsidRPr="008F45C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6CA9473" w14:textId="6021444B" w:rsidR="002A6303" w:rsidRPr="008F45C8" w:rsidRDefault="00EF6CF6" w:rsidP="00EF6C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2A6303" w:rsidRPr="008F45C8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  <w:tc>
          <w:tcPr>
            <w:tcW w:w="157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BFA868" w14:textId="2505D5AD" w:rsidR="002A6303" w:rsidRPr="008F45C8" w:rsidRDefault="00EF6CF6" w:rsidP="00BF06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8F45C8" w:rsidRPr="008F45C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2A6303" w:rsidRPr="008F45C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4AE09B8" w14:textId="64E32795" w:rsidR="002A6303" w:rsidRPr="008F45C8" w:rsidRDefault="00EF6CF6" w:rsidP="00EF6C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8F45C8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="002A6303" w:rsidRPr="008F45C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3A7994FD" w14:textId="288492C9" w:rsidR="00D66527" w:rsidRDefault="00D66527" w:rsidP="00CD5678">
      <w:pPr>
        <w:tabs>
          <w:tab w:val="left" w:pos="1940"/>
        </w:tabs>
        <w:spacing w:line="240" w:lineRule="auto"/>
        <w:rPr>
          <w:rFonts w:ascii="Times New Roman" w:hAnsi="Times New Roman" w:cs="Times New Roman"/>
        </w:rPr>
      </w:pPr>
    </w:p>
    <w:p w14:paraId="00FFFDC5" w14:textId="2DD9D7DD" w:rsidR="0086737D" w:rsidRDefault="0086737D" w:rsidP="00CD5678">
      <w:pPr>
        <w:tabs>
          <w:tab w:val="left" w:pos="1940"/>
        </w:tabs>
        <w:spacing w:line="240" w:lineRule="auto"/>
        <w:rPr>
          <w:rFonts w:ascii="Times New Roman" w:hAnsi="Times New Roman" w:cs="Times New Roman"/>
        </w:rPr>
      </w:pPr>
    </w:p>
    <w:p w14:paraId="193B0710" w14:textId="07341ACB" w:rsidR="0086737D" w:rsidRDefault="0086737D" w:rsidP="00CD5678">
      <w:pPr>
        <w:tabs>
          <w:tab w:val="left" w:pos="1940"/>
        </w:tabs>
        <w:spacing w:line="240" w:lineRule="auto"/>
        <w:rPr>
          <w:rFonts w:ascii="Times New Roman" w:hAnsi="Times New Roman" w:cs="Times New Roman"/>
        </w:rPr>
      </w:pPr>
    </w:p>
    <w:p w14:paraId="74F48F1F" w14:textId="77777777" w:rsidR="0086737D" w:rsidRDefault="0086737D" w:rsidP="00CD5678">
      <w:pPr>
        <w:tabs>
          <w:tab w:val="left" w:pos="1940"/>
        </w:tabs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326"/>
        <w:gridCol w:w="1464"/>
        <w:gridCol w:w="963"/>
        <w:gridCol w:w="768"/>
        <w:gridCol w:w="1670"/>
        <w:gridCol w:w="1504"/>
        <w:gridCol w:w="1539"/>
        <w:gridCol w:w="1484"/>
      </w:tblGrid>
      <w:tr w:rsidR="00CD5678" w:rsidRPr="003A16F9" w14:paraId="2A39F5CA" w14:textId="77777777" w:rsidTr="007B40A7">
        <w:trPr>
          <w:trHeight w:val="169"/>
        </w:trPr>
        <w:tc>
          <w:tcPr>
            <w:tcW w:w="13867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87777C1" w14:textId="7DE09306" w:rsidR="00CD5678" w:rsidRPr="003A16F9" w:rsidRDefault="00CD5678" w:rsidP="00CB0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</w:rPr>
              <w:lastRenderedPageBreak/>
              <w:br w:type="page"/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Мера 1.1: </w:t>
            </w:r>
            <w:r w:rsidR="00AA3203">
              <w:rPr>
                <w:rFonts w:ascii="Times New Roman" w:eastAsia="Calibri" w:hAnsi="Times New Roman" w:cs="Times New Roman"/>
                <w:sz w:val="20"/>
                <w:szCs w:val="20"/>
              </w:rPr>
              <w:t>Унапређење</w:t>
            </w:r>
            <w:r w:rsidR="00CB0D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регулаторног </w:t>
            </w:r>
            <w:r w:rsidR="00AA3203">
              <w:rPr>
                <w:rFonts w:ascii="Times New Roman" w:eastAsia="Calibri" w:hAnsi="Times New Roman" w:cs="Times New Roman"/>
                <w:sz w:val="20"/>
                <w:szCs w:val="20"/>
              </w:rPr>
              <w:t>оквира</w:t>
            </w:r>
            <w:r w:rsidR="00CB0D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даљи развој тржишта капитала </w:t>
            </w:r>
          </w:p>
        </w:tc>
      </w:tr>
      <w:tr w:rsidR="00CD5678" w:rsidRPr="003A16F9" w14:paraId="1B23CEBF" w14:textId="77777777" w:rsidTr="007B40A7">
        <w:trPr>
          <w:trHeight w:val="300"/>
        </w:trPr>
        <w:tc>
          <w:tcPr>
            <w:tcW w:w="1386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C971596" w14:textId="00FB1FAC" w:rsidR="00CD5678" w:rsidRPr="003A16F9" w:rsidRDefault="00CD5678" w:rsidP="00CB0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Институција одговорна за праћење и контролу реализације: </w:t>
            </w:r>
            <w:r w:rsidRPr="003A16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Министарство </w:t>
            </w:r>
            <w:r w:rsidR="00CB0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финансија </w:t>
            </w:r>
          </w:p>
        </w:tc>
      </w:tr>
      <w:tr w:rsidR="00CD5678" w:rsidRPr="003A16F9" w14:paraId="041515D7" w14:textId="77777777" w:rsidTr="007B40A7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7BF3227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Период спровођења:2021-2023.</w:t>
            </w:r>
          </w:p>
        </w:tc>
        <w:tc>
          <w:tcPr>
            <w:tcW w:w="696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CF3E7ED" w14:textId="422915CF" w:rsidR="00CD5678" w:rsidRPr="003A16F9" w:rsidRDefault="00CD5678" w:rsidP="00CE45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Тип мере</w:t>
            </w:r>
            <w:r w:rsidRPr="00CE45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E45A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C846D2">
              <w:rPr>
                <w:rFonts w:ascii="Times New Roman" w:hAnsi="Times New Roman" w:cs="Times New Roman"/>
                <w:sz w:val="20"/>
                <w:szCs w:val="20"/>
              </w:rPr>
              <w:t>Институционално</w:t>
            </w:r>
            <w:r w:rsidR="00CE45AE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CE45AE">
              <w:rPr>
                <w:rFonts w:ascii="Times New Roman" w:hAnsi="Times New Roman" w:cs="Times New Roman"/>
                <w:sz w:val="20"/>
                <w:szCs w:val="20"/>
              </w:rPr>
              <w:t>прављачко</w:t>
            </w:r>
            <w:r w:rsidR="00CE4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5AE">
              <w:rPr>
                <w:rFonts w:ascii="Times New Roman" w:hAnsi="Times New Roman" w:cs="Times New Roman"/>
                <w:sz w:val="20"/>
                <w:szCs w:val="20"/>
              </w:rPr>
              <w:t>организациона</w:t>
            </w:r>
          </w:p>
        </w:tc>
      </w:tr>
      <w:tr w:rsidR="00F81529" w:rsidRPr="003A16F9" w14:paraId="5734A344" w14:textId="77777777" w:rsidTr="007B40A7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E0BCAC3" w14:textId="5552FB24" w:rsidR="00F81529" w:rsidRPr="003A16F9" w:rsidRDefault="00F81529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29">
              <w:rPr>
                <w:rFonts w:ascii="Times New Roman" w:hAnsi="Times New Roman" w:cs="Times New Roman"/>
                <w:sz w:val="20"/>
                <w:szCs w:val="20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56E6564" w14:textId="7E8FD8E0" w:rsidR="00F81529" w:rsidRPr="003A16F9" w:rsidRDefault="00873745" w:rsidP="00CE45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</w:p>
        </w:tc>
      </w:tr>
      <w:tr w:rsidR="00CD5678" w:rsidRPr="003A16F9" w14:paraId="2D4EE716" w14:textId="77777777" w:rsidTr="001F6969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7F3890F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Показатељ(и)  на нивоу мере (показатељ резултата)</w:t>
            </w:r>
          </w:p>
        </w:tc>
        <w:tc>
          <w:tcPr>
            <w:tcW w:w="13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DDE7E2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Jединица мере</w:t>
            </w:r>
          </w:p>
          <w:p w14:paraId="20157E01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38FA8FA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9527CFF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C923E59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Базна година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16E8B8A" w14:textId="6A1EEACD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Циљaна вредност у години 2021</w:t>
            </w:r>
            <w:r w:rsidR="00ED1E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8EBF13D" w14:textId="639BC86B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Циљaна вредност у години 2022</w:t>
            </w:r>
            <w:r w:rsidR="00ED1E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8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E92B5A3" w14:textId="62B045F2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Циљaна вредност у години 2023</w:t>
            </w:r>
            <w:r w:rsidR="00ED1E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D5678" w:rsidRPr="003A16F9" w14:paraId="46C29A55" w14:textId="77777777" w:rsidTr="001F6969">
        <w:trPr>
          <w:trHeight w:val="304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7040BA9" w14:textId="6D7A1CBD" w:rsidR="00CD5678" w:rsidRPr="003A16F9" w:rsidRDefault="007558A3" w:rsidP="006A03BD">
            <w:pPr>
              <w:pStyle w:val="Comment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Број донетих </w:t>
            </w:r>
            <w:r w:rsidR="006A03BD">
              <w:rPr>
                <w:rFonts w:ascii="Times New Roman" w:hAnsi="Times New Roman" w:cs="Times New Roman"/>
              </w:rPr>
              <w:t xml:space="preserve">и измењених </w:t>
            </w:r>
            <w:r>
              <w:rPr>
                <w:rFonts w:ascii="Times New Roman" w:hAnsi="Times New Roman" w:cs="Times New Roman"/>
              </w:rPr>
              <w:t>пропи</w:t>
            </w:r>
            <w:r w:rsidR="006A03BD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2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14035FA" w14:textId="5B4CB363" w:rsidR="00CD5678" w:rsidRPr="003A16F9" w:rsidRDefault="007558A3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</w:p>
        </w:tc>
        <w:tc>
          <w:tcPr>
            <w:tcW w:w="146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E6559C5" w14:textId="06ACAE8A" w:rsidR="00CD5678" w:rsidRPr="003A16F9" w:rsidRDefault="001F6969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 финансија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7131BEA1" w14:textId="7CDCC6A9" w:rsidR="00CD5678" w:rsidRPr="003A16F9" w:rsidRDefault="00714DB1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C6B29C4" w14:textId="77777777" w:rsidR="00CD5678" w:rsidRPr="003A16F9" w:rsidRDefault="00CD5678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62E00AB" w14:textId="5721408F" w:rsidR="00CD5678" w:rsidRPr="003A16F9" w:rsidRDefault="009A7F8D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DDC905D" w14:textId="423B9D91" w:rsidR="00CD5678" w:rsidRPr="003A16F9" w:rsidRDefault="0077455D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9B1D5F" w14:textId="366829FA" w:rsidR="00CD5678" w:rsidRPr="003A16F9" w:rsidRDefault="0083788C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6BD6273" w14:textId="77777777" w:rsidR="00CD5678" w:rsidRPr="003A16F9" w:rsidRDefault="00CD5678" w:rsidP="00CD5678">
      <w:pPr>
        <w:rPr>
          <w:rFonts w:ascii="Times New Roman" w:hAnsi="Times New Roman" w:cs="Times New Roman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12"/>
      </w:tblGrid>
      <w:tr w:rsidR="00CD5678" w:rsidRPr="003A16F9" w14:paraId="4AFCFA5C" w14:textId="77777777" w:rsidTr="00963754">
        <w:trPr>
          <w:trHeight w:val="270"/>
        </w:trPr>
        <w:tc>
          <w:tcPr>
            <w:tcW w:w="366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932F002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финансирања мере</w:t>
            </w:r>
          </w:p>
          <w:p w14:paraId="522E28EF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FE5391B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Веза са програмским буџетом</w:t>
            </w:r>
          </w:p>
          <w:p w14:paraId="27CCAA4F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1AE68F2" w14:textId="489782A4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Укупна проц</w:t>
            </w:r>
            <w:r w:rsidR="00A1758B">
              <w:rPr>
                <w:rFonts w:ascii="Times New Roman" w:hAnsi="Times New Roman" w:cs="Times New Roman"/>
                <w:sz w:val="20"/>
                <w:szCs w:val="20"/>
              </w:rPr>
              <w:t>ењена финансијска средства у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 дин.</w:t>
            </w:r>
          </w:p>
        </w:tc>
      </w:tr>
      <w:tr w:rsidR="00CD5678" w:rsidRPr="003A16F9" w14:paraId="6A8E3874" w14:textId="77777777" w:rsidTr="00963754">
        <w:trPr>
          <w:trHeight w:val="270"/>
        </w:trPr>
        <w:tc>
          <w:tcPr>
            <w:tcW w:w="3665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61D6B5E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1ACEE16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2367BEA" w14:textId="748D4126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2021</w:t>
            </w:r>
            <w:r w:rsidR="00B22C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F3C8324" w14:textId="69B29B5E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2022</w:t>
            </w:r>
            <w:r w:rsidR="00B22C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F7FF2B0" w14:textId="010F39BD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2023</w:t>
            </w:r>
            <w:r w:rsidR="00B22C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B6D2A" w:rsidRPr="003A16F9" w14:paraId="3C8744B2" w14:textId="77777777" w:rsidTr="00952BAB">
        <w:trPr>
          <w:trHeight w:val="1035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18B758" w14:textId="0F048D16" w:rsidR="005B6D2A" w:rsidRPr="003A16F9" w:rsidRDefault="00C32713" w:rsidP="008C51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Донаторска средства</w:t>
            </w:r>
            <w:r w:rsidR="008C5121">
              <w:rPr>
                <w:rFonts w:ascii="Times New Roman" w:hAnsi="Times New Roman" w:cs="Times New Roman"/>
                <w:sz w:val="20"/>
                <w:szCs w:val="20"/>
              </w:rPr>
              <w:t>/Р</w:t>
            </w:r>
            <w:r w:rsidR="00433BE0">
              <w:rPr>
                <w:rFonts w:ascii="Times New Roman" w:hAnsi="Times New Roman" w:cs="Times New Roman"/>
                <w:sz w:val="20"/>
                <w:szCs w:val="20"/>
              </w:rPr>
              <w:t>едовн</w:t>
            </w:r>
            <w:r w:rsidR="008C5121">
              <w:rPr>
                <w:rFonts w:ascii="Times New Roman" w:hAnsi="Times New Roman" w:cs="Times New Roman"/>
                <w:sz w:val="20"/>
                <w:szCs w:val="20"/>
              </w:rPr>
              <w:t>а средства буџета</w:t>
            </w:r>
            <w:r w:rsidR="00433BE0">
              <w:rPr>
                <w:rFonts w:ascii="Times New Roman" w:hAnsi="Times New Roman" w:cs="Times New Roman"/>
                <w:sz w:val="20"/>
                <w:szCs w:val="20"/>
              </w:rPr>
              <w:t xml:space="preserve"> РС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BB88B5" w14:textId="77777777" w:rsidR="005B6D2A" w:rsidRPr="001167BB" w:rsidRDefault="005B6D2A" w:rsidP="0078367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Arial Unicode MS" w:hAnsi="Times New Roman" w:cs="Arial Unicode MS"/>
                <w:sz w:val="20"/>
                <w:szCs w:val="20"/>
                <w:highlight w:val="yellow"/>
                <w:u w:color="000000"/>
                <w:bdr w:val="nil"/>
                <w:lang w:eastAsia="sr-Latn-R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683E98D0" w14:textId="1B522851" w:rsidR="005B6D2A" w:rsidRPr="001167BB" w:rsidRDefault="002F5F98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5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17C8AE" w14:textId="77777777" w:rsidR="00952BAB" w:rsidRDefault="00952BAB" w:rsidP="001B6C41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  <w:p w14:paraId="4479487E" w14:textId="5FDCE3B0" w:rsidR="005B6D2A" w:rsidRPr="005603F7" w:rsidRDefault="005603F7" w:rsidP="001B6C4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3.344.247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4B6BAE" w14:textId="77777777" w:rsidR="00952BAB" w:rsidRDefault="00952BAB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pPr>
          </w:p>
          <w:p w14:paraId="7BDED6F2" w14:textId="10538614" w:rsidR="005B6D2A" w:rsidRPr="00952BAB" w:rsidRDefault="00952BAB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pPr>
            <w:r w:rsidRPr="00952BA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26.010.493</w:t>
            </w:r>
          </w:p>
        </w:tc>
        <w:tc>
          <w:tcPr>
            <w:tcW w:w="201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9529D3" w14:textId="4B8E498D" w:rsidR="005B6D2A" w:rsidRPr="00442F01" w:rsidRDefault="005B6D2A" w:rsidP="00783672">
            <w:pPr>
              <w:jc w:val="center"/>
              <w:rPr>
                <w:rFonts w:ascii="Times New Roman" w:hAnsi="Times New Roman" w:cs="Times New Roman"/>
              </w:rPr>
            </w:pPr>
          </w:p>
          <w:p w14:paraId="22D802E5" w14:textId="3C12E28B" w:rsidR="005B6D2A" w:rsidRPr="001167BB" w:rsidRDefault="00952BAB" w:rsidP="007836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52BAB">
              <w:rPr>
                <w:rFonts w:ascii="Times New Roman" w:hAnsi="Times New Roman" w:cs="Times New Roman"/>
                <w:lang w:val="en-GB"/>
              </w:rPr>
              <w:t>0</w:t>
            </w:r>
          </w:p>
          <w:p w14:paraId="53F3BF44" w14:textId="77777777" w:rsidR="005B6D2A" w:rsidRPr="001167BB" w:rsidRDefault="005B6D2A" w:rsidP="007836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48FD76C2" w14:textId="77777777" w:rsidR="005B6D2A" w:rsidRPr="001167BB" w:rsidRDefault="005B6D2A" w:rsidP="007836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2EE90590" w14:textId="4AD826E4" w:rsidR="005B6D2A" w:rsidRPr="001167BB" w:rsidRDefault="005B6D2A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9260F2F" w14:textId="77777777" w:rsidR="00CD5678" w:rsidRPr="003A16F9" w:rsidRDefault="00CD5678" w:rsidP="00CD5678">
      <w:pPr>
        <w:rPr>
          <w:rFonts w:ascii="Times New Roman" w:hAnsi="Times New Roman" w:cs="Times New Roman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2595"/>
        <w:gridCol w:w="1529"/>
        <w:gridCol w:w="1532"/>
        <w:gridCol w:w="1260"/>
        <w:gridCol w:w="1529"/>
        <w:gridCol w:w="1349"/>
        <w:gridCol w:w="1177"/>
        <w:gridCol w:w="1441"/>
        <w:gridCol w:w="1466"/>
      </w:tblGrid>
      <w:tr w:rsidR="00C6039A" w:rsidRPr="003A16F9" w14:paraId="3F2170E0" w14:textId="77777777" w:rsidTr="009E2BD7">
        <w:trPr>
          <w:trHeight w:val="140"/>
        </w:trPr>
        <w:tc>
          <w:tcPr>
            <w:tcW w:w="93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42147CD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Назив активности:</w:t>
            </w:r>
          </w:p>
        </w:tc>
        <w:tc>
          <w:tcPr>
            <w:tcW w:w="5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BCC797B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Орган који спроводи активност</w:t>
            </w:r>
          </w:p>
        </w:tc>
        <w:tc>
          <w:tcPr>
            <w:tcW w:w="5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E5D671C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Oргани партнери у спровођењу активности</w:t>
            </w:r>
          </w:p>
        </w:tc>
        <w:tc>
          <w:tcPr>
            <w:tcW w:w="45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04967BB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Рок за завршетак активности</w:t>
            </w:r>
          </w:p>
        </w:tc>
        <w:tc>
          <w:tcPr>
            <w:tcW w:w="5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B1D1A26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финансирања</w:t>
            </w:r>
          </w:p>
          <w:p w14:paraId="4680D389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7400BAE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Веза са програмским буџетом</w:t>
            </w:r>
          </w:p>
        </w:tc>
        <w:tc>
          <w:tcPr>
            <w:tcW w:w="1471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F0CF50A" w14:textId="74554CE8" w:rsidR="00CD5678" w:rsidRPr="003A16F9" w:rsidRDefault="00CD5678" w:rsidP="000A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Укупна процењена финансијска средства по изворима у дин.</w:t>
            </w:r>
            <w:r w:rsidRPr="003A16F9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6039A" w:rsidRPr="003A16F9" w14:paraId="12C14C90" w14:textId="77777777" w:rsidTr="009E2BD7">
        <w:trPr>
          <w:trHeight w:val="665"/>
        </w:trPr>
        <w:tc>
          <w:tcPr>
            <w:tcW w:w="935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0F41EF7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shd w:val="clear" w:color="auto" w:fill="FFF2CC" w:themeFill="accent4" w:themeFillTint="33"/>
          </w:tcPr>
          <w:p w14:paraId="30549830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vMerge/>
            <w:shd w:val="clear" w:color="auto" w:fill="FFF2CC" w:themeFill="accent4" w:themeFillTint="33"/>
          </w:tcPr>
          <w:p w14:paraId="385F3498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shd w:val="clear" w:color="auto" w:fill="FFF2CC" w:themeFill="accent4" w:themeFillTint="33"/>
          </w:tcPr>
          <w:p w14:paraId="37717151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shd w:val="clear" w:color="auto" w:fill="FFF2CC" w:themeFill="accent4" w:themeFillTint="33"/>
          </w:tcPr>
          <w:p w14:paraId="1614F42A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shd w:val="clear" w:color="auto" w:fill="FFF2CC" w:themeFill="accent4" w:themeFillTint="33"/>
          </w:tcPr>
          <w:p w14:paraId="3CE7AA87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FFF2CC" w:themeFill="accent4" w:themeFillTint="33"/>
          </w:tcPr>
          <w:p w14:paraId="1E85CA85" w14:textId="719B8F77" w:rsidR="00CD5678" w:rsidRPr="003A16F9" w:rsidRDefault="00CD5678" w:rsidP="002A44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2021</w:t>
            </w:r>
            <w:r w:rsidR="002A44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9" w:type="pct"/>
            <w:shd w:val="clear" w:color="auto" w:fill="FFF2CC" w:themeFill="accent4" w:themeFillTint="33"/>
          </w:tcPr>
          <w:p w14:paraId="0DB7231E" w14:textId="63A98EDA" w:rsidR="00CD5678" w:rsidRPr="003A16F9" w:rsidRDefault="00CD5678" w:rsidP="002A44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2022</w:t>
            </w:r>
            <w:r w:rsidR="002A44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8" w:type="pct"/>
            <w:shd w:val="clear" w:color="auto" w:fill="FFF2CC" w:themeFill="accent4" w:themeFillTint="33"/>
          </w:tcPr>
          <w:p w14:paraId="45CADE5C" w14:textId="1B459808" w:rsidR="00CD5678" w:rsidRPr="003A16F9" w:rsidRDefault="00CD5678" w:rsidP="002A44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2023</w:t>
            </w:r>
            <w:r w:rsidR="002A44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039A" w:rsidRPr="003A16F9" w14:paraId="2BA4E474" w14:textId="77777777" w:rsidTr="009E2BD7">
        <w:trPr>
          <w:trHeight w:val="140"/>
        </w:trPr>
        <w:tc>
          <w:tcPr>
            <w:tcW w:w="935" w:type="pct"/>
            <w:tcBorders>
              <w:left w:val="double" w:sz="4" w:space="0" w:color="auto"/>
            </w:tcBorders>
          </w:tcPr>
          <w:p w14:paraId="1CA2DB53" w14:textId="60AD8D68" w:rsidR="005B6D2A" w:rsidRPr="003A16F9" w:rsidRDefault="00330397" w:rsidP="00C61B98">
            <w:pPr>
              <w:pStyle w:val="ListParagraph"/>
              <w:numPr>
                <w:ilvl w:val="2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Доношење новог Закона о тржишту капитала, у циљу усклађивања са правним тековинама ЕУ и постизања статуса МИФИД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усклађеног тржишта</w:t>
            </w:r>
          </w:p>
        </w:tc>
        <w:tc>
          <w:tcPr>
            <w:tcW w:w="551" w:type="pct"/>
          </w:tcPr>
          <w:p w14:paraId="2EC4BCAB" w14:textId="316747B1" w:rsidR="005B6D2A" w:rsidRPr="003A16F9" w:rsidRDefault="00330397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B1AB0">
              <w:rPr>
                <w:rFonts w:ascii="Times New Roman" w:hAnsi="Times New Roman" w:cs="Times New Roman"/>
                <w:sz w:val="20"/>
                <w:szCs w:val="20"/>
              </w:rPr>
              <w:t xml:space="preserve">инистарство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фин</w:t>
            </w:r>
            <w:r w:rsidR="002B1AB0">
              <w:rPr>
                <w:rFonts w:ascii="Times New Roman" w:hAnsi="Times New Roman" w:cs="Times New Roman"/>
                <w:sz w:val="20"/>
                <w:szCs w:val="20"/>
              </w:rPr>
              <w:t>ансија</w:t>
            </w:r>
          </w:p>
        </w:tc>
        <w:tc>
          <w:tcPr>
            <w:tcW w:w="552" w:type="pct"/>
          </w:tcPr>
          <w:p w14:paraId="6C377BEA" w14:textId="227386B1" w:rsidR="005B6D2A" w:rsidRPr="003A16F9" w:rsidRDefault="00330397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КХоВ, ЦРХоВ, Мприв, УЈД, ББ, НБС</w:t>
            </w:r>
          </w:p>
        </w:tc>
        <w:tc>
          <w:tcPr>
            <w:tcW w:w="454" w:type="pct"/>
          </w:tcPr>
          <w:p w14:paraId="2799A696" w14:textId="7787AED4" w:rsidR="005B6D2A" w:rsidRPr="003A16F9" w:rsidRDefault="000521A8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811D1D" w:rsidRPr="003A16F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303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1" w:type="pct"/>
          </w:tcPr>
          <w:p w14:paraId="254FE34C" w14:textId="375B9815" w:rsidR="005B6D2A" w:rsidRPr="00845B4A" w:rsidRDefault="00483B3E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Редовна средства из буџета РС – Министарство финансија</w:t>
            </w:r>
            <w:r w:rsidR="00F93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52D7133" w14:textId="01C0764E" w:rsidR="005B6D2A" w:rsidRPr="00845B4A" w:rsidRDefault="005B6D2A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</w:tcPr>
          <w:p w14:paraId="2B5C8CCB" w14:textId="31326EEF" w:rsidR="005B6D2A" w:rsidRPr="00B54D43" w:rsidRDefault="006202B1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за финансијски систем - 411</w:t>
            </w:r>
          </w:p>
        </w:tc>
        <w:tc>
          <w:tcPr>
            <w:tcW w:w="424" w:type="pct"/>
          </w:tcPr>
          <w:p w14:paraId="1892045E" w14:textId="61121BB1" w:rsidR="005B6D2A" w:rsidRPr="00B54D43" w:rsidRDefault="00483B3E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1.009.416</w:t>
            </w:r>
          </w:p>
        </w:tc>
        <w:tc>
          <w:tcPr>
            <w:tcW w:w="519" w:type="pct"/>
          </w:tcPr>
          <w:p w14:paraId="34BE3B9A" w14:textId="68B47A19" w:rsidR="005B6D2A" w:rsidRPr="00B54D43" w:rsidRDefault="004D2BF4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8" w:type="pct"/>
          </w:tcPr>
          <w:p w14:paraId="0101584B" w14:textId="63B2EF0F" w:rsidR="005B6D2A" w:rsidRPr="00330397" w:rsidRDefault="004D2BF4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039A" w:rsidRPr="003A16F9" w14:paraId="62D0D3E1" w14:textId="77777777" w:rsidTr="009E2BD7">
        <w:trPr>
          <w:trHeight w:val="140"/>
        </w:trPr>
        <w:tc>
          <w:tcPr>
            <w:tcW w:w="935" w:type="pct"/>
            <w:tcBorders>
              <w:left w:val="double" w:sz="4" w:space="0" w:color="auto"/>
            </w:tcBorders>
          </w:tcPr>
          <w:p w14:paraId="6FDCFA40" w14:textId="0A308C90" w:rsidR="005B6D2A" w:rsidRPr="003A16F9" w:rsidRDefault="00B65765" w:rsidP="005B6D2A">
            <w:pPr>
              <w:pStyle w:val="ListParagraph"/>
              <w:numPr>
                <w:ilvl w:val="2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Доношење новог Закона о преузимању акционарских друштава</w:t>
            </w:r>
          </w:p>
        </w:tc>
        <w:tc>
          <w:tcPr>
            <w:tcW w:w="551" w:type="pct"/>
          </w:tcPr>
          <w:p w14:paraId="0B7952DD" w14:textId="54D7C6AE" w:rsidR="005B6D2A" w:rsidRPr="003A16F9" w:rsidRDefault="00B65765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КХоВ</w:t>
            </w:r>
          </w:p>
        </w:tc>
        <w:tc>
          <w:tcPr>
            <w:tcW w:w="552" w:type="pct"/>
          </w:tcPr>
          <w:p w14:paraId="0CA2B6DB" w14:textId="762B3FB7" w:rsidR="005B6D2A" w:rsidRPr="003A16F9" w:rsidRDefault="00EF72A2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 финансија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4" w:type="pct"/>
          </w:tcPr>
          <w:p w14:paraId="594DAAAD" w14:textId="66525DBB" w:rsidR="005B6D2A" w:rsidRPr="003A16F9" w:rsidRDefault="000521A8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811D1D" w:rsidRPr="003A16F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6576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1" w:type="pct"/>
          </w:tcPr>
          <w:p w14:paraId="739D06F6" w14:textId="76871D0A" w:rsidR="005B6D2A" w:rsidRPr="00845B4A" w:rsidRDefault="002E7FD7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КХоВ</w:t>
            </w:r>
            <w:r w:rsidR="00F930E6">
              <w:rPr>
                <w:rFonts w:ascii="Times New Roman" w:hAnsi="Times New Roman" w:cs="Times New Roman"/>
                <w:sz w:val="20"/>
                <w:szCs w:val="20"/>
              </w:rPr>
              <w:t xml:space="preserve"> и редовна средства из буџета РС</w:t>
            </w:r>
            <w:r w:rsidR="00C00C4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F930E6">
              <w:rPr>
                <w:rFonts w:ascii="Times New Roman" w:hAnsi="Times New Roman" w:cs="Times New Roman"/>
                <w:sz w:val="20"/>
                <w:szCs w:val="20"/>
              </w:rPr>
              <w:t xml:space="preserve"> Министарство финансија </w:t>
            </w:r>
          </w:p>
          <w:p w14:paraId="139994C1" w14:textId="035BF299" w:rsidR="005B6D2A" w:rsidRPr="00845B4A" w:rsidRDefault="005B6D2A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</w:tcPr>
          <w:p w14:paraId="05EC64CB" w14:textId="783FC39F" w:rsidR="005B6D2A" w:rsidRPr="00B54D43" w:rsidRDefault="00C00C41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финансија Сектор за финансијски систем - 411</w:t>
            </w:r>
          </w:p>
        </w:tc>
        <w:tc>
          <w:tcPr>
            <w:tcW w:w="424" w:type="pct"/>
          </w:tcPr>
          <w:p w14:paraId="58E36775" w14:textId="31135750" w:rsidR="00DC161E" w:rsidRPr="00DC161E" w:rsidRDefault="00F14B85" w:rsidP="00DC1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34F6690C" w14:textId="77777777" w:rsidR="00F14B85" w:rsidRDefault="00F14B85" w:rsidP="00F14B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1.331.415</w:t>
            </w:r>
          </w:p>
          <w:p w14:paraId="2704D7AF" w14:textId="123D87CC" w:rsidR="005B6D2A" w:rsidRPr="00B65765" w:rsidRDefault="00F14B85" w:rsidP="00F14B8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1.003.416</w:t>
            </w:r>
          </w:p>
        </w:tc>
        <w:tc>
          <w:tcPr>
            <w:tcW w:w="528" w:type="pct"/>
          </w:tcPr>
          <w:p w14:paraId="7FD328CA" w14:textId="5A600D9F" w:rsidR="005B6D2A" w:rsidRPr="00B65765" w:rsidRDefault="004D2BF4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039A" w:rsidRPr="003A16F9" w14:paraId="66167EB1" w14:textId="77777777" w:rsidTr="009E2BD7">
        <w:trPr>
          <w:trHeight w:val="140"/>
        </w:trPr>
        <w:tc>
          <w:tcPr>
            <w:tcW w:w="935" w:type="pct"/>
            <w:tcBorders>
              <w:left w:val="double" w:sz="4" w:space="0" w:color="auto"/>
            </w:tcBorders>
          </w:tcPr>
          <w:p w14:paraId="005D3A61" w14:textId="3F9D2E36" w:rsidR="007D6F5B" w:rsidRPr="003A16F9" w:rsidRDefault="00B65765" w:rsidP="007D6F5B">
            <w:pPr>
              <w:pStyle w:val="ListParagraph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 и допуне Закона о привредним друштвима</w:t>
            </w:r>
            <w:r w:rsidR="00796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551" w:type="pct"/>
          </w:tcPr>
          <w:p w14:paraId="13955456" w14:textId="033D2C2C" w:rsidR="007D6F5B" w:rsidRPr="003A16F9" w:rsidRDefault="00B65765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Мприв</w:t>
            </w:r>
          </w:p>
        </w:tc>
        <w:tc>
          <w:tcPr>
            <w:tcW w:w="552" w:type="pct"/>
          </w:tcPr>
          <w:p w14:paraId="62D12A74" w14:textId="67AF48D2" w:rsidR="00AE6712" w:rsidRPr="003A16F9" w:rsidRDefault="00EF72A2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 финансија</w:t>
            </w:r>
            <w:r w:rsidR="00586EE2">
              <w:rPr>
                <w:rFonts w:ascii="Times New Roman" w:hAnsi="Times New Roman" w:cs="Times New Roman"/>
                <w:sz w:val="20"/>
                <w:szCs w:val="20"/>
              </w:rPr>
              <w:t>, НБС</w:t>
            </w:r>
          </w:p>
        </w:tc>
        <w:tc>
          <w:tcPr>
            <w:tcW w:w="454" w:type="pct"/>
          </w:tcPr>
          <w:p w14:paraId="0D5689BA" w14:textId="2BD49349" w:rsidR="007D6F5B" w:rsidRPr="003A16F9" w:rsidRDefault="000521A8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B65765">
              <w:rPr>
                <w:rFonts w:ascii="Times New Roman" w:hAnsi="Times New Roman" w:cs="Times New Roman"/>
                <w:sz w:val="20"/>
                <w:szCs w:val="20"/>
              </w:rPr>
              <w:t>2021.</w:t>
            </w:r>
          </w:p>
        </w:tc>
        <w:tc>
          <w:tcPr>
            <w:tcW w:w="551" w:type="pct"/>
          </w:tcPr>
          <w:p w14:paraId="4BEE6B9A" w14:textId="6F0982FD" w:rsidR="007D6F5B" w:rsidRPr="003A16F9" w:rsidRDefault="00403068" w:rsidP="00C00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Редовна средства из буџета РС</w:t>
            </w:r>
            <w:r w:rsidR="006D573F">
              <w:rPr>
                <w:rFonts w:ascii="Times New Roman" w:hAnsi="Times New Roman" w:cs="Times New Roman"/>
                <w:sz w:val="20"/>
                <w:szCs w:val="20"/>
              </w:rPr>
              <w:t xml:space="preserve"> Министарство привреде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573F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финансија</w:t>
            </w:r>
            <w:r w:rsidR="009F0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6" w:type="pct"/>
          </w:tcPr>
          <w:p w14:paraId="14A2D448" w14:textId="23D438CE" w:rsidR="007D6F5B" w:rsidRPr="003A16F9" w:rsidRDefault="00C00C41" w:rsidP="00186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финансија Сектор за финансијски систем - 411</w:t>
            </w:r>
          </w:p>
        </w:tc>
        <w:tc>
          <w:tcPr>
            <w:tcW w:w="424" w:type="pct"/>
          </w:tcPr>
          <w:p w14:paraId="0AE4A6A4" w14:textId="77777777" w:rsidR="002D6E4F" w:rsidRDefault="002D6E4F" w:rsidP="002D6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1.331.415</w:t>
            </w:r>
          </w:p>
          <w:p w14:paraId="45B67FC2" w14:textId="00D9871F" w:rsidR="007D6F5B" w:rsidRPr="003A16F9" w:rsidRDefault="002D6E4F" w:rsidP="002D6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1.003.416</w:t>
            </w:r>
          </w:p>
        </w:tc>
        <w:tc>
          <w:tcPr>
            <w:tcW w:w="519" w:type="pct"/>
          </w:tcPr>
          <w:p w14:paraId="055018C3" w14:textId="2AF18BDC" w:rsidR="007D6F5B" w:rsidRPr="002D6E4F" w:rsidRDefault="002D6E4F" w:rsidP="00AC6C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528" w:type="pct"/>
          </w:tcPr>
          <w:p w14:paraId="6CD297CD" w14:textId="49E4FBC2" w:rsidR="007D6F5B" w:rsidRPr="003A16F9" w:rsidRDefault="004D2BF4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039A" w:rsidRPr="003A16F9" w14:paraId="6250FBD6" w14:textId="77777777" w:rsidTr="009E2BD7">
        <w:trPr>
          <w:trHeight w:val="140"/>
        </w:trPr>
        <w:tc>
          <w:tcPr>
            <w:tcW w:w="935" w:type="pct"/>
            <w:tcBorders>
              <w:left w:val="double" w:sz="4" w:space="0" w:color="auto"/>
            </w:tcBorders>
          </w:tcPr>
          <w:p w14:paraId="4CA80F7C" w14:textId="5DC4DB9D" w:rsidR="008815D6" w:rsidRDefault="008815D6" w:rsidP="008815D6">
            <w:pPr>
              <w:pStyle w:val="ListParagraph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 и допуне Закона о факторингу</w:t>
            </w:r>
          </w:p>
        </w:tc>
        <w:tc>
          <w:tcPr>
            <w:tcW w:w="551" w:type="pct"/>
          </w:tcPr>
          <w:p w14:paraId="6666EDDF" w14:textId="26144E6B" w:rsidR="008815D6" w:rsidRDefault="008815D6" w:rsidP="00684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 финансија</w:t>
            </w:r>
          </w:p>
        </w:tc>
        <w:tc>
          <w:tcPr>
            <w:tcW w:w="552" w:type="pct"/>
          </w:tcPr>
          <w:p w14:paraId="15C07E73" w14:textId="20B112C8" w:rsidR="008815D6" w:rsidRDefault="008815D6" w:rsidP="00684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НБС</w:t>
            </w:r>
          </w:p>
        </w:tc>
        <w:tc>
          <w:tcPr>
            <w:tcW w:w="454" w:type="pct"/>
          </w:tcPr>
          <w:p w14:paraId="14BFAD9D" w14:textId="731549B7" w:rsidR="008815D6" w:rsidRDefault="000521A8" w:rsidP="00684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8815D6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551" w:type="pct"/>
          </w:tcPr>
          <w:p w14:paraId="18741D7B" w14:textId="0E63CC43" w:rsidR="008815D6" w:rsidRPr="003A16F9" w:rsidRDefault="007D5E71" w:rsidP="00602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Редовна средства из буџета РС – Министарство финансија</w:t>
            </w:r>
          </w:p>
        </w:tc>
        <w:tc>
          <w:tcPr>
            <w:tcW w:w="486" w:type="pct"/>
          </w:tcPr>
          <w:p w14:paraId="399BA910" w14:textId="4187AF42" w:rsidR="008815D6" w:rsidRPr="003A16F9" w:rsidRDefault="00EB25E3" w:rsidP="00D23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за финансијски систем - 411</w:t>
            </w:r>
          </w:p>
        </w:tc>
        <w:tc>
          <w:tcPr>
            <w:tcW w:w="424" w:type="pct"/>
          </w:tcPr>
          <w:p w14:paraId="23B19931" w14:textId="467A52F1" w:rsidR="008815D6" w:rsidRPr="003A16F9" w:rsidRDefault="004D2BF4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6F4EA020" w14:textId="6A3F6D39" w:rsidR="008815D6" w:rsidRPr="003A16F9" w:rsidRDefault="007D5E71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1.009.416</w:t>
            </w:r>
          </w:p>
        </w:tc>
        <w:tc>
          <w:tcPr>
            <w:tcW w:w="528" w:type="pct"/>
          </w:tcPr>
          <w:p w14:paraId="3661D5B9" w14:textId="6BAB8AAB" w:rsidR="008815D6" w:rsidRPr="003A16F9" w:rsidRDefault="004D2BF4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039A" w:rsidRPr="003A16F9" w14:paraId="333AC066" w14:textId="77777777" w:rsidTr="009E2BD7">
        <w:trPr>
          <w:trHeight w:val="140"/>
        </w:trPr>
        <w:tc>
          <w:tcPr>
            <w:tcW w:w="935" w:type="pct"/>
            <w:tcBorders>
              <w:left w:val="double" w:sz="4" w:space="0" w:color="auto"/>
            </w:tcBorders>
          </w:tcPr>
          <w:p w14:paraId="3D0528EE" w14:textId="4A1E7C17" w:rsidR="008815D6" w:rsidRDefault="008815D6" w:rsidP="008815D6">
            <w:pPr>
              <w:pStyle w:val="ListParagraph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Припрема Нацрта Закона о групном финансирању</w:t>
            </w:r>
          </w:p>
        </w:tc>
        <w:tc>
          <w:tcPr>
            <w:tcW w:w="551" w:type="pct"/>
          </w:tcPr>
          <w:p w14:paraId="0A00076F" w14:textId="1F816CB0" w:rsidR="008815D6" w:rsidRDefault="008815D6" w:rsidP="00684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НБС</w:t>
            </w:r>
          </w:p>
        </w:tc>
        <w:tc>
          <w:tcPr>
            <w:tcW w:w="552" w:type="pct"/>
          </w:tcPr>
          <w:p w14:paraId="3E29E00D" w14:textId="394AE5ED" w:rsidR="008815D6" w:rsidRDefault="008815D6" w:rsidP="00684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 финансија, Мприв</w:t>
            </w:r>
          </w:p>
        </w:tc>
        <w:tc>
          <w:tcPr>
            <w:tcW w:w="454" w:type="pct"/>
          </w:tcPr>
          <w:p w14:paraId="67852B70" w14:textId="18E41ADA" w:rsidR="008815D6" w:rsidRDefault="000521A8" w:rsidP="00684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8815D6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551" w:type="pct"/>
          </w:tcPr>
          <w:p w14:paraId="7AE043EC" w14:textId="5047A62D" w:rsidR="008815D6" w:rsidRPr="003A16F9" w:rsidRDefault="00F11491" w:rsidP="001D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Редовна средства из буџет</w:t>
            </w:r>
            <w:r w:rsidR="001D5266">
              <w:rPr>
                <w:rFonts w:ascii="Times New Roman" w:hAnsi="Times New Roman" w:cs="Times New Roman"/>
                <w:sz w:val="20"/>
                <w:szCs w:val="20"/>
              </w:rPr>
              <w:t>а РС – Министарство финансија</w:t>
            </w:r>
          </w:p>
        </w:tc>
        <w:tc>
          <w:tcPr>
            <w:tcW w:w="486" w:type="pct"/>
          </w:tcPr>
          <w:p w14:paraId="089AA595" w14:textId="4C04B25C" w:rsidR="008815D6" w:rsidRPr="003A16F9" w:rsidRDefault="00EB25E3" w:rsidP="00D23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за финансијски систем – 411</w:t>
            </w:r>
          </w:p>
        </w:tc>
        <w:tc>
          <w:tcPr>
            <w:tcW w:w="424" w:type="pct"/>
          </w:tcPr>
          <w:p w14:paraId="2FCEE786" w14:textId="482F362E" w:rsidR="008815D6" w:rsidRPr="003A16F9" w:rsidRDefault="004D2BF4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789ECA81" w14:textId="77777777" w:rsidR="006033AE" w:rsidRDefault="006033AE" w:rsidP="00603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1.331.415</w:t>
            </w:r>
          </w:p>
          <w:p w14:paraId="3EDAA03A" w14:textId="62DF68A6" w:rsidR="008815D6" w:rsidRDefault="006033AE" w:rsidP="00603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1.003.416</w:t>
            </w:r>
          </w:p>
          <w:p w14:paraId="73EC885D" w14:textId="77777777" w:rsidR="00B82E04" w:rsidRDefault="00B82E04" w:rsidP="00B82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1.331.415</w:t>
            </w:r>
          </w:p>
          <w:p w14:paraId="2FBEA669" w14:textId="77777777" w:rsidR="00B82E04" w:rsidRDefault="00B82E04" w:rsidP="00603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94C178" w14:textId="2E4C4408" w:rsidR="00B82E04" w:rsidRPr="003A16F9" w:rsidRDefault="00B82E04" w:rsidP="00603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</w:tcPr>
          <w:p w14:paraId="78CEDE80" w14:textId="4060113C" w:rsidR="008815D6" w:rsidRPr="003A16F9" w:rsidRDefault="004D2BF4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039A" w:rsidRPr="003A16F9" w14:paraId="208EF3FA" w14:textId="77777777" w:rsidTr="009E2BD7">
        <w:trPr>
          <w:trHeight w:val="140"/>
        </w:trPr>
        <w:tc>
          <w:tcPr>
            <w:tcW w:w="935" w:type="pct"/>
            <w:tcBorders>
              <w:left w:val="double" w:sz="4" w:space="0" w:color="auto"/>
            </w:tcBorders>
          </w:tcPr>
          <w:p w14:paraId="3A00E185" w14:textId="75D51880" w:rsidR="008815D6" w:rsidRDefault="008815D6" w:rsidP="008815D6">
            <w:pPr>
              <w:pStyle w:val="ListParagraph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Израда анализе ефеката увођења мултилатералног поравнања у Републици Србији</w:t>
            </w:r>
          </w:p>
        </w:tc>
        <w:tc>
          <w:tcPr>
            <w:tcW w:w="551" w:type="pct"/>
          </w:tcPr>
          <w:p w14:paraId="4ED88561" w14:textId="3022A6A6" w:rsidR="008815D6" w:rsidRDefault="008815D6" w:rsidP="00684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 финансија</w:t>
            </w:r>
          </w:p>
        </w:tc>
        <w:tc>
          <w:tcPr>
            <w:tcW w:w="552" w:type="pct"/>
          </w:tcPr>
          <w:p w14:paraId="6381C0D0" w14:textId="77CFA9B4" w:rsidR="008815D6" w:rsidRDefault="00586EE2" w:rsidP="00684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НБС</w:t>
            </w:r>
          </w:p>
        </w:tc>
        <w:tc>
          <w:tcPr>
            <w:tcW w:w="454" w:type="pct"/>
          </w:tcPr>
          <w:p w14:paraId="03CEDEF5" w14:textId="57FCB2E6" w:rsidR="008815D6" w:rsidRDefault="000521A8" w:rsidP="00684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8815D6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551" w:type="pct"/>
          </w:tcPr>
          <w:p w14:paraId="324C05FE" w14:textId="140DEE2B" w:rsidR="008815D6" w:rsidRPr="003A16F9" w:rsidRDefault="00C32713" w:rsidP="00D23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Донаторска средства</w:t>
            </w:r>
          </w:p>
        </w:tc>
        <w:tc>
          <w:tcPr>
            <w:tcW w:w="486" w:type="pct"/>
          </w:tcPr>
          <w:p w14:paraId="298EA276" w14:textId="2EEB77FE" w:rsidR="008815D6" w:rsidRPr="003A16F9" w:rsidRDefault="00EA1AF9" w:rsidP="00D23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14:paraId="5FFB63C1" w14:textId="467A41E9" w:rsidR="008815D6" w:rsidRPr="008815D6" w:rsidRDefault="004D2BF4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4A2EC99D" w14:textId="0AD61473" w:rsidR="008815D6" w:rsidRPr="008815D6" w:rsidRDefault="00DF7F7A" w:rsidP="00451A2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11.800.000</w:t>
            </w:r>
          </w:p>
        </w:tc>
        <w:tc>
          <w:tcPr>
            <w:tcW w:w="528" w:type="pct"/>
          </w:tcPr>
          <w:p w14:paraId="7FF97874" w14:textId="55C346C6" w:rsidR="008815D6" w:rsidRPr="003A16F9" w:rsidRDefault="004D2BF4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039A" w:rsidRPr="003A16F9" w14:paraId="4C61798B" w14:textId="77777777" w:rsidTr="009E2BD7">
        <w:trPr>
          <w:trHeight w:val="140"/>
        </w:trPr>
        <w:tc>
          <w:tcPr>
            <w:tcW w:w="935" w:type="pct"/>
            <w:tcBorders>
              <w:left w:val="double" w:sz="4" w:space="0" w:color="auto"/>
            </w:tcBorders>
          </w:tcPr>
          <w:p w14:paraId="52849184" w14:textId="6A313DED" w:rsidR="008815D6" w:rsidRDefault="008815D6" w:rsidP="008815D6">
            <w:pPr>
              <w:pStyle w:val="ListParagraph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Усклађивање свих осталих закона на које утичу измене</w:t>
            </w:r>
          </w:p>
        </w:tc>
        <w:tc>
          <w:tcPr>
            <w:tcW w:w="551" w:type="pct"/>
          </w:tcPr>
          <w:p w14:paraId="42CF461A" w14:textId="20EE4B81" w:rsidR="008815D6" w:rsidRDefault="008815D6" w:rsidP="00684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 финансија</w:t>
            </w:r>
          </w:p>
        </w:tc>
        <w:tc>
          <w:tcPr>
            <w:tcW w:w="552" w:type="pct"/>
          </w:tcPr>
          <w:p w14:paraId="24C1226C" w14:textId="27F07517" w:rsidR="008815D6" w:rsidRDefault="008815D6" w:rsidP="00575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Мприв, НБС, КХоВ, ЦРХоВ, УЈД</w:t>
            </w:r>
            <w:r w:rsidR="000E49B0">
              <w:rPr>
                <w:rFonts w:ascii="Times New Roman" w:hAnsi="Times New Roman" w:cs="Times New Roman"/>
                <w:sz w:val="20"/>
                <w:szCs w:val="20"/>
              </w:rPr>
              <w:t>, и други</w:t>
            </w:r>
          </w:p>
        </w:tc>
        <w:tc>
          <w:tcPr>
            <w:tcW w:w="454" w:type="pct"/>
          </w:tcPr>
          <w:p w14:paraId="20524DF2" w14:textId="11535540" w:rsidR="008815D6" w:rsidRDefault="000521A8" w:rsidP="006840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8815D6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551" w:type="pct"/>
          </w:tcPr>
          <w:p w14:paraId="1085060C" w14:textId="12AEB0E7" w:rsidR="008815D6" w:rsidRPr="003A16F9" w:rsidRDefault="001755A7" w:rsidP="00602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Редовна средства из буџета РС </w:t>
            </w:r>
          </w:p>
        </w:tc>
        <w:tc>
          <w:tcPr>
            <w:tcW w:w="486" w:type="pct"/>
          </w:tcPr>
          <w:p w14:paraId="5A45B8A0" w14:textId="5821E921" w:rsidR="008815D6" w:rsidRPr="003A16F9" w:rsidRDefault="001755A7" w:rsidP="00D23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финансија, Сектор за финансијски систем – 411</w:t>
            </w:r>
          </w:p>
        </w:tc>
        <w:tc>
          <w:tcPr>
            <w:tcW w:w="424" w:type="pct"/>
          </w:tcPr>
          <w:p w14:paraId="3FC8A9CB" w14:textId="4EABFCF7" w:rsidR="008815D6" w:rsidRPr="003A16F9" w:rsidRDefault="004D2BF4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10269828" w14:textId="3C6747B0" w:rsidR="008815D6" w:rsidRPr="003A16F9" w:rsidRDefault="00451A2F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7.200.000</w:t>
            </w:r>
          </w:p>
        </w:tc>
        <w:tc>
          <w:tcPr>
            <w:tcW w:w="528" w:type="pct"/>
          </w:tcPr>
          <w:p w14:paraId="33A7EDFB" w14:textId="7706230F" w:rsidR="008815D6" w:rsidRPr="003A16F9" w:rsidRDefault="004D2BF4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E62F719" w14:textId="542674DD" w:rsidR="00CD5678" w:rsidRPr="00796E1F" w:rsidRDefault="00796E1F" w:rsidP="00CD5678">
      <w:pPr>
        <w:rPr>
          <w:rFonts w:ascii="Times New Roman" w:hAnsi="Times New Roman" w:cs="Times New Roman"/>
          <w:sz w:val="18"/>
          <w:szCs w:val="18"/>
        </w:rPr>
      </w:pPr>
      <w:r w:rsidRPr="00796E1F">
        <w:rPr>
          <w:rFonts w:ascii="Times New Roman" w:hAnsi="Times New Roman" w:cs="Times New Roman"/>
          <w:sz w:val="18"/>
          <w:szCs w:val="18"/>
        </w:rPr>
        <w:t>* Закон о изменама и допунама Закона о привредним друштвима усвојен и објављен у Службеном гласнику РС број 109/21</w:t>
      </w:r>
    </w:p>
    <w:p w14:paraId="5C981196" w14:textId="77777777" w:rsidR="00796E1F" w:rsidRPr="00796E1F" w:rsidRDefault="00796E1F" w:rsidP="00CD5678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402"/>
        <w:gridCol w:w="1382"/>
      </w:tblGrid>
      <w:tr w:rsidR="00CD5678" w:rsidRPr="003A16F9" w14:paraId="181361BC" w14:textId="77777777" w:rsidTr="007B40A7">
        <w:trPr>
          <w:trHeight w:val="168"/>
        </w:trPr>
        <w:tc>
          <w:tcPr>
            <w:tcW w:w="13867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5AE3AD2" w14:textId="7623C82D" w:rsidR="00CD5678" w:rsidRPr="003A16F9" w:rsidRDefault="00CD5678" w:rsidP="0048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Мера 1.2: </w:t>
            </w:r>
            <w:r w:rsidR="00484192">
              <w:rPr>
                <w:rFonts w:ascii="Times New Roman" w:hAnsi="Times New Roman" w:cs="Times New Roman"/>
                <w:sz w:val="20"/>
                <w:szCs w:val="20"/>
              </w:rPr>
              <w:t xml:space="preserve">Унапређење институционалног оквира </w:t>
            </w:r>
          </w:p>
        </w:tc>
      </w:tr>
      <w:tr w:rsidR="00CD5678" w:rsidRPr="003A16F9" w14:paraId="1ECC4B49" w14:textId="77777777" w:rsidTr="007B40A7">
        <w:trPr>
          <w:trHeight w:val="298"/>
        </w:trPr>
        <w:tc>
          <w:tcPr>
            <w:tcW w:w="1386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991BCD" w14:textId="2B0F64F8" w:rsidR="00CD5678" w:rsidRPr="003A16F9" w:rsidRDefault="00CD5678" w:rsidP="001B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Орган одговоран за спровођење (координисање спровођења) мере: </w:t>
            </w:r>
            <w:r w:rsidR="001B5713">
              <w:rPr>
                <w:rFonts w:ascii="Times New Roman" w:hAnsi="Times New Roman" w:cs="Times New Roman"/>
                <w:sz w:val="20"/>
                <w:szCs w:val="20"/>
              </w:rPr>
              <w:t>Министарство финансија</w:t>
            </w:r>
          </w:p>
        </w:tc>
      </w:tr>
      <w:tr w:rsidR="00CD5678" w:rsidRPr="003A16F9" w14:paraId="477D868D" w14:textId="77777777" w:rsidTr="007B40A7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E70F1C2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Период спровођења: 2021-2023.</w:t>
            </w:r>
          </w:p>
        </w:tc>
        <w:tc>
          <w:tcPr>
            <w:tcW w:w="68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DF768D4" w14:textId="151E5418" w:rsidR="00CD5678" w:rsidRPr="003A16F9" w:rsidRDefault="00CD5678" w:rsidP="00002C2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Тип мере: </w:t>
            </w:r>
            <w:r w:rsidR="005D0FDA" w:rsidRPr="003A16F9">
              <w:rPr>
                <w:rFonts w:ascii="Times New Roman" w:hAnsi="Times New Roman" w:cs="Times New Roman"/>
                <w:sz w:val="20"/>
                <w:szCs w:val="20"/>
              </w:rPr>
              <w:t>Институционалн</w:t>
            </w:r>
            <w:r w:rsidR="0064658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D0FDA"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 управљачко</w:t>
            </w:r>
            <w:r w:rsidR="00002C2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-</w:t>
            </w:r>
            <w:r w:rsidR="005D0FDA"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организациона </w:t>
            </w:r>
          </w:p>
        </w:tc>
      </w:tr>
      <w:tr w:rsidR="00B62D10" w:rsidRPr="003A16F9" w14:paraId="1D4EB11F" w14:textId="77777777" w:rsidTr="007B40A7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A78619" w14:textId="1E06730D" w:rsidR="00B62D10" w:rsidRPr="003A16F9" w:rsidRDefault="00B62D10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29">
              <w:rPr>
                <w:rFonts w:ascii="Times New Roman" w:hAnsi="Times New Roman" w:cs="Times New Roman"/>
                <w:sz w:val="20"/>
                <w:szCs w:val="20"/>
              </w:rPr>
              <w:t>Прописи које је потребно изменити/усвојити за спровођење мере:</w:t>
            </w:r>
          </w:p>
        </w:tc>
        <w:tc>
          <w:tcPr>
            <w:tcW w:w="68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7D04E0A" w14:textId="01C729BA" w:rsidR="00B62D10" w:rsidRPr="003A16F9" w:rsidRDefault="004D7062" w:rsidP="00646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о тржишту капитала, Закон о привредним друштвима</w:t>
            </w:r>
            <w:r w:rsidR="00A75ECC">
              <w:rPr>
                <w:rFonts w:ascii="Times New Roman" w:hAnsi="Times New Roman" w:cs="Times New Roman"/>
                <w:sz w:val="20"/>
                <w:szCs w:val="20"/>
              </w:rPr>
              <w:t xml:space="preserve">, Закон о преузимању акционарских друштава, </w:t>
            </w:r>
          </w:p>
        </w:tc>
      </w:tr>
      <w:tr w:rsidR="00CD5678" w:rsidRPr="003A16F9" w14:paraId="52927019" w14:textId="77777777" w:rsidTr="00A75ECC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59F9AAD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FDB551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Jединица мере</w:t>
            </w:r>
          </w:p>
          <w:p w14:paraId="0E21AF6F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D53E1FB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6113DEA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E810AC7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7876D26" w14:textId="0D16440C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2021</w:t>
            </w:r>
            <w:r w:rsidR="00A75E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1734A8F" w14:textId="2EDA334D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2022</w:t>
            </w:r>
            <w:r w:rsidR="00A75E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8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001E2C" w14:textId="6146E7B5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2023</w:t>
            </w:r>
            <w:r w:rsidR="00A75E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D5678" w:rsidRPr="003A16F9" w14:paraId="6BD0E937" w14:textId="77777777" w:rsidTr="00A75ECC">
        <w:trPr>
          <w:trHeight w:val="302"/>
        </w:trPr>
        <w:tc>
          <w:tcPr>
            <w:tcW w:w="3219" w:type="dxa"/>
          </w:tcPr>
          <w:p w14:paraId="1C988981" w14:textId="75E18CC1" w:rsidR="00CD5678" w:rsidRDefault="00547E21" w:rsidP="00A76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1)у</w:t>
            </w:r>
            <w:r w:rsidR="005B1391">
              <w:rPr>
                <w:rFonts w:ascii="Times New Roman" w:hAnsi="Times New Roman" w:cs="Times New Roman"/>
                <w:sz w:val="20"/>
                <w:szCs w:val="20"/>
              </w:rPr>
              <w:t>део власничких хартиј</w:t>
            </w:r>
            <w:r w:rsidR="00A761C5">
              <w:rPr>
                <w:rFonts w:ascii="Times New Roman" w:hAnsi="Times New Roman" w:cs="Times New Roman"/>
                <w:sz w:val="20"/>
                <w:szCs w:val="20"/>
              </w:rPr>
              <w:t>а од вредности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поседу физичких лица</w:t>
            </w:r>
            <w:r w:rsidR="00A761C5">
              <w:rPr>
                <w:rFonts w:ascii="Times New Roman" w:hAnsi="Times New Roman" w:cs="Times New Roman"/>
                <w:sz w:val="20"/>
                <w:szCs w:val="20"/>
              </w:rPr>
              <w:t xml:space="preserve"> у промету</w:t>
            </w:r>
          </w:p>
          <w:p w14:paraId="64B4BB65" w14:textId="198BC706" w:rsidR="00547E21" w:rsidRDefault="00547E21" w:rsidP="00A76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547E21">
              <w:rPr>
                <w:rFonts w:ascii="Times New Roman" w:hAnsi="Times New Roman" w:cs="Times New Roman"/>
                <w:sz w:val="20"/>
                <w:szCs w:val="20"/>
              </w:rPr>
              <w:t xml:space="preserve"> удео власничких хартија од вредности у поседу иностраних физичких лица</w:t>
            </w:r>
          </w:p>
          <w:p w14:paraId="77E1CBFB" w14:textId="7E7E7088" w:rsidR="00547E21" w:rsidRDefault="00547E21" w:rsidP="00A76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47E21">
              <w:rPr>
                <w:rFonts w:ascii="Times New Roman" w:hAnsi="Times New Roman" w:cs="Times New Roman"/>
                <w:sz w:val="20"/>
                <w:szCs w:val="20"/>
              </w:rPr>
              <w:t>удео власничких хартија од вредности у поседу домаћих правних лица</w:t>
            </w:r>
          </w:p>
          <w:p w14:paraId="5E1989C6" w14:textId="0F35F3D9" w:rsidR="00547E21" w:rsidRDefault="00547E21" w:rsidP="00A76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 w:rsidRPr="00547E21">
              <w:rPr>
                <w:rFonts w:ascii="Times New Roman" w:hAnsi="Times New Roman" w:cs="Times New Roman"/>
                <w:sz w:val="20"/>
                <w:szCs w:val="20"/>
              </w:rPr>
              <w:t>удео власничких хартија од вредности у поседу иностраних правних лица</w:t>
            </w:r>
          </w:p>
          <w:p w14:paraId="56E3616C" w14:textId="0DC318CF" w:rsidR="00547E21" w:rsidRPr="00547E21" w:rsidRDefault="00547E21" w:rsidP="00547E21">
            <w:pPr>
              <w:tabs>
                <w:tab w:val="left" w:pos="194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Pr="00547E21">
              <w:rPr>
                <w:rFonts w:ascii="Times New Roman" w:hAnsi="Times New Roman" w:cs="Times New Roman"/>
                <w:sz w:val="20"/>
                <w:szCs w:val="20"/>
              </w:rPr>
              <w:t xml:space="preserve"> удео власничких хартија од вредности у поседу финансијских институција (банака) које су чланови ЦРХоВ</w:t>
            </w:r>
            <w:r w:rsidR="0041689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75" w:type="dxa"/>
          </w:tcPr>
          <w:p w14:paraId="6C1D4D1D" w14:textId="460A31AB" w:rsidR="00CD5678" w:rsidRPr="003A16F9" w:rsidRDefault="0039118A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76" w:type="dxa"/>
          </w:tcPr>
          <w:p w14:paraId="3B244C6B" w14:textId="1C461A9D" w:rsidR="00CD5678" w:rsidRPr="003A16F9" w:rsidRDefault="00F2460D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ББ</w:t>
            </w:r>
            <w:r w:rsidR="009D594F">
              <w:rPr>
                <w:rFonts w:ascii="Times New Roman" w:hAnsi="Times New Roman" w:cs="Times New Roman"/>
                <w:sz w:val="20"/>
                <w:szCs w:val="20"/>
              </w:rPr>
              <w:t>/ЦРХоВ</w:t>
            </w:r>
          </w:p>
        </w:tc>
        <w:tc>
          <w:tcPr>
            <w:tcW w:w="1769" w:type="dxa"/>
            <w:gridSpan w:val="2"/>
          </w:tcPr>
          <w:p w14:paraId="2B29D741" w14:textId="28D6AEFE" w:rsidR="00B13EFB" w:rsidRPr="006F70CC" w:rsidRDefault="00C81B23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0CC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9B210B" w:rsidRPr="006F70CC">
              <w:rPr>
                <w:rFonts w:ascii="Times New Roman" w:hAnsi="Times New Roman" w:cs="Times New Roman"/>
                <w:sz w:val="20"/>
                <w:szCs w:val="20"/>
              </w:rPr>
              <w:t>2,4%</w:t>
            </w:r>
          </w:p>
          <w:p w14:paraId="3BE50358" w14:textId="77777777" w:rsidR="009B210B" w:rsidRPr="006F70CC" w:rsidRDefault="009B210B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9BD112" w14:textId="77777777" w:rsidR="009B210B" w:rsidRPr="006F70CC" w:rsidRDefault="009B210B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C8187D" w14:textId="77777777" w:rsidR="009B210B" w:rsidRPr="006F70CC" w:rsidRDefault="009B210B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B634AB" w14:textId="7C5CA24F" w:rsidR="00E743DF" w:rsidRPr="006F70CC" w:rsidRDefault="00C81B23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0CC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9B210B" w:rsidRPr="006F70CC">
              <w:rPr>
                <w:rFonts w:ascii="Times New Roman" w:hAnsi="Times New Roman" w:cs="Times New Roman"/>
                <w:sz w:val="20"/>
                <w:szCs w:val="20"/>
              </w:rPr>
              <w:t>0,11%</w:t>
            </w:r>
          </w:p>
          <w:p w14:paraId="08CB99FA" w14:textId="783F3CDB" w:rsidR="0041689B" w:rsidRPr="006F70CC" w:rsidRDefault="0041689B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0E9273" w14:textId="77777777" w:rsidR="0041689B" w:rsidRPr="006F70CC" w:rsidRDefault="0041689B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14:paraId="2D89454D" w14:textId="69E3D4E3" w:rsidR="00E743DF" w:rsidRPr="006F70CC" w:rsidRDefault="00C81B23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0CC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="0041689B" w:rsidRPr="006F70CC">
              <w:rPr>
                <w:rFonts w:ascii="Times New Roman" w:hAnsi="Times New Roman" w:cs="Times New Roman"/>
                <w:sz w:val="20"/>
                <w:szCs w:val="20"/>
              </w:rPr>
              <w:t>83,6%</w:t>
            </w:r>
          </w:p>
          <w:p w14:paraId="5DA5A3BD" w14:textId="77777777" w:rsidR="007701E2" w:rsidRPr="006F70CC" w:rsidRDefault="007701E2" w:rsidP="0041689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BE8CD7" w14:textId="77777777" w:rsidR="007701E2" w:rsidRPr="006F70CC" w:rsidRDefault="007701E2" w:rsidP="0041689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04FCA" w14:textId="27566545" w:rsidR="0041689B" w:rsidRPr="006F70CC" w:rsidRDefault="00C81B23" w:rsidP="0041689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0CC"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 w:rsidR="0041689B" w:rsidRPr="006F70CC">
              <w:rPr>
                <w:rFonts w:ascii="Times New Roman" w:hAnsi="Times New Roman" w:cs="Times New Roman"/>
                <w:sz w:val="20"/>
                <w:szCs w:val="20"/>
              </w:rPr>
              <w:t>14,42%</w:t>
            </w:r>
          </w:p>
          <w:p w14:paraId="248191FC" w14:textId="77777777" w:rsidR="0041689B" w:rsidRPr="006F70CC" w:rsidRDefault="0041689B" w:rsidP="0041689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110BCA" w14:textId="77777777" w:rsidR="0041689B" w:rsidRPr="006F70CC" w:rsidRDefault="0041689B" w:rsidP="0041689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947A83" w14:textId="12CF4D05" w:rsidR="00B13EFB" w:rsidRPr="00475B0D" w:rsidRDefault="0041689B" w:rsidP="00475B0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0CC"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="00C81B23" w:rsidRPr="006F70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5B0D" w:rsidRPr="006F70CC">
              <w:rPr>
                <w:rFonts w:ascii="Times New Roman" w:hAnsi="Times New Roman" w:cs="Times New Roman"/>
                <w:sz w:val="20"/>
                <w:szCs w:val="20"/>
              </w:rPr>
              <w:t>0,25%</w:t>
            </w:r>
          </w:p>
        </w:tc>
        <w:tc>
          <w:tcPr>
            <w:tcW w:w="1707" w:type="dxa"/>
          </w:tcPr>
          <w:p w14:paraId="140F4E6E" w14:textId="77777777" w:rsidR="00CD5678" w:rsidRDefault="00CD5678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  <w:p w14:paraId="1080A754" w14:textId="77777777" w:rsidR="002822A0" w:rsidRDefault="002822A0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14:paraId="30CF005F" w14:textId="77777777" w:rsidR="002822A0" w:rsidRDefault="002822A0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14:paraId="27F5C7ED" w14:textId="77777777" w:rsidR="006F70CC" w:rsidRDefault="006F70CC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14:paraId="2FD2F1D8" w14:textId="52587E65" w:rsidR="0034175D" w:rsidRDefault="0034175D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2020.</w:t>
            </w:r>
          </w:p>
          <w:p w14:paraId="6093FEF4" w14:textId="77777777" w:rsidR="002822A0" w:rsidRDefault="002822A0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14:paraId="491061F9" w14:textId="77777777" w:rsidR="002822A0" w:rsidRDefault="002822A0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14:paraId="348BFF2C" w14:textId="406DA2EE" w:rsidR="0034175D" w:rsidRDefault="0034175D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2020.</w:t>
            </w:r>
          </w:p>
          <w:p w14:paraId="34B7B78B" w14:textId="77777777" w:rsidR="002822A0" w:rsidRDefault="002822A0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B66D86" w14:textId="77777777" w:rsidR="002822A0" w:rsidRDefault="002822A0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06A60C" w14:textId="146265B9" w:rsidR="002822A0" w:rsidRDefault="002822A0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  <w:p w14:paraId="77E55E93" w14:textId="77777777" w:rsidR="002822A0" w:rsidRDefault="002822A0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27364E" w14:textId="77777777" w:rsidR="002822A0" w:rsidRDefault="002822A0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CE508" w14:textId="774C7837" w:rsidR="002822A0" w:rsidRPr="002822A0" w:rsidRDefault="002822A0" w:rsidP="0078367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1537" w:type="dxa"/>
          </w:tcPr>
          <w:p w14:paraId="083F608D" w14:textId="1C33ED1C" w:rsidR="007701E2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1) 2</w:t>
            </w:r>
            <w:r w:rsidR="002822A0" w:rsidRPr="00591A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4%</w:t>
            </w:r>
          </w:p>
          <w:p w14:paraId="0267BDEB" w14:textId="77777777" w:rsidR="007701E2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ED98CA" w14:textId="77777777" w:rsidR="007701E2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B74F9" w14:textId="77777777" w:rsidR="007701E2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933B0A" w14:textId="77777777" w:rsidR="007701E2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2) 0,11%</w:t>
            </w:r>
          </w:p>
          <w:p w14:paraId="3B4CCC85" w14:textId="77777777" w:rsidR="007701E2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ED4A6" w14:textId="77777777" w:rsidR="007701E2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14:paraId="47409EF9" w14:textId="77777777" w:rsidR="007701E2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3) 83,6%</w:t>
            </w:r>
          </w:p>
          <w:p w14:paraId="62C3198F" w14:textId="77777777" w:rsidR="007701E2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B50B48" w14:textId="77777777" w:rsidR="007701E2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1F98EA" w14:textId="7472ABD2" w:rsidR="007701E2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4) 14,42%</w:t>
            </w:r>
          </w:p>
          <w:p w14:paraId="783A1668" w14:textId="77777777" w:rsidR="007701E2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24699A" w14:textId="77777777" w:rsidR="007701E2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5B3E0C" w14:textId="32F4316E" w:rsidR="00334AFB" w:rsidRPr="00591A6E" w:rsidRDefault="007701E2" w:rsidP="007701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5) 0,25%</w:t>
            </w:r>
          </w:p>
        </w:tc>
        <w:tc>
          <w:tcPr>
            <w:tcW w:w="1402" w:type="dxa"/>
          </w:tcPr>
          <w:p w14:paraId="100121DE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1) 2,4%</w:t>
            </w:r>
          </w:p>
          <w:p w14:paraId="167D0563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44623B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96546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2F013A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2) 0,11%</w:t>
            </w:r>
          </w:p>
          <w:p w14:paraId="154EDCE6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7D1A55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14:paraId="1367D9E4" w14:textId="0F3231A9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3) 8</w:t>
            </w:r>
            <w:r w:rsidR="00CD42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,6%</w:t>
            </w:r>
          </w:p>
          <w:p w14:paraId="121EBD59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5D5877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17A74B" w14:textId="21E56B7B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4) 1</w:t>
            </w:r>
            <w:r w:rsidR="00CD42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,42%</w:t>
            </w:r>
          </w:p>
          <w:p w14:paraId="1E79CED3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0041AE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8198A" w14:textId="49B7E371" w:rsidR="00EB0403" w:rsidRPr="00591A6E" w:rsidRDefault="002822A0" w:rsidP="00D613A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5) 0,</w:t>
            </w:r>
            <w:r w:rsidR="00D613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82" w:type="dxa"/>
          </w:tcPr>
          <w:p w14:paraId="521DA95F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1) 2,4%</w:t>
            </w:r>
          </w:p>
          <w:p w14:paraId="56F77A13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131F90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ED065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7DA0EA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2) 0,11%</w:t>
            </w:r>
          </w:p>
          <w:p w14:paraId="4A92EBE7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70CDEB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14:paraId="5F987168" w14:textId="1361B1A2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3) 8</w:t>
            </w:r>
            <w:r w:rsidR="001D4D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,6%</w:t>
            </w:r>
          </w:p>
          <w:p w14:paraId="76439618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B037D5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5A90CA" w14:textId="4F09F50A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4) 1</w:t>
            </w:r>
            <w:r w:rsidR="001D4DF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,42%</w:t>
            </w:r>
          </w:p>
          <w:p w14:paraId="547167E1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AFC0E" w14:textId="77777777" w:rsidR="002822A0" w:rsidRPr="00591A6E" w:rsidRDefault="002822A0" w:rsidP="002822A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8B267" w14:textId="5F1537E1" w:rsidR="00EB0403" w:rsidRPr="00591A6E" w:rsidRDefault="002822A0" w:rsidP="00D613A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5) 0,</w:t>
            </w:r>
            <w:r w:rsidR="00267D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91A6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02691116" w14:textId="6754C541" w:rsidR="000F5EE8" w:rsidRDefault="0041689B" w:rsidP="000F5EE8">
      <w:pPr>
        <w:tabs>
          <w:tab w:val="left" w:pos="1940"/>
        </w:tabs>
        <w:spacing w:line="240" w:lineRule="auto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  <w:sz w:val="12"/>
        </w:rPr>
        <w:t>*</w:t>
      </w:r>
      <w:r w:rsidR="00475B0D">
        <w:rPr>
          <w:rFonts w:ascii="Times New Roman" w:hAnsi="Times New Roman" w:cs="Times New Roman"/>
          <w:sz w:val="12"/>
        </w:rPr>
        <w:t>однос номиналне вредности власничких финансијских инструмената у поседу акционара у односу на укупну вредност власничких финансијских инструмената у поседу акционара</w:t>
      </w:r>
    </w:p>
    <w:p w14:paraId="3A203E08" w14:textId="343C67D5" w:rsidR="004536FD" w:rsidRDefault="004536FD" w:rsidP="000F5EE8">
      <w:pPr>
        <w:tabs>
          <w:tab w:val="left" w:pos="1940"/>
        </w:tabs>
        <w:spacing w:line="240" w:lineRule="auto"/>
        <w:rPr>
          <w:rFonts w:ascii="Times New Roman" w:hAnsi="Times New Roman" w:cs="Times New Roman"/>
          <w:sz w:val="12"/>
        </w:rPr>
      </w:pPr>
    </w:p>
    <w:p w14:paraId="0C683132" w14:textId="77777777" w:rsidR="004536FD" w:rsidRPr="003A16F9" w:rsidRDefault="004536FD" w:rsidP="000F5EE8">
      <w:pPr>
        <w:tabs>
          <w:tab w:val="left" w:pos="1940"/>
        </w:tabs>
        <w:spacing w:line="240" w:lineRule="auto"/>
        <w:rPr>
          <w:rFonts w:ascii="Times New Roman" w:hAnsi="Times New Roman" w:cs="Times New Roman"/>
          <w:sz w:val="12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74"/>
        <w:gridCol w:w="2785"/>
        <w:gridCol w:w="3080"/>
        <w:gridCol w:w="2345"/>
        <w:gridCol w:w="1983"/>
      </w:tblGrid>
      <w:tr w:rsidR="00CD5678" w:rsidRPr="003A16F9" w14:paraId="69B12DBC" w14:textId="77777777" w:rsidTr="007B40A7">
        <w:trPr>
          <w:trHeight w:val="227"/>
        </w:trPr>
        <w:tc>
          <w:tcPr>
            <w:tcW w:w="367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B71B160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финансирања мере</w:t>
            </w:r>
          </w:p>
          <w:p w14:paraId="33AE915C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B0B35F6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Веза са програмским буџетом</w:t>
            </w:r>
          </w:p>
          <w:p w14:paraId="0821F969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A69D8DC" w14:textId="1C175224" w:rsidR="00CD5678" w:rsidRPr="003A16F9" w:rsidRDefault="00CD5678" w:rsidP="00A17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Укупна процењена финансијска средства у дин.</w:t>
            </w:r>
            <w:r w:rsidRPr="003A16F9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D5678" w:rsidRPr="003A16F9" w14:paraId="4C9CC674" w14:textId="77777777" w:rsidTr="007B40A7">
        <w:trPr>
          <w:trHeight w:val="227"/>
        </w:trPr>
        <w:tc>
          <w:tcPr>
            <w:tcW w:w="367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D347FE1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21ABADE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67FD894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2021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1A4580A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2022</w:t>
            </w:r>
          </w:p>
        </w:tc>
        <w:tc>
          <w:tcPr>
            <w:tcW w:w="1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8D27344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2023</w:t>
            </w:r>
          </w:p>
        </w:tc>
      </w:tr>
      <w:tr w:rsidR="005B6D2A" w:rsidRPr="003A16F9" w14:paraId="2AED09EF" w14:textId="77777777" w:rsidTr="0004444F">
        <w:trPr>
          <w:trHeight w:val="708"/>
        </w:trPr>
        <w:tc>
          <w:tcPr>
            <w:tcW w:w="36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A87A32" w14:textId="17687B24" w:rsidR="005B6D2A" w:rsidRPr="00952BAB" w:rsidRDefault="00A262C4" w:rsidP="006D4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BAB">
              <w:rPr>
                <w:rStyle w:val="PageNumber"/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r w:rsidR="0097547F" w:rsidRPr="00952BAB">
              <w:rPr>
                <w:rStyle w:val="PageNumber"/>
                <w:rFonts w:ascii="Times New Roman" w:hAnsi="Times New Roman" w:cs="Times New Roman"/>
                <w:sz w:val="20"/>
                <w:szCs w:val="20"/>
              </w:rPr>
              <w:t>Светске банке</w:t>
            </w:r>
            <w:r w:rsidR="006D4175">
              <w:rPr>
                <w:rStyle w:val="PageNumber"/>
                <w:rFonts w:ascii="Times New Roman" w:hAnsi="Times New Roman" w:cs="Times New Roman"/>
                <w:sz w:val="20"/>
                <w:szCs w:val="20"/>
              </w:rPr>
              <w:t>/ Редовна средстава РС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53BCC7" w14:textId="473C4C38" w:rsidR="005B6D2A" w:rsidRPr="00952BAB" w:rsidRDefault="00F8769D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A648D4F" w14:textId="77777777" w:rsidR="005B6D2A" w:rsidRPr="00952BAB" w:rsidRDefault="005B6D2A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8DCB90" w14:textId="5E232B26" w:rsidR="005B6D2A" w:rsidRPr="00952BAB" w:rsidRDefault="001D76E7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AB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4C120D" w14:textId="77777777" w:rsidR="00952BAB" w:rsidRDefault="00952BAB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50C75889" w14:textId="152F0E80" w:rsidR="005B6D2A" w:rsidRPr="00952BAB" w:rsidRDefault="00952BAB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52BA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36.700.000</w:t>
            </w:r>
          </w:p>
        </w:tc>
        <w:tc>
          <w:tcPr>
            <w:tcW w:w="198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9C581D" w14:textId="0AFF5B52" w:rsidR="005B6D2A" w:rsidRPr="00952BAB" w:rsidRDefault="001D76E7" w:rsidP="00783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BAB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14:paraId="62A2CE8B" w14:textId="243C0299" w:rsidR="00CD5678" w:rsidRDefault="00CD5678" w:rsidP="00CD5678">
      <w:pPr>
        <w:rPr>
          <w:rFonts w:ascii="Times New Roman" w:hAnsi="Times New Roman" w:cs="Times New Roman"/>
          <w:sz w:val="6"/>
        </w:rPr>
      </w:pPr>
    </w:p>
    <w:p w14:paraId="2D3C628D" w14:textId="32F4A674" w:rsidR="00451A2F" w:rsidRDefault="00451A2F" w:rsidP="00CD5678">
      <w:pPr>
        <w:rPr>
          <w:rFonts w:ascii="Times New Roman" w:hAnsi="Times New Roman" w:cs="Times New Roman"/>
          <w:sz w:val="6"/>
        </w:rPr>
      </w:pPr>
    </w:p>
    <w:p w14:paraId="6EA2736C" w14:textId="77777777" w:rsidR="00451A2F" w:rsidRPr="003A16F9" w:rsidRDefault="00451A2F" w:rsidP="00CD5678">
      <w:pPr>
        <w:rPr>
          <w:rFonts w:ascii="Times New Roman" w:hAnsi="Times New Roman" w:cs="Times New Roman"/>
          <w:sz w:val="6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2610"/>
        <w:gridCol w:w="1515"/>
        <w:gridCol w:w="1260"/>
        <w:gridCol w:w="1260"/>
        <w:gridCol w:w="1535"/>
        <w:gridCol w:w="1346"/>
        <w:gridCol w:w="1318"/>
        <w:gridCol w:w="1396"/>
        <w:gridCol w:w="1638"/>
      </w:tblGrid>
      <w:tr w:rsidR="00CD5678" w:rsidRPr="003A16F9" w14:paraId="1F3E48DA" w14:textId="77777777" w:rsidTr="00FF6E2F">
        <w:trPr>
          <w:trHeight w:val="140"/>
        </w:trPr>
        <w:tc>
          <w:tcPr>
            <w:tcW w:w="940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ADA9798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Назив активности:</w:t>
            </w:r>
          </w:p>
        </w:tc>
        <w:tc>
          <w:tcPr>
            <w:tcW w:w="54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EF667AD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Орган који спроводи активност</w:t>
            </w:r>
          </w:p>
        </w:tc>
        <w:tc>
          <w:tcPr>
            <w:tcW w:w="45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DF4404C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54617440"/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Oргани партнери у спровођењу активности</w:t>
            </w:r>
            <w:bookmarkEnd w:id="0"/>
          </w:p>
        </w:tc>
        <w:tc>
          <w:tcPr>
            <w:tcW w:w="45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E538563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Рок за завршетак активности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53128BD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финансирања</w:t>
            </w:r>
          </w:p>
          <w:p w14:paraId="29F4CB94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F32BC57" w14:textId="77777777" w:rsidR="00CD5678" w:rsidRPr="003A16F9" w:rsidRDefault="00CD5678" w:rsidP="007B40A7">
            <w:pPr>
              <w:rPr>
                <w:rFonts w:ascii="Times New Roman" w:hAnsi="Times New Roman" w:cs="Times New Roman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Веза са програмским буџетом</w:t>
            </w:r>
          </w:p>
          <w:p w14:paraId="48702BB3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249408E" w14:textId="5380A680" w:rsidR="00CD5678" w:rsidRPr="003A16F9" w:rsidRDefault="00CD5678" w:rsidP="000A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Укупна процењена финансијска средства по изворима у дин.</w:t>
            </w:r>
            <w:r w:rsidRPr="003A16F9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D5678" w:rsidRPr="003A16F9" w14:paraId="6DA1AD87" w14:textId="77777777" w:rsidTr="00FF6E2F">
        <w:trPr>
          <w:trHeight w:val="665"/>
        </w:trPr>
        <w:tc>
          <w:tcPr>
            <w:tcW w:w="940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37D8EB1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shd w:val="clear" w:color="auto" w:fill="FFF2CC" w:themeFill="accent4" w:themeFillTint="33"/>
          </w:tcPr>
          <w:p w14:paraId="72D7D851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shd w:val="clear" w:color="auto" w:fill="FFF2CC" w:themeFill="accent4" w:themeFillTint="33"/>
          </w:tcPr>
          <w:p w14:paraId="5D928838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shd w:val="clear" w:color="auto" w:fill="FFF2CC" w:themeFill="accent4" w:themeFillTint="33"/>
          </w:tcPr>
          <w:p w14:paraId="5980C2A7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vMerge/>
            <w:shd w:val="clear" w:color="auto" w:fill="FFF2CC" w:themeFill="accent4" w:themeFillTint="33"/>
          </w:tcPr>
          <w:p w14:paraId="3BB8799A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Merge/>
            <w:shd w:val="clear" w:color="auto" w:fill="FFF2CC" w:themeFill="accent4" w:themeFillTint="33"/>
          </w:tcPr>
          <w:p w14:paraId="2F1DE93B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shd w:val="clear" w:color="auto" w:fill="FFF2CC" w:themeFill="accent4" w:themeFillTint="33"/>
          </w:tcPr>
          <w:p w14:paraId="29893F92" w14:textId="07266CFF" w:rsidR="00CD5678" w:rsidRPr="003A16F9" w:rsidRDefault="00CD5678" w:rsidP="00D65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2021</w:t>
            </w:r>
            <w:r w:rsidR="00D50D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3" w:type="pct"/>
            <w:shd w:val="clear" w:color="auto" w:fill="FFF2CC" w:themeFill="accent4" w:themeFillTint="33"/>
          </w:tcPr>
          <w:p w14:paraId="1158944A" w14:textId="61ABFB87" w:rsidR="00CD5678" w:rsidRPr="003A16F9" w:rsidRDefault="00CD5678" w:rsidP="00D65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2022</w:t>
            </w:r>
            <w:r w:rsidR="00D50D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90" w:type="pct"/>
            <w:shd w:val="clear" w:color="auto" w:fill="FFF2CC" w:themeFill="accent4" w:themeFillTint="33"/>
          </w:tcPr>
          <w:p w14:paraId="0E3DA2F8" w14:textId="2E47EFA3" w:rsidR="00CD5678" w:rsidRPr="003A16F9" w:rsidRDefault="00CD5678" w:rsidP="00D650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2023</w:t>
            </w:r>
            <w:r w:rsidR="00D50D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83A8D" w:rsidRPr="003A16F9" w14:paraId="781641D1" w14:textId="77777777" w:rsidTr="00FF6E2F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6E8AFF0A" w14:textId="1EBC5C84" w:rsidR="00483A8D" w:rsidRPr="003A16F9" w:rsidRDefault="005B1391" w:rsidP="00483A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1.2.1. Свеобухватна анализа пореских прописа и поступака, извештавања, дуплирања пореза, порез на репо и осигуране зајмове, одступања у третману сличних финансијских производа</w:t>
            </w:r>
          </w:p>
        </w:tc>
        <w:tc>
          <w:tcPr>
            <w:tcW w:w="546" w:type="pct"/>
          </w:tcPr>
          <w:p w14:paraId="65670B28" w14:textId="0F54982B" w:rsidR="00483A8D" w:rsidRPr="003A16F9" w:rsidRDefault="00E80763" w:rsidP="000E3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00EE6">
              <w:rPr>
                <w:rFonts w:ascii="Times New Roman" w:hAnsi="Times New Roman" w:cs="Times New Roman"/>
                <w:sz w:val="20"/>
                <w:szCs w:val="20"/>
              </w:rPr>
              <w:t>инистарство финансија</w:t>
            </w:r>
          </w:p>
        </w:tc>
        <w:tc>
          <w:tcPr>
            <w:tcW w:w="454" w:type="pct"/>
          </w:tcPr>
          <w:p w14:paraId="3D23E65B" w14:textId="3EB32648" w:rsidR="00483A8D" w:rsidRPr="000E4E21" w:rsidRDefault="00E80763" w:rsidP="000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E21">
              <w:rPr>
                <w:rFonts w:ascii="Times New Roman" w:hAnsi="Times New Roman" w:cs="Times New Roman"/>
                <w:sz w:val="20"/>
                <w:szCs w:val="20"/>
              </w:rPr>
              <w:t>ПУ</w:t>
            </w:r>
          </w:p>
        </w:tc>
        <w:tc>
          <w:tcPr>
            <w:tcW w:w="454" w:type="pct"/>
          </w:tcPr>
          <w:p w14:paraId="25490F52" w14:textId="2B82945C" w:rsidR="00483A8D" w:rsidRPr="00FF6E2F" w:rsidRDefault="00FF6E2F" w:rsidP="000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E2F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811D1D" w:rsidRPr="00FF6E2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80763" w:rsidRPr="00FF6E2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3" w:type="pct"/>
          </w:tcPr>
          <w:p w14:paraId="7D91D56E" w14:textId="3F519B13" w:rsidR="00483A8D" w:rsidRPr="00EF27C2" w:rsidRDefault="00404B06" w:rsidP="000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Светска банка</w:t>
            </w:r>
          </w:p>
          <w:p w14:paraId="7EDD8398" w14:textId="2C2A5B21" w:rsidR="00483A8D" w:rsidRPr="00E80763" w:rsidRDefault="00483A8D" w:rsidP="007F7B7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5" w:type="pct"/>
          </w:tcPr>
          <w:p w14:paraId="31BB0858" w14:textId="1D46052E" w:rsidR="00483A8D" w:rsidRPr="00EF27C2" w:rsidRDefault="00EF27C2" w:rsidP="000E3AC9">
            <w:pPr>
              <w:jc w:val="center"/>
              <w:rPr>
                <w:rFonts w:ascii="Times New Roman" w:hAnsi="Times New Roman" w:cs="Times New Roman"/>
              </w:rPr>
            </w:pPr>
            <w:r w:rsidRPr="00EF27C2">
              <w:rPr>
                <w:rFonts w:ascii="Times New Roman" w:hAnsi="Times New Roman" w:cs="Times New Roman"/>
              </w:rPr>
              <w:t>-</w:t>
            </w:r>
          </w:p>
          <w:p w14:paraId="130E5103" w14:textId="1CD6C6C6" w:rsidR="00483A8D" w:rsidRPr="00E80763" w:rsidRDefault="00483A8D" w:rsidP="000E3AC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75" w:type="pct"/>
          </w:tcPr>
          <w:p w14:paraId="27469E0F" w14:textId="2CC6FD91" w:rsidR="00483A8D" w:rsidRPr="00E80763" w:rsidRDefault="00381F39" w:rsidP="00783672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03" w:type="pct"/>
          </w:tcPr>
          <w:p w14:paraId="5B2A613E" w14:textId="2DE3F885" w:rsidR="00483A8D" w:rsidRPr="00C359B4" w:rsidRDefault="00C359B4" w:rsidP="00A262C4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C359B4">
              <w:rPr>
                <w:rFonts w:ascii="Times New Roman" w:hAnsi="Times New Roman" w:cs="Times New Roman"/>
                <w:sz w:val="20"/>
              </w:rPr>
              <w:t>29.500.000</w:t>
            </w:r>
          </w:p>
        </w:tc>
        <w:tc>
          <w:tcPr>
            <w:tcW w:w="590" w:type="pct"/>
          </w:tcPr>
          <w:p w14:paraId="423B1BD5" w14:textId="6069D71D" w:rsidR="00483A8D" w:rsidRPr="002759EF" w:rsidRDefault="00381F39" w:rsidP="0078367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  <w:p w14:paraId="03E15F6B" w14:textId="4F8BE7B8" w:rsidR="00483A8D" w:rsidRPr="00E80763" w:rsidRDefault="00483A8D" w:rsidP="00783672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</w:tr>
      <w:tr w:rsidR="00BD56AB" w:rsidRPr="003A16F9" w14:paraId="6373BF66" w14:textId="77777777" w:rsidTr="00FF6E2F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4535780E" w14:textId="3E48CCFE" w:rsidR="00BD56AB" w:rsidRDefault="00BD56AB" w:rsidP="00483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1.2.2. Усвајање свих релевантних подзаконских аката у циљу ефикасне имплементације закона у области тржишта капитала</w:t>
            </w:r>
          </w:p>
        </w:tc>
        <w:tc>
          <w:tcPr>
            <w:tcW w:w="546" w:type="pct"/>
          </w:tcPr>
          <w:p w14:paraId="2F4B7918" w14:textId="113BC42E" w:rsidR="00BD56AB" w:rsidRDefault="000E3AC9" w:rsidP="000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финансија</w:t>
            </w:r>
          </w:p>
        </w:tc>
        <w:tc>
          <w:tcPr>
            <w:tcW w:w="454" w:type="pct"/>
          </w:tcPr>
          <w:p w14:paraId="7D71568C" w14:textId="10AA5F33" w:rsidR="00BD56AB" w:rsidRPr="000E4E21" w:rsidRDefault="00BD56AB" w:rsidP="00310D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E21">
              <w:rPr>
                <w:rFonts w:ascii="Times New Roman" w:hAnsi="Times New Roman" w:cs="Times New Roman"/>
                <w:sz w:val="20"/>
                <w:szCs w:val="20"/>
              </w:rPr>
              <w:t xml:space="preserve">КХоВ, ЦРХоВ, УЈД, ББ, НБС, ПУ, </w:t>
            </w:r>
            <w:r w:rsidR="00310D32">
              <w:rPr>
                <w:rFonts w:ascii="Times New Roman" w:hAnsi="Times New Roman" w:cs="Times New Roman"/>
                <w:sz w:val="20"/>
                <w:szCs w:val="20"/>
              </w:rPr>
              <w:t>УСПН</w:t>
            </w:r>
          </w:p>
        </w:tc>
        <w:tc>
          <w:tcPr>
            <w:tcW w:w="454" w:type="pct"/>
          </w:tcPr>
          <w:p w14:paraId="001227FB" w14:textId="5D13A2F9" w:rsidR="00BD56AB" w:rsidRPr="00FF6E2F" w:rsidRDefault="00FF6E2F" w:rsidP="000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E2F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976A5E" w:rsidRPr="00FF6E2F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553" w:type="pct"/>
          </w:tcPr>
          <w:p w14:paraId="53948A0B" w14:textId="0F83A38D" w:rsidR="00BD56AB" w:rsidRPr="00EF27C2" w:rsidRDefault="008B5859" w:rsidP="00602100">
            <w:pPr>
              <w:pStyle w:val="BodyAAA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>Редован буџет РС</w:t>
            </w:r>
            <w:r w:rsidR="004F5F76"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485" w:type="pct"/>
          </w:tcPr>
          <w:p w14:paraId="0480BB3E" w14:textId="5A2A0C24" w:rsidR="00BD56AB" w:rsidRPr="00EF27C2" w:rsidRDefault="00BD56AB" w:rsidP="000E3A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</w:tcPr>
          <w:p w14:paraId="599BE235" w14:textId="6ED706E8" w:rsidR="00BD56AB" w:rsidRPr="00EB43B2" w:rsidRDefault="00381F39" w:rsidP="0078367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03" w:type="pct"/>
          </w:tcPr>
          <w:p w14:paraId="4C41FD4B" w14:textId="4E7ED8BF" w:rsidR="00BD56AB" w:rsidRPr="00EB43B2" w:rsidRDefault="00A262C4" w:rsidP="0078367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7.200.000</w:t>
            </w:r>
          </w:p>
        </w:tc>
        <w:tc>
          <w:tcPr>
            <w:tcW w:w="590" w:type="pct"/>
          </w:tcPr>
          <w:p w14:paraId="1A9F119F" w14:textId="57FCFF21" w:rsidR="00BD56AB" w:rsidRPr="00EB43B2" w:rsidRDefault="00381F39" w:rsidP="0078367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14:paraId="3FF76178" w14:textId="03B6BE6F" w:rsidR="00CA3D64" w:rsidRDefault="00CA3D64" w:rsidP="001E361F">
      <w:pPr>
        <w:tabs>
          <w:tab w:val="left" w:pos="1940"/>
        </w:tabs>
        <w:spacing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3133"/>
        <w:gridCol w:w="1180"/>
        <w:gridCol w:w="1529"/>
        <w:gridCol w:w="1843"/>
        <w:gridCol w:w="1130"/>
        <w:gridCol w:w="1801"/>
        <w:gridCol w:w="1685"/>
        <w:gridCol w:w="1577"/>
      </w:tblGrid>
      <w:tr w:rsidR="00CA3D64" w:rsidRPr="003A16F9" w14:paraId="19E16047" w14:textId="77777777" w:rsidTr="00DE165B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60C889B" w14:textId="77777777" w:rsidR="00CA3D64" w:rsidRPr="003A16F9" w:rsidRDefault="00CA3D64" w:rsidP="00DE1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Посебни циљ 2: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Измењена структура и проширен спектар услуга на домаћем тржишту капитала</w:t>
            </w:r>
          </w:p>
        </w:tc>
      </w:tr>
      <w:tr w:rsidR="00CA3D64" w:rsidRPr="003A16F9" w14:paraId="408F3562" w14:textId="77777777" w:rsidTr="00DE165B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76373F95" w14:textId="77777777" w:rsidR="00CA3D64" w:rsidRPr="003A16F9" w:rsidRDefault="00CA3D64" w:rsidP="00DE165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Институција одговорна за праћење и контролу реализације: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Београдска берза, Министарство финансија</w:t>
            </w:r>
          </w:p>
        </w:tc>
      </w:tr>
      <w:tr w:rsidR="00CA3D64" w:rsidRPr="003A16F9" w14:paraId="5BB59C0D" w14:textId="77777777" w:rsidTr="00602100">
        <w:trPr>
          <w:trHeight w:val="575"/>
        </w:trPr>
        <w:tc>
          <w:tcPr>
            <w:tcW w:w="1129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0FFCCFD" w14:textId="77777777" w:rsidR="00CA3D64" w:rsidRPr="003A16F9" w:rsidRDefault="00CA3D64" w:rsidP="00DE1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Показатељ(и) на нивоу посебног циља (показатељ исхода)</w:t>
            </w:r>
          </w:p>
        </w:tc>
        <w:tc>
          <w:tcPr>
            <w:tcW w:w="42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067DE54" w14:textId="77777777" w:rsidR="00CA3D64" w:rsidRPr="003A16F9" w:rsidRDefault="00CA3D64" w:rsidP="00DE1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Jединица мере</w:t>
            </w:r>
          </w:p>
          <w:p w14:paraId="2BC8FCE1" w14:textId="77777777" w:rsidR="00CA3D64" w:rsidRPr="003A16F9" w:rsidRDefault="00CA3D64" w:rsidP="00DE16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89A1EB4" w14:textId="77777777" w:rsidR="00CA3D64" w:rsidRPr="003A16F9" w:rsidRDefault="00CA3D64" w:rsidP="00DE1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провере</w:t>
            </w:r>
          </w:p>
        </w:tc>
        <w:tc>
          <w:tcPr>
            <w:tcW w:w="664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B98B4E3" w14:textId="77777777" w:rsidR="00CA3D64" w:rsidRPr="003A16F9" w:rsidRDefault="00CA3D64" w:rsidP="00DE1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Почетна вредност </w:t>
            </w:r>
          </w:p>
        </w:tc>
        <w:tc>
          <w:tcPr>
            <w:tcW w:w="40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C60259C" w14:textId="77777777" w:rsidR="00CA3D64" w:rsidRPr="003A16F9" w:rsidRDefault="00CA3D64" w:rsidP="00DE1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Базна година</w:t>
            </w:r>
          </w:p>
        </w:tc>
        <w:tc>
          <w:tcPr>
            <w:tcW w:w="649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F8F8D8A" w14:textId="77777777" w:rsidR="00CA3D64" w:rsidRPr="003A16F9" w:rsidRDefault="00CA3D64" w:rsidP="00DE1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Циљaна вредност у години 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135C5FE" w14:textId="77777777" w:rsidR="00CA3D64" w:rsidRPr="003A16F9" w:rsidRDefault="00CA3D64" w:rsidP="00DE1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Циљaна вредност у години 2022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8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6F97976" w14:textId="77777777" w:rsidR="00CA3D64" w:rsidRPr="003A16F9" w:rsidRDefault="00CA3D64" w:rsidP="00DE1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Циљaна вредност у години 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A3D64" w:rsidRPr="003A16F9" w14:paraId="7A6AFC21" w14:textId="77777777" w:rsidTr="00602100">
        <w:trPr>
          <w:trHeight w:val="254"/>
        </w:trPr>
        <w:tc>
          <w:tcPr>
            <w:tcW w:w="11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A7F5FB" w14:textId="22028435" w:rsidR="00CA3D64" w:rsidRDefault="005F28C0" w:rsidP="00DE165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CA3D64">
              <w:rPr>
                <w:rFonts w:ascii="Times New Roman" w:hAnsi="Times New Roman" w:cs="Times New Roman"/>
                <w:sz w:val="20"/>
                <w:szCs w:val="20"/>
              </w:rPr>
              <w:t>Број ново емитованих хартија од вредности које се котирају на берзи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дужничке хартије од вредности</w:t>
            </w:r>
          </w:p>
          <w:p w14:paraId="6130860C" w14:textId="50DDD9F4" w:rsidR="005F28C0" w:rsidRPr="003A16F9" w:rsidRDefault="005F28C0" w:rsidP="005F28C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Број ново емитованих хартија од вредности које се котирају на берзи – власничке хартије од вредности</w:t>
            </w:r>
          </w:p>
        </w:tc>
        <w:tc>
          <w:tcPr>
            <w:tcW w:w="4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D9366B5" w14:textId="77777777" w:rsidR="00CA3D64" w:rsidRPr="003A16F9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</w:p>
        </w:tc>
        <w:tc>
          <w:tcPr>
            <w:tcW w:w="5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AD7FA42" w14:textId="30EA0FBC" w:rsidR="00CA3D64" w:rsidRPr="003A16F9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ББ, ЦРХоВ</w:t>
            </w:r>
            <w:r w:rsidR="00CC74F6">
              <w:rPr>
                <w:rFonts w:ascii="Times New Roman" w:hAnsi="Times New Roman" w:cs="Times New Roman"/>
                <w:sz w:val="20"/>
                <w:szCs w:val="20"/>
              </w:rPr>
              <w:t>, Министарство финансија</w:t>
            </w:r>
          </w:p>
        </w:tc>
        <w:tc>
          <w:tcPr>
            <w:tcW w:w="66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EC389C4" w14:textId="747DDB60" w:rsidR="00CA3D64" w:rsidRDefault="005F28C0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A03C71">
              <w:rPr>
                <w:rFonts w:ascii="Times New Roman" w:hAnsi="Times New Roman" w:cs="Times New Roman"/>
                <w:sz w:val="20"/>
                <w:szCs w:val="20"/>
              </w:rPr>
              <w:t>15*</w:t>
            </w:r>
          </w:p>
          <w:p w14:paraId="1A4DB539" w14:textId="77777777" w:rsidR="00146B45" w:rsidRDefault="00146B45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C814C3" w14:textId="77777777" w:rsidR="00146B45" w:rsidRDefault="00146B45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2700C9" w14:textId="77777777" w:rsidR="00146B45" w:rsidRDefault="00146B45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87AEA" w14:textId="55F33AE3" w:rsidR="00A03C71" w:rsidRPr="003A16F9" w:rsidRDefault="005F28C0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A03C71">
              <w:rPr>
                <w:rFonts w:ascii="Times New Roman" w:hAnsi="Times New Roman" w:cs="Times New Roman"/>
                <w:sz w:val="20"/>
                <w:szCs w:val="20"/>
              </w:rPr>
              <w:t>3**</w:t>
            </w:r>
          </w:p>
        </w:tc>
        <w:tc>
          <w:tcPr>
            <w:tcW w:w="4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801AAD" w14:textId="77777777" w:rsidR="00CA3D64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  <w:p w14:paraId="10BA016E" w14:textId="77777777" w:rsidR="00146B45" w:rsidRDefault="00146B45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476A2" w14:textId="77777777" w:rsidR="00146B45" w:rsidRDefault="00146B45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F8BF38" w14:textId="77777777" w:rsidR="00146B45" w:rsidRDefault="00146B45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8C5D7A" w14:textId="1B0E9F0F" w:rsidR="00CA3D64" w:rsidRPr="003A16F9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64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EAEA42" w14:textId="107CE2EB" w:rsidR="00CA3D64" w:rsidRPr="00A810EC" w:rsidRDefault="005F28C0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A810EC" w:rsidRPr="00A810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6F8E785E" w14:textId="77777777" w:rsidR="00146B45" w:rsidRDefault="00146B45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F16F50" w14:textId="77777777" w:rsidR="00146B45" w:rsidRDefault="00146B45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94FF0B" w14:textId="77777777" w:rsidR="00146B45" w:rsidRDefault="00146B45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29D71E" w14:textId="1445D8A5" w:rsidR="00CA3D64" w:rsidRPr="003222BB" w:rsidRDefault="005F28C0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D649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B2E7E87" w14:textId="183600B3" w:rsidR="00CA3D64" w:rsidRPr="00B517CC" w:rsidRDefault="005F28C0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7CC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B517CC" w:rsidRPr="00B517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5C456010" w14:textId="77777777" w:rsidR="00146B45" w:rsidRPr="00B517CC" w:rsidRDefault="00146B45" w:rsidP="001940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FC1921" w14:textId="77777777" w:rsidR="00146B45" w:rsidRPr="00B517CC" w:rsidRDefault="00146B45" w:rsidP="001940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4315F7" w14:textId="77777777" w:rsidR="00146B45" w:rsidRPr="00B517CC" w:rsidRDefault="00146B45" w:rsidP="001940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B8D8B5" w14:textId="079481C5" w:rsidR="00CA3D64" w:rsidRPr="009B1C75" w:rsidRDefault="005F28C0" w:rsidP="001940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17CC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D649EF" w:rsidRPr="00B517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5E8586" w14:textId="2F875C9C" w:rsidR="00CA3D64" w:rsidRPr="00B517CC" w:rsidRDefault="005F28C0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7CC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B517CC" w:rsidRPr="00B517C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  <w:p w14:paraId="045F3294" w14:textId="77777777" w:rsidR="00146B45" w:rsidRPr="00B517CC" w:rsidRDefault="00146B45" w:rsidP="001940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532F8B" w14:textId="77777777" w:rsidR="00146B45" w:rsidRPr="00B517CC" w:rsidRDefault="00146B45" w:rsidP="001940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A0E911" w14:textId="77777777" w:rsidR="00146B45" w:rsidRPr="00B517CC" w:rsidRDefault="00146B45" w:rsidP="001940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5437E" w14:textId="6E33B68C" w:rsidR="00CA3D64" w:rsidRPr="009B1C75" w:rsidRDefault="005F28C0" w:rsidP="001940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17CC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B517CC" w:rsidRPr="00B517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A3D64" w:rsidRPr="003A16F9" w14:paraId="090E1EFC" w14:textId="77777777" w:rsidTr="00602100">
        <w:trPr>
          <w:trHeight w:val="254"/>
        </w:trPr>
        <w:tc>
          <w:tcPr>
            <w:tcW w:w="11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5578980" w14:textId="77777777" w:rsidR="00CA3D64" w:rsidRDefault="00CA3D64" w:rsidP="00DE165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Увођење нових категорија производа и услуга на тржиште капитала</w:t>
            </w:r>
          </w:p>
        </w:tc>
        <w:tc>
          <w:tcPr>
            <w:tcW w:w="4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A42FC18" w14:textId="77777777" w:rsidR="00CA3D64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</w:p>
        </w:tc>
        <w:tc>
          <w:tcPr>
            <w:tcW w:w="5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CE03A7" w14:textId="77777777" w:rsidR="00CA3D64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ББ</w:t>
            </w:r>
          </w:p>
        </w:tc>
        <w:tc>
          <w:tcPr>
            <w:tcW w:w="66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86EFCD4" w14:textId="77777777" w:rsidR="00CA3D64" w:rsidRPr="003A16F9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E61EB7" w14:textId="77777777" w:rsidR="00CA3D64" w:rsidRPr="003A16F9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64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B353A2F" w14:textId="77777777" w:rsidR="00CA3D64" w:rsidRPr="00BD70C3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0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405DF8A" w14:textId="77777777" w:rsidR="00CA3D64" w:rsidRPr="00BD70C3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05D6907" w14:textId="77777777" w:rsidR="00CA3D64" w:rsidRPr="00BD70C3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0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931EB7" w14:textId="77777777" w:rsidR="00CA3D64" w:rsidRPr="00BD70C3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0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A3D64" w:rsidRPr="003A16F9" w14:paraId="35E78F18" w14:textId="77777777" w:rsidTr="00602100">
        <w:trPr>
          <w:trHeight w:val="254"/>
        </w:trPr>
        <w:tc>
          <w:tcPr>
            <w:tcW w:w="1129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7DC76E7A" w14:textId="77777777" w:rsidR="00CA3D64" w:rsidRDefault="00CA3D64" w:rsidP="00DE165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Повећана тржишна капитализација</w:t>
            </w:r>
          </w:p>
        </w:tc>
        <w:tc>
          <w:tcPr>
            <w:tcW w:w="425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66E642B7" w14:textId="77777777" w:rsidR="00CA3D64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059">
              <w:rPr>
                <w:rFonts w:ascii="Times New Roman" w:hAnsi="Times New Roman" w:cs="Times New Roman"/>
                <w:sz w:val="20"/>
                <w:szCs w:val="20"/>
              </w:rPr>
              <w:t>Апсолутна вредност</w:t>
            </w:r>
          </w:p>
        </w:tc>
        <w:tc>
          <w:tcPr>
            <w:tcW w:w="551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2A9A6530" w14:textId="77777777" w:rsidR="00CA3D64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ББ</w:t>
            </w:r>
          </w:p>
        </w:tc>
        <w:tc>
          <w:tcPr>
            <w:tcW w:w="664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30EF1977" w14:textId="152AF2CF" w:rsidR="00CA3D64" w:rsidRPr="008B1EE3" w:rsidRDefault="008B1EE3" w:rsidP="008B1E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EE3">
              <w:rPr>
                <w:rFonts w:ascii="Times New Roman" w:hAnsi="Times New Roman" w:cs="Times New Roman"/>
                <w:sz w:val="20"/>
                <w:szCs w:val="20"/>
              </w:rPr>
              <w:t>523,4 милијарде</w:t>
            </w:r>
            <w:r w:rsidR="004520E5">
              <w:rPr>
                <w:rFonts w:ascii="Times New Roman" w:hAnsi="Times New Roman" w:cs="Times New Roman"/>
                <w:sz w:val="20"/>
                <w:szCs w:val="20"/>
              </w:rPr>
              <w:t xml:space="preserve"> динара</w:t>
            </w:r>
          </w:p>
        </w:tc>
        <w:tc>
          <w:tcPr>
            <w:tcW w:w="40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5FB0B0F6" w14:textId="77777777" w:rsidR="00CA3D64" w:rsidRPr="008B1EE3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EE3"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  <w:p w14:paraId="1881C794" w14:textId="52F3A8D6" w:rsidR="00CA3D64" w:rsidRPr="008B1EE3" w:rsidRDefault="00CA3D64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45D2360F" w14:textId="477AEC43" w:rsidR="00CA3D64" w:rsidRPr="008B1EE3" w:rsidRDefault="008B1EE3" w:rsidP="00A1112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EE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A111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B1EE3">
              <w:rPr>
                <w:rFonts w:ascii="Times New Roman" w:hAnsi="Times New Roman" w:cs="Times New Roman"/>
                <w:sz w:val="20"/>
                <w:szCs w:val="20"/>
              </w:rPr>
              <w:t xml:space="preserve"> милијарде</w:t>
            </w:r>
            <w:r w:rsidR="004520E5">
              <w:rPr>
                <w:rFonts w:ascii="Times New Roman" w:hAnsi="Times New Roman" w:cs="Times New Roman"/>
                <w:sz w:val="20"/>
                <w:szCs w:val="20"/>
              </w:rPr>
              <w:t xml:space="preserve"> динара</w:t>
            </w:r>
          </w:p>
        </w:tc>
        <w:tc>
          <w:tcPr>
            <w:tcW w:w="60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78CD3F3A" w14:textId="58001AD9" w:rsidR="00CA3D64" w:rsidRPr="009B1C75" w:rsidRDefault="004520E5" w:rsidP="004520E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="005215AD" w:rsidRPr="008B1EE3">
              <w:rPr>
                <w:rFonts w:ascii="Times New Roman" w:hAnsi="Times New Roman" w:cs="Times New Roman"/>
                <w:sz w:val="20"/>
                <w:szCs w:val="20"/>
              </w:rPr>
              <w:t xml:space="preserve"> милијард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динара</w:t>
            </w:r>
            <w:r w:rsidR="005215AD" w:rsidRPr="009B1C7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568" w:type="pct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BC594BB" w14:textId="61B6453A" w:rsidR="00CA3D64" w:rsidRPr="009B1C75" w:rsidRDefault="004520E5" w:rsidP="00DE165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  <w:r w:rsidR="005215AD" w:rsidRPr="008B1EE3">
              <w:rPr>
                <w:rFonts w:ascii="Times New Roman" w:hAnsi="Times New Roman" w:cs="Times New Roman"/>
                <w:sz w:val="20"/>
                <w:szCs w:val="20"/>
              </w:rPr>
              <w:t xml:space="preserve"> милијарде</w:t>
            </w:r>
            <w:r w:rsidR="005215AD" w:rsidRPr="009B1C7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4520E5">
              <w:rPr>
                <w:rFonts w:ascii="Times New Roman" w:hAnsi="Times New Roman" w:cs="Times New Roman"/>
                <w:sz w:val="20"/>
                <w:szCs w:val="20"/>
              </w:rPr>
              <w:t>динара</w:t>
            </w:r>
          </w:p>
        </w:tc>
      </w:tr>
    </w:tbl>
    <w:p w14:paraId="474623F4" w14:textId="2D9FD24F" w:rsidR="0092540C" w:rsidRDefault="0092540C" w:rsidP="001E361F">
      <w:pPr>
        <w:tabs>
          <w:tab w:val="left" w:pos="1940"/>
        </w:tabs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14:paraId="6753DD2A" w14:textId="77777777" w:rsidR="004170BE" w:rsidRPr="0023180F" w:rsidRDefault="004170BE" w:rsidP="001E361F">
      <w:pPr>
        <w:tabs>
          <w:tab w:val="left" w:pos="1940"/>
        </w:tabs>
        <w:spacing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094"/>
        <w:gridCol w:w="1701"/>
        <w:gridCol w:w="1559"/>
        <w:gridCol w:w="701"/>
        <w:gridCol w:w="1000"/>
        <w:gridCol w:w="1491"/>
        <w:gridCol w:w="1139"/>
        <w:gridCol w:w="1530"/>
        <w:gridCol w:w="1652"/>
      </w:tblGrid>
      <w:tr w:rsidR="00CD5678" w:rsidRPr="003A16F9" w14:paraId="2EE09810" w14:textId="77777777" w:rsidTr="007B40A7">
        <w:trPr>
          <w:trHeight w:val="168"/>
        </w:trPr>
        <w:tc>
          <w:tcPr>
            <w:tcW w:w="13867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F0D8DC2" w14:textId="77E59295" w:rsidR="00CD5678" w:rsidRPr="003A16F9" w:rsidRDefault="00CD5678" w:rsidP="007B40A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Мера 2.</w:t>
            </w:r>
            <w:r w:rsidR="00074772" w:rsidRPr="003A16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1545B2">
              <w:rPr>
                <w:rFonts w:ascii="Times New Roman" w:eastAsia="Calibri" w:hAnsi="Times New Roman" w:cs="Times New Roman"/>
                <w:sz w:val="20"/>
                <w:szCs w:val="20"/>
              </w:rPr>
              <w:t>Увођење нових инвестиционих производа и издавалаца на домаће тржиште капитала</w:t>
            </w:r>
          </w:p>
          <w:p w14:paraId="46045292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678" w:rsidRPr="003A16F9" w14:paraId="357FE28B" w14:textId="77777777" w:rsidTr="007B40A7">
        <w:trPr>
          <w:trHeight w:val="298"/>
        </w:trPr>
        <w:tc>
          <w:tcPr>
            <w:tcW w:w="1386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9365C4D" w14:textId="70993D5C" w:rsidR="00CD5678" w:rsidRPr="003A16F9" w:rsidRDefault="00CD5678" w:rsidP="006A5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Орган одговоран за спровођење (координисање спровођења) </w:t>
            </w:r>
            <w:r w:rsidRPr="00B13F05">
              <w:rPr>
                <w:rFonts w:ascii="Times New Roman" w:hAnsi="Times New Roman" w:cs="Times New Roman"/>
                <w:sz w:val="20"/>
                <w:szCs w:val="20"/>
              </w:rPr>
              <w:t>мере: М</w:t>
            </w:r>
            <w:r w:rsidRPr="00B13F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инистарство </w:t>
            </w:r>
            <w:r w:rsidR="006A512F" w:rsidRPr="00B13F05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финансија, Београдска берза</w:t>
            </w:r>
          </w:p>
        </w:tc>
      </w:tr>
      <w:tr w:rsidR="00CD5678" w:rsidRPr="003A16F9" w14:paraId="6B43873E" w14:textId="77777777" w:rsidTr="007B40A7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622CFFB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Период спровођења: 2021-2023</w:t>
            </w:r>
          </w:p>
        </w:tc>
        <w:tc>
          <w:tcPr>
            <w:tcW w:w="68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0918FBA" w14:textId="2BC8D03E" w:rsidR="00CD5678" w:rsidRPr="003A16F9" w:rsidRDefault="00CD5678" w:rsidP="008F6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Pr="00C428B2">
              <w:rPr>
                <w:rFonts w:ascii="Times New Roman" w:hAnsi="Times New Roman" w:cs="Times New Roman"/>
                <w:sz w:val="20"/>
                <w:szCs w:val="20"/>
              </w:rPr>
              <w:t xml:space="preserve">мере: </w:t>
            </w:r>
            <w:r w:rsidR="00F91241" w:rsidRPr="00C428B2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C428B2">
              <w:rPr>
                <w:rFonts w:ascii="Times New Roman" w:eastAsia="Calibri" w:hAnsi="Times New Roman" w:cs="Times New Roman"/>
                <w:sz w:val="20"/>
                <w:szCs w:val="20"/>
              </w:rPr>
              <w:t>нституционално</w:t>
            </w:r>
            <w:r w:rsidR="008F6DDA" w:rsidRPr="00C428B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428B2">
              <w:rPr>
                <w:rFonts w:ascii="Times New Roman" w:eastAsia="Calibri" w:hAnsi="Times New Roman" w:cs="Times New Roman"/>
                <w:sz w:val="20"/>
                <w:szCs w:val="20"/>
              </w:rPr>
              <w:t>управљачк</w:t>
            </w:r>
            <w:r w:rsidR="006731C2" w:rsidRPr="00C428B2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8F6DDA" w:rsidRPr="00C428B2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6731C2" w:rsidRPr="00C428B2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организациона</w:t>
            </w:r>
            <w:r w:rsidRPr="003A16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157" w:rsidRPr="003A16F9" w14:paraId="58A65641" w14:textId="77777777" w:rsidTr="007B40A7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DA72D5B" w14:textId="7AC44A1C" w:rsidR="008B7157" w:rsidRPr="003A16F9" w:rsidRDefault="008B7157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29">
              <w:rPr>
                <w:rFonts w:ascii="Times New Roman" w:hAnsi="Times New Roman" w:cs="Times New Roman"/>
                <w:sz w:val="20"/>
                <w:szCs w:val="20"/>
              </w:rPr>
              <w:t>Прописи које је потребно изменити/усвојити за спровођење мере:</w:t>
            </w:r>
          </w:p>
        </w:tc>
        <w:tc>
          <w:tcPr>
            <w:tcW w:w="68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183CEEE" w14:textId="7B43810D" w:rsidR="008B7157" w:rsidRPr="003A16F9" w:rsidRDefault="00B7243D" w:rsidP="00C752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CD5678" w:rsidRPr="003A16F9" w14:paraId="0230B9B5" w14:textId="77777777" w:rsidTr="008C34B1">
        <w:trPr>
          <w:trHeight w:val="950"/>
        </w:trPr>
        <w:tc>
          <w:tcPr>
            <w:tcW w:w="309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A849F7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Показатељ(и)  на нивоу мере (показатељ резултата)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B2A5217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Jединица мере</w:t>
            </w:r>
          </w:p>
          <w:p w14:paraId="719BE929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54CBB91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провере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BC44BEA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Почетна вредност </w:t>
            </w:r>
          </w:p>
        </w:tc>
        <w:tc>
          <w:tcPr>
            <w:tcW w:w="149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4A15095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Базна година</w:t>
            </w:r>
          </w:p>
        </w:tc>
        <w:tc>
          <w:tcPr>
            <w:tcW w:w="113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B9D58A5" w14:textId="6DCE371F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2021</w:t>
            </w:r>
            <w:r w:rsidR="004A7F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E5E76B9" w14:textId="3B99FD50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2022</w:t>
            </w:r>
            <w:r w:rsidR="004A7F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8FD8DAC" w14:textId="424D20C5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2023</w:t>
            </w:r>
            <w:r w:rsidR="004A7F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D5678" w:rsidRPr="003A16F9" w14:paraId="6AEEECC7" w14:textId="77777777" w:rsidTr="008C34B1">
        <w:trPr>
          <w:trHeight w:val="302"/>
        </w:trPr>
        <w:tc>
          <w:tcPr>
            <w:tcW w:w="309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BE4F3B3" w14:textId="05D064EC" w:rsidR="00F310EE" w:rsidRDefault="00F310EE" w:rsidP="00F310E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A2025E" w:rsidRPr="00F310EE">
              <w:rPr>
                <w:rFonts w:ascii="Times New Roman" w:hAnsi="Times New Roman" w:cs="Times New Roman"/>
                <w:sz w:val="20"/>
                <w:szCs w:val="20"/>
              </w:rPr>
              <w:t>Број новолистираних хартија од вредности које се котирају на берзи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(дужничке хартије од вредности) и вредност нових емисија</w:t>
            </w:r>
          </w:p>
          <w:p w14:paraId="22510D67" w14:textId="36617EA0" w:rsidR="00F310EE" w:rsidRPr="00F310EE" w:rsidRDefault="00F310EE" w:rsidP="00F310E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864FF7">
              <w:rPr>
                <w:rFonts w:ascii="Times New Roman" w:hAnsi="Times New Roman" w:cs="Times New Roman"/>
                <w:sz w:val="20"/>
                <w:szCs w:val="20"/>
              </w:rPr>
              <w:t>Број ново</w:t>
            </w:r>
            <w:r w:rsidRPr="00F310EE">
              <w:rPr>
                <w:rFonts w:ascii="Times New Roman" w:hAnsi="Times New Roman" w:cs="Times New Roman"/>
                <w:sz w:val="20"/>
                <w:szCs w:val="20"/>
              </w:rPr>
              <w:t>листираних хартија од вредности које се котирају на берзи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(власничке хартије од вредности) и вредност нових емисија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AFB5D4E" w14:textId="2DCFD84B" w:rsidR="00CD5678" w:rsidRDefault="00A2025E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r w:rsidR="00F310EE">
              <w:rPr>
                <w:rFonts w:ascii="Times New Roman" w:hAnsi="Times New Roman" w:cs="Times New Roman"/>
                <w:sz w:val="20"/>
                <w:szCs w:val="20"/>
              </w:rPr>
              <w:t xml:space="preserve"> и вредност</w:t>
            </w:r>
          </w:p>
          <w:p w14:paraId="63E6C5DB" w14:textId="77777777" w:rsidR="00F310EE" w:rsidRDefault="00F310EE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7BE830" w14:textId="4ACB0D02" w:rsidR="00F310EE" w:rsidRPr="003A16F9" w:rsidRDefault="00F310EE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E8733A9" w14:textId="4B0EEDA0" w:rsidR="00CD5678" w:rsidRPr="003A16F9" w:rsidRDefault="00A2025E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ББ</w:t>
            </w:r>
            <w:r w:rsidR="00B077E0">
              <w:rPr>
                <w:rFonts w:ascii="Times New Roman" w:hAnsi="Times New Roman" w:cs="Times New Roman"/>
                <w:sz w:val="20"/>
                <w:szCs w:val="20"/>
              </w:rPr>
              <w:t>, Министарство финансија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73425547" w14:textId="2226FD4F" w:rsidR="00CD5678" w:rsidRDefault="00F310EE" w:rsidP="00F310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9247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14:paraId="0FB1616A" w14:textId="77777777" w:rsidR="00C1000D" w:rsidRDefault="00C1000D" w:rsidP="00F310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4C0E11" w14:textId="77777777" w:rsidR="00C1000D" w:rsidRDefault="00C1000D" w:rsidP="00F310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5860F6" w14:textId="77777777" w:rsidR="00C1000D" w:rsidRDefault="00C1000D" w:rsidP="00F310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68540F" w14:textId="77777777" w:rsidR="00C1000D" w:rsidRDefault="00C1000D" w:rsidP="00F310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5930A" w14:textId="615A11C3" w:rsidR="009247F4" w:rsidRPr="003A16F9" w:rsidRDefault="00F310EE" w:rsidP="00F310E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9247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977E209" w14:textId="77777777" w:rsidR="00CD5678" w:rsidRDefault="00CD5678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  <w:p w14:paraId="553BE6A8" w14:textId="77777777" w:rsidR="00C1000D" w:rsidRDefault="00C1000D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FEE361" w14:textId="77777777" w:rsidR="00C1000D" w:rsidRDefault="00C1000D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C636C4" w14:textId="77777777" w:rsidR="00C1000D" w:rsidRDefault="00C1000D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8678D3" w14:textId="77777777" w:rsidR="00C1000D" w:rsidRDefault="00C1000D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76CCC2" w14:textId="3C516B19" w:rsidR="009247F4" w:rsidRPr="003A16F9" w:rsidRDefault="009247F4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113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03AC579" w14:textId="77777777" w:rsidR="00CD5678" w:rsidRDefault="00C1000D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9247F4" w:rsidRPr="009247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CF43E24" w14:textId="77777777" w:rsidR="00C1000D" w:rsidRDefault="00C1000D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D8301" w14:textId="77777777" w:rsidR="00C1000D" w:rsidRDefault="00C1000D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96EFB3" w14:textId="77777777" w:rsidR="00C1000D" w:rsidRDefault="00C1000D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3B270A" w14:textId="77777777" w:rsidR="00C1000D" w:rsidRDefault="00C1000D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CD1882" w14:textId="0DFDBD25" w:rsidR="00C1000D" w:rsidRDefault="00C1000D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0</w:t>
            </w:r>
          </w:p>
          <w:p w14:paraId="64A0A587" w14:textId="77777777" w:rsidR="00C1000D" w:rsidRDefault="00C1000D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9A1E6C" w14:textId="7388DD59" w:rsidR="00C1000D" w:rsidRPr="00283E11" w:rsidRDefault="00C1000D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632F5E" w14:textId="4DB8BAD2" w:rsidR="00CD5678" w:rsidRPr="00A76F5A" w:rsidRDefault="00F310EE" w:rsidP="007B40A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76F5A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676E71" w:rsidRPr="00A76F5A">
              <w:rPr>
                <w:rFonts w:ascii="Times New Roman" w:hAnsi="Times New Roman" w:cs="Times New Roman"/>
                <w:sz w:val="20"/>
                <w:szCs w:val="20"/>
              </w:rPr>
              <w:t xml:space="preserve">Број1 </w:t>
            </w:r>
            <w:r w:rsidR="008F78DF">
              <w:rPr>
                <w:rFonts w:ascii="Times New Roman" w:hAnsi="Times New Roman" w:cs="Times New Roman"/>
                <w:sz w:val="20"/>
                <w:szCs w:val="20"/>
              </w:rPr>
              <w:t xml:space="preserve">Вредност </w:t>
            </w:r>
            <w:r w:rsidR="00A27784" w:rsidRPr="00A76F5A">
              <w:rPr>
                <w:rFonts w:ascii="Times New Roman" w:hAnsi="Times New Roman" w:cs="Times New Roman"/>
                <w:sz w:val="20"/>
                <w:szCs w:val="20"/>
              </w:rPr>
              <w:t xml:space="preserve">20.000.000.000 </w:t>
            </w:r>
          </w:p>
          <w:p w14:paraId="6289152F" w14:textId="77777777" w:rsidR="008C1C82" w:rsidRPr="00A76F5A" w:rsidRDefault="008C1C82" w:rsidP="009247F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0F771F" w14:textId="19FE2FA1" w:rsidR="008C1C82" w:rsidRPr="00A76F5A" w:rsidRDefault="008C1C82" w:rsidP="009247F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75E624" w14:textId="77777777" w:rsidR="008C34B1" w:rsidRPr="00A76F5A" w:rsidRDefault="008C34B1" w:rsidP="009247F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718FEE" w14:textId="05FD50E1" w:rsidR="008C34B1" w:rsidRDefault="00F310EE" w:rsidP="009247F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76F5A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8C34B1" w:rsidRPr="00A76F5A">
              <w:rPr>
                <w:rFonts w:ascii="Times New Roman" w:hAnsi="Times New Roman" w:cs="Times New Roman"/>
                <w:sz w:val="20"/>
                <w:szCs w:val="20"/>
              </w:rPr>
              <w:t xml:space="preserve"> Број 1</w:t>
            </w:r>
          </w:p>
          <w:p w14:paraId="62146B2D" w14:textId="138FE6F5" w:rsidR="008F78DF" w:rsidRPr="00A76F5A" w:rsidRDefault="008F78DF" w:rsidP="009247F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</w:p>
          <w:p w14:paraId="468DD719" w14:textId="56F75024" w:rsidR="009247F4" w:rsidRPr="00A76F5A" w:rsidRDefault="008C34B1" w:rsidP="008C34B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76F5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9247F4" w:rsidRPr="00A76F5A">
              <w:rPr>
                <w:rFonts w:ascii="Times New Roman" w:hAnsi="Times New Roman" w:cs="Times New Roman"/>
                <w:sz w:val="20"/>
                <w:szCs w:val="20"/>
              </w:rPr>
              <w:t>.000.000.000</w:t>
            </w:r>
          </w:p>
        </w:tc>
        <w:tc>
          <w:tcPr>
            <w:tcW w:w="165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B9578E" w14:textId="121A8F51" w:rsidR="008C34B1" w:rsidRPr="00A76F5A" w:rsidRDefault="00F310EE" w:rsidP="006A5DC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76F5A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8C34B1" w:rsidRPr="00A76F5A">
              <w:rPr>
                <w:rFonts w:ascii="Times New Roman" w:hAnsi="Times New Roman" w:cs="Times New Roman"/>
                <w:sz w:val="20"/>
                <w:szCs w:val="20"/>
              </w:rPr>
              <w:t>Број 4</w:t>
            </w:r>
          </w:p>
          <w:p w14:paraId="64503C4B" w14:textId="20F878C0" w:rsidR="00CD5678" w:rsidRPr="00A76F5A" w:rsidRDefault="008F78DF" w:rsidP="006A5DC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Вредност </w:t>
            </w:r>
            <w:r w:rsidR="00A76F5A" w:rsidRPr="00A76F5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6A5DCA" w:rsidRPr="00A76F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76F5A" w:rsidRPr="00A76F5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6A5DCA" w:rsidRPr="00A76F5A">
              <w:rPr>
                <w:rFonts w:ascii="Times New Roman" w:hAnsi="Times New Roman" w:cs="Times New Roman"/>
                <w:sz w:val="20"/>
                <w:szCs w:val="20"/>
              </w:rPr>
              <w:t>0.000.000</w:t>
            </w:r>
          </w:p>
          <w:p w14:paraId="34B32D92" w14:textId="77777777" w:rsidR="008C1C82" w:rsidRPr="00A76F5A" w:rsidRDefault="008C1C82" w:rsidP="006A5DC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2B7C8A" w14:textId="6AEAF512" w:rsidR="008C1C82" w:rsidRPr="00A76F5A" w:rsidRDefault="008C1C82" w:rsidP="006A5DC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C8A38E" w14:textId="77777777" w:rsidR="008C34B1" w:rsidRPr="00A76F5A" w:rsidRDefault="008C34B1" w:rsidP="006A5DC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3DC6C" w14:textId="77777777" w:rsidR="008C34B1" w:rsidRPr="00A76F5A" w:rsidRDefault="00F310EE" w:rsidP="006A5DC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76F5A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8C34B1" w:rsidRPr="00A76F5A">
              <w:rPr>
                <w:rFonts w:ascii="Times New Roman" w:hAnsi="Times New Roman" w:cs="Times New Roman"/>
                <w:sz w:val="20"/>
                <w:szCs w:val="20"/>
              </w:rPr>
              <w:t>Број 2</w:t>
            </w:r>
          </w:p>
          <w:p w14:paraId="0DDABA7D" w14:textId="1C71A760" w:rsidR="008F78DF" w:rsidRDefault="008F78DF" w:rsidP="008C34B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Вредност</w:t>
            </w:r>
          </w:p>
          <w:p w14:paraId="4A81A6F5" w14:textId="56FEF3C5" w:rsidR="006A5DCA" w:rsidRPr="00A76F5A" w:rsidRDefault="00521F2D" w:rsidP="008C34B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76F5A">
              <w:rPr>
                <w:rFonts w:ascii="Times New Roman" w:hAnsi="Times New Roman" w:cs="Times New Roman"/>
                <w:sz w:val="20"/>
                <w:szCs w:val="20"/>
              </w:rPr>
              <w:t>200.000.000.000</w:t>
            </w:r>
          </w:p>
        </w:tc>
      </w:tr>
    </w:tbl>
    <w:p w14:paraId="5709BC4B" w14:textId="77777777" w:rsidR="00F310EE" w:rsidRDefault="00F310EE" w:rsidP="00CD567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74"/>
        <w:gridCol w:w="2785"/>
        <w:gridCol w:w="3080"/>
        <w:gridCol w:w="2345"/>
        <w:gridCol w:w="1983"/>
      </w:tblGrid>
      <w:tr w:rsidR="00CD5678" w:rsidRPr="003A16F9" w14:paraId="0CC33BE1" w14:textId="77777777" w:rsidTr="007B40A7">
        <w:trPr>
          <w:trHeight w:val="227"/>
        </w:trPr>
        <w:tc>
          <w:tcPr>
            <w:tcW w:w="367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6FCA3B9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финансирања мере</w:t>
            </w:r>
          </w:p>
          <w:p w14:paraId="6521D98E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EA40542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Веза са програмским буџетом</w:t>
            </w:r>
          </w:p>
          <w:p w14:paraId="556AABA9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84867CE" w14:textId="60B9F38F" w:rsidR="00CD5678" w:rsidRPr="003A16F9" w:rsidRDefault="00CD5678" w:rsidP="00A17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Укупна процењена финансијска средства у дин.</w:t>
            </w:r>
            <w:r w:rsidRPr="003A16F9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D5678" w:rsidRPr="003A16F9" w14:paraId="38BA0BEB" w14:textId="77777777" w:rsidTr="007B40A7">
        <w:trPr>
          <w:trHeight w:val="227"/>
        </w:trPr>
        <w:tc>
          <w:tcPr>
            <w:tcW w:w="367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8DCEBE6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E52A322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3491B42" w14:textId="0A09164B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2021</w:t>
            </w:r>
            <w:r w:rsidR="00A20E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6A76686" w14:textId="36967F84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2022</w:t>
            </w:r>
            <w:r w:rsidR="00A20E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F1521B0" w14:textId="400954D2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2023</w:t>
            </w:r>
            <w:r w:rsidR="00A20E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12F8E" w:rsidRPr="003A16F9" w14:paraId="4A897F00" w14:textId="77777777" w:rsidTr="007B40A7">
        <w:trPr>
          <w:trHeight w:val="398"/>
        </w:trPr>
        <w:tc>
          <w:tcPr>
            <w:tcW w:w="36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9EE0A9" w14:textId="7BE8F6F0" w:rsidR="00312F8E" w:rsidRPr="002F0A2D" w:rsidRDefault="00F57663" w:rsidP="009A6EC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Style w:val="PageNumber"/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r w:rsidR="00F21ADB">
              <w:rPr>
                <w:rStyle w:val="PageNumber"/>
                <w:rFonts w:ascii="Times New Roman" w:hAnsi="Times New Roman" w:cs="Times New Roman"/>
                <w:sz w:val="20"/>
                <w:szCs w:val="20"/>
              </w:rPr>
              <w:t>Светске банке, донаторска средства</w:t>
            </w:r>
            <w:r w:rsidR="009A6EC2">
              <w:rPr>
                <w:rStyle w:val="PageNumber"/>
                <w:rFonts w:ascii="Times New Roman" w:hAnsi="Times New Roman" w:cs="Times New Roman"/>
                <w:sz w:val="20"/>
                <w:szCs w:val="20"/>
              </w:rPr>
              <w:t>/Редовна средства буџета РС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163E118" w14:textId="01F2C304" w:rsidR="00312F8E" w:rsidRPr="00DB6705" w:rsidRDefault="00312F8E" w:rsidP="00A2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BF50C1" w14:textId="19BAC4DE" w:rsidR="00312F8E" w:rsidRPr="00DB670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C42B45" w14:textId="77777777" w:rsidR="00952BAB" w:rsidRDefault="00952BA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0989B97C" w14:textId="6C28142B" w:rsidR="00312F8E" w:rsidRPr="00952BAB" w:rsidRDefault="00952BA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89.390.000</w:t>
            </w:r>
          </w:p>
        </w:tc>
        <w:tc>
          <w:tcPr>
            <w:tcW w:w="198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EAFA02" w14:textId="77777777" w:rsidR="00F76069" w:rsidRDefault="00F76069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039D7476" w14:textId="1CFC3787" w:rsidR="00312F8E" w:rsidRPr="00952BAB" w:rsidRDefault="00952BA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616</w:t>
            </w:r>
            <w:r w:rsidR="00F7606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.550.000</w:t>
            </w:r>
          </w:p>
        </w:tc>
      </w:tr>
    </w:tbl>
    <w:p w14:paraId="17D9FC51" w14:textId="67D19AF5" w:rsidR="00CD5678" w:rsidRDefault="00CD5678" w:rsidP="00CD5678">
      <w:pPr>
        <w:rPr>
          <w:rFonts w:ascii="Times New Roman" w:hAnsi="Times New Roman" w:cs="Times New Roman"/>
          <w:sz w:val="20"/>
          <w:szCs w:val="20"/>
        </w:rPr>
      </w:pPr>
    </w:p>
    <w:p w14:paraId="6F328BE8" w14:textId="13D759B3" w:rsidR="007C7161" w:rsidRDefault="007C7161" w:rsidP="00CD5678">
      <w:pPr>
        <w:rPr>
          <w:rFonts w:ascii="Times New Roman" w:hAnsi="Times New Roman" w:cs="Times New Roman"/>
          <w:sz w:val="20"/>
          <w:szCs w:val="20"/>
        </w:rPr>
      </w:pPr>
    </w:p>
    <w:p w14:paraId="4798E7A4" w14:textId="77777777" w:rsidR="007C7161" w:rsidRDefault="007C7161" w:rsidP="00CD567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2337"/>
        <w:gridCol w:w="1521"/>
        <w:gridCol w:w="1618"/>
        <w:gridCol w:w="1185"/>
        <w:gridCol w:w="1521"/>
        <w:gridCol w:w="1343"/>
        <w:gridCol w:w="1449"/>
        <w:gridCol w:w="1441"/>
        <w:gridCol w:w="1463"/>
      </w:tblGrid>
      <w:tr w:rsidR="00CD5678" w:rsidRPr="003A16F9" w14:paraId="432BAF46" w14:textId="77777777" w:rsidTr="00054B8B">
        <w:trPr>
          <w:trHeight w:val="140"/>
        </w:trPr>
        <w:tc>
          <w:tcPr>
            <w:tcW w:w="84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0B176AF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Назив активности:</w:t>
            </w:r>
          </w:p>
        </w:tc>
        <w:tc>
          <w:tcPr>
            <w:tcW w:w="54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322E772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Орган који спроводи активност</w:t>
            </w:r>
          </w:p>
        </w:tc>
        <w:tc>
          <w:tcPr>
            <w:tcW w:w="58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D15F260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Oргани партнери у спровођењу активности</w:t>
            </w:r>
          </w:p>
        </w:tc>
        <w:tc>
          <w:tcPr>
            <w:tcW w:w="42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E0057A4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Рок за завршетак активности</w:t>
            </w:r>
          </w:p>
        </w:tc>
        <w:tc>
          <w:tcPr>
            <w:tcW w:w="54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E2F17B3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финансирања</w:t>
            </w:r>
          </w:p>
          <w:p w14:paraId="6FAD2828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0EA89BB" w14:textId="6444E2F9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Веза са програмским буџетом</w:t>
            </w:r>
          </w:p>
          <w:p w14:paraId="20B2A6DF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0B88DFC" w14:textId="04491067" w:rsidR="00CD5678" w:rsidRPr="003A16F9" w:rsidRDefault="00CD5678" w:rsidP="000A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Укупна процењена финансијска средства по изворима у дин.</w:t>
            </w:r>
            <w:r w:rsidRPr="003A16F9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D5678" w:rsidRPr="003A16F9" w14:paraId="35191CA9" w14:textId="77777777" w:rsidTr="00054B8B">
        <w:trPr>
          <w:trHeight w:val="665"/>
        </w:trPr>
        <w:tc>
          <w:tcPr>
            <w:tcW w:w="84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7DEFE924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vMerge/>
            <w:shd w:val="clear" w:color="auto" w:fill="FFF2CC" w:themeFill="accent4" w:themeFillTint="33"/>
          </w:tcPr>
          <w:p w14:paraId="77D01824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shd w:val="clear" w:color="auto" w:fill="FFF2CC" w:themeFill="accent4" w:themeFillTint="33"/>
          </w:tcPr>
          <w:p w14:paraId="053B05E8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  <w:shd w:val="clear" w:color="auto" w:fill="FFF2CC" w:themeFill="accent4" w:themeFillTint="33"/>
          </w:tcPr>
          <w:p w14:paraId="445E4D41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vMerge/>
            <w:shd w:val="clear" w:color="auto" w:fill="FFF2CC" w:themeFill="accent4" w:themeFillTint="33"/>
          </w:tcPr>
          <w:p w14:paraId="70C68463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0AD1B8A3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FFF2CC" w:themeFill="accent4" w:themeFillTint="33"/>
          </w:tcPr>
          <w:p w14:paraId="2AA503A2" w14:textId="6695D701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2021</w:t>
            </w:r>
            <w:r w:rsidR="00BF4D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9" w:type="pct"/>
            <w:shd w:val="clear" w:color="auto" w:fill="FFF2CC" w:themeFill="accent4" w:themeFillTint="33"/>
          </w:tcPr>
          <w:p w14:paraId="17891D18" w14:textId="1D3897BC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2022</w:t>
            </w:r>
            <w:r w:rsidR="00BF4D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7" w:type="pct"/>
            <w:shd w:val="clear" w:color="auto" w:fill="FFF2CC" w:themeFill="accent4" w:themeFillTint="33"/>
          </w:tcPr>
          <w:p w14:paraId="022DE0E3" w14:textId="2E4606E2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2023</w:t>
            </w:r>
            <w:r w:rsidR="00BF4D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12F8E" w:rsidRPr="003A16F9" w14:paraId="7BE6E739" w14:textId="77777777" w:rsidTr="00054B8B">
        <w:trPr>
          <w:trHeight w:val="140"/>
        </w:trPr>
        <w:tc>
          <w:tcPr>
            <w:tcW w:w="842" w:type="pct"/>
            <w:tcBorders>
              <w:left w:val="double" w:sz="4" w:space="0" w:color="auto"/>
            </w:tcBorders>
          </w:tcPr>
          <w:p w14:paraId="553C3061" w14:textId="44C4953F" w:rsidR="00312F8E" w:rsidRPr="003A16F9" w:rsidRDefault="00312F8E" w:rsidP="002F0A2D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  <w:r w:rsidRPr="003A16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F0A2D" w:rsidRPr="003C04D9">
              <w:rPr>
                <w:rFonts w:ascii="Times New Roman" w:hAnsi="Times New Roman" w:cs="Times New Roman"/>
                <w:sz w:val="20"/>
                <w:szCs w:val="20"/>
              </w:rPr>
              <w:t>Анализа ефеката спровођења ИПО ГО програма ББ у циљу сагледавања научених лекција које су резултирале у неуспеху овог програма</w:t>
            </w:r>
          </w:p>
        </w:tc>
        <w:tc>
          <w:tcPr>
            <w:tcW w:w="548" w:type="pct"/>
          </w:tcPr>
          <w:p w14:paraId="0118CE23" w14:textId="324D142E" w:rsidR="00312F8E" w:rsidRPr="003A16F9" w:rsidRDefault="002F0A2D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ББ</w:t>
            </w:r>
          </w:p>
        </w:tc>
        <w:tc>
          <w:tcPr>
            <w:tcW w:w="583" w:type="pct"/>
          </w:tcPr>
          <w:p w14:paraId="2FA8C079" w14:textId="4EF1C52F" w:rsidR="00312F8E" w:rsidRPr="003A16F9" w:rsidRDefault="002F0A2D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Мфин</w:t>
            </w:r>
          </w:p>
        </w:tc>
        <w:tc>
          <w:tcPr>
            <w:tcW w:w="427" w:type="pct"/>
          </w:tcPr>
          <w:p w14:paraId="77ECBECB" w14:textId="365B18F4" w:rsidR="00312F8E" w:rsidRPr="003A16F9" w:rsidRDefault="004472FD" w:rsidP="00174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1F0C4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742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F0C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8" w:type="pct"/>
          </w:tcPr>
          <w:p w14:paraId="592475E1" w14:textId="34E18D8F" w:rsidR="00312F8E" w:rsidRPr="00A341F3" w:rsidRDefault="00F21ADB" w:rsidP="00A341F3">
            <w:pPr>
              <w:pStyle w:val="BodyAAA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Донаторска средства</w:t>
            </w:r>
          </w:p>
          <w:p w14:paraId="1B4763DC" w14:textId="2A322690" w:rsidR="00312F8E" w:rsidRPr="002F0A2D" w:rsidRDefault="00312F8E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4" w:type="pct"/>
          </w:tcPr>
          <w:p w14:paraId="1CCEBCDA" w14:textId="64977651" w:rsidR="00312F8E" w:rsidRPr="00423AA2" w:rsidRDefault="00423AA2" w:rsidP="00423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7B8B9964" w14:textId="77777777" w:rsidR="00312F8E" w:rsidRPr="00DB670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888B8A" w14:textId="77777777" w:rsidR="00312F8E" w:rsidRPr="00DB670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2FA713" w14:textId="371E57E2" w:rsidR="00312F8E" w:rsidRPr="00DB6705" w:rsidRDefault="00F21AD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10C95EA3" w14:textId="77777777" w:rsidR="00312F8E" w:rsidRPr="00DB670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405EF8" w14:textId="77777777" w:rsidR="00312F8E" w:rsidRPr="00DB670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29605D" w14:textId="49555602" w:rsidR="00312F8E" w:rsidRPr="00DB6705" w:rsidRDefault="00CD41F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18.000.000</w:t>
            </w:r>
          </w:p>
        </w:tc>
        <w:tc>
          <w:tcPr>
            <w:tcW w:w="527" w:type="pct"/>
          </w:tcPr>
          <w:p w14:paraId="11C87A73" w14:textId="77777777" w:rsidR="00312F8E" w:rsidRPr="00DB670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0E41DA" w14:textId="77777777" w:rsidR="00312F8E" w:rsidRPr="00DB670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2AF2C" w14:textId="5A415108" w:rsidR="00312F8E" w:rsidRPr="00DB6705" w:rsidRDefault="00CD41F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33D9" w:rsidRPr="003A16F9" w14:paraId="5141C60A" w14:textId="77777777" w:rsidTr="00054B8B">
        <w:trPr>
          <w:trHeight w:val="2141"/>
        </w:trPr>
        <w:tc>
          <w:tcPr>
            <w:tcW w:w="842" w:type="pct"/>
            <w:tcBorders>
              <w:left w:val="double" w:sz="4" w:space="0" w:color="auto"/>
            </w:tcBorders>
          </w:tcPr>
          <w:p w14:paraId="29D2C412" w14:textId="0E26E04E" w:rsidR="001A33D9" w:rsidRPr="003A16F9" w:rsidRDefault="001A33D9" w:rsidP="0059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943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 xml:space="preserve">.2.  Успостављање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иницијативе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 xml:space="preserve"> за едукацију емитената хартија од вредности у Републици Србији у циљу повећања броја емисија (свих врста финансијских инструмената)</w:t>
            </w:r>
          </w:p>
        </w:tc>
        <w:tc>
          <w:tcPr>
            <w:tcW w:w="548" w:type="pct"/>
          </w:tcPr>
          <w:p w14:paraId="15B8BCC9" w14:textId="2C5BB489" w:rsidR="001A33D9" w:rsidRDefault="001A33D9" w:rsidP="00A341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A341F3">
              <w:rPr>
                <w:rFonts w:ascii="Times New Roman" w:eastAsia="Times New Roman" w:hAnsi="Times New Roman" w:cs="Times New Roman"/>
                <w:sz w:val="20"/>
                <w:szCs w:val="20"/>
              </w:rPr>
              <w:t>инистарство финансија</w:t>
            </w:r>
          </w:p>
        </w:tc>
        <w:tc>
          <w:tcPr>
            <w:tcW w:w="583" w:type="pct"/>
          </w:tcPr>
          <w:p w14:paraId="6B2F211E" w14:textId="3D24A602" w:rsidR="001A33D9" w:rsidRDefault="001A33D9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КХоВ, ББ, ЦРХоВ</w:t>
            </w:r>
          </w:p>
        </w:tc>
        <w:tc>
          <w:tcPr>
            <w:tcW w:w="427" w:type="pct"/>
          </w:tcPr>
          <w:p w14:paraId="0A165B49" w14:textId="4B300A40" w:rsidR="001A33D9" w:rsidRPr="003A16F9" w:rsidRDefault="004472FD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1F0C42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548" w:type="pct"/>
          </w:tcPr>
          <w:p w14:paraId="65987D59" w14:textId="27ED1371" w:rsidR="00A341F3" w:rsidRPr="00A341F3" w:rsidRDefault="00CD41FB" w:rsidP="00A341F3">
            <w:pPr>
              <w:pStyle w:val="BodyAAA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Светска банка</w:t>
            </w:r>
          </w:p>
          <w:p w14:paraId="16B8BBD7" w14:textId="77777777" w:rsidR="001A33D9" w:rsidRPr="002F0A2D" w:rsidRDefault="001A33D9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4" w:type="pct"/>
          </w:tcPr>
          <w:p w14:paraId="480AE30C" w14:textId="2B9D4D0E" w:rsidR="001A33D9" w:rsidRPr="00423AA2" w:rsidRDefault="00423AA2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64B5292F" w14:textId="66CF2D93" w:rsidR="001A33D9" w:rsidRPr="00DB6705" w:rsidRDefault="00CD41F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14F9EA83" w14:textId="677589B1" w:rsidR="001A33D9" w:rsidRPr="00DB6705" w:rsidRDefault="00CD41F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5.900.000</w:t>
            </w:r>
          </w:p>
        </w:tc>
        <w:tc>
          <w:tcPr>
            <w:tcW w:w="527" w:type="pct"/>
          </w:tcPr>
          <w:p w14:paraId="52A64F6C" w14:textId="2077A3DC" w:rsidR="001A33D9" w:rsidRPr="00DB6705" w:rsidRDefault="00CD41F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11.800.000</w:t>
            </w:r>
          </w:p>
        </w:tc>
      </w:tr>
      <w:tr w:rsidR="00084B57" w:rsidRPr="003A16F9" w14:paraId="7D26DBBE" w14:textId="77777777" w:rsidTr="00054B8B">
        <w:trPr>
          <w:trHeight w:val="140"/>
        </w:trPr>
        <w:tc>
          <w:tcPr>
            <w:tcW w:w="842" w:type="pct"/>
            <w:tcBorders>
              <w:left w:val="double" w:sz="4" w:space="0" w:color="auto"/>
            </w:tcBorders>
          </w:tcPr>
          <w:p w14:paraId="40D5DED0" w14:textId="67E73D0C" w:rsidR="00084B57" w:rsidRPr="003C04D9" w:rsidRDefault="00084B57" w:rsidP="0059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943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.3. Свеобухватна анализа и тржишно поређење трошкова и административног процеса за издавање, одржавање и трговање свим хартијама од вредности које су фокус стратегије, у циљу развоја јединствене трошковне политике на нивоу свих учесника и институција</w:t>
            </w:r>
          </w:p>
        </w:tc>
        <w:tc>
          <w:tcPr>
            <w:tcW w:w="548" w:type="pct"/>
          </w:tcPr>
          <w:p w14:paraId="67D1A2A2" w14:textId="76513DCA" w:rsidR="00084B57" w:rsidRDefault="00A341F3" w:rsidP="00A341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Министарство финансија</w:t>
            </w:r>
          </w:p>
        </w:tc>
        <w:tc>
          <w:tcPr>
            <w:tcW w:w="583" w:type="pct"/>
          </w:tcPr>
          <w:p w14:paraId="70590F38" w14:textId="46F07C96" w:rsidR="00084B57" w:rsidRDefault="00084B57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КХоВ, ББ, ЦРХоВ, НБС, Привредна комора Србије</w:t>
            </w:r>
          </w:p>
        </w:tc>
        <w:tc>
          <w:tcPr>
            <w:tcW w:w="427" w:type="pct"/>
          </w:tcPr>
          <w:p w14:paraId="23A9C68A" w14:textId="42579968" w:rsidR="00084B57" w:rsidRPr="003A16F9" w:rsidRDefault="004472FD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1F0C42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548" w:type="pct"/>
          </w:tcPr>
          <w:p w14:paraId="788F7B28" w14:textId="2FB28BE0" w:rsidR="00A341F3" w:rsidRPr="00A341F3" w:rsidRDefault="00CD41FB" w:rsidP="00A341F3">
            <w:pPr>
              <w:pStyle w:val="BodyAAA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Донаторска средства</w:t>
            </w:r>
          </w:p>
          <w:p w14:paraId="433264E3" w14:textId="77777777" w:rsidR="00084B57" w:rsidRPr="002F0A2D" w:rsidRDefault="00084B57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4" w:type="pct"/>
          </w:tcPr>
          <w:p w14:paraId="7F55409D" w14:textId="1DE98A21" w:rsidR="00084B57" w:rsidRPr="00423AA2" w:rsidRDefault="00423AA2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049CB34F" w14:textId="7DF5AD0A" w:rsidR="00084B57" w:rsidRPr="00DB6705" w:rsidRDefault="00CD41F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0A97A350" w14:textId="55408CD3" w:rsidR="00084B57" w:rsidRPr="00DB6705" w:rsidRDefault="00CD41F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21.240.000</w:t>
            </w:r>
          </w:p>
        </w:tc>
        <w:tc>
          <w:tcPr>
            <w:tcW w:w="527" w:type="pct"/>
          </w:tcPr>
          <w:p w14:paraId="7660DDB8" w14:textId="11E53AA6" w:rsidR="00084B57" w:rsidRPr="00DB6705" w:rsidRDefault="00CD41F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6CC9" w:rsidRPr="003A16F9" w14:paraId="6A4148B0" w14:textId="77777777" w:rsidTr="00054B8B">
        <w:trPr>
          <w:trHeight w:val="140"/>
        </w:trPr>
        <w:tc>
          <w:tcPr>
            <w:tcW w:w="842" w:type="pct"/>
            <w:tcBorders>
              <w:left w:val="double" w:sz="4" w:space="0" w:color="auto"/>
            </w:tcBorders>
          </w:tcPr>
          <w:p w14:paraId="4C1029AD" w14:textId="4C2F55E7" w:rsidR="00126CC9" w:rsidRPr="003C04D9" w:rsidRDefault="00B21B24" w:rsidP="0059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943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 xml:space="preserve">.4. Имплементације јединствене трошковне 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политике на нивоу свих учесника и институција</w:t>
            </w:r>
          </w:p>
        </w:tc>
        <w:tc>
          <w:tcPr>
            <w:tcW w:w="548" w:type="pct"/>
          </w:tcPr>
          <w:p w14:paraId="231BBA4D" w14:textId="093FB9FC" w:rsidR="00126CC9" w:rsidRDefault="00A341F3" w:rsidP="00A341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Министарство финансија</w:t>
            </w:r>
          </w:p>
        </w:tc>
        <w:tc>
          <w:tcPr>
            <w:tcW w:w="583" w:type="pct"/>
          </w:tcPr>
          <w:p w14:paraId="79C6D763" w14:textId="05DD2FEE" w:rsidR="00126CC9" w:rsidRDefault="00B21B24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КХоВ, ББ, ЦРХоВ, НБС,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Привредна комора Србије</w:t>
            </w:r>
          </w:p>
        </w:tc>
        <w:tc>
          <w:tcPr>
            <w:tcW w:w="427" w:type="pct"/>
          </w:tcPr>
          <w:p w14:paraId="5C41F2BD" w14:textId="6412BE62" w:rsidR="00126CC9" w:rsidRDefault="004472FD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</w:t>
            </w:r>
            <w:r w:rsidR="00B21B24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548" w:type="pct"/>
          </w:tcPr>
          <w:p w14:paraId="7F98E172" w14:textId="58B50839" w:rsidR="00A341F3" w:rsidRPr="00A341F3" w:rsidRDefault="0089213B" w:rsidP="00A341F3">
            <w:pPr>
              <w:pStyle w:val="BodyAAA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</w:p>
          <w:p w14:paraId="690A2D93" w14:textId="77777777" w:rsidR="00126CC9" w:rsidRPr="002F0A2D" w:rsidRDefault="00126CC9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4" w:type="pct"/>
          </w:tcPr>
          <w:p w14:paraId="46835657" w14:textId="6C52C4BE" w:rsidR="00126CC9" w:rsidRPr="00423AA2" w:rsidRDefault="00423AA2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37941DB3" w14:textId="5F60797D" w:rsidR="00126CC9" w:rsidRPr="00DB6705" w:rsidRDefault="0089213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48442A8D" w14:textId="225E512A" w:rsidR="00126CC9" w:rsidRPr="00DB6705" w:rsidRDefault="0089213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</w:tcPr>
          <w:p w14:paraId="7A214AD8" w14:textId="5838B4F3" w:rsidR="00126CC9" w:rsidRPr="00DB6705" w:rsidRDefault="0089213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34E9" w:rsidRPr="003A16F9" w14:paraId="785C52A6" w14:textId="77777777" w:rsidTr="00054B8B">
        <w:trPr>
          <w:trHeight w:val="140"/>
        </w:trPr>
        <w:tc>
          <w:tcPr>
            <w:tcW w:w="842" w:type="pct"/>
            <w:tcBorders>
              <w:left w:val="double" w:sz="4" w:space="0" w:color="auto"/>
            </w:tcBorders>
          </w:tcPr>
          <w:p w14:paraId="4467471B" w14:textId="4AC9E26F" w:rsidR="00EE34E9" w:rsidRPr="003C04D9" w:rsidRDefault="00EE34E9" w:rsidP="0059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943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.5. Анализа најбоље праксе и правног оквира за увођење инструмента покривених обвезница у Републици Србији</w:t>
            </w:r>
          </w:p>
        </w:tc>
        <w:tc>
          <w:tcPr>
            <w:tcW w:w="548" w:type="pct"/>
          </w:tcPr>
          <w:p w14:paraId="491FA69B" w14:textId="1C314B21" w:rsidR="00EE34E9" w:rsidRDefault="00A341F3" w:rsidP="00A341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Министарство финансија</w:t>
            </w:r>
          </w:p>
        </w:tc>
        <w:tc>
          <w:tcPr>
            <w:tcW w:w="583" w:type="pct"/>
          </w:tcPr>
          <w:p w14:paraId="5E47734E" w14:textId="70052257" w:rsidR="00EE34E9" w:rsidRDefault="00EE34E9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НБС</w:t>
            </w:r>
          </w:p>
        </w:tc>
        <w:tc>
          <w:tcPr>
            <w:tcW w:w="427" w:type="pct"/>
          </w:tcPr>
          <w:p w14:paraId="761F5FDC" w14:textId="469DAE41" w:rsidR="00EE34E9" w:rsidRDefault="004472FD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EE34E9">
              <w:rPr>
                <w:rFonts w:ascii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548" w:type="pct"/>
          </w:tcPr>
          <w:p w14:paraId="725ADE93" w14:textId="21C63759" w:rsidR="00A341F3" w:rsidRPr="00A341F3" w:rsidRDefault="00290885" w:rsidP="00A341F3">
            <w:pPr>
              <w:pStyle w:val="BodyAAA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Донаторска средства</w:t>
            </w:r>
          </w:p>
          <w:p w14:paraId="2CAD63AC" w14:textId="77777777" w:rsidR="00EE34E9" w:rsidRPr="002F0A2D" w:rsidRDefault="00EE34E9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4" w:type="pct"/>
          </w:tcPr>
          <w:p w14:paraId="12D594EE" w14:textId="0B5DDFE9" w:rsidR="00EE34E9" w:rsidRPr="00423AA2" w:rsidRDefault="00423AA2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26BF20F7" w14:textId="4857F04A" w:rsidR="00EE34E9" w:rsidRPr="00DB6705" w:rsidRDefault="00290885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0D60678B" w14:textId="174548AC" w:rsidR="00EE34E9" w:rsidRPr="00DB6705" w:rsidRDefault="00290885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11.800.000</w:t>
            </w:r>
          </w:p>
        </w:tc>
        <w:tc>
          <w:tcPr>
            <w:tcW w:w="527" w:type="pct"/>
          </w:tcPr>
          <w:p w14:paraId="467101BC" w14:textId="3741BC63" w:rsidR="00EE34E9" w:rsidRPr="00DB6705" w:rsidRDefault="00290885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11.800.000</w:t>
            </w:r>
          </w:p>
        </w:tc>
      </w:tr>
      <w:tr w:rsidR="0006239A" w:rsidRPr="003A16F9" w14:paraId="1EB42F12" w14:textId="77777777" w:rsidTr="00054B8B">
        <w:trPr>
          <w:trHeight w:val="140"/>
        </w:trPr>
        <w:tc>
          <w:tcPr>
            <w:tcW w:w="842" w:type="pct"/>
            <w:tcBorders>
              <w:left w:val="double" w:sz="4" w:space="0" w:color="auto"/>
            </w:tcBorders>
          </w:tcPr>
          <w:p w14:paraId="15E20978" w14:textId="21AD3E8E" w:rsidR="0006239A" w:rsidRPr="003C04D9" w:rsidRDefault="0006239A" w:rsidP="0059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943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.6. Анализа изазова и препрека за издавање муниципалних обвезница и зелених муниципалних обвезница у циљу развоја програма подршке за њихову емисију</w:t>
            </w:r>
          </w:p>
        </w:tc>
        <w:tc>
          <w:tcPr>
            <w:tcW w:w="548" w:type="pct"/>
          </w:tcPr>
          <w:p w14:paraId="1B91EFE0" w14:textId="33B62E00" w:rsidR="0006239A" w:rsidRDefault="00A341F3" w:rsidP="00A341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Министарство финансија</w:t>
            </w:r>
          </w:p>
        </w:tc>
        <w:tc>
          <w:tcPr>
            <w:tcW w:w="583" w:type="pct"/>
          </w:tcPr>
          <w:p w14:paraId="48AC2F74" w14:textId="71808FA9" w:rsidR="0006239A" w:rsidRDefault="0006239A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МДУЛС</w:t>
            </w:r>
          </w:p>
        </w:tc>
        <w:tc>
          <w:tcPr>
            <w:tcW w:w="427" w:type="pct"/>
          </w:tcPr>
          <w:p w14:paraId="10A54F22" w14:textId="6075ADA5" w:rsidR="0006239A" w:rsidRDefault="004472FD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06239A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548" w:type="pct"/>
          </w:tcPr>
          <w:p w14:paraId="3911DC0E" w14:textId="77777777" w:rsidR="00AE3154" w:rsidRPr="00A341F3" w:rsidRDefault="00AE3154" w:rsidP="00AE3154">
            <w:pPr>
              <w:pStyle w:val="BodyAAA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Донаторска средства</w:t>
            </w:r>
          </w:p>
          <w:p w14:paraId="30D98499" w14:textId="77777777" w:rsidR="0006239A" w:rsidRPr="002F0A2D" w:rsidRDefault="0006239A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4" w:type="pct"/>
          </w:tcPr>
          <w:p w14:paraId="23C0B2BB" w14:textId="66B756BB" w:rsidR="0006239A" w:rsidRPr="00423AA2" w:rsidRDefault="00423AA2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A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32957EE9" w14:textId="3E44B005" w:rsidR="0006239A" w:rsidRPr="00DB6705" w:rsidRDefault="00694C2A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2C32755B" w14:textId="43015F79" w:rsidR="0006239A" w:rsidRPr="00DB6705" w:rsidRDefault="00B72262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29.500.000</w:t>
            </w:r>
          </w:p>
        </w:tc>
        <w:tc>
          <w:tcPr>
            <w:tcW w:w="527" w:type="pct"/>
          </w:tcPr>
          <w:p w14:paraId="26CCED31" w14:textId="786A2088" w:rsidR="0006239A" w:rsidRPr="00DB6705" w:rsidRDefault="0006239A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65A" w:rsidRPr="003A16F9" w14:paraId="68B99553" w14:textId="77777777" w:rsidTr="00054B8B">
        <w:trPr>
          <w:trHeight w:val="140"/>
        </w:trPr>
        <w:tc>
          <w:tcPr>
            <w:tcW w:w="842" w:type="pct"/>
            <w:tcBorders>
              <w:left w:val="double" w:sz="4" w:space="0" w:color="auto"/>
            </w:tcBorders>
          </w:tcPr>
          <w:p w14:paraId="4427146A" w14:textId="75800F97" w:rsidR="0042365A" w:rsidRPr="003C04D9" w:rsidRDefault="0042365A" w:rsidP="0059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943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 xml:space="preserve">.7. Имплементација програма за издавање </w:t>
            </w:r>
            <w:r w:rsidR="005A3AE7">
              <w:rPr>
                <w:rFonts w:ascii="Times New Roman" w:hAnsi="Times New Roman" w:cs="Times New Roman"/>
                <w:sz w:val="20"/>
                <w:szCs w:val="20"/>
              </w:rPr>
              <w:t xml:space="preserve">корпоративних, 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муниципалних обвезница и зелених муниципалних обвезница</w:t>
            </w:r>
          </w:p>
        </w:tc>
        <w:tc>
          <w:tcPr>
            <w:tcW w:w="548" w:type="pct"/>
          </w:tcPr>
          <w:p w14:paraId="2A47097D" w14:textId="5D22F98D" w:rsidR="0042365A" w:rsidRDefault="00A341F3" w:rsidP="00A341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Министарство финансија</w:t>
            </w:r>
          </w:p>
        </w:tc>
        <w:tc>
          <w:tcPr>
            <w:tcW w:w="583" w:type="pct"/>
          </w:tcPr>
          <w:p w14:paraId="0243D83B" w14:textId="64C0007E" w:rsidR="0042365A" w:rsidRDefault="0042365A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МДУЛС</w:t>
            </w:r>
          </w:p>
        </w:tc>
        <w:tc>
          <w:tcPr>
            <w:tcW w:w="427" w:type="pct"/>
          </w:tcPr>
          <w:p w14:paraId="7FCAFE69" w14:textId="0B2567B1" w:rsidR="0042365A" w:rsidRDefault="004472FD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42365A">
              <w:rPr>
                <w:rFonts w:ascii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548" w:type="pct"/>
          </w:tcPr>
          <w:p w14:paraId="26857273" w14:textId="6A9A09E1" w:rsidR="00A341F3" w:rsidRPr="00A341F3" w:rsidRDefault="00AE3154" w:rsidP="00A341F3">
            <w:pPr>
              <w:pStyle w:val="BodyAAA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Донаторска </w:t>
            </w:r>
            <w:r w:rsidR="002F281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средства</w:t>
            </w:r>
          </w:p>
          <w:p w14:paraId="298EFE14" w14:textId="77777777" w:rsidR="0042365A" w:rsidRPr="002F0A2D" w:rsidRDefault="0042365A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4" w:type="pct"/>
          </w:tcPr>
          <w:p w14:paraId="6DB62073" w14:textId="31FABF0C" w:rsidR="0042365A" w:rsidRPr="00DB6705" w:rsidRDefault="00423AA2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7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7F07DE26" w14:textId="16BAA3E8" w:rsidR="0042365A" w:rsidRPr="00DB6705" w:rsidRDefault="00776535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6BE25A1A" w14:textId="69A5167F" w:rsidR="0042365A" w:rsidRPr="00DB6705" w:rsidRDefault="00776535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</w:tcPr>
          <w:p w14:paraId="65A792DA" w14:textId="5A34FAFE" w:rsidR="0042365A" w:rsidRPr="004036D5" w:rsidRDefault="00AE3154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590.000.000</w:t>
            </w:r>
          </w:p>
        </w:tc>
      </w:tr>
      <w:tr w:rsidR="0042365A" w:rsidRPr="003A16F9" w14:paraId="22D45B43" w14:textId="77777777" w:rsidTr="00054B8B">
        <w:trPr>
          <w:trHeight w:val="140"/>
        </w:trPr>
        <w:tc>
          <w:tcPr>
            <w:tcW w:w="842" w:type="pct"/>
            <w:tcBorders>
              <w:left w:val="double" w:sz="4" w:space="0" w:color="auto"/>
            </w:tcBorders>
          </w:tcPr>
          <w:p w14:paraId="7752E589" w14:textId="76BC8B56" w:rsidR="0042365A" w:rsidRPr="003C04D9" w:rsidRDefault="0042365A" w:rsidP="0059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943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.8. Анализа комплетног портфолија привредних друштава у државном власништву, у циљу припреме за учествовање у тржишту капитала</w:t>
            </w:r>
          </w:p>
        </w:tc>
        <w:tc>
          <w:tcPr>
            <w:tcW w:w="548" w:type="pct"/>
          </w:tcPr>
          <w:p w14:paraId="423CC2DD" w14:textId="25745C47" w:rsidR="0042365A" w:rsidRDefault="00A341F3" w:rsidP="00A341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Министарство финансија</w:t>
            </w:r>
          </w:p>
        </w:tc>
        <w:tc>
          <w:tcPr>
            <w:tcW w:w="583" w:type="pct"/>
          </w:tcPr>
          <w:p w14:paraId="300C6922" w14:textId="6D753C7F" w:rsidR="0042365A" w:rsidRDefault="0042365A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Мприв</w:t>
            </w:r>
          </w:p>
        </w:tc>
        <w:tc>
          <w:tcPr>
            <w:tcW w:w="427" w:type="pct"/>
          </w:tcPr>
          <w:p w14:paraId="672A16D0" w14:textId="546C2D06" w:rsidR="0042365A" w:rsidRDefault="004472FD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42365A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548" w:type="pct"/>
          </w:tcPr>
          <w:p w14:paraId="2AD8B2DC" w14:textId="77777777" w:rsidR="002F2817" w:rsidRPr="00A341F3" w:rsidRDefault="002F2817" w:rsidP="002F2817">
            <w:pPr>
              <w:pStyle w:val="BodyAAA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Донаторска средства</w:t>
            </w:r>
          </w:p>
          <w:p w14:paraId="54BA251E" w14:textId="77777777" w:rsidR="0042365A" w:rsidRPr="002F0A2D" w:rsidRDefault="0042365A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4" w:type="pct"/>
          </w:tcPr>
          <w:p w14:paraId="042EDDE6" w14:textId="15E8123D" w:rsidR="0042365A" w:rsidRPr="00A9302B" w:rsidRDefault="00A9302B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1503668C" w14:textId="67C8800A" w:rsidR="0042365A" w:rsidRPr="00DB6705" w:rsidRDefault="00572B6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3E81BFDB" w14:textId="55D77FDF" w:rsidR="0042365A" w:rsidRPr="00DB6705" w:rsidRDefault="004E07F8" w:rsidP="00902D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Накнадно ће бити дефинисан</w:t>
            </w:r>
            <w:r w:rsidR="00902DF0">
              <w:rPr>
                <w:rFonts w:ascii="Times New Roman" w:hAnsi="Times New Roman" w:cs="Times New Roman"/>
                <w:sz w:val="20"/>
                <w:szCs w:val="20"/>
              </w:rPr>
              <w:t xml:space="preserve"> износ</w:t>
            </w:r>
          </w:p>
        </w:tc>
        <w:tc>
          <w:tcPr>
            <w:tcW w:w="527" w:type="pct"/>
          </w:tcPr>
          <w:p w14:paraId="12AA1AD7" w14:textId="22181AC9" w:rsidR="0042365A" w:rsidRPr="00DB6705" w:rsidRDefault="00A9302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365A" w:rsidRPr="003A16F9" w14:paraId="7EC4D623" w14:textId="77777777" w:rsidTr="00054B8B">
        <w:trPr>
          <w:trHeight w:val="140"/>
        </w:trPr>
        <w:tc>
          <w:tcPr>
            <w:tcW w:w="842" w:type="pct"/>
            <w:tcBorders>
              <w:left w:val="double" w:sz="4" w:space="0" w:color="auto"/>
            </w:tcBorders>
          </w:tcPr>
          <w:p w14:paraId="1B5C635C" w14:textId="16408C96" w:rsidR="0042365A" w:rsidRPr="003C04D9" w:rsidRDefault="0042365A" w:rsidP="0059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943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.9. Спровођење иницијативе за подршку емисији инвестиционих токена.</w:t>
            </w:r>
          </w:p>
        </w:tc>
        <w:tc>
          <w:tcPr>
            <w:tcW w:w="548" w:type="pct"/>
          </w:tcPr>
          <w:p w14:paraId="425C7F49" w14:textId="0D2C64E1" w:rsidR="0042365A" w:rsidRDefault="00A341F3" w:rsidP="00A341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Министарство финансија</w:t>
            </w:r>
          </w:p>
        </w:tc>
        <w:tc>
          <w:tcPr>
            <w:tcW w:w="583" w:type="pct"/>
          </w:tcPr>
          <w:p w14:paraId="718BFC91" w14:textId="64FAF8AC" w:rsidR="0042365A" w:rsidRDefault="0042365A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ББ, КХоВ</w:t>
            </w:r>
          </w:p>
        </w:tc>
        <w:tc>
          <w:tcPr>
            <w:tcW w:w="427" w:type="pct"/>
          </w:tcPr>
          <w:p w14:paraId="226539D8" w14:textId="3241ABF7" w:rsidR="0042365A" w:rsidRDefault="004472FD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42365A">
              <w:rPr>
                <w:rFonts w:ascii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548" w:type="pct"/>
          </w:tcPr>
          <w:p w14:paraId="6AFC573A" w14:textId="7BAA3ABC" w:rsidR="001D7D26" w:rsidRPr="00A341F3" w:rsidRDefault="002F2817" w:rsidP="001D7D26">
            <w:pPr>
              <w:pStyle w:val="BodyAAA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Редовна средства буџета РС</w:t>
            </w:r>
          </w:p>
          <w:p w14:paraId="2068CDFD" w14:textId="77777777" w:rsidR="0042365A" w:rsidRPr="002F0A2D" w:rsidRDefault="0042365A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84" w:type="pct"/>
          </w:tcPr>
          <w:p w14:paraId="6FB3376D" w14:textId="559B01FD" w:rsidR="0042365A" w:rsidRPr="00DB6705" w:rsidRDefault="00423AA2" w:rsidP="00A34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7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14:paraId="49624C9B" w14:textId="3FE0623B" w:rsidR="0042365A" w:rsidRPr="00DB6705" w:rsidRDefault="00693733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5B21A176" w14:textId="5EE22A4D" w:rsidR="0042365A" w:rsidRPr="00DB6705" w:rsidRDefault="002F2817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2.950.000</w:t>
            </w:r>
          </w:p>
        </w:tc>
        <w:tc>
          <w:tcPr>
            <w:tcW w:w="527" w:type="pct"/>
          </w:tcPr>
          <w:p w14:paraId="343C0CD3" w14:textId="05E0A1D4" w:rsidR="0042365A" w:rsidRPr="00DB6705" w:rsidRDefault="002F2817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2.950.000</w:t>
            </w:r>
          </w:p>
        </w:tc>
      </w:tr>
    </w:tbl>
    <w:p w14:paraId="0955F2B2" w14:textId="2C018F5D" w:rsidR="002F0A2D" w:rsidRDefault="002F0A2D" w:rsidP="00CD5678">
      <w:pPr>
        <w:rPr>
          <w:rFonts w:ascii="Times New Roman" w:hAnsi="Times New Roman" w:cs="Times New Roman"/>
          <w:sz w:val="20"/>
          <w:szCs w:val="20"/>
        </w:rPr>
      </w:pPr>
    </w:p>
    <w:p w14:paraId="52E5B415" w14:textId="5644FE3F" w:rsidR="00602100" w:rsidRDefault="00602100" w:rsidP="00CD5678">
      <w:pPr>
        <w:rPr>
          <w:rFonts w:ascii="Times New Roman" w:hAnsi="Times New Roman" w:cs="Times New Roman"/>
          <w:sz w:val="20"/>
          <w:szCs w:val="20"/>
        </w:rPr>
      </w:pPr>
    </w:p>
    <w:p w14:paraId="2FDA8A95" w14:textId="77777777" w:rsidR="00602100" w:rsidRDefault="00602100" w:rsidP="00CD567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346"/>
        <w:gridCol w:w="1505"/>
        <w:gridCol w:w="985"/>
        <w:gridCol w:w="784"/>
        <w:gridCol w:w="1707"/>
        <w:gridCol w:w="1537"/>
        <w:gridCol w:w="1573"/>
        <w:gridCol w:w="1211"/>
      </w:tblGrid>
      <w:tr w:rsidR="00CD5678" w:rsidRPr="003A16F9" w14:paraId="3ADA3F19" w14:textId="77777777" w:rsidTr="007B40A7">
        <w:trPr>
          <w:trHeight w:val="168"/>
        </w:trPr>
        <w:tc>
          <w:tcPr>
            <w:tcW w:w="13867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4A14B81" w14:textId="6370E406" w:rsidR="00CD5678" w:rsidRPr="003A16F9" w:rsidRDefault="00CD5678" w:rsidP="005A5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Мера 2.</w:t>
            </w:r>
            <w:r w:rsidR="00074772" w:rsidRPr="003A16F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3A16F9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823D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Привлачење нових инвеститора</w:t>
            </w:r>
          </w:p>
        </w:tc>
      </w:tr>
      <w:tr w:rsidR="00CD5678" w:rsidRPr="003A16F9" w14:paraId="3C894B36" w14:textId="77777777" w:rsidTr="007B40A7">
        <w:trPr>
          <w:trHeight w:val="298"/>
        </w:trPr>
        <w:tc>
          <w:tcPr>
            <w:tcW w:w="1386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1B37480" w14:textId="3327EE55" w:rsidR="00CD5678" w:rsidRPr="003A16F9" w:rsidRDefault="00CD5678" w:rsidP="00823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Орган одговоран за спровођење (координисање спровођења) мере:</w:t>
            </w:r>
            <w:r w:rsidRPr="003A16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Министарство </w:t>
            </w:r>
            <w:r w:rsidR="00823D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финансија </w:t>
            </w:r>
          </w:p>
        </w:tc>
      </w:tr>
      <w:tr w:rsidR="00CD5678" w:rsidRPr="003A16F9" w14:paraId="1E0524EB" w14:textId="77777777" w:rsidTr="007B40A7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A1721FE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Период спровођења: 2021-2023</w:t>
            </w:r>
          </w:p>
        </w:tc>
        <w:tc>
          <w:tcPr>
            <w:tcW w:w="68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4800322" w14:textId="61007305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Тип мере: </w:t>
            </w:r>
            <w:r w:rsidR="00B66171" w:rsidRPr="00B66171">
              <w:rPr>
                <w:rFonts w:ascii="Times New Roman" w:eastAsia="Calibri" w:hAnsi="Times New Roman" w:cs="Times New Roman"/>
                <w:sz w:val="20"/>
                <w:szCs w:val="20"/>
              </w:rPr>
              <w:t>Институционално управљачко-организациона</w:t>
            </w:r>
          </w:p>
        </w:tc>
      </w:tr>
      <w:tr w:rsidR="008B7157" w:rsidRPr="003A16F9" w14:paraId="743964D2" w14:textId="77777777" w:rsidTr="007B40A7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04FD338" w14:textId="41551D45" w:rsidR="008B7157" w:rsidRPr="003A16F9" w:rsidRDefault="008B7157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29">
              <w:rPr>
                <w:rFonts w:ascii="Times New Roman" w:hAnsi="Times New Roman" w:cs="Times New Roman"/>
                <w:sz w:val="20"/>
                <w:szCs w:val="20"/>
              </w:rPr>
              <w:t>Прописи које је потребно изменити/усвојити за спровођење мере:</w:t>
            </w:r>
          </w:p>
        </w:tc>
        <w:tc>
          <w:tcPr>
            <w:tcW w:w="68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166EA5A" w14:textId="04A9F9D5" w:rsidR="008B7157" w:rsidRPr="003A16F9" w:rsidRDefault="00B66171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CD5678" w:rsidRPr="003A16F9" w14:paraId="61227A1D" w14:textId="77777777" w:rsidTr="00F02992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65FE9F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Показатељ(и)  на нивоу мере (показатељ резултата)</w:t>
            </w:r>
          </w:p>
        </w:tc>
        <w:tc>
          <w:tcPr>
            <w:tcW w:w="134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1E5FCE4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Jединица мере</w:t>
            </w:r>
          </w:p>
          <w:p w14:paraId="7F239C94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3ACD3C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EE026D4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83E570C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A9E64DD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2021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99055A3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2022</w:t>
            </w:r>
          </w:p>
        </w:tc>
        <w:tc>
          <w:tcPr>
            <w:tcW w:w="121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13248DF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2023</w:t>
            </w:r>
          </w:p>
        </w:tc>
      </w:tr>
      <w:tr w:rsidR="000A53D1" w:rsidRPr="003A16F9" w14:paraId="4D8D0F90" w14:textId="77777777" w:rsidTr="005603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46129D" w14:textId="30381AC8" w:rsidR="000A53D1" w:rsidRPr="007D0B1A" w:rsidRDefault="007D0B1A" w:rsidP="007D0B1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D0B1A">
              <w:rPr>
                <w:rFonts w:ascii="Times New Roman" w:hAnsi="Times New Roman" w:cs="Times New Roman"/>
                <w:sz w:val="20"/>
                <w:szCs w:val="20"/>
              </w:rPr>
              <w:t>1)број домаћих институционалних инвеститора</w:t>
            </w:r>
            <w:r w:rsidR="00C436E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 w:rsidRPr="007D0B1A">
              <w:rPr>
                <w:rFonts w:ascii="Times New Roman" w:hAnsi="Times New Roman" w:cs="Times New Roman"/>
                <w:sz w:val="20"/>
                <w:szCs w:val="20"/>
              </w:rPr>
              <w:t xml:space="preserve"> (без друштава за управљање) у власничке хартије од вредности</w:t>
            </w:r>
          </w:p>
          <w:p w14:paraId="0182DD76" w14:textId="77777777" w:rsidR="007D0B1A" w:rsidRPr="007D0B1A" w:rsidRDefault="007D0B1A" w:rsidP="007D0B1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7D0B1A">
              <w:rPr>
                <w:rFonts w:ascii="Times New Roman" w:hAnsi="Times New Roman" w:cs="Times New Roman"/>
                <w:sz w:val="20"/>
                <w:szCs w:val="20"/>
              </w:rPr>
              <w:t xml:space="preserve"> број иностраних институционалних инвеститора (без друштава за управљање) у власничке хартије од вредности</w:t>
            </w:r>
          </w:p>
          <w:p w14:paraId="70D8321C" w14:textId="77777777" w:rsidR="007D0B1A" w:rsidRPr="007D0B1A" w:rsidRDefault="007D0B1A" w:rsidP="007D0B1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D0B1A">
              <w:rPr>
                <w:rFonts w:ascii="Times New Roman" w:hAnsi="Times New Roman" w:cs="Times New Roman"/>
                <w:sz w:val="20"/>
                <w:szCs w:val="20"/>
              </w:rPr>
              <w:t>3) број домаћих институционалних инвеститора (без друштава за управљање) у дужничке хартије од вредности</w:t>
            </w:r>
          </w:p>
          <w:p w14:paraId="36BE577C" w14:textId="4144EE6F" w:rsidR="007D0B1A" w:rsidRPr="007D0B1A" w:rsidRDefault="007D0B1A" w:rsidP="007D0B1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D0B1A">
              <w:rPr>
                <w:rFonts w:ascii="Times New Roman" w:hAnsi="Times New Roman" w:cs="Times New Roman"/>
                <w:sz w:val="20"/>
                <w:szCs w:val="20"/>
              </w:rPr>
              <w:t>4) број иностраних институционалних инвеститора(без друштава за управљање)  у дужничке хартије од вредности</w:t>
            </w:r>
          </w:p>
        </w:tc>
        <w:tc>
          <w:tcPr>
            <w:tcW w:w="134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F2F0192" w14:textId="6DC5EFA0" w:rsidR="000A53D1" w:rsidRDefault="000A53D1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</w:p>
        </w:tc>
        <w:tc>
          <w:tcPr>
            <w:tcW w:w="150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95C097F" w14:textId="1386BA30" w:rsidR="000A53D1" w:rsidRDefault="000A53D1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ББ,</w:t>
            </w:r>
            <w:r w:rsidR="004734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03F7">
              <w:rPr>
                <w:rFonts w:ascii="Times New Roman" w:hAnsi="Times New Roman" w:cs="Times New Roman"/>
                <w:sz w:val="20"/>
                <w:szCs w:val="20"/>
              </w:rPr>
              <w:t>НБС,</w:t>
            </w:r>
            <w:r w:rsidR="004734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КХоВ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DAA7271" w14:textId="1BADE3AA" w:rsidR="00AB4331" w:rsidRPr="0017070C" w:rsidRDefault="006322CB" w:rsidP="0017070C">
            <w:pPr>
              <w:pStyle w:val="ListParagraph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81</w:t>
            </w:r>
          </w:p>
          <w:p w14:paraId="502DCE09" w14:textId="77777777" w:rsidR="00FA540D" w:rsidRDefault="00FA540D" w:rsidP="00AB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3BB297" w14:textId="77777777" w:rsidR="00FA540D" w:rsidRDefault="00FA540D" w:rsidP="00AB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166E1" w14:textId="77777777" w:rsidR="00FA540D" w:rsidRDefault="00FA540D" w:rsidP="00AB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9388E" w14:textId="77777777" w:rsidR="00FA540D" w:rsidRDefault="00FA540D" w:rsidP="00AB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5591B" w14:textId="3CD53FDD" w:rsidR="00AB4331" w:rsidRPr="0017070C" w:rsidRDefault="00AB4331" w:rsidP="0017070C">
            <w:pPr>
              <w:pStyle w:val="ListParagraph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17070C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79</w:t>
            </w:r>
          </w:p>
          <w:p w14:paraId="58E52E80" w14:textId="77777777" w:rsidR="00FA540D" w:rsidRDefault="00FA540D" w:rsidP="00AB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33D337" w14:textId="77777777" w:rsidR="00FA540D" w:rsidRDefault="00FA540D" w:rsidP="00AB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DBDB39" w14:textId="77777777" w:rsidR="00FA540D" w:rsidRDefault="00FA540D" w:rsidP="00AB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8249E" w14:textId="0DBE6A83" w:rsidR="00AB4331" w:rsidRPr="0017070C" w:rsidRDefault="006322CB" w:rsidP="0017070C">
            <w:pPr>
              <w:pStyle w:val="ListParagraph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140</w:t>
            </w:r>
          </w:p>
          <w:p w14:paraId="34F773A3" w14:textId="77777777" w:rsidR="00FA540D" w:rsidRDefault="00FA540D" w:rsidP="00AB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E7A5A" w14:textId="77777777" w:rsidR="00FA540D" w:rsidRDefault="00FA540D" w:rsidP="00AB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257EA5" w14:textId="77777777" w:rsidR="00FA540D" w:rsidRDefault="00FA540D" w:rsidP="00AB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E4FD3E" w14:textId="4FFEB5A5" w:rsidR="000A53D1" w:rsidRPr="00823DB0" w:rsidRDefault="005421E9" w:rsidP="00AB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1707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4331" w:rsidRPr="00AB43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37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640CF8C" w14:textId="77777777" w:rsidR="000A53D1" w:rsidRDefault="000A53D1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8C34C0" w14:textId="77777777" w:rsidR="0017070C" w:rsidRDefault="0017070C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6376C" w14:textId="77777777" w:rsidR="0017070C" w:rsidRDefault="0017070C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7029F" w14:textId="77777777" w:rsidR="0017070C" w:rsidRDefault="0017070C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081DD" w14:textId="77777777" w:rsidR="0017070C" w:rsidRDefault="0017070C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66DDF6" w14:textId="710A648E" w:rsidR="000A53D1" w:rsidRDefault="000A53D1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  <w:p w14:paraId="3C8C832A" w14:textId="77777777" w:rsidR="0017070C" w:rsidRDefault="0017070C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2EB86E" w14:textId="77777777" w:rsidR="0017070C" w:rsidRDefault="0017070C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0714BE" w14:textId="77777777" w:rsidR="0017070C" w:rsidRDefault="0017070C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5E17BC" w14:textId="6663281F" w:rsidR="000A53D1" w:rsidRDefault="000A53D1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  <w:p w14:paraId="55990E19" w14:textId="77777777" w:rsidR="0017070C" w:rsidRDefault="0017070C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AA3C1C" w14:textId="77777777" w:rsidR="0017070C" w:rsidRDefault="0017070C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41EEE" w14:textId="77777777" w:rsidR="0017070C" w:rsidRDefault="0017070C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3FE87" w14:textId="0D9164C9" w:rsidR="000A53D1" w:rsidRPr="003A16F9" w:rsidRDefault="000A53D1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E08C4DD" w14:textId="77A2F92E" w:rsidR="000A37A6" w:rsidRPr="000A37A6" w:rsidRDefault="005421E9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5603F7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81</w:t>
            </w:r>
          </w:p>
          <w:p w14:paraId="10193F5A" w14:textId="77777777" w:rsidR="0017070C" w:rsidRDefault="0017070C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152C8" w14:textId="77777777" w:rsidR="0017070C" w:rsidRDefault="0017070C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06427F" w14:textId="77777777" w:rsidR="0017070C" w:rsidRDefault="0017070C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0FD5E3" w14:textId="77777777" w:rsidR="0017070C" w:rsidRDefault="0017070C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751A98" w14:textId="42C426C3" w:rsidR="000A37A6" w:rsidRPr="000A37A6" w:rsidRDefault="005421E9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0A37A6" w:rsidRPr="000A37A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81</w:t>
            </w:r>
          </w:p>
          <w:p w14:paraId="47D9FB75" w14:textId="77777777" w:rsidR="0017070C" w:rsidRDefault="0017070C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1CFC9" w14:textId="77777777" w:rsidR="0017070C" w:rsidRDefault="0017070C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B7BEDF" w14:textId="77777777" w:rsidR="0017070C" w:rsidRDefault="0017070C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9F790" w14:textId="0E0C9DAB" w:rsidR="000A37A6" w:rsidRPr="000A37A6" w:rsidRDefault="005421E9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5603F7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123</w:t>
            </w:r>
          </w:p>
          <w:p w14:paraId="669352E9" w14:textId="77777777" w:rsidR="0017070C" w:rsidRDefault="0017070C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888C0B" w14:textId="77777777" w:rsidR="0017070C" w:rsidRDefault="0017070C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B10966" w14:textId="77777777" w:rsidR="0017070C" w:rsidRDefault="0017070C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D85410" w14:textId="27B90993" w:rsidR="000A53D1" w:rsidRPr="000A37A6" w:rsidRDefault="005421E9" w:rsidP="000A37A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0A37A6" w:rsidRPr="000A37A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2157D2" w14:textId="38B04127" w:rsidR="000A53D1" w:rsidRPr="000A37A6" w:rsidRDefault="005421E9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5603F7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82</w:t>
            </w:r>
          </w:p>
          <w:p w14:paraId="1B916A3D" w14:textId="77777777" w:rsidR="00BE2C22" w:rsidRDefault="00BE2C22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238C68" w14:textId="77777777" w:rsidR="00BE2C22" w:rsidRDefault="00BE2C22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B2A4EB" w14:textId="77777777" w:rsidR="00BE2C22" w:rsidRDefault="00BE2C22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6139BE" w14:textId="77777777" w:rsidR="00BE2C22" w:rsidRDefault="00BE2C22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B407A3" w14:textId="16292445" w:rsidR="000A37A6" w:rsidRPr="000A37A6" w:rsidRDefault="005421E9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4022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82</w:t>
            </w:r>
          </w:p>
          <w:p w14:paraId="3853C1EE" w14:textId="77777777" w:rsidR="00BE2C22" w:rsidRDefault="00BE2C22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3F902E" w14:textId="77777777" w:rsidR="00BE2C22" w:rsidRDefault="00BE2C22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DC966B" w14:textId="77777777" w:rsidR="00BE2C22" w:rsidRDefault="00BE2C22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CDCE7D" w14:textId="762A3D9F" w:rsidR="000A37A6" w:rsidRPr="000A37A6" w:rsidRDefault="005421E9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5603F7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123</w:t>
            </w:r>
          </w:p>
          <w:p w14:paraId="70163AE3" w14:textId="77777777" w:rsidR="00BE2C22" w:rsidRDefault="00BE2C22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67CF0B" w14:textId="77777777" w:rsidR="00BE2C22" w:rsidRDefault="00BE2C22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ECFEFC" w14:textId="77777777" w:rsidR="00BE2C22" w:rsidRDefault="00BE2C22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1DCD8A" w14:textId="59B488B2" w:rsidR="000A37A6" w:rsidRPr="000A37A6" w:rsidRDefault="005421E9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4022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31</w:t>
            </w:r>
          </w:p>
        </w:tc>
        <w:tc>
          <w:tcPr>
            <w:tcW w:w="121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515E07" w14:textId="56475012" w:rsidR="005F01A1" w:rsidRPr="000A37A6" w:rsidRDefault="005421E9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5603F7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83</w:t>
            </w:r>
          </w:p>
          <w:p w14:paraId="2414B139" w14:textId="77777777" w:rsidR="00BE2C22" w:rsidRDefault="00BE2C22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2F670" w14:textId="77777777" w:rsidR="00BE2C22" w:rsidRDefault="00BE2C22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600CF6" w14:textId="77777777" w:rsidR="00BE2C22" w:rsidRDefault="00BE2C22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507D9" w14:textId="77777777" w:rsidR="00BE2C22" w:rsidRDefault="00BE2C22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90FA19" w14:textId="4B2BEB77" w:rsidR="005F01A1" w:rsidRPr="000A37A6" w:rsidRDefault="005421E9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4022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82</w:t>
            </w:r>
          </w:p>
          <w:p w14:paraId="624DDEF1" w14:textId="77777777" w:rsidR="00BE2C22" w:rsidRDefault="00BE2C22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BF2D14" w14:textId="77777777" w:rsidR="00BE2C22" w:rsidRDefault="00BE2C22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EC4188" w14:textId="77777777" w:rsidR="00BE2C22" w:rsidRDefault="00BE2C22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77CD4" w14:textId="365A4D89" w:rsidR="005F01A1" w:rsidRPr="000A37A6" w:rsidRDefault="005421E9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5603F7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123</w:t>
            </w:r>
          </w:p>
          <w:p w14:paraId="29BA4094" w14:textId="77777777" w:rsidR="00BE2C22" w:rsidRDefault="00BE2C22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FE2A81" w14:textId="77777777" w:rsidR="00BE2C22" w:rsidRDefault="00BE2C22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5B3CA9" w14:textId="77777777" w:rsidR="00BE2C22" w:rsidRDefault="00BE2C22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631E45" w14:textId="595E93DC" w:rsidR="000A53D1" w:rsidRPr="007A3410" w:rsidRDefault="005421E9" w:rsidP="005F01A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5F01A1" w:rsidRPr="000A37A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</w:t>
            </w:r>
            <w:r w:rsidR="005F01A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</w:p>
        </w:tc>
      </w:tr>
      <w:tr w:rsidR="000A53D1" w:rsidRPr="003A16F9" w14:paraId="1EC2717F" w14:textId="77777777" w:rsidTr="00F02992">
        <w:trPr>
          <w:trHeight w:val="302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A425CE4" w14:textId="3F39E880" w:rsidR="000A53D1" w:rsidRDefault="000A53D1" w:rsidP="000A53D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 посета јединственој веб платформи</w:t>
            </w:r>
          </w:p>
        </w:tc>
        <w:tc>
          <w:tcPr>
            <w:tcW w:w="134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EF27370" w14:textId="2B99568F" w:rsidR="000A53D1" w:rsidRDefault="000A53D1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</w:p>
        </w:tc>
        <w:tc>
          <w:tcPr>
            <w:tcW w:w="150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6437D02" w14:textId="349A808B" w:rsidR="000A53D1" w:rsidRDefault="000A53D1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финансија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461F902A" w14:textId="2642311C" w:rsidR="000A53D1" w:rsidRPr="005A5814" w:rsidRDefault="000A53D1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3EA7E50" w14:textId="5462C621" w:rsidR="000A53D1" w:rsidRDefault="000A53D1" w:rsidP="000A53D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5FCA1DA" w14:textId="0EE1D0A6" w:rsidR="000A53D1" w:rsidRDefault="000A53D1" w:rsidP="007D0B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0*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7D9D30F" w14:textId="19AD27B1" w:rsidR="000A53D1" w:rsidRDefault="000A53D1" w:rsidP="007D0B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0*</w:t>
            </w:r>
          </w:p>
        </w:tc>
        <w:tc>
          <w:tcPr>
            <w:tcW w:w="121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A829608" w14:textId="5ACBBCDA" w:rsidR="000A53D1" w:rsidRDefault="000A53D1" w:rsidP="007D0B1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270.000</w:t>
            </w:r>
            <w:r w:rsidRPr="00BD132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</w:tbl>
    <w:p w14:paraId="00813BE6" w14:textId="1A1F8A18" w:rsidR="000840B9" w:rsidRDefault="007A3410" w:rsidP="00CD5678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</w:t>
      </w:r>
      <w:r w:rsidR="00B733F3">
        <w:rPr>
          <w:rFonts w:ascii="Times New Roman" w:hAnsi="Times New Roman" w:cs="Times New Roman"/>
          <w:sz w:val="16"/>
          <w:szCs w:val="16"/>
        </w:rPr>
        <w:t xml:space="preserve"> на годишњем нивоу</w:t>
      </w:r>
      <w:r w:rsidR="00F03899">
        <w:rPr>
          <w:rFonts w:ascii="Times New Roman" w:hAnsi="Times New Roman" w:cs="Times New Roman"/>
          <w:sz w:val="16"/>
          <w:szCs w:val="16"/>
        </w:rPr>
        <w:t xml:space="preserve"> и односи се на број различитих ИП адреса</w:t>
      </w:r>
      <w:r w:rsidR="00C436EA">
        <w:rPr>
          <w:rFonts w:ascii="Times New Roman" w:hAnsi="Times New Roman" w:cs="Times New Roman"/>
          <w:sz w:val="16"/>
          <w:szCs w:val="16"/>
        </w:rPr>
        <w:t>; **</w:t>
      </w:r>
      <w:r w:rsidR="00BC4297">
        <w:rPr>
          <w:rFonts w:ascii="Times New Roman" w:hAnsi="Times New Roman" w:cs="Times New Roman"/>
          <w:sz w:val="16"/>
          <w:szCs w:val="16"/>
        </w:rPr>
        <w:t xml:space="preserve">институционални инвеститори укључују </w:t>
      </w:r>
      <w:r w:rsidR="00C436EA">
        <w:rPr>
          <w:rFonts w:ascii="Times New Roman" w:hAnsi="Times New Roman" w:cs="Times New Roman"/>
          <w:sz w:val="16"/>
          <w:szCs w:val="16"/>
        </w:rPr>
        <w:t>инвестициона друштва,</w:t>
      </w:r>
      <w:r w:rsidR="00BC4297">
        <w:rPr>
          <w:rFonts w:ascii="Times New Roman" w:hAnsi="Times New Roman" w:cs="Times New Roman"/>
          <w:sz w:val="16"/>
          <w:szCs w:val="16"/>
        </w:rPr>
        <w:t xml:space="preserve"> </w:t>
      </w:r>
      <w:r w:rsidR="00C436EA">
        <w:rPr>
          <w:rFonts w:ascii="Times New Roman" w:hAnsi="Times New Roman" w:cs="Times New Roman"/>
          <w:sz w:val="16"/>
          <w:szCs w:val="16"/>
        </w:rPr>
        <w:t>банке, осигуравајућа друштва, пензијск</w:t>
      </w:r>
      <w:r w:rsidR="00BC4297">
        <w:rPr>
          <w:rFonts w:ascii="Times New Roman" w:hAnsi="Times New Roman" w:cs="Times New Roman"/>
          <w:sz w:val="16"/>
          <w:szCs w:val="16"/>
        </w:rPr>
        <w:t>е</w:t>
      </w:r>
      <w:r w:rsidR="00C436EA">
        <w:rPr>
          <w:rFonts w:ascii="Times New Roman" w:hAnsi="Times New Roman" w:cs="Times New Roman"/>
          <w:sz w:val="16"/>
          <w:szCs w:val="16"/>
        </w:rPr>
        <w:t xml:space="preserve"> фондов</w:t>
      </w:r>
      <w:r w:rsidR="00BC4297">
        <w:rPr>
          <w:rFonts w:ascii="Times New Roman" w:hAnsi="Times New Roman" w:cs="Times New Roman"/>
          <w:sz w:val="16"/>
          <w:szCs w:val="16"/>
        </w:rPr>
        <w:t>е</w:t>
      </w:r>
    </w:p>
    <w:p w14:paraId="302F8D82" w14:textId="0D96FB8C" w:rsidR="00D32302" w:rsidRDefault="00D32302" w:rsidP="00CD5678">
      <w:pPr>
        <w:rPr>
          <w:rFonts w:ascii="Times New Roman" w:hAnsi="Times New Roman" w:cs="Times New Roman"/>
          <w:sz w:val="16"/>
          <w:szCs w:val="16"/>
        </w:rPr>
      </w:pPr>
    </w:p>
    <w:p w14:paraId="743CF54F" w14:textId="79204816" w:rsidR="00602100" w:rsidRDefault="00602100" w:rsidP="00CD5678">
      <w:pPr>
        <w:rPr>
          <w:rFonts w:ascii="Times New Roman" w:hAnsi="Times New Roman" w:cs="Times New Roman"/>
          <w:sz w:val="16"/>
          <w:szCs w:val="16"/>
        </w:rPr>
      </w:pPr>
    </w:p>
    <w:p w14:paraId="667A65CE" w14:textId="1AF2C01F" w:rsidR="00602100" w:rsidRDefault="00602100" w:rsidP="00CD5678">
      <w:pPr>
        <w:rPr>
          <w:rFonts w:ascii="Times New Roman" w:hAnsi="Times New Roman" w:cs="Times New Roman"/>
          <w:sz w:val="16"/>
          <w:szCs w:val="16"/>
        </w:rPr>
      </w:pPr>
    </w:p>
    <w:p w14:paraId="6DC11B35" w14:textId="648A8E93" w:rsidR="00602100" w:rsidRDefault="00602100" w:rsidP="00CD5678">
      <w:pPr>
        <w:rPr>
          <w:rFonts w:ascii="Times New Roman" w:hAnsi="Times New Roman" w:cs="Times New Roman"/>
          <w:sz w:val="16"/>
          <w:szCs w:val="16"/>
        </w:rPr>
      </w:pPr>
    </w:p>
    <w:p w14:paraId="328C9969" w14:textId="77777777" w:rsidR="00602100" w:rsidRDefault="00602100" w:rsidP="00CD5678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74"/>
        <w:gridCol w:w="3087"/>
        <w:gridCol w:w="2778"/>
        <w:gridCol w:w="2345"/>
        <w:gridCol w:w="1983"/>
      </w:tblGrid>
      <w:tr w:rsidR="00CD5678" w:rsidRPr="003A16F9" w14:paraId="7F5E40AA" w14:textId="77777777" w:rsidTr="007B40A7">
        <w:trPr>
          <w:trHeight w:val="227"/>
        </w:trPr>
        <w:tc>
          <w:tcPr>
            <w:tcW w:w="367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C09D089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Извор финансирања мере</w:t>
            </w:r>
          </w:p>
          <w:p w14:paraId="1F92150D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23E622C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Веза са програмским буџетом</w:t>
            </w:r>
          </w:p>
          <w:p w14:paraId="6E4912A4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45D038F" w14:textId="599E99F6" w:rsidR="00CD5678" w:rsidRPr="003A16F9" w:rsidRDefault="00CD5678" w:rsidP="00A17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Укупна процењена финансијска средства у дин.</w:t>
            </w:r>
            <w:r w:rsidRPr="003A16F9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D5678" w:rsidRPr="003A16F9" w14:paraId="3CDD242E" w14:textId="77777777" w:rsidTr="007B40A7">
        <w:trPr>
          <w:trHeight w:val="227"/>
        </w:trPr>
        <w:tc>
          <w:tcPr>
            <w:tcW w:w="367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DE3B10B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30BD36F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7BAF408" w14:textId="1D44F62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2021</w:t>
            </w:r>
            <w:r w:rsidR="00B66E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A30C547" w14:textId="32FEAAC8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2022</w:t>
            </w:r>
            <w:r w:rsidR="00B66E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C0D14A1" w14:textId="38FAB2A2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2023</w:t>
            </w:r>
            <w:r w:rsidR="00B66E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12F8E" w:rsidRPr="003A16F9" w14:paraId="1788CCC4" w14:textId="77777777" w:rsidTr="00106278">
        <w:trPr>
          <w:trHeight w:val="618"/>
        </w:trPr>
        <w:tc>
          <w:tcPr>
            <w:tcW w:w="36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C1BB53" w14:textId="58CAF73F" w:rsidR="00312F8E" w:rsidRPr="004F3709" w:rsidRDefault="006A14FA" w:rsidP="007B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PageNumber"/>
                <w:rFonts w:ascii="Times New Roman" w:hAnsi="Times New Roman" w:cs="Times New Roman"/>
                <w:sz w:val="20"/>
                <w:szCs w:val="20"/>
              </w:rPr>
              <w:t>С</w:t>
            </w:r>
            <w:r w:rsidR="004F3709" w:rsidRPr="004F3709">
              <w:rPr>
                <w:rStyle w:val="PageNumber"/>
                <w:rFonts w:ascii="Times New Roman" w:hAnsi="Times New Roman" w:cs="Times New Roman"/>
                <w:sz w:val="20"/>
                <w:szCs w:val="20"/>
              </w:rPr>
              <w:t>редства</w:t>
            </w:r>
            <w:r w:rsidR="00927D8A">
              <w:rPr>
                <w:rStyle w:val="PageNumber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31F7">
              <w:rPr>
                <w:rStyle w:val="PageNumber"/>
                <w:rFonts w:ascii="Times New Roman" w:hAnsi="Times New Roman" w:cs="Times New Roman"/>
                <w:sz w:val="20"/>
                <w:szCs w:val="20"/>
              </w:rPr>
              <w:t>Светске банке</w:t>
            </w:r>
            <w:r w:rsidR="007B751F">
              <w:rPr>
                <w:rStyle w:val="PageNumber"/>
                <w:rFonts w:ascii="Times New Roman" w:hAnsi="Times New Roman" w:cs="Times New Roman"/>
                <w:sz w:val="20"/>
                <w:szCs w:val="20"/>
              </w:rPr>
              <w:t>/Редовна средства б</w:t>
            </w:r>
            <w:r w:rsidR="004F3709" w:rsidRPr="004F3709">
              <w:rPr>
                <w:rStyle w:val="PageNumber"/>
                <w:rFonts w:ascii="Times New Roman" w:hAnsi="Times New Roman" w:cs="Times New Roman"/>
                <w:sz w:val="20"/>
                <w:szCs w:val="20"/>
              </w:rPr>
              <w:t>уџет</w:t>
            </w:r>
            <w:r w:rsidR="007B751F">
              <w:rPr>
                <w:rStyle w:val="PageNumber"/>
                <w:rFonts w:ascii="Times New Roman" w:hAnsi="Times New Roman" w:cs="Times New Roman"/>
                <w:sz w:val="20"/>
                <w:szCs w:val="20"/>
              </w:rPr>
              <w:t>а РС</w:t>
            </w:r>
          </w:p>
        </w:tc>
        <w:tc>
          <w:tcPr>
            <w:tcW w:w="30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F37822" w14:textId="77777777" w:rsidR="00312F8E" w:rsidRPr="00742355" w:rsidRDefault="00312F8E" w:rsidP="001D5A1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548FD0" w14:textId="2E2E9CF7" w:rsidR="00312F8E" w:rsidRPr="00EB6F65" w:rsidRDefault="00312F8E" w:rsidP="001D5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25A2C9" w14:textId="77777777" w:rsidR="00F76069" w:rsidRDefault="00F76069" w:rsidP="001D5A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011DE1C7" w14:textId="6BC71962" w:rsidR="00312F8E" w:rsidRPr="00F76069" w:rsidRDefault="00F76069" w:rsidP="001D5A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265.500.000</w:t>
            </w:r>
          </w:p>
        </w:tc>
        <w:tc>
          <w:tcPr>
            <w:tcW w:w="198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6B4025" w14:textId="5CBDA9DA" w:rsidR="00312F8E" w:rsidRPr="00EB6F65" w:rsidRDefault="00312F8E" w:rsidP="001D5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242F46" w14:textId="011488C0" w:rsidR="00CD5678" w:rsidRDefault="00CD5678" w:rsidP="00CD5678"/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2335"/>
        <w:gridCol w:w="1520"/>
        <w:gridCol w:w="1547"/>
        <w:gridCol w:w="1255"/>
        <w:gridCol w:w="1520"/>
        <w:gridCol w:w="1348"/>
        <w:gridCol w:w="1170"/>
        <w:gridCol w:w="1537"/>
        <w:gridCol w:w="1645"/>
      </w:tblGrid>
      <w:tr w:rsidR="00CD5678" w:rsidRPr="003A16F9" w14:paraId="0BACF76F" w14:textId="77777777" w:rsidTr="00650688">
        <w:trPr>
          <w:trHeight w:val="140"/>
        </w:trPr>
        <w:tc>
          <w:tcPr>
            <w:tcW w:w="2335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53699D9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Назив активности:</w:t>
            </w:r>
          </w:p>
        </w:tc>
        <w:tc>
          <w:tcPr>
            <w:tcW w:w="152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B8F8C3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Орган који спроводи активност</w:t>
            </w:r>
          </w:p>
        </w:tc>
        <w:tc>
          <w:tcPr>
            <w:tcW w:w="1547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52C565D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Oргани партнери у спровођењу активности</w:t>
            </w:r>
          </w:p>
        </w:tc>
        <w:tc>
          <w:tcPr>
            <w:tcW w:w="1255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0F9FBA3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Рок за завршетак активности</w:t>
            </w:r>
          </w:p>
        </w:tc>
        <w:tc>
          <w:tcPr>
            <w:tcW w:w="152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1376B7E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финансирања</w:t>
            </w:r>
          </w:p>
          <w:p w14:paraId="46237AFE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A324148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Веза са програмским буџетом</w:t>
            </w:r>
          </w:p>
          <w:p w14:paraId="54FF58BF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2FC7F4F" w14:textId="359E355D" w:rsidR="00CD5678" w:rsidRPr="003A16F9" w:rsidRDefault="00CD5678" w:rsidP="000A3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Укупна процењена финансијска средства по изворима у дин.</w:t>
            </w:r>
            <w:r w:rsidRPr="003A16F9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D5678" w:rsidRPr="003A16F9" w14:paraId="476D367B" w14:textId="77777777" w:rsidTr="00070E11">
        <w:trPr>
          <w:trHeight w:val="665"/>
        </w:trPr>
        <w:tc>
          <w:tcPr>
            <w:tcW w:w="2335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59D08DD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/>
            <w:shd w:val="clear" w:color="auto" w:fill="FFF2CC" w:themeFill="accent4" w:themeFillTint="33"/>
          </w:tcPr>
          <w:p w14:paraId="7469A7DA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vMerge/>
            <w:shd w:val="clear" w:color="auto" w:fill="FFF2CC" w:themeFill="accent4" w:themeFillTint="33"/>
          </w:tcPr>
          <w:p w14:paraId="14593E6C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vMerge/>
            <w:shd w:val="clear" w:color="auto" w:fill="FFF2CC" w:themeFill="accent4" w:themeFillTint="33"/>
          </w:tcPr>
          <w:p w14:paraId="3EBC8230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/>
            <w:shd w:val="clear" w:color="auto" w:fill="FFF2CC" w:themeFill="accent4" w:themeFillTint="33"/>
          </w:tcPr>
          <w:p w14:paraId="60DB33D1" w14:textId="77777777" w:rsidR="00CD5678" w:rsidRPr="003A16F9" w:rsidRDefault="00CD5678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shd w:val="clear" w:color="auto" w:fill="FFF2CC" w:themeFill="accent4" w:themeFillTint="33"/>
          </w:tcPr>
          <w:p w14:paraId="545FC499" w14:textId="77777777" w:rsidR="00CD5678" w:rsidRPr="003A16F9" w:rsidRDefault="00CD5678" w:rsidP="007B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FFF2CC" w:themeFill="accent4" w:themeFillTint="33"/>
          </w:tcPr>
          <w:p w14:paraId="7905FC18" w14:textId="4778D59D" w:rsidR="00CD5678" w:rsidRPr="003A16F9" w:rsidRDefault="00CD5678" w:rsidP="00650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2021</w:t>
            </w:r>
            <w:r w:rsidR="006506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7" w:type="dxa"/>
            <w:shd w:val="clear" w:color="auto" w:fill="FFF2CC" w:themeFill="accent4" w:themeFillTint="33"/>
          </w:tcPr>
          <w:p w14:paraId="75A50EBD" w14:textId="0D95FADB" w:rsidR="00CD5678" w:rsidRPr="003A16F9" w:rsidRDefault="00CD5678" w:rsidP="00650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2022</w:t>
            </w:r>
            <w:r w:rsidR="006506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45" w:type="dxa"/>
            <w:shd w:val="clear" w:color="auto" w:fill="FFF2CC" w:themeFill="accent4" w:themeFillTint="33"/>
          </w:tcPr>
          <w:p w14:paraId="583369C3" w14:textId="68A12198" w:rsidR="00CD5678" w:rsidRPr="003A16F9" w:rsidRDefault="00CD5678" w:rsidP="00650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2023</w:t>
            </w:r>
            <w:r w:rsidR="006506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12F8E" w:rsidRPr="00742355" w14:paraId="7027DEC0" w14:textId="77777777" w:rsidTr="00070E11">
        <w:trPr>
          <w:trHeight w:val="140"/>
        </w:trPr>
        <w:tc>
          <w:tcPr>
            <w:tcW w:w="2335" w:type="dxa"/>
          </w:tcPr>
          <w:p w14:paraId="4C44AF88" w14:textId="44313759" w:rsidR="00312F8E" w:rsidRPr="003A16F9" w:rsidRDefault="00312F8E" w:rsidP="00312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eastAsia="Calibri" w:hAnsi="Times New Roman" w:cs="Times New Roman"/>
                <w:sz w:val="20"/>
                <w:szCs w:val="20"/>
              </w:rPr>
              <w:t>2.2.1.</w:t>
            </w:r>
            <w:r w:rsidRPr="003A16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742355" w:rsidRPr="003C04D9">
              <w:rPr>
                <w:rFonts w:ascii="Times New Roman" w:hAnsi="Times New Roman" w:cs="Times New Roman"/>
                <w:sz w:val="20"/>
                <w:szCs w:val="20"/>
              </w:rPr>
              <w:t>Креирање јединствене веб платформе која ће објединити све релевантне информације, процесе и процедуре, податке и трошкове на једноставан и транспарентан начин. Уз коришћење принципа три клика, циљ ове мере је да се олакша приступ свим релевантним информацијама потенцијалним учесницима на страни понуде и потражње</w:t>
            </w:r>
          </w:p>
        </w:tc>
        <w:tc>
          <w:tcPr>
            <w:tcW w:w="1520" w:type="dxa"/>
          </w:tcPr>
          <w:p w14:paraId="020EC482" w14:textId="227F0F24" w:rsidR="00312F8E" w:rsidRPr="003A16F9" w:rsidRDefault="00312F8E" w:rsidP="00F404C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F404C2">
              <w:rPr>
                <w:rFonts w:ascii="Times New Roman" w:eastAsia="Times New Roman" w:hAnsi="Times New Roman" w:cs="Times New Roman"/>
                <w:sz w:val="20"/>
                <w:szCs w:val="20"/>
              </w:rPr>
              <w:t>инистарство</w:t>
            </w:r>
            <w:r w:rsidR="00742355">
              <w:rPr>
                <w:rFonts w:ascii="Times New Roman" w:eastAsia="Times New Roman" w:hAnsi="Times New Roman" w:cs="Times New Roman"/>
                <w:sz w:val="20"/>
                <w:szCs w:val="20"/>
              </w:rPr>
              <w:t>фин</w:t>
            </w:r>
            <w:r w:rsidR="00F404C2">
              <w:rPr>
                <w:rFonts w:ascii="Times New Roman" w:eastAsia="Times New Roman" w:hAnsi="Times New Roman" w:cs="Times New Roman"/>
                <w:sz w:val="20"/>
                <w:szCs w:val="20"/>
              </w:rPr>
              <w:t>ансија</w:t>
            </w:r>
          </w:p>
        </w:tc>
        <w:tc>
          <w:tcPr>
            <w:tcW w:w="1547" w:type="dxa"/>
          </w:tcPr>
          <w:p w14:paraId="0B956960" w14:textId="00A3309F" w:rsidR="00312F8E" w:rsidRPr="00CC4D35" w:rsidRDefault="00312F8E" w:rsidP="00F40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D3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42355" w:rsidRPr="00CC4D35">
              <w:rPr>
                <w:rFonts w:ascii="Times New Roman" w:hAnsi="Times New Roman" w:cs="Times New Roman"/>
                <w:sz w:val="20"/>
                <w:szCs w:val="20"/>
              </w:rPr>
              <w:t>прив, КХоВ, ББ, ЦРХоВ, НБС, ПУ, УЈД, Управа за спречавање прања новца и финансирања тероризма</w:t>
            </w:r>
          </w:p>
        </w:tc>
        <w:tc>
          <w:tcPr>
            <w:tcW w:w="1255" w:type="dxa"/>
          </w:tcPr>
          <w:p w14:paraId="7DF8398D" w14:textId="301D4C6B" w:rsidR="00312F8E" w:rsidRPr="003A16F9" w:rsidRDefault="004472FD" w:rsidP="00F40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312F8E" w:rsidRPr="003A16F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7423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6E07E0FD" w14:textId="77777777" w:rsidR="00312F8E" w:rsidRPr="00B911FC" w:rsidRDefault="00312F8E" w:rsidP="00F404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E3D767" w14:textId="44EDBF0C" w:rsidR="00312F8E" w:rsidRPr="007106B4" w:rsidRDefault="009131F7" w:rsidP="00F404C2">
            <w:pPr>
              <w:pStyle w:val="BodyAAA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Светска банка</w:t>
            </w:r>
          </w:p>
          <w:p w14:paraId="3F152A9C" w14:textId="77777777" w:rsidR="00312F8E" w:rsidRPr="00742355" w:rsidRDefault="00312F8E" w:rsidP="00F404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48" w:type="dxa"/>
          </w:tcPr>
          <w:p w14:paraId="2A106EBA" w14:textId="644921D2" w:rsidR="00312F8E" w:rsidRPr="00742355" w:rsidRDefault="002B32D4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32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0" w:type="dxa"/>
          </w:tcPr>
          <w:p w14:paraId="7212B665" w14:textId="1EB38F73" w:rsidR="00312F8E" w:rsidRPr="007106B4" w:rsidRDefault="009E2052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-</w:t>
            </w:r>
          </w:p>
          <w:p w14:paraId="5374970F" w14:textId="52EC2D30" w:rsidR="00312F8E" w:rsidRPr="00EB6F6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14:paraId="13BCC5D9" w14:textId="617D4460" w:rsidR="00DA5E76" w:rsidRPr="007106B4" w:rsidRDefault="007106B4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236.000.000</w:t>
            </w:r>
          </w:p>
          <w:p w14:paraId="4BB20B38" w14:textId="77777777" w:rsidR="00312F8E" w:rsidRPr="00EB6F6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65468D" w14:textId="77777777" w:rsidR="00312F8E" w:rsidRPr="00EB6F6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D3EAD9" w14:textId="5CD602BE" w:rsidR="00312F8E" w:rsidRPr="00EB6F6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</w:tcPr>
          <w:p w14:paraId="77B7B876" w14:textId="198F3BA3" w:rsidR="00DA5E76" w:rsidRPr="005E71B4" w:rsidRDefault="009E2052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6DBC5BC" w14:textId="77777777" w:rsidR="00312F8E" w:rsidRPr="0074235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283D8408" w14:textId="77777777" w:rsidR="00312F8E" w:rsidRPr="0074235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EE55CD9" w14:textId="688D6FE0" w:rsidR="00312F8E" w:rsidRPr="00742355" w:rsidRDefault="00312F8E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85435" w:rsidRPr="003A16F9" w14:paraId="338BEFFF" w14:textId="77777777" w:rsidTr="00070E11">
        <w:trPr>
          <w:trHeight w:val="140"/>
        </w:trPr>
        <w:tc>
          <w:tcPr>
            <w:tcW w:w="2335" w:type="dxa"/>
          </w:tcPr>
          <w:p w14:paraId="46C8A53A" w14:textId="747B6684" w:rsidR="00185435" w:rsidRPr="003A16F9" w:rsidRDefault="00AE658C" w:rsidP="00B85D5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 xml:space="preserve">2.2.2. Повезивање са барем једним реномираним међународним депозитаром хартија од вредности (Euroclear, Clearstream, SIX SIS) у 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циљу повећања броја инвеститора у државне хартије од вредности</w:t>
            </w:r>
          </w:p>
        </w:tc>
        <w:tc>
          <w:tcPr>
            <w:tcW w:w="1520" w:type="dxa"/>
          </w:tcPr>
          <w:p w14:paraId="1A777B16" w14:textId="2572A3FB" w:rsidR="00185435" w:rsidRPr="003A16F9" w:rsidRDefault="00CC4D35" w:rsidP="00F404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A16F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инистарствофинансија</w:t>
            </w:r>
          </w:p>
        </w:tc>
        <w:tc>
          <w:tcPr>
            <w:tcW w:w="1547" w:type="dxa"/>
          </w:tcPr>
          <w:p w14:paraId="74B9CCBC" w14:textId="19C7FFCD" w:rsidR="00185435" w:rsidRPr="00CC4D35" w:rsidDel="00AC52EB" w:rsidRDefault="00017BFB" w:rsidP="00F40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D35">
              <w:rPr>
                <w:rFonts w:ascii="Times New Roman" w:hAnsi="Times New Roman" w:cs="Times New Roman"/>
                <w:sz w:val="20"/>
                <w:szCs w:val="20"/>
              </w:rPr>
              <w:t>НБС, КХоВ, ЦРХоВ, УЈД</w:t>
            </w:r>
          </w:p>
        </w:tc>
        <w:tc>
          <w:tcPr>
            <w:tcW w:w="1255" w:type="dxa"/>
          </w:tcPr>
          <w:p w14:paraId="16F04F05" w14:textId="62BF8A53" w:rsidR="00185435" w:rsidRPr="003A16F9" w:rsidRDefault="004472FD" w:rsidP="00F40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D36629" w:rsidRPr="003A16F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17BF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20" w:type="dxa"/>
          </w:tcPr>
          <w:p w14:paraId="1C143D13" w14:textId="3A4644C2" w:rsidR="00185435" w:rsidRPr="00AE658C" w:rsidRDefault="009131F7" w:rsidP="00602100">
            <w:pPr>
              <w:pStyle w:val="BodyAAA"/>
              <w:jc w:val="center"/>
              <w:rPr>
                <w:rFonts w:ascii="Times New Roman" w:hAnsi="Times New Roman"/>
                <w:noProof/>
                <w:color w:val="auto"/>
                <w:sz w:val="20"/>
                <w:szCs w:val="20"/>
                <w:highlight w:val="yellow"/>
                <w:bdr w:val="none" w:sz="0" w:space="0" w:color="auto"/>
                <w:lang w:val="sr-Cyrl-RS"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 xml:space="preserve">Редовна средства </w:t>
            </w:r>
            <w:r w:rsidR="00A9302B"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>буџет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>а</w:t>
            </w:r>
            <w:r w:rsidR="00A9302B"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 xml:space="preserve"> РС </w:t>
            </w:r>
          </w:p>
        </w:tc>
        <w:tc>
          <w:tcPr>
            <w:tcW w:w="1348" w:type="dxa"/>
          </w:tcPr>
          <w:p w14:paraId="4F77B59A" w14:textId="142734E8" w:rsidR="00185435" w:rsidRPr="00EB6F65" w:rsidRDefault="00185435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E7EBB86" w14:textId="102E835D" w:rsidR="00185435" w:rsidRPr="00EB6F65" w:rsidRDefault="006479D5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7" w:type="dxa"/>
          </w:tcPr>
          <w:p w14:paraId="1EECD0B5" w14:textId="219C0009" w:rsidR="00185435" w:rsidRPr="00EB6F65" w:rsidRDefault="00902DF0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Накнадно ће бити дефинисан износ</w:t>
            </w:r>
          </w:p>
        </w:tc>
        <w:tc>
          <w:tcPr>
            <w:tcW w:w="1645" w:type="dxa"/>
          </w:tcPr>
          <w:p w14:paraId="28DC1C8C" w14:textId="2D7B01CA" w:rsidR="005E71B4" w:rsidRPr="005E71B4" w:rsidRDefault="009E2052" w:rsidP="005E71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E0F7F19" w14:textId="77777777" w:rsidR="00185435" w:rsidRPr="003A16F9" w:rsidRDefault="00185435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BFB" w:rsidRPr="003A16F9" w14:paraId="534E30E1" w14:textId="77777777" w:rsidTr="00070E11">
        <w:trPr>
          <w:trHeight w:val="140"/>
        </w:trPr>
        <w:tc>
          <w:tcPr>
            <w:tcW w:w="2335" w:type="dxa"/>
          </w:tcPr>
          <w:p w14:paraId="257211E5" w14:textId="6DBB9C0B" w:rsidR="00017BFB" w:rsidRPr="003C04D9" w:rsidRDefault="00017BFB" w:rsidP="00B8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2.2.3. Анализа ограничавајућих фактора за учешће пензи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јских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 xml:space="preserve"> фондова и осигуравајућих друштава на тржишту капитала, у циљу активирања инвести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ионог потенцијала тих друштава</w:t>
            </w:r>
          </w:p>
        </w:tc>
        <w:tc>
          <w:tcPr>
            <w:tcW w:w="1520" w:type="dxa"/>
          </w:tcPr>
          <w:p w14:paraId="242534AB" w14:textId="00AF5F09" w:rsidR="00017BFB" w:rsidRDefault="00CC4D35" w:rsidP="00F404C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инистарствофинансија</w:t>
            </w:r>
          </w:p>
        </w:tc>
        <w:tc>
          <w:tcPr>
            <w:tcW w:w="1547" w:type="dxa"/>
          </w:tcPr>
          <w:p w14:paraId="4262399F" w14:textId="6C190A64" w:rsidR="00017BFB" w:rsidRPr="00CC4D35" w:rsidRDefault="00017BFB" w:rsidP="00F40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D35">
              <w:rPr>
                <w:rFonts w:ascii="Times New Roman" w:hAnsi="Times New Roman" w:cs="Times New Roman"/>
                <w:sz w:val="20"/>
                <w:szCs w:val="20"/>
              </w:rPr>
              <w:t>НБС</w:t>
            </w:r>
          </w:p>
        </w:tc>
        <w:tc>
          <w:tcPr>
            <w:tcW w:w="1255" w:type="dxa"/>
          </w:tcPr>
          <w:p w14:paraId="4D4956C3" w14:textId="44B73473" w:rsidR="00017BFB" w:rsidRPr="003A16F9" w:rsidRDefault="004472FD" w:rsidP="00F40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017BFB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1520" w:type="dxa"/>
          </w:tcPr>
          <w:p w14:paraId="1192540E" w14:textId="0EA41F6F" w:rsidR="00017BFB" w:rsidRPr="00AE658C" w:rsidRDefault="00902DF0" w:rsidP="007F56E5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Светска банка</w:t>
            </w:r>
          </w:p>
        </w:tc>
        <w:tc>
          <w:tcPr>
            <w:tcW w:w="1348" w:type="dxa"/>
          </w:tcPr>
          <w:p w14:paraId="35AF4F10" w14:textId="548DFAAF" w:rsidR="00017BFB" w:rsidRPr="00EB6F65" w:rsidRDefault="00017BF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EA704C5" w14:textId="5834307C" w:rsidR="00DA5E76" w:rsidRPr="00EB6F65" w:rsidRDefault="000F59C1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178F893" w14:textId="77777777" w:rsidR="00017BFB" w:rsidRPr="00EB6F65" w:rsidRDefault="00017BF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14:paraId="0AE84935" w14:textId="23DE43CE" w:rsidR="00DA5E76" w:rsidRPr="00EB6F65" w:rsidRDefault="00F76069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29.500.000</w:t>
            </w:r>
          </w:p>
          <w:p w14:paraId="38E4D820" w14:textId="77777777" w:rsidR="00017BFB" w:rsidRPr="00EB6F65" w:rsidRDefault="00017BF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</w:tcPr>
          <w:p w14:paraId="009D0B17" w14:textId="1321AA0D" w:rsidR="005E71B4" w:rsidRPr="005E71B4" w:rsidRDefault="000F59C1" w:rsidP="005E71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7A37141" w14:textId="3B608362" w:rsidR="00DA5E76" w:rsidRPr="00742355" w:rsidRDefault="00DA5E76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E440A5C" w14:textId="77777777" w:rsidR="00017BFB" w:rsidRPr="003A16F9" w:rsidRDefault="00017BFB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BD9" w:rsidRPr="003A16F9" w14:paraId="59E004C1" w14:textId="77777777" w:rsidTr="00070E11">
        <w:trPr>
          <w:trHeight w:val="140"/>
        </w:trPr>
        <w:tc>
          <w:tcPr>
            <w:tcW w:w="2335" w:type="dxa"/>
          </w:tcPr>
          <w:p w14:paraId="23203CA3" w14:textId="2657C5DF" w:rsidR="00FA5BD9" w:rsidRPr="003C04D9" w:rsidRDefault="00FA5BD9" w:rsidP="00B8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 xml:space="preserve">2.2.4. Припрема и имплементација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решења питања неактивних рачуна</w:t>
            </w:r>
          </w:p>
        </w:tc>
        <w:tc>
          <w:tcPr>
            <w:tcW w:w="1520" w:type="dxa"/>
          </w:tcPr>
          <w:p w14:paraId="26C307BE" w14:textId="78BE145E" w:rsidR="00FA5BD9" w:rsidRDefault="00CC4D35" w:rsidP="00F404C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инистарствофинансија</w:t>
            </w:r>
          </w:p>
        </w:tc>
        <w:tc>
          <w:tcPr>
            <w:tcW w:w="1547" w:type="dxa"/>
          </w:tcPr>
          <w:p w14:paraId="230CC54A" w14:textId="1FFBA677" w:rsidR="00FA5BD9" w:rsidRPr="00CC4D35" w:rsidRDefault="00FA5BD9" w:rsidP="00F40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D35">
              <w:rPr>
                <w:rFonts w:ascii="Times New Roman" w:hAnsi="Times New Roman" w:cs="Times New Roman"/>
                <w:sz w:val="20"/>
                <w:szCs w:val="20"/>
              </w:rPr>
              <w:t>КХоВ, ЦРХоВ</w:t>
            </w:r>
          </w:p>
        </w:tc>
        <w:tc>
          <w:tcPr>
            <w:tcW w:w="1255" w:type="dxa"/>
          </w:tcPr>
          <w:p w14:paraId="3BF96360" w14:textId="3E38DDAB" w:rsidR="00FA5BD9" w:rsidRDefault="004472FD" w:rsidP="00F40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FA5BD9">
              <w:rPr>
                <w:rFonts w:ascii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1520" w:type="dxa"/>
          </w:tcPr>
          <w:p w14:paraId="69663C41" w14:textId="57960DA1" w:rsidR="00FA5BD9" w:rsidRPr="00314385" w:rsidRDefault="00902DF0" w:rsidP="00F404C2">
            <w:pPr>
              <w:pStyle w:val="BodyAAA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348" w:type="dxa"/>
          </w:tcPr>
          <w:p w14:paraId="1222766A" w14:textId="3F341F7C" w:rsidR="00FA5BD9" w:rsidRPr="00EB6F65" w:rsidRDefault="002B32D4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F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0" w:type="dxa"/>
          </w:tcPr>
          <w:p w14:paraId="73D34744" w14:textId="38092F59" w:rsidR="00DA5E76" w:rsidRPr="00EB6F65" w:rsidRDefault="00D577D1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F256A18" w14:textId="77777777" w:rsidR="00FA5BD9" w:rsidRPr="00EB6F65" w:rsidRDefault="00FA5BD9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14:paraId="6963ED4A" w14:textId="572C1109" w:rsidR="00FA5BD9" w:rsidRPr="00EB6F65" w:rsidRDefault="00902DF0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5" w:type="dxa"/>
          </w:tcPr>
          <w:p w14:paraId="3993102B" w14:textId="2AE6FE3A" w:rsidR="00FA5BD9" w:rsidRPr="00EB6F65" w:rsidRDefault="00902DF0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BD9" w:rsidRPr="003A16F9" w14:paraId="744CDB09" w14:textId="77777777" w:rsidTr="00070E11">
        <w:trPr>
          <w:trHeight w:val="140"/>
        </w:trPr>
        <w:tc>
          <w:tcPr>
            <w:tcW w:w="2335" w:type="dxa"/>
          </w:tcPr>
          <w:p w14:paraId="1F547F9C" w14:textId="31E00383" w:rsidR="00FA5BD9" w:rsidRPr="003C04D9" w:rsidRDefault="00FA5BD9" w:rsidP="00B8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2.2.5. Успостављање система примарних дилера и израда одговарајућег надзорног оквира у фазама од 2022</w:t>
            </w:r>
            <w:r w:rsidR="00D327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 xml:space="preserve"> (пилот) до 2025</w:t>
            </w:r>
            <w:r w:rsidR="00D327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 xml:space="preserve"> године (пуна имплементација)</w:t>
            </w:r>
          </w:p>
        </w:tc>
        <w:tc>
          <w:tcPr>
            <w:tcW w:w="1520" w:type="dxa"/>
          </w:tcPr>
          <w:p w14:paraId="07B055A6" w14:textId="5F5CC5F2" w:rsidR="00FA5BD9" w:rsidRDefault="00CC4D35" w:rsidP="00F404C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инистарствофинансија</w:t>
            </w:r>
          </w:p>
        </w:tc>
        <w:tc>
          <w:tcPr>
            <w:tcW w:w="1547" w:type="dxa"/>
          </w:tcPr>
          <w:p w14:paraId="12D269D8" w14:textId="2E913588" w:rsidR="00FA5BD9" w:rsidRPr="00CC4D35" w:rsidRDefault="00FA5BD9" w:rsidP="00F40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D35">
              <w:rPr>
                <w:rFonts w:ascii="Times New Roman" w:hAnsi="Times New Roman" w:cs="Times New Roman"/>
                <w:sz w:val="20"/>
                <w:szCs w:val="20"/>
              </w:rPr>
              <w:t>УЈД, КХоВ, ЦРХоВ, ББ</w:t>
            </w:r>
          </w:p>
        </w:tc>
        <w:tc>
          <w:tcPr>
            <w:tcW w:w="1255" w:type="dxa"/>
          </w:tcPr>
          <w:p w14:paraId="2D334136" w14:textId="0E09A5A5" w:rsidR="00FA5BD9" w:rsidRDefault="004472FD" w:rsidP="00CD2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4551F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D2D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551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225981DF" w14:textId="268105CB" w:rsidR="00FA5BD9" w:rsidRDefault="00902DF0" w:rsidP="00F404C2">
            <w:pPr>
              <w:pStyle w:val="BodyAAA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>Донаторска средства</w:t>
            </w:r>
          </w:p>
        </w:tc>
        <w:tc>
          <w:tcPr>
            <w:tcW w:w="1348" w:type="dxa"/>
          </w:tcPr>
          <w:p w14:paraId="5ED805E7" w14:textId="5B16CD97" w:rsidR="00FA5BD9" w:rsidRPr="00EB6F65" w:rsidRDefault="00902DF0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0" w:type="dxa"/>
          </w:tcPr>
          <w:p w14:paraId="20674A1C" w14:textId="460F5AA2" w:rsidR="00FA5BD9" w:rsidRPr="00EB6F65" w:rsidRDefault="00902DF0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7" w:type="dxa"/>
          </w:tcPr>
          <w:p w14:paraId="3592C9D2" w14:textId="4CF2C07A" w:rsidR="00FA5BD9" w:rsidRPr="00EB6F65" w:rsidRDefault="00902DF0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Накнадно ће бити дефинисан износ</w:t>
            </w:r>
          </w:p>
        </w:tc>
        <w:tc>
          <w:tcPr>
            <w:tcW w:w="1645" w:type="dxa"/>
          </w:tcPr>
          <w:p w14:paraId="5B55593A" w14:textId="6F988157" w:rsidR="00FA5BD9" w:rsidRPr="00EB6F65" w:rsidRDefault="00A5599F" w:rsidP="00091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Накнадно ће бити дефинисан износ</w:t>
            </w:r>
          </w:p>
        </w:tc>
      </w:tr>
    </w:tbl>
    <w:p w14:paraId="3B346A6D" w14:textId="0149246B" w:rsidR="00CD5678" w:rsidRDefault="00CD5678" w:rsidP="00CD567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4978" w:type="pct"/>
        <w:tblInd w:w="10" w:type="dxa"/>
        <w:tblLayout w:type="fixed"/>
        <w:tblLook w:val="04A0" w:firstRow="1" w:lastRow="0" w:firstColumn="1" w:lastColumn="0" w:noHBand="0" w:noVBand="1"/>
      </w:tblPr>
      <w:tblGrid>
        <w:gridCol w:w="3140"/>
        <w:gridCol w:w="1529"/>
        <w:gridCol w:w="1529"/>
        <w:gridCol w:w="1493"/>
        <w:gridCol w:w="1477"/>
        <w:gridCol w:w="1529"/>
        <w:gridCol w:w="1607"/>
        <w:gridCol w:w="1574"/>
      </w:tblGrid>
      <w:tr w:rsidR="00CD5678" w:rsidRPr="003A16F9" w14:paraId="3D0EE564" w14:textId="77777777" w:rsidTr="007B40A7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00D66C8C" w14:textId="71C2E80E" w:rsidR="00CD5678" w:rsidRPr="003A16F9" w:rsidRDefault="00CD5678" w:rsidP="00747EAA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b/>
                <w:sz w:val="20"/>
                <w:szCs w:val="20"/>
              </w:rPr>
              <w:t>Посебни циљ 3: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47EAA">
              <w:rPr>
                <w:rFonts w:ascii="Times New Roman" w:hAnsi="Times New Roman" w:cs="Times New Roman"/>
                <w:sz w:val="20"/>
                <w:szCs w:val="20"/>
              </w:rPr>
              <w:t>Подигнути капацитет</w:t>
            </w:r>
            <w:r w:rsidR="007C4A4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47EAA">
              <w:rPr>
                <w:rFonts w:ascii="Times New Roman" w:hAnsi="Times New Roman" w:cs="Times New Roman"/>
                <w:sz w:val="20"/>
                <w:szCs w:val="20"/>
              </w:rPr>
              <w:t xml:space="preserve"> и ниво знања свих учесника на тржишту капитала</w:t>
            </w:r>
          </w:p>
        </w:tc>
      </w:tr>
      <w:tr w:rsidR="00CD5678" w:rsidRPr="003A16F9" w14:paraId="5F8EC713" w14:textId="77777777" w:rsidTr="007B40A7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7F82FF72" w14:textId="3EEF2394" w:rsidR="00CD5678" w:rsidRPr="003A16F9" w:rsidRDefault="00CD5678" w:rsidP="00747EAA">
            <w:pPr>
              <w:spacing w:after="160" w:line="259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Институција одговорна за праћење и контролу реализације: </w:t>
            </w:r>
            <w:r w:rsidR="00747EAA">
              <w:rPr>
                <w:rFonts w:ascii="Times New Roman" w:hAnsi="Times New Roman" w:cs="Times New Roman"/>
                <w:sz w:val="20"/>
                <w:szCs w:val="20"/>
              </w:rPr>
              <w:t>Министарство финансија</w:t>
            </w:r>
          </w:p>
        </w:tc>
      </w:tr>
      <w:tr w:rsidR="00CD5678" w:rsidRPr="003A16F9" w14:paraId="24F117D4" w14:textId="77777777" w:rsidTr="007B40A7">
        <w:trPr>
          <w:trHeight w:val="575"/>
        </w:trPr>
        <w:tc>
          <w:tcPr>
            <w:tcW w:w="1131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3781E1D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Показатељ(и) на нивоу посебног циља (показатељ исхода)</w:t>
            </w:r>
          </w:p>
        </w:tc>
        <w:tc>
          <w:tcPr>
            <w:tcW w:w="551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27FBD4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Jединица мере</w:t>
            </w:r>
          </w:p>
          <w:p w14:paraId="42F4BDD2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222F7E8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провере</w:t>
            </w:r>
          </w:p>
        </w:tc>
        <w:tc>
          <w:tcPr>
            <w:tcW w:w="53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28D5838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Почетна вредност </w:t>
            </w:r>
          </w:p>
        </w:tc>
        <w:tc>
          <w:tcPr>
            <w:tcW w:w="532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37E4D7D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Базна година</w:t>
            </w:r>
          </w:p>
        </w:tc>
        <w:tc>
          <w:tcPr>
            <w:tcW w:w="551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F6F7286" w14:textId="389F66A9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Циљaна вредност у години 2021</w:t>
            </w:r>
            <w:r w:rsidR="007A0B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9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1896EC6" w14:textId="6CA06D0F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Циљaна вредност у години 2022</w:t>
            </w:r>
            <w:r w:rsidR="007A0B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06B7194" w14:textId="76F37EA5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Циљaна вредност у години 2023</w:t>
            </w:r>
            <w:r w:rsidR="007A0B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D5678" w:rsidRPr="003A16F9" w14:paraId="2D703A9C" w14:textId="77777777" w:rsidTr="005C79B9">
        <w:trPr>
          <w:trHeight w:val="546"/>
        </w:trPr>
        <w:tc>
          <w:tcPr>
            <w:tcW w:w="113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02BEA6B" w14:textId="376472E4" w:rsidR="00CD5678" w:rsidRPr="003A16F9" w:rsidRDefault="00EB2406" w:rsidP="005C79B9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Већи </w:t>
            </w:r>
            <w:r w:rsidR="004C1C2A">
              <w:rPr>
                <w:rFonts w:ascii="Times New Roman" w:hAnsi="Times New Roman" w:cs="Times New Roman"/>
                <w:sz w:val="20"/>
                <w:szCs w:val="20"/>
              </w:rPr>
              <w:t>проценат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учешћа физичких лица</w:t>
            </w:r>
            <w:r w:rsidR="00316D08">
              <w:rPr>
                <w:rFonts w:ascii="Times New Roman" w:hAnsi="Times New Roman" w:cs="Times New Roman"/>
                <w:sz w:val="20"/>
                <w:szCs w:val="20"/>
              </w:rPr>
              <w:t xml:space="preserve"> у промету</w:t>
            </w:r>
          </w:p>
        </w:tc>
        <w:tc>
          <w:tcPr>
            <w:tcW w:w="5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8E3359" w14:textId="4CF12B4C" w:rsidR="003D692E" w:rsidRPr="003A16F9" w:rsidRDefault="00A202F6" w:rsidP="005C79B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E54AB1B" w14:textId="5A45226F" w:rsidR="00CD5678" w:rsidRPr="003A16F9" w:rsidRDefault="00EB2406" w:rsidP="00091C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ББ</w:t>
            </w:r>
          </w:p>
        </w:tc>
        <w:tc>
          <w:tcPr>
            <w:tcW w:w="5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135197B" w14:textId="52CB31EB" w:rsidR="00CD5678" w:rsidRPr="008A146D" w:rsidRDefault="001F5A13" w:rsidP="00091C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46D">
              <w:rPr>
                <w:rFonts w:ascii="Times New Roman" w:hAnsi="Times New Roman" w:cs="Times New Roman"/>
                <w:sz w:val="20"/>
                <w:szCs w:val="20"/>
              </w:rPr>
              <w:t>2,4%</w:t>
            </w:r>
          </w:p>
        </w:tc>
        <w:tc>
          <w:tcPr>
            <w:tcW w:w="5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D1F4207" w14:textId="51E1AB5A" w:rsidR="00CD5678" w:rsidRPr="008A146D" w:rsidRDefault="00CD5678" w:rsidP="00091C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46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B2406" w:rsidRPr="008A146D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5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891B37" w14:textId="7BB25440" w:rsidR="00CD5678" w:rsidRPr="008A146D" w:rsidRDefault="001F5A13" w:rsidP="00091C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46D">
              <w:rPr>
                <w:rFonts w:ascii="Times New Roman" w:hAnsi="Times New Roman" w:cs="Times New Roman"/>
                <w:sz w:val="20"/>
                <w:szCs w:val="20"/>
              </w:rPr>
              <w:t>2,4%</w:t>
            </w:r>
          </w:p>
        </w:tc>
        <w:tc>
          <w:tcPr>
            <w:tcW w:w="5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BBE9AD" w14:textId="292FF6E7" w:rsidR="00CD5678" w:rsidRPr="008A146D" w:rsidRDefault="001F5A13" w:rsidP="001F5A1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46D">
              <w:rPr>
                <w:rFonts w:ascii="Times New Roman" w:hAnsi="Times New Roman" w:cs="Times New Roman"/>
                <w:sz w:val="20"/>
                <w:szCs w:val="20"/>
              </w:rPr>
              <w:t>2,5%</w:t>
            </w:r>
          </w:p>
        </w:tc>
        <w:tc>
          <w:tcPr>
            <w:tcW w:w="56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A2F8E3B" w14:textId="586DF7C4" w:rsidR="00CD5678" w:rsidRPr="008A146D" w:rsidRDefault="001F5A13" w:rsidP="001F5A1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46D">
              <w:rPr>
                <w:rFonts w:ascii="Times New Roman" w:hAnsi="Times New Roman" w:cs="Times New Roman"/>
                <w:sz w:val="20"/>
                <w:szCs w:val="20"/>
              </w:rPr>
              <w:t>2,5%</w:t>
            </w:r>
          </w:p>
        </w:tc>
      </w:tr>
      <w:tr w:rsidR="00847D83" w:rsidRPr="003A16F9" w14:paraId="179AE918" w14:textId="77777777" w:rsidTr="007B40A7">
        <w:trPr>
          <w:trHeight w:val="254"/>
        </w:trPr>
        <w:tc>
          <w:tcPr>
            <w:tcW w:w="113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CDE722" w14:textId="5487A004" w:rsidR="00847D83" w:rsidRPr="003A16F9" w:rsidRDefault="00847D83" w:rsidP="00847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Већи б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рој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чланова инвестиционих фондова</w:t>
            </w:r>
          </w:p>
        </w:tc>
        <w:tc>
          <w:tcPr>
            <w:tcW w:w="5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229044F" w14:textId="03469F0B" w:rsidR="00847D83" w:rsidRPr="003A16F9" w:rsidRDefault="00847D83" w:rsidP="0084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</w:p>
        </w:tc>
        <w:tc>
          <w:tcPr>
            <w:tcW w:w="5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96EF09" w14:textId="312EBE67" w:rsidR="00847D83" w:rsidRPr="003A16F9" w:rsidRDefault="00847D83" w:rsidP="0084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НБС, КХоВ</w:t>
            </w:r>
          </w:p>
        </w:tc>
        <w:tc>
          <w:tcPr>
            <w:tcW w:w="5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B5D3026" w14:textId="2295B388" w:rsidR="00847D83" w:rsidRPr="00847D83" w:rsidRDefault="00847D83" w:rsidP="0084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D8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17.682</w:t>
            </w:r>
          </w:p>
        </w:tc>
        <w:tc>
          <w:tcPr>
            <w:tcW w:w="5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0CE05F" w14:textId="1BA73E93" w:rsidR="00847D83" w:rsidRPr="00847D83" w:rsidRDefault="00847D83" w:rsidP="0084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D83"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5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184A17" w14:textId="77777777" w:rsidR="00847D83" w:rsidRPr="00847D83" w:rsidRDefault="00847D83" w:rsidP="00847D8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847D8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23.389</w:t>
            </w:r>
          </w:p>
          <w:p w14:paraId="360869B0" w14:textId="77777777" w:rsidR="00847D83" w:rsidRPr="00847D83" w:rsidRDefault="00847D83" w:rsidP="0084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BCB6238" w14:textId="63797B29" w:rsidR="00847D83" w:rsidRPr="00847D83" w:rsidRDefault="00847D83" w:rsidP="0084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D8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28.067</w:t>
            </w:r>
          </w:p>
        </w:tc>
        <w:tc>
          <w:tcPr>
            <w:tcW w:w="56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76B0CE" w14:textId="77777777" w:rsidR="00847D83" w:rsidRPr="00847D83" w:rsidRDefault="00847D83" w:rsidP="00847D8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847D8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32.277</w:t>
            </w:r>
          </w:p>
          <w:p w14:paraId="44840404" w14:textId="77777777" w:rsidR="00847D83" w:rsidRPr="00847D83" w:rsidRDefault="00847D83" w:rsidP="0084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7E7CE5" w14:textId="6FA52B91" w:rsidR="00531101" w:rsidRDefault="00531101" w:rsidP="00CD567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877" w:type="dxa"/>
        <w:tblLayout w:type="fixed"/>
        <w:tblLook w:val="04A0" w:firstRow="1" w:lastRow="0" w:firstColumn="1" w:lastColumn="0" w:noHBand="0" w:noVBand="1"/>
      </w:tblPr>
      <w:tblGrid>
        <w:gridCol w:w="3149"/>
        <w:gridCol w:w="1336"/>
        <w:gridCol w:w="1454"/>
        <w:gridCol w:w="963"/>
        <w:gridCol w:w="768"/>
        <w:gridCol w:w="1670"/>
        <w:gridCol w:w="1504"/>
        <w:gridCol w:w="1539"/>
        <w:gridCol w:w="1494"/>
      </w:tblGrid>
      <w:tr w:rsidR="00CD5678" w:rsidRPr="003A16F9" w14:paraId="1F52BCE4" w14:textId="77777777" w:rsidTr="007B40A7">
        <w:trPr>
          <w:trHeight w:val="169"/>
        </w:trPr>
        <w:tc>
          <w:tcPr>
            <w:tcW w:w="13877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3383B97" w14:textId="7DA33E57" w:rsidR="00CD5678" w:rsidRPr="003A16F9" w:rsidRDefault="00CD5678" w:rsidP="00F345A4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Мера 3.1: </w:t>
            </w:r>
            <w:r w:rsidR="00F345A4">
              <w:rPr>
                <w:rFonts w:ascii="Times New Roman" w:hAnsi="Times New Roman" w:cs="Times New Roman"/>
                <w:sz w:val="20"/>
                <w:szCs w:val="20"/>
              </w:rPr>
              <w:t xml:space="preserve">Јачање технолошких и људских капацитета институција </w:t>
            </w:r>
          </w:p>
        </w:tc>
      </w:tr>
      <w:tr w:rsidR="00CD5678" w:rsidRPr="003A16F9" w14:paraId="61C93004" w14:textId="77777777" w:rsidTr="007B40A7">
        <w:trPr>
          <w:trHeight w:val="300"/>
        </w:trPr>
        <w:tc>
          <w:tcPr>
            <w:tcW w:w="1387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442530AD" w14:textId="25C3D2BE" w:rsidR="00CD5678" w:rsidRPr="003A16F9" w:rsidRDefault="00CD5678" w:rsidP="00F345A4">
            <w:pPr>
              <w:spacing w:after="160" w:line="259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Институција одговорна за праћење и контролу реализације: </w:t>
            </w:r>
            <w:r w:rsidR="00F345A4">
              <w:rPr>
                <w:rFonts w:ascii="Times New Roman" w:hAnsi="Times New Roman" w:cs="Times New Roman"/>
                <w:sz w:val="20"/>
                <w:szCs w:val="20"/>
              </w:rPr>
              <w:t>Министарство финансија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D5678" w:rsidRPr="003A16F9" w14:paraId="1F5CEAFE" w14:textId="77777777" w:rsidTr="007B40A7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E43FB1E" w14:textId="2E225A06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Период спровођења: </w:t>
            </w:r>
            <w:r w:rsidR="008B7157" w:rsidRPr="003A16F9"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</w:p>
        </w:tc>
        <w:tc>
          <w:tcPr>
            <w:tcW w:w="697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1059CCC" w14:textId="39ADD243" w:rsidR="00CD5678" w:rsidRPr="003A16F9" w:rsidRDefault="00CD5678" w:rsidP="00994DEF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Pr="001322D1">
              <w:rPr>
                <w:rFonts w:ascii="Times New Roman" w:hAnsi="Times New Roman" w:cs="Times New Roman"/>
                <w:sz w:val="20"/>
                <w:szCs w:val="20"/>
              </w:rPr>
              <w:t xml:space="preserve">мере: </w:t>
            </w:r>
            <w:r w:rsidR="00FA1A40" w:rsidRPr="001322D1">
              <w:rPr>
                <w:rFonts w:ascii="Times New Roman" w:hAnsi="Times New Roman" w:cs="Times New Roman"/>
                <w:sz w:val="20"/>
                <w:szCs w:val="20"/>
              </w:rPr>
              <w:t>Институционалн</w:t>
            </w:r>
            <w:r w:rsidR="00994DEF" w:rsidRPr="001322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A1A40" w:rsidRPr="001322D1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1322D1">
              <w:rPr>
                <w:rFonts w:ascii="Times New Roman" w:hAnsi="Times New Roman" w:cs="Times New Roman"/>
                <w:sz w:val="20"/>
                <w:szCs w:val="20"/>
              </w:rPr>
              <w:t>прављачко</w:t>
            </w:r>
            <w:r w:rsidR="00994DEF" w:rsidRPr="00132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2D1">
              <w:rPr>
                <w:rFonts w:ascii="Times New Roman" w:hAnsi="Times New Roman" w:cs="Times New Roman"/>
                <w:sz w:val="20"/>
                <w:szCs w:val="20"/>
              </w:rPr>
              <w:t>организациона</w:t>
            </w:r>
          </w:p>
        </w:tc>
      </w:tr>
      <w:tr w:rsidR="008B7157" w:rsidRPr="003A16F9" w14:paraId="44BA24D9" w14:textId="77777777" w:rsidTr="007B40A7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B12A945" w14:textId="25EAD412" w:rsidR="008B7157" w:rsidRPr="003A16F9" w:rsidRDefault="008B7157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29">
              <w:rPr>
                <w:rFonts w:ascii="Times New Roman" w:hAnsi="Times New Roman" w:cs="Times New Roman"/>
                <w:sz w:val="20"/>
                <w:szCs w:val="20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7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5F4A064" w14:textId="34F744AD" w:rsidR="008B7157" w:rsidRPr="003A16F9" w:rsidRDefault="003F76A8" w:rsidP="00994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CD5678" w:rsidRPr="003A16F9" w14:paraId="247D2AD2" w14:textId="77777777" w:rsidTr="009C706C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AAFE48B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Показатељ(и)  на нивоу мере (показатељ резултата)</w:t>
            </w:r>
          </w:p>
        </w:tc>
        <w:tc>
          <w:tcPr>
            <w:tcW w:w="13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8DF9345" w14:textId="77777777" w:rsidR="00CD5678" w:rsidRPr="003A16F9" w:rsidRDefault="00AE0FD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Јединица</w:t>
            </w:r>
            <w:r w:rsidR="00CD5678"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 мере</w:t>
            </w:r>
          </w:p>
          <w:p w14:paraId="142191B0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6DEDBAF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E9EC51C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BFC724C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Базна година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EB9D77B" w14:textId="42E32458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2021</w:t>
            </w:r>
            <w:r w:rsidR="007424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A8C458D" w14:textId="3E3FD04B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2022</w:t>
            </w:r>
            <w:r w:rsidR="007424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9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2551115" w14:textId="14872FB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2023</w:t>
            </w:r>
            <w:r w:rsidR="007424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D5678" w:rsidRPr="003A16F9" w14:paraId="01DB955B" w14:textId="77777777" w:rsidTr="009C706C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F778733" w14:textId="6708A30D" w:rsidR="00CD5678" w:rsidRPr="003A16F9" w:rsidRDefault="00890146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Развијен нови софтвер ЦРХоВ</w:t>
            </w:r>
          </w:p>
        </w:tc>
        <w:tc>
          <w:tcPr>
            <w:tcW w:w="13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78A95CD" w14:textId="51DCAEB3" w:rsidR="00CD5678" w:rsidRPr="003A16F9" w:rsidRDefault="0026187B" w:rsidP="0081621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 w:rsidR="00E630E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AA1D75A" w14:textId="035A4A21" w:rsidR="00CD5678" w:rsidRPr="003A16F9" w:rsidRDefault="00890146" w:rsidP="0081621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ЦРХоВ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CF7787" w14:textId="1A7ABE62" w:rsidR="00CD5678" w:rsidRPr="003A16F9" w:rsidRDefault="0026187B" w:rsidP="0081621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B295C18" w14:textId="44DEFE5E" w:rsidR="00CD5678" w:rsidRPr="003A16F9" w:rsidRDefault="00CD5678" w:rsidP="004713D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90146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CBEEDB1" w14:textId="773C45E1" w:rsidR="00CD5678" w:rsidRPr="003A16F9" w:rsidRDefault="0026187B" w:rsidP="004713D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B18B80" w14:textId="62F114A4" w:rsidR="00CD5678" w:rsidRPr="003A16F9" w:rsidRDefault="0026187B" w:rsidP="00EB0B4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B0B4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416C10" w14:textId="22F61A5F" w:rsidR="00CD5678" w:rsidRPr="003A16F9" w:rsidRDefault="00890146" w:rsidP="004713D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678" w:rsidRPr="003A16F9" w14:paraId="7A3D0F4C" w14:textId="77777777" w:rsidTr="009C706C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FFD7B21" w14:textId="22F9E9D0" w:rsidR="00CD5678" w:rsidRPr="003A16F9" w:rsidRDefault="00890146" w:rsidP="0070529D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Успостављена посебна јединица за праћење реализације стратегије у оквиру М</w:t>
            </w:r>
            <w:r w:rsidR="0070529D">
              <w:rPr>
                <w:rFonts w:ascii="Times New Roman" w:hAnsi="Times New Roman" w:cs="Times New Roman"/>
                <w:sz w:val="20"/>
                <w:szCs w:val="20"/>
              </w:rPr>
              <w:t>инистарства финансија</w:t>
            </w:r>
          </w:p>
        </w:tc>
        <w:tc>
          <w:tcPr>
            <w:tcW w:w="13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A698E3D" w14:textId="2253F83B" w:rsidR="00CD5678" w:rsidRPr="003A16F9" w:rsidRDefault="003E2027" w:rsidP="0081621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E827E32" w14:textId="2D367085" w:rsidR="00CD5678" w:rsidRPr="003A16F9" w:rsidRDefault="009C706C" w:rsidP="0081621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финансија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F301B4E" w14:textId="77777777" w:rsidR="00CD5678" w:rsidRPr="003A16F9" w:rsidRDefault="00CD5678" w:rsidP="0081621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9462B2" w14:textId="3EDE8830" w:rsidR="00CD5678" w:rsidRPr="003A16F9" w:rsidRDefault="00CD5678" w:rsidP="004713D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90146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E9AF498" w14:textId="389A8973" w:rsidR="00CD5678" w:rsidRPr="003A16F9" w:rsidRDefault="003E2027" w:rsidP="004713D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A65252" w14:textId="3CB36EBC" w:rsidR="00CD5678" w:rsidRPr="003A16F9" w:rsidRDefault="003E2027" w:rsidP="004713D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B0EB3C" w14:textId="4FB1D33E" w:rsidR="00CD5678" w:rsidRPr="003A16F9" w:rsidRDefault="00C2359D" w:rsidP="004713D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A23" w:rsidRPr="003A16F9" w14:paraId="3C3EAE39" w14:textId="77777777" w:rsidTr="009C706C">
        <w:trPr>
          <w:trHeight w:val="304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6BF2817" w14:textId="5A020FC2" w:rsidR="007E5A23" w:rsidRDefault="007E5A23" w:rsidP="007052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 новозапослених у посебној јединици М</w:t>
            </w:r>
            <w:r w:rsidR="0070529D">
              <w:rPr>
                <w:rFonts w:ascii="Times New Roman" w:hAnsi="Times New Roman" w:cs="Times New Roman"/>
                <w:sz w:val="20"/>
                <w:szCs w:val="20"/>
              </w:rPr>
              <w:t>инистарства финансија</w:t>
            </w:r>
          </w:p>
        </w:tc>
        <w:tc>
          <w:tcPr>
            <w:tcW w:w="13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E719CBF" w14:textId="139C629B" w:rsidR="007E5A23" w:rsidRPr="003A16F9" w:rsidRDefault="007E5A23" w:rsidP="00816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</w:p>
        </w:tc>
        <w:tc>
          <w:tcPr>
            <w:tcW w:w="145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797338A" w14:textId="6D795C59" w:rsidR="007E5A23" w:rsidRDefault="009C706C" w:rsidP="00816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финансија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1EA0FB31" w14:textId="514B6E70" w:rsidR="007E5A23" w:rsidRPr="003A16F9" w:rsidRDefault="007E5A23" w:rsidP="00816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0D15A46" w14:textId="2D2E80F3" w:rsidR="007E5A23" w:rsidRPr="003A16F9" w:rsidRDefault="007E5A23" w:rsidP="00471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A80F03F" w14:textId="20C67DFD" w:rsidR="007E5A23" w:rsidRPr="003A16F9" w:rsidRDefault="006D06A7" w:rsidP="00471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F8D58EE" w14:textId="22873718" w:rsidR="007E5A23" w:rsidRPr="006D06A7" w:rsidRDefault="006D06A7" w:rsidP="00471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999D91" w14:textId="59337312" w:rsidR="007E5A23" w:rsidRPr="006D06A7" w:rsidRDefault="006D06A7" w:rsidP="004713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6A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14:paraId="0F63B8B0" w14:textId="77777777" w:rsidR="00945E37" w:rsidRDefault="00945E37" w:rsidP="00CD5678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48"/>
      </w:tblGrid>
      <w:tr w:rsidR="00CD5678" w:rsidRPr="003A16F9" w14:paraId="382C756F" w14:textId="77777777" w:rsidTr="007B40A7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4EA0A33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финансирања мере</w:t>
            </w:r>
          </w:p>
          <w:p w14:paraId="51963BF0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B86584F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Веза са програмским буџетом</w:t>
            </w:r>
          </w:p>
          <w:p w14:paraId="3BF67450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8D901F1" w14:textId="6F5E6821" w:rsidR="00CD5678" w:rsidRPr="003A16F9" w:rsidRDefault="00CD5678" w:rsidP="00A175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Укупна процењена финансијска средства у дин.</w:t>
            </w:r>
          </w:p>
        </w:tc>
      </w:tr>
      <w:tr w:rsidR="00CD5678" w:rsidRPr="003A16F9" w14:paraId="3B6B8A21" w14:textId="77777777" w:rsidTr="007B40A7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CA1F8F8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CD90D2D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DDB2AF8" w14:textId="24F00DCF" w:rsidR="00CD5678" w:rsidRPr="003A16F9" w:rsidRDefault="00CD5678" w:rsidP="00F7606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2021</w:t>
            </w:r>
            <w:r w:rsidR="00EF63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C0C7210" w14:textId="6B177F9B" w:rsidR="00CD5678" w:rsidRPr="003A16F9" w:rsidRDefault="00CD5678" w:rsidP="00F7606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2022</w:t>
            </w:r>
            <w:r w:rsidR="00EF63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480C752" w14:textId="3D488E9B" w:rsidR="00CD5678" w:rsidRPr="003A16F9" w:rsidRDefault="00CD5678" w:rsidP="00F7606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2023</w:t>
            </w:r>
            <w:r w:rsidR="00EF63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277D1" w:rsidRPr="003A16F9" w14:paraId="54199F8E" w14:textId="77777777" w:rsidTr="007B40A7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9ED8B3" w14:textId="7B175C62" w:rsidR="005277D1" w:rsidRPr="003A16F9" w:rsidRDefault="006A14FA" w:rsidP="00062A2D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23603">
              <w:rPr>
                <w:rFonts w:ascii="Times New Roman" w:hAnsi="Times New Roman" w:cs="Times New Roman"/>
                <w:sz w:val="20"/>
                <w:szCs w:val="20"/>
              </w:rPr>
              <w:t>редства</w:t>
            </w:r>
            <w:r w:rsidR="006F1B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42A">
              <w:rPr>
                <w:rFonts w:ascii="Times New Roman" w:hAnsi="Times New Roman" w:cs="Times New Roman"/>
                <w:sz w:val="20"/>
                <w:szCs w:val="20"/>
              </w:rPr>
              <w:t>Светске банке</w:t>
            </w:r>
            <w:r w:rsidR="00093144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="00062A2D">
              <w:rPr>
                <w:rFonts w:ascii="Times New Roman" w:hAnsi="Times New Roman" w:cs="Times New Roman"/>
                <w:sz w:val="20"/>
                <w:szCs w:val="20"/>
              </w:rPr>
              <w:t>Редовна средства б</w:t>
            </w:r>
            <w:r w:rsidR="00093144">
              <w:rPr>
                <w:rFonts w:ascii="Times New Roman" w:hAnsi="Times New Roman" w:cs="Times New Roman"/>
                <w:sz w:val="20"/>
                <w:szCs w:val="20"/>
              </w:rPr>
              <w:t>уџет</w:t>
            </w:r>
            <w:r w:rsidR="00062A2D">
              <w:rPr>
                <w:rFonts w:ascii="Times New Roman" w:hAnsi="Times New Roman" w:cs="Times New Roman"/>
                <w:sz w:val="20"/>
                <w:szCs w:val="20"/>
              </w:rPr>
              <w:t>а РС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C12790" w14:textId="5323B31F" w:rsidR="005277D1" w:rsidRPr="00A23603" w:rsidRDefault="005277D1" w:rsidP="005277D1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1786B9" w14:textId="6AF0E3F9" w:rsidR="005277D1" w:rsidRPr="00F76069" w:rsidRDefault="00F76069" w:rsidP="00F7606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16.300.000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981EA7" w14:textId="2BB2FF66" w:rsidR="005277D1" w:rsidRPr="00F76069" w:rsidRDefault="00F76069" w:rsidP="00F760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124.500.000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DCD665" w14:textId="32D0ABDF" w:rsidR="005277D1" w:rsidRPr="00F76069" w:rsidRDefault="00F76069" w:rsidP="00F7606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82.800.000</w:t>
            </w:r>
          </w:p>
        </w:tc>
      </w:tr>
    </w:tbl>
    <w:p w14:paraId="35321D9D" w14:textId="4C7B1636" w:rsidR="00CD5678" w:rsidRDefault="00CD5678" w:rsidP="00CD5678">
      <w:pPr>
        <w:rPr>
          <w:rFonts w:ascii="Times New Roman" w:hAnsi="Times New Roman" w:cs="Times New Roman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2610"/>
        <w:gridCol w:w="1515"/>
        <w:gridCol w:w="1418"/>
        <w:gridCol w:w="1116"/>
        <w:gridCol w:w="1521"/>
        <w:gridCol w:w="1260"/>
        <w:gridCol w:w="1529"/>
        <w:gridCol w:w="1441"/>
        <w:gridCol w:w="1468"/>
      </w:tblGrid>
      <w:tr w:rsidR="00CD5678" w:rsidRPr="003A16F9" w14:paraId="6E7AC25C" w14:textId="77777777" w:rsidTr="00F80C08">
        <w:trPr>
          <w:trHeight w:val="140"/>
        </w:trPr>
        <w:tc>
          <w:tcPr>
            <w:tcW w:w="940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EA6EFA5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Назив активности:</w:t>
            </w:r>
          </w:p>
        </w:tc>
        <w:tc>
          <w:tcPr>
            <w:tcW w:w="54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5446997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Орган који спроводи активност</w:t>
            </w:r>
          </w:p>
        </w:tc>
        <w:tc>
          <w:tcPr>
            <w:tcW w:w="51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C93A383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Oргани партнери у спровођењу активности</w:t>
            </w:r>
          </w:p>
        </w:tc>
        <w:tc>
          <w:tcPr>
            <w:tcW w:w="4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6F4DABD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Рок за завршетак активности</w:t>
            </w:r>
          </w:p>
        </w:tc>
        <w:tc>
          <w:tcPr>
            <w:tcW w:w="54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A787222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финансирања</w:t>
            </w:r>
          </w:p>
          <w:p w14:paraId="69BF445C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9AE7E99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Веза са програмским буџетом</w:t>
            </w:r>
          </w:p>
          <w:p w14:paraId="663B931D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9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687B015" w14:textId="5E1FBB49" w:rsidR="00CD5678" w:rsidRPr="003A16F9" w:rsidRDefault="00CD5678" w:rsidP="000A3770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Укупна процењена финансијска средства по изворима у дин.</w:t>
            </w:r>
          </w:p>
        </w:tc>
      </w:tr>
      <w:tr w:rsidR="00CD5678" w:rsidRPr="003A16F9" w14:paraId="6035342C" w14:textId="77777777" w:rsidTr="00F80C08">
        <w:trPr>
          <w:trHeight w:val="665"/>
        </w:trPr>
        <w:tc>
          <w:tcPr>
            <w:tcW w:w="940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767F2E1E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shd w:val="clear" w:color="auto" w:fill="FFF2CC" w:themeFill="accent4" w:themeFillTint="33"/>
          </w:tcPr>
          <w:p w14:paraId="081927EB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vMerge/>
            <w:shd w:val="clear" w:color="auto" w:fill="FFF2CC" w:themeFill="accent4" w:themeFillTint="33"/>
          </w:tcPr>
          <w:p w14:paraId="481D0EF4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1DD38367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vMerge/>
            <w:shd w:val="clear" w:color="auto" w:fill="FFF2CC" w:themeFill="accent4" w:themeFillTint="33"/>
          </w:tcPr>
          <w:p w14:paraId="5664DB50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shd w:val="clear" w:color="auto" w:fill="FFF2CC" w:themeFill="accent4" w:themeFillTint="33"/>
          </w:tcPr>
          <w:p w14:paraId="763E5E2E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FFF2CC" w:themeFill="accent4" w:themeFillTint="33"/>
          </w:tcPr>
          <w:p w14:paraId="51B00DE9" w14:textId="59C6C3AB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2021</w:t>
            </w:r>
            <w:r w:rsidR="00CA71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9" w:type="pct"/>
            <w:shd w:val="clear" w:color="auto" w:fill="FFF2CC" w:themeFill="accent4" w:themeFillTint="33"/>
          </w:tcPr>
          <w:p w14:paraId="6A127F94" w14:textId="53E128FA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2022</w:t>
            </w:r>
            <w:r w:rsidR="00CA71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9" w:type="pct"/>
            <w:shd w:val="clear" w:color="auto" w:fill="FFF2CC" w:themeFill="accent4" w:themeFillTint="33"/>
          </w:tcPr>
          <w:p w14:paraId="62B54C19" w14:textId="7668ED48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2023</w:t>
            </w:r>
            <w:r w:rsidR="00CA71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F65CC" w:rsidRPr="003A16F9" w14:paraId="610BBEB9" w14:textId="77777777" w:rsidTr="00F80C08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1C8999C0" w14:textId="653162DE" w:rsidR="00BF65CC" w:rsidRPr="003A16F9" w:rsidRDefault="00BF65CC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r w:rsidR="00B84D2E" w:rsidRPr="003A16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5DC0" w:rsidRPr="003C04D9">
              <w:rPr>
                <w:rFonts w:ascii="Times New Roman" w:hAnsi="Times New Roman" w:cs="Times New Roman"/>
                <w:sz w:val="20"/>
                <w:szCs w:val="20"/>
              </w:rPr>
              <w:t>Успостављање посебне јединице за тржиште капитала у циљу праћења реализације стратегије, спровођења не-регулаторних активности, координације међуинституционалне сарадње, вођења веб платформе, и пружања централизоване подршке учесницима на тржишту</w:t>
            </w:r>
          </w:p>
        </w:tc>
        <w:tc>
          <w:tcPr>
            <w:tcW w:w="546" w:type="pct"/>
          </w:tcPr>
          <w:p w14:paraId="65DC0F6C" w14:textId="3E01964B" w:rsidR="00BF65CC" w:rsidRPr="003A16F9" w:rsidRDefault="00C35DC0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80C08">
              <w:rPr>
                <w:rFonts w:ascii="Times New Roman" w:hAnsi="Times New Roman" w:cs="Times New Roman"/>
                <w:sz w:val="20"/>
                <w:szCs w:val="20"/>
              </w:rPr>
              <w:t xml:space="preserve">инистарство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фин</w:t>
            </w:r>
            <w:r w:rsidR="00F80C08">
              <w:rPr>
                <w:rFonts w:ascii="Times New Roman" w:hAnsi="Times New Roman" w:cs="Times New Roman"/>
                <w:sz w:val="20"/>
                <w:szCs w:val="20"/>
              </w:rPr>
              <w:t>ансија</w:t>
            </w:r>
          </w:p>
        </w:tc>
        <w:tc>
          <w:tcPr>
            <w:tcW w:w="511" w:type="pct"/>
          </w:tcPr>
          <w:p w14:paraId="464896AC" w14:textId="65070A65" w:rsidR="00BF65CC" w:rsidRPr="003A16F9" w:rsidRDefault="00C35DC0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КХоВ, УЈД</w:t>
            </w:r>
          </w:p>
        </w:tc>
        <w:tc>
          <w:tcPr>
            <w:tcW w:w="402" w:type="pct"/>
          </w:tcPr>
          <w:p w14:paraId="69C928A9" w14:textId="4A8AA4DD" w:rsidR="00BF65CC" w:rsidRPr="003A16F9" w:rsidRDefault="004472FD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BF65CC" w:rsidRPr="003A16F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35DC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48" w:type="pct"/>
          </w:tcPr>
          <w:p w14:paraId="2885FB11" w14:textId="639F478F" w:rsidR="00BF65CC" w:rsidRPr="00AF631E" w:rsidRDefault="00AA426B" w:rsidP="00AF631E">
            <w:pPr>
              <w:pStyle w:val="BodyAAA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Светска банка</w:t>
            </w:r>
          </w:p>
          <w:p w14:paraId="3057E734" w14:textId="77777777" w:rsidR="00BF65CC" w:rsidRPr="003A16F9" w:rsidRDefault="00BF65CC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4" w:type="pct"/>
          </w:tcPr>
          <w:p w14:paraId="1E7976DB" w14:textId="464DA387" w:rsidR="00BF65CC" w:rsidRPr="003A16F9" w:rsidRDefault="007065F8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4D17192" w14:textId="77777777" w:rsidR="00BF65CC" w:rsidRPr="003A16F9" w:rsidRDefault="00BF65CC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FEC8DA" w14:textId="77777777" w:rsidR="00BF65CC" w:rsidRPr="003A16F9" w:rsidRDefault="00BF65CC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6C32BC" w14:textId="77777777" w:rsidR="00BF65CC" w:rsidRPr="003A16F9" w:rsidRDefault="00BF65CC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4D8E62" w14:textId="21FC2F5D" w:rsidR="00BF65CC" w:rsidRPr="003A16F9" w:rsidRDefault="00BF65CC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</w:tcPr>
          <w:p w14:paraId="355C0CEF" w14:textId="65E4E87A" w:rsidR="00BF65CC" w:rsidRPr="00AF631E" w:rsidRDefault="00AF631E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519" w:type="pct"/>
          </w:tcPr>
          <w:p w14:paraId="276903AB" w14:textId="6AE227FF" w:rsidR="00BF65CC" w:rsidRPr="003A16F9" w:rsidRDefault="00AA426B" w:rsidP="00AA426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29.000.000</w:t>
            </w:r>
          </w:p>
        </w:tc>
        <w:tc>
          <w:tcPr>
            <w:tcW w:w="529" w:type="pct"/>
          </w:tcPr>
          <w:p w14:paraId="02BE7E9B" w14:textId="3460509E" w:rsidR="00BF65CC" w:rsidRPr="003A16F9" w:rsidRDefault="00AA426B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71.000.000</w:t>
            </w:r>
          </w:p>
        </w:tc>
      </w:tr>
      <w:tr w:rsidR="00BF65CC" w:rsidRPr="003A16F9" w14:paraId="6349F1C8" w14:textId="77777777" w:rsidTr="00F80C08">
        <w:trPr>
          <w:trHeight w:val="1430"/>
        </w:trPr>
        <w:tc>
          <w:tcPr>
            <w:tcW w:w="940" w:type="pct"/>
            <w:tcBorders>
              <w:left w:val="double" w:sz="4" w:space="0" w:color="auto"/>
            </w:tcBorders>
          </w:tcPr>
          <w:p w14:paraId="1AA0A4D1" w14:textId="548A3E9A" w:rsidR="00BF65CC" w:rsidRPr="003A16F9" w:rsidRDefault="00BF65CC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r w:rsidR="00B84D2E" w:rsidRPr="003A16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35DC0" w:rsidRPr="003C04D9">
              <w:rPr>
                <w:rFonts w:ascii="Times New Roman" w:hAnsi="Times New Roman" w:cs="Times New Roman"/>
                <w:sz w:val="20"/>
                <w:szCs w:val="20"/>
              </w:rPr>
              <w:t>Развој и имплементација новог софтвера ЦРХоВ</w:t>
            </w:r>
          </w:p>
        </w:tc>
        <w:tc>
          <w:tcPr>
            <w:tcW w:w="546" w:type="pct"/>
          </w:tcPr>
          <w:p w14:paraId="1FDF95BB" w14:textId="1707D7CF" w:rsidR="00BF65CC" w:rsidRPr="003A16F9" w:rsidRDefault="00C35DC0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ЦРХоВ</w:t>
            </w:r>
          </w:p>
        </w:tc>
        <w:tc>
          <w:tcPr>
            <w:tcW w:w="511" w:type="pct"/>
          </w:tcPr>
          <w:p w14:paraId="5F7FFC6D" w14:textId="2358A832" w:rsidR="00BF65CC" w:rsidRPr="003A16F9" w:rsidRDefault="00F80C08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финансија</w:t>
            </w:r>
            <w:r w:rsidR="00C35DC0">
              <w:rPr>
                <w:rFonts w:ascii="Times New Roman" w:hAnsi="Times New Roman" w:cs="Times New Roman"/>
                <w:sz w:val="20"/>
                <w:szCs w:val="20"/>
              </w:rPr>
              <w:t>, УЈД, ББ, КХоВ</w:t>
            </w:r>
          </w:p>
        </w:tc>
        <w:tc>
          <w:tcPr>
            <w:tcW w:w="402" w:type="pct"/>
          </w:tcPr>
          <w:p w14:paraId="4C03C51A" w14:textId="449E592C" w:rsidR="00BF65CC" w:rsidRPr="003A16F9" w:rsidRDefault="004472FD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BF65CC" w:rsidRPr="003A16F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35DC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48" w:type="pct"/>
          </w:tcPr>
          <w:p w14:paraId="2373CEF2" w14:textId="3E6E1FF9" w:rsidR="00BF65CC" w:rsidRPr="00F80C08" w:rsidRDefault="00703278" w:rsidP="00EE3F1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Редован б</w:t>
            </w:r>
            <w:r w:rsidR="00F80C08" w:rsidRPr="00F80C08">
              <w:rPr>
                <w:rFonts w:ascii="Times New Roman" w:hAnsi="Times New Roman" w:cs="Times New Roman"/>
                <w:sz w:val="20"/>
                <w:szCs w:val="20"/>
              </w:rPr>
              <w:t>уџет Републике Србије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4" w:type="pct"/>
          </w:tcPr>
          <w:p w14:paraId="2CD6EBBD" w14:textId="1DFCD0C0" w:rsidR="00BF65CC" w:rsidRPr="003A16F9" w:rsidRDefault="009F2530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</w:tcPr>
          <w:p w14:paraId="4C1E729F" w14:textId="40B7E2E9" w:rsidR="00BF65CC" w:rsidRPr="003A16F9" w:rsidRDefault="00A2546C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16.300.000</w:t>
            </w:r>
          </w:p>
        </w:tc>
        <w:tc>
          <w:tcPr>
            <w:tcW w:w="519" w:type="pct"/>
          </w:tcPr>
          <w:p w14:paraId="47202A1C" w14:textId="7547C58F" w:rsidR="00BF65CC" w:rsidRPr="003A16F9" w:rsidRDefault="00F76069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83.700.000</w:t>
            </w:r>
          </w:p>
        </w:tc>
        <w:tc>
          <w:tcPr>
            <w:tcW w:w="529" w:type="pct"/>
          </w:tcPr>
          <w:p w14:paraId="37FC40AD" w14:textId="5F2F81F9" w:rsidR="00BF65CC" w:rsidRPr="003A16F9" w:rsidRDefault="00936B8B" w:rsidP="00F80C0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D7D" w:rsidRPr="003A16F9" w14:paraId="61E0C8FD" w14:textId="77777777" w:rsidTr="00F80C08">
        <w:trPr>
          <w:trHeight w:val="1430"/>
        </w:trPr>
        <w:tc>
          <w:tcPr>
            <w:tcW w:w="940" w:type="pct"/>
            <w:tcBorders>
              <w:left w:val="double" w:sz="4" w:space="0" w:color="auto"/>
            </w:tcBorders>
          </w:tcPr>
          <w:p w14:paraId="39520A24" w14:textId="6A777D8A" w:rsidR="00E96D7D" w:rsidRPr="003A16F9" w:rsidRDefault="00E96D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3.1.3. 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Обезбеђивање свеобухватног програма техничке подршке за релевантне институције у циљу довођења квалитетног кадра, спровођења додатних аналитичких активности, подршке у изради релевантних интерних аката, и друго</w:t>
            </w:r>
          </w:p>
        </w:tc>
        <w:tc>
          <w:tcPr>
            <w:tcW w:w="546" w:type="pct"/>
          </w:tcPr>
          <w:p w14:paraId="1B5BDFCC" w14:textId="0A35A016" w:rsidR="00E96D7D" w:rsidRDefault="00F80C08" w:rsidP="00F80C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Министарство финансија</w:t>
            </w:r>
          </w:p>
        </w:tc>
        <w:tc>
          <w:tcPr>
            <w:tcW w:w="511" w:type="pct"/>
          </w:tcPr>
          <w:p w14:paraId="2EA54AFC" w14:textId="74168684" w:rsidR="00E96D7D" w:rsidRDefault="00E96D7D" w:rsidP="00F80C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КХоВ, УЈД, ЦРХОВ, ПУ, У</w:t>
            </w:r>
            <w:r w:rsidR="00F80C08">
              <w:rPr>
                <w:rFonts w:ascii="Times New Roman" w:hAnsi="Times New Roman" w:cs="Times New Roman"/>
                <w:sz w:val="20"/>
                <w:szCs w:val="20"/>
              </w:rPr>
              <w:t>СПН</w:t>
            </w:r>
          </w:p>
        </w:tc>
        <w:tc>
          <w:tcPr>
            <w:tcW w:w="402" w:type="pct"/>
          </w:tcPr>
          <w:p w14:paraId="163A7007" w14:textId="05364B75" w:rsidR="00E96D7D" w:rsidRPr="003A16F9" w:rsidRDefault="004472FD" w:rsidP="00F80C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E96D7D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548" w:type="pct"/>
          </w:tcPr>
          <w:p w14:paraId="5AE88526" w14:textId="033B3688" w:rsidR="00E96D7D" w:rsidRPr="003A16F9" w:rsidRDefault="00EE3F1F" w:rsidP="00F80C08">
            <w:pPr>
              <w:pStyle w:val="BodyAAA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>Светска банка</w:t>
            </w:r>
          </w:p>
        </w:tc>
        <w:tc>
          <w:tcPr>
            <w:tcW w:w="454" w:type="pct"/>
          </w:tcPr>
          <w:p w14:paraId="2548DD05" w14:textId="1014BA5C" w:rsidR="00E96D7D" w:rsidRPr="00C35DC0" w:rsidRDefault="007065F8" w:rsidP="00F80C0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065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</w:tcPr>
          <w:p w14:paraId="7753D6F7" w14:textId="229911C4" w:rsidR="00E96D7D" w:rsidRPr="004B4005" w:rsidRDefault="007424F5" w:rsidP="00F80C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pct"/>
          </w:tcPr>
          <w:p w14:paraId="666AACE0" w14:textId="2B6C190D" w:rsidR="00E96D7D" w:rsidRPr="003A16F9" w:rsidRDefault="00EE3F1F" w:rsidP="00685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11.800.000</w:t>
            </w:r>
          </w:p>
        </w:tc>
        <w:tc>
          <w:tcPr>
            <w:tcW w:w="529" w:type="pct"/>
          </w:tcPr>
          <w:p w14:paraId="257703FD" w14:textId="53655E04" w:rsidR="00E96D7D" w:rsidRPr="003A16F9" w:rsidRDefault="00EE3F1F" w:rsidP="002A6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11.800.000</w:t>
            </w:r>
          </w:p>
        </w:tc>
      </w:tr>
    </w:tbl>
    <w:p w14:paraId="26CD63B1" w14:textId="77777777" w:rsidR="00CD5678" w:rsidRPr="003A16F9" w:rsidRDefault="00CD5678" w:rsidP="00CD5678">
      <w:pPr>
        <w:rPr>
          <w:rFonts w:ascii="Times New Roman" w:hAnsi="Times New Roman" w:cs="Times New Roman"/>
        </w:rPr>
      </w:pPr>
    </w:p>
    <w:tbl>
      <w:tblPr>
        <w:tblStyle w:val="TableGrid"/>
        <w:tblW w:w="13907" w:type="dxa"/>
        <w:tblInd w:w="-3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802"/>
        <w:gridCol w:w="508"/>
        <w:gridCol w:w="768"/>
        <w:gridCol w:w="1670"/>
        <w:gridCol w:w="1504"/>
        <w:gridCol w:w="1539"/>
        <w:gridCol w:w="1524"/>
      </w:tblGrid>
      <w:tr w:rsidR="00CD5678" w:rsidRPr="003A16F9" w14:paraId="46BD7477" w14:textId="77777777" w:rsidTr="007B40A7">
        <w:trPr>
          <w:trHeight w:val="169"/>
        </w:trPr>
        <w:tc>
          <w:tcPr>
            <w:tcW w:w="13907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0765591" w14:textId="60581609" w:rsidR="00CD5678" w:rsidRPr="003A16F9" w:rsidRDefault="00CD5678" w:rsidP="00AF545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Мера 3.2: </w:t>
            </w:r>
            <w:r w:rsidR="00AF545B">
              <w:rPr>
                <w:rFonts w:ascii="Times New Roman" w:hAnsi="Times New Roman" w:cs="Times New Roman"/>
                <w:sz w:val="20"/>
                <w:szCs w:val="20"/>
              </w:rPr>
              <w:t>Промоција могућности учешћа на тржишту капитала и едукација свих потенцијалних учесника на тржишту</w:t>
            </w:r>
          </w:p>
        </w:tc>
      </w:tr>
      <w:tr w:rsidR="00CD5678" w:rsidRPr="003A16F9" w14:paraId="79FA7B0B" w14:textId="77777777" w:rsidTr="007B40A7">
        <w:trPr>
          <w:trHeight w:val="300"/>
        </w:trPr>
        <w:tc>
          <w:tcPr>
            <w:tcW w:w="1390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D29DC6F" w14:textId="22369657" w:rsidR="00CD5678" w:rsidRPr="003A16F9" w:rsidRDefault="00CD5678" w:rsidP="00AF545B">
            <w:pPr>
              <w:spacing w:after="160" w:line="259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Институција одговорна за праћење и контролу реализације: Министарство </w:t>
            </w:r>
            <w:r w:rsidR="00AF545B">
              <w:rPr>
                <w:rFonts w:ascii="Times New Roman" w:hAnsi="Times New Roman" w:cs="Times New Roman"/>
                <w:sz w:val="20"/>
                <w:szCs w:val="20"/>
              </w:rPr>
              <w:t>финансија</w:t>
            </w:r>
          </w:p>
        </w:tc>
      </w:tr>
      <w:tr w:rsidR="00CD5678" w:rsidRPr="003A16F9" w14:paraId="59785147" w14:textId="77777777" w:rsidTr="007B40A7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94F446B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Период спровођења: 2021-2023</w:t>
            </w:r>
          </w:p>
        </w:tc>
        <w:tc>
          <w:tcPr>
            <w:tcW w:w="700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100743F" w14:textId="15595274" w:rsidR="00CD5678" w:rsidRPr="000F1EB0" w:rsidRDefault="00CD5678" w:rsidP="000F1EB0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EB0">
              <w:rPr>
                <w:rFonts w:ascii="Times New Roman" w:hAnsi="Times New Roman" w:cs="Times New Roman"/>
                <w:sz w:val="20"/>
                <w:szCs w:val="20"/>
              </w:rPr>
              <w:t xml:space="preserve">Тип мере: </w:t>
            </w:r>
            <w:r w:rsidR="000F1EB0" w:rsidRPr="000F1EB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F1EB0">
              <w:rPr>
                <w:rFonts w:ascii="Times New Roman" w:hAnsi="Times New Roman" w:cs="Times New Roman"/>
                <w:sz w:val="20"/>
                <w:szCs w:val="20"/>
              </w:rPr>
              <w:t>нституционалн</w:t>
            </w:r>
            <w:r w:rsidR="000F1EB0" w:rsidRPr="000F1EB0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0F1EB0">
              <w:rPr>
                <w:rFonts w:ascii="Times New Roman" w:hAnsi="Times New Roman" w:cs="Times New Roman"/>
                <w:sz w:val="20"/>
                <w:szCs w:val="20"/>
              </w:rPr>
              <w:t>управљачк</w:t>
            </w:r>
            <w:r w:rsidR="00D539F0" w:rsidRPr="000F1EB0">
              <w:rPr>
                <w:rFonts w:ascii="Times New Roman" w:hAnsi="Times New Roman" w:cs="Times New Roman"/>
                <w:sz w:val="20"/>
                <w:szCs w:val="20"/>
              </w:rPr>
              <w:t>о-организациона</w:t>
            </w:r>
            <w:r w:rsidRPr="000F1E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157" w:rsidRPr="003A16F9" w14:paraId="3B172E08" w14:textId="77777777" w:rsidTr="007B40A7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B8FDFB4" w14:textId="797FF458" w:rsidR="008B7157" w:rsidRPr="003A16F9" w:rsidRDefault="008B7157" w:rsidP="007B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29">
              <w:rPr>
                <w:rFonts w:ascii="Times New Roman" w:hAnsi="Times New Roman" w:cs="Times New Roman"/>
                <w:sz w:val="20"/>
                <w:szCs w:val="20"/>
              </w:rPr>
              <w:t>Прописи које је потребно изменити/усвојити за спровођење мере:</w:t>
            </w:r>
          </w:p>
        </w:tc>
        <w:tc>
          <w:tcPr>
            <w:tcW w:w="700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985BFAE" w14:textId="4AC3A004" w:rsidR="008B7157" w:rsidRPr="003A16F9" w:rsidRDefault="000F1EB0" w:rsidP="00D53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CD5678" w:rsidRPr="003A16F9" w14:paraId="536719F5" w14:textId="77777777" w:rsidTr="007B40A7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7D2FA10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Показатељ(и)  на нивоу мере 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3D03FE1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Jединица мере</w:t>
            </w:r>
          </w:p>
          <w:p w14:paraId="172F958C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788EA9D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провере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A9D38D6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C9A6598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Базна година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A388229" w14:textId="545046A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2021</w:t>
            </w:r>
            <w:r w:rsidR="000123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4E6482A" w14:textId="60F4BF64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2022</w:t>
            </w:r>
            <w:r w:rsidR="000123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16B7B54" w14:textId="1E80B903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Циљана вредност у години 2023</w:t>
            </w:r>
            <w:r w:rsidR="000123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D5678" w:rsidRPr="003A16F9" w14:paraId="3306CA49" w14:textId="77777777" w:rsidTr="007B40A7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55BC10B" w14:textId="49C6EED2" w:rsidR="00CD5678" w:rsidRPr="003A16F9" w:rsidRDefault="00AF545B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 одржаних едукативних и информат</w:t>
            </w:r>
            <w:r w:rsidR="004F771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вних догађаја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099233" w14:textId="5FCEFE5A" w:rsidR="00CD5678" w:rsidRPr="003A16F9" w:rsidRDefault="00CD5678" w:rsidP="00AF545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Број </w:t>
            </w:r>
          </w:p>
        </w:tc>
        <w:tc>
          <w:tcPr>
            <w:tcW w:w="180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79115C" w14:textId="77777777" w:rsidR="00287DE2" w:rsidRDefault="00AF545B" w:rsidP="006D29B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87DE2">
              <w:rPr>
                <w:rFonts w:ascii="Times New Roman" w:hAnsi="Times New Roman" w:cs="Times New Roman"/>
                <w:sz w:val="20"/>
                <w:szCs w:val="20"/>
              </w:rPr>
              <w:t>инистарство</w:t>
            </w:r>
          </w:p>
          <w:p w14:paraId="363A61C7" w14:textId="131EDA2C" w:rsidR="00CD5678" w:rsidRPr="003A16F9" w:rsidRDefault="00AF545B" w:rsidP="006D29B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</w:t>
            </w:r>
            <w:r w:rsidR="00287DE2">
              <w:rPr>
                <w:rFonts w:ascii="Times New Roman" w:hAnsi="Times New Roman" w:cs="Times New Roman"/>
                <w:sz w:val="20"/>
                <w:szCs w:val="20"/>
              </w:rPr>
              <w:t>ансија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C5F26C" w14:textId="668057B5" w:rsidR="00CD5678" w:rsidRPr="003A16F9" w:rsidRDefault="00CD5678" w:rsidP="00AF545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CF1FEFC" w14:textId="3233D8DB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AF54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ACFFD29" w14:textId="68DABB0C" w:rsidR="00CD5678" w:rsidRPr="008D6985" w:rsidRDefault="00FC03D4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2FF226" w14:textId="20813FDB" w:rsidR="00CD5678" w:rsidRPr="008D6985" w:rsidRDefault="008D6985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69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6976FE" w14:textId="36DD718E" w:rsidR="00CD5678" w:rsidRPr="008D6985" w:rsidRDefault="008D6985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69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557F7A72" w14:textId="61E6A046" w:rsidR="00CD5678" w:rsidRDefault="00CD5678" w:rsidP="00CD567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2340"/>
        <w:gridCol w:w="2048"/>
      </w:tblGrid>
      <w:tr w:rsidR="00CD5678" w:rsidRPr="003A16F9" w14:paraId="510256B1" w14:textId="77777777" w:rsidTr="007B40A7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68951AA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финансирања мере</w:t>
            </w:r>
          </w:p>
          <w:p w14:paraId="2D0EAFF7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7815BF7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Веза са програмским буџетом</w:t>
            </w:r>
          </w:p>
          <w:p w14:paraId="28B1E647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BDBF993" w14:textId="09681D26" w:rsidR="00CD5678" w:rsidRPr="003A16F9" w:rsidRDefault="00CD5678" w:rsidP="00A1758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Укупна процењена финансијска средства у дин.</w:t>
            </w:r>
          </w:p>
        </w:tc>
      </w:tr>
      <w:tr w:rsidR="00CD5678" w:rsidRPr="003A16F9" w14:paraId="13D2553B" w14:textId="77777777" w:rsidTr="007B40A7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1C4996B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E3E84E6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F7D3C07" w14:textId="6E74B429" w:rsidR="00CD5678" w:rsidRPr="003A16F9" w:rsidRDefault="00CD5678" w:rsidP="00F7606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2021</w:t>
            </w:r>
            <w:r w:rsidR="000123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274B588" w14:textId="12D1811F" w:rsidR="00CD5678" w:rsidRPr="003A16F9" w:rsidRDefault="00CD5678" w:rsidP="00F7606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2022</w:t>
            </w:r>
            <w:r w:rsidR="000123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264E5D8" w14:textId="6AADA161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2023</w:t>
            </w:r>
            <w:r w:rsidR="000123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34BCF" w:rsidRPr="003A16F9" w14:paraId="1A70154B" w14:textId="77777777" w:rsidTr="007B40A7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1C7009" w14:textId="48D405DA" w:rsidR="00D34BCF" w:rsidRPr="003A16F9" w:rsidRDefault="007F1694" w:rsidP="007F1694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Редовна с</w:t>
            </w:r>
            <w:r w:rsidR="00DD72B3">
              <w:rPr>
                <w:rFonts w:ascii="Times New Roman" w:hAnsi="Times New Roman" w:cs="Times New Roman"/>
                <w:sz w:val="20"/>
                <w:szCs w:val="20"/>
              </w:rPr>
              <w:t>редства</w:t>
            </w:r>
            <w:r w:rsidR="000123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124C66">
              <w:rPr>
                <w:rFonts w:ascii="Times New Roman" w:hAnsi="Times New Roman" w:cs="Times New Roman"/>
                <w:sz w:val="20"/>
                <w:szCs w:val="20"/>
              </w:rPr>
              <w:t>уџет</w:t>
            </w:r>
            <w:r w:rsidR="00A812C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24C66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812C6">
              <w:rPr>
                <w:rFonts w:ascii="Times New Roman" w:hAnsi="Times New Roman" w:cs="Times New Roman"/>
                <w:sz w:val="20"/>
                <w:szCs w:val="20"/>
              </w:rPr>
              <w:t>/Донаторска средства</w:t>
            </w:r>
            <w:r w:rsidR="000123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799A4E" w14:textId="2755DAD1" w:rsidR="00D34BCF" w:rsidRPr="008D6985" w:rsidRDefault="00D34BCF" w:rsidP="00D34BCF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216C38" w14:textId="32A38F01" w:rsidR="00D34BCF" w:rsidRPr="008D6985" w:rsidRDefault="00D34BCF" w:rsidP="00D34BCF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415790" w14:textId="1CEBF2C8" w:rsidR="00D34BCF" w:rsidRPr="00F76069" w:rsidRDefault="00F76069" w:rsidP="00F7606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11.800.000</w:t>
            </w:r>
          </w:p>
        </w:tc>
        <w:tc>
          <w:tcPr>
            <w:tcW w:w="20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C92A7F" w14:textId="285A2525" w:rsidR="00D34BCF" w:rsidRPr="00F76069" w:rsidRDefault="00F76069" w:rsidP="00F7606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23.600.000</w:t>
            </w:r>
          </w:p>
        </w:tc>
      </w:tr>
    </w:tbl>
    <w:p w14:paraId="3DACB5DD" w14:textId="3DAC0F8E" w:rsidR="00B64725" w:rsidRDefault="00B64725" w:rsidP="00CD5678">
      <w:pPr>
        <w:rPr>
          <w:rFonts w:ascii="Times New Roman" w:hAnsi="Times New Roman" w:cs="Times New Roman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475"/>
        <w:gridCol w:w="1533"/>
        <w:gridCol w:w="1533"/>
        <w:gridCol w:w="1193"/>
        <w:gridCol w:w="1441"/>
        <w:gridCol w:w="1349"/>
        <w:gridCol w:w="1444"/>
        <w:gridCol w:w="1441"/>
        <w:gridCol w:w="1527"/>
      </w:tblGrid>
      <w:tr w:rsidR="00CD5678" w:rsidRPr="003A16F9" w14:paraId="1AA9ADC6" w14:textId="77777777" w:rsidTr="005C2A89">
        <w:trPr>
          <w:trHeight w:val="140"/>
        </w:trPr>
        <w:tc>
          <w:tcPr>
            <w:tcW w:w="88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DB66447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Назив активности:</w:t>
            </w:r>
          </w:p>
        </w:tc>
        <w:tc>
          <w:tcPr>
            <w:tcW w:w="5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931C890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Орган који спроводи активност</w:t>
            </w:r>
          </w:p>
        </w:tc>
        <w:tc>
          <w:tcPr>
            <w:tcW w:w="5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5E8352C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Oргани партнери у спровођењу активности</w:t>
            </w:r>
          </w:p>
        </w:tc>
        <w:tc>
          <w:tcPr>
            <w:tcW w:w="42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84CB24D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Рок за завршетак активности</w:t>
            </w:r>
          </w:p>
        </w:tc>
        <w:tc>
          <w:tcPr>
            <w:tcW w:w="51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160FB3B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Извор финансирања</w:t>
            </w:r>
          </w:p>
          <w:p w14:paraId="2092D64F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C34604D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Веза са програмским буџетом</w:t>
            </w:r>
          </w:p>
          <w:p w14:paraId="405F4E60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34EA200" w14:textId="6B8BED58" w:rsidR="00CD5678" w:rsidRPr="003A16F9" w:rsidRDefault="00CD5678" w:rsidP="000A3770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Укупна процењена финансијска средства по изворима у дин.</w:t>
            </w:r>
            <w:r w:rsidRPr="003A16F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D5678" w:rsidRPr="003A16F9" w14:paraId="61A27A6A" w14:textId="77777777" w:rsidTr="005C2A89">
        <w:trPr>
          <w:trHeight w:val="665"/>
        </w:trPr>
        <w:tc>
          <w:tcPr>
            <w:tcW w:w="888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7A7C3B40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shd w:val="clear" w:color="auto" w:fill="FFF2CC" w:themeFill="accent4" w:themeFillTint="33"/>
          </w:tcPr>
          <w:p w14:paraId="0AF9FA8B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shd w:val="clear" w:color="auto" w:fill="FFF2CC" w:themeFill="accent4" w:themeFillTint="33"/>
          </w:tcPr>
          <w:p w14:paraId="330D5660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shd w:val="clear" w:color="auto" w:fill="FFF2CC" w:themeFill="accent4" w:themeFillTint="33"/>
          </w:tcPr>
          <w:p w14:paraId="21B77D57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shd w:val="clear" w:color="auto" w:fill="FFF2CC" w:themeFill="accent4" w:themeFillTint="33"/>
          </w:tcPr>
          <w:p w14:paraId="17502BA1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79A67BBA" w14:textId="77777777" w:rsidR="00CD5678" w:rsidRPr="003A16F9" w:rsidRDefault="00CD5678" w:rsidP="007B40A7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2CC" w:themeFill="accent4" w:themeFillTint="33"/>
          </w:tcPr>
          <w:p w14:paraId="02E59046" w14:textId="59F622EE" w:rsidR="00CD5678" w:rsidRPr="003A16F9" w:rsidRDefault="00CD5678" w:rsidP="0001235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2021</w:t>
            </w:r>
            <w:r w:rsidR="000123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FFF2CC" w:themeFill="accent4" w:themeFillTint="33"/>
          </w:tcPr>
          <w:p w14:paraId="3BDC9117" w14:textId="017DC15E" w:rsidR="00CD5678" w:rsidRPr="003A16F9" w:rsidRDefault="00CD5678" w:rsidP="0001235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2022</w:t>
            </w:r>
            <w:r w:rsidR="000123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8" w:type="pct"/>
            <w:shd w:val="clear" w:color="auto" w:fill="FFF2CC" w:themeFill="accent4" w:themeFillTint="33"/>
          </w:tcPr>
          <w:p w14:paraId="17B6FA06" w14:textId="53C0F807" w:rsidR="00CD5678" w:rsidRPr="003A16F9" w:rsidRDefault="00CD5678" w:rsidP="0001235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 години 2023</w:t>
            </w:r>
            <w:r w:rsidR="000123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54991" w:rsidRPr="003A16F9" w14:paraId="375EB1DB" w14:textId="77777777" w:rsidTr="005C2A89">
        <w:trPr>
          <w:trHeight w:val="140"/>
        </w:trPr>
        <w:tc>
          <w:tcPr>
            <w:tcW w:w="888" w:type="pct"/>
            <w:tcBorders>
              <w:left w:val="double" w:sz="4" w:space="0" w:color="auto"/>
            </w:tcBorders>
          </w:tcPr>
          <w:p w14:paraId="313F243A" w14:textId="2EE35568" w:rsidR="00F54991" w:rsidRPr="003A16F9" w:rsidRDefault="00F54991" w:rsidP="00F54991">
            <w:pPr>
              <w:spacing w:after="160" w:line="259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3.2.1. </w:t>
            </w:r>
            <w:r w:rsidR="0072160B" w:rsidRPr="003C04D9">
              <w:rPr>
                <w:rFonts w:ascii="Times New Roman" w:hAnsi="Times New Roman" w:cs="Times New Roman"/>
                <w:sz w:val="20"/>
                <w:szCs w:val="20"/>
              </w:rPr>
              <w:t xml:space="preserve">Успостављање платформе за индустријски дијалог у виду центра за иновације при Министарству финансија, у сврху </w:t>
            </w:r>
            <w:r w:rsidR="0072160B" w:rsidRPr="003C0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идентификације препрека за активније учешће привреде на тржишту капитала, са полу-годишњим догађајима посвећеним јединственим сегментима привреде</w:t>
            </w:r>
          </w:p>
        </w:tc>
        <w:tc>
          <w:tcPr>
            <w:tcW w:w="550" w:type="pct"/>
          </w:tcPr>
          <w:p w14:paraId="5E5D983D" w14:textId="0A396ED2" w:rsidR="00F54991" w:rsidRPr="003A16F9" w:rsidRDefault="00F54991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</w:t>
            </w:r>
            <w:r w:rsidR="001D685F">
              <w:rPr>
                <w:rFonts w:ascii="Times New Roman" w:eastAsia="Times New Roman" w:hAnsi="Times New Roman" w:cs="Times New Roman"/>
                <w:sz w:val="20"/>
                <w:szCs w:val="20"/>
              </w:rPr>
              <w:t>инистарство</w:t>
            </w:r>
            <w:r w:rsidR="0072160B">
              <w:rPr>
                <w:rFonts w:ascii="Times New Roman" w:eastAsia="Times New Roman" w:hAnsi="Times New Roman" w:cs="Times New Roman"/>
                <w:sz w:val="20"/>
                <w:szCs w:val="20"/>
              </w:rPr>
              <w:t>фин</w:t>
            </w:r>
            <w:r w:rsidR="001D685F">
              <w:rPr>
                <w:rFonts w:ascii="Times New Roman" w:eastAsia="Times New Roman" w:hAnsi="Times New Roman" w:cs="Times New Roman"/>
                <w:sz w:val="20"/>
                <w:szCs w:val="20"/>
              </w:rPr>
              <w:t>ансија</w:t>
            </w:r>
          </w:p>
        </w:tc>
        <w:tc>
          <w:tcPr>
            <w:tcW w:w="550" w:type="pct"/>
          </w:tcPr>
          <w:p w14:paraId="47A64DD4" w14:textId="417DD894" w:rsidR="00F54991" w:rsidRPr="003A16F9" w:rsidRDefault="0072160B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ПКС</w:t>
            </w:r>
          </w:p>
        </w:tc>
        <w:tc>
          <w:tcPr>
            <w:tcW w:w="428" w:type="pct"/>
          </w:tcPr>
          <w:p w14:paraId="5204868C" w14:textId="093A1F20" w:rsidR="00F54991" w:rsidRPr="003A16F9" w:rsidRDefault="004472FD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F54991" w:rsidRPr="003A16F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2160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17" w:type="pct"/>
          </w:tcPr>
          <w:p w14:paraId="7A8BEC09" w14:textId="484821F5" w:rsidR="00F54991" w:rsidRPr="003A16F9" w:rsidRDefault="008515B7" w:rsidP="00C662B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Редов</w:t>
            </w:r>
            <w:r w:rsidR="007032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средства</w:t>
            </w:r>
            <w:r w:rsidR="00703278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F54991" w:rsidRPr="003A16F9">
              <w:rPr>
                <w:rFonts w:ascii="Times New Roman" w:hAnsi="Times New Roman" w:cs="Times New Roman"/>
                <w:sz w:val="20"/>
                <w:szCs w:val="20"/>
              </w:rPr>
              <w:t>уџет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54991"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1BAB" w:rsidRPr="003A16F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C662B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032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4" w:type="pct"/>
          </w:tcPr>
          <w:p w14:paraId="64EB0F40" w14:textId="1DE53D08" w:rsidR="00F54991" w:rsidRPr="008D6985" w:rsidRDefault="00F54991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14:paraId="1965ABBF" w14:textId="3BD9CFE9" w:rsidR="00F54991" w:rsidRPr="008D6985" w:rsidRDefault="00936B8B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412530E" w14:textId="77777777" w:rsidR="00F54991" w:rsidRPr="008D6985" w:rsidRDefault="00F54991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B4FF5D" w14:textId="6C7A8A23" w:rsidR="00F54991" w:rsidRPr="008D6985" w:rsidRDefault="00F54991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</w:tcPr>
          <w:p w14:paraId="42B568F4" w14:textId="27A02BAC" w:rsidR="00F54991" w:rsidRPr="008D6985" w:rsidRDefault="005C2A89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Накнадно ће бити дефинисан износ</w:t>
            </w:r>
          </w:p>
        </w:tc>
        <w:tc>
          <w:tcPr>
            <w:tcW w:w="548" w:type="pct"/>
          </w:tcPr>
          <w:p w14:paraId="44882E22" w14:textId="61E90052" w:rsidR="00F54991" w:rsidRPr="008D6985" w:rsidRDefault="00703278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77D1" w:rsidRPr="003A16F9" w14:paraId="74424EE0" w14:textId="77777777" w:rsidTr="005C2A89">
        <w:trPr>
          <w:trHeight w:val="140"/>
        </w:trPr>
        <w:tc>
          <w:tcPr>
            <w:tcW w:w="888" w:type="pct"/>
            <w:tcBorders>
              <w:left w:val="double" w:sz="4" w:space="0" w:color="auto"/>
            </w:tcBorders>
          </w:tcPr>
          <w:p w14:paraId="46DA00CA" w14:textId="031CBF07" w:rsidR="005277D1" w:rsidRPr="003A16F9" w:rsidRDefault="005277D1" w:rsidP="000A4760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3.2.2. </w:t>
            </w:r>
            <w:r w:rsidR="001933C2" w:rsidRPr="003C04D9">
              <w:rPr>
                <w:rFonts w:ascii="Times New Roman" w:hAnsi="Times New Roman" w:cs="Times New Roman"/>
                <w:sz w:val="20"/>
                <w:szCs w:val="20"/>
              </w:rPr>
              <w:t>Организација локалних догађаја усмерених ка промоцији тржишта капитала најмање на полугодишњем нивоу, као и у случају посебних дешавања на тржишту</w:t>
            </w:r>
            <w:r w:rsidR="00D32730">
              <w:rPr>
                <w:rFonts w:ascii="Times New Roman" w:hAnsi="Times New Roman" w:cs="Times New Roman"/>
                <w:sz w:val="20"/>
                <w:szCs w:val="20"/>
              </w:rPr>
              <w:t xml:space="preserve"> (активност</w:t>
            </w:r>
            <w:r w:rsidR="000A4760">
              <w:rPr>
                <w:rFonts w:ascii="Times New Roman" w:hAnsi="Times New Roman" w:cs="Times New Roman"/>
                <w:sz w:val="20"/>
                <w:szCs w:val="20"/>
              </w:rPr>
              <w:t xml:space="preserve"> ће</w:t>
            </w:r>
            <w:r w:rsidR="00D32730">
              <w:rPr>
                <w:rFonts w:ascii="Times New Roman" w:hAnsi="Times New Roman" w:cs="Times New Roman"/>
                <w:sz w:val="20"/>
                <w:szCs w:val="20"/>
              </w:rPr>
              <w:t xml:space="preserve"> се спровод</w:t>
            </w:r>
            <w:r w:rsidR="000A4760">
              <w:rPr>
                <w:rFonts w:ascii="Times New Roman" w:hAnsi="Times New Roman" w:cs="Times New Roman"/>
                <w:sz w:val="20"/>
                <w:szCs w:val="20"/>
              </w:rPr>
              <w:t>ити</w:t>
            </w:r>
            <w:r w:rsidR="00D32730">
              <w:rPr>
                <w:rFonts w:ascii="Times New Roman" w:hAnsi="Times New Roman" w:cs="Times New Roman"/>
                <w:sz w:val="20"/>
                <w:szCs w:val="20"/>
              </w:rPr>
              <w:t xml:space="preserve"> до краја периода важења Стратегије)</w:t>
            </w:r>
          </w:p>
        </w:tc>
        <w:tc>
          <w:tcPr>
            <w:tcW w:w="550" w:type="pct"/>
          </w:tcPr>
          <w:p w14:paraId="345D243E" w14:textId="615C0A4A" w:rsidR="005277D1" w:rsidRPr="003A16F9" w:rsidRDefault="001D685F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инистарствофинансија</w:t>
            </w:r>
          </w:p>
        </w:tc>
        <w:tc>
          <w:tcPr>
            <w:tcW w:w="550" w:type="pct"/>
          </w:tcPr>
          <w:p w14:paraId="744436B6" w14:textId="4A4ABD23" w:rsidR="005277D1" w:rsidRPr="001933C2" w:rsidRDefault="001933C2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 xml:space="preserve">ПКС,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КХоВ</w:t>
            </w:r>
          </w:p>
        </w:tc>
        <w:tc>
          <w:tcPr>
            <w:tcW w:w="428" w:type="pct"/>
          </w:tcPr>
          <w:p w14:paraId="77F3DC4D" w14:textId="5E5BF2B5" w:rsidR="005277D1" w:rsidRPr="003A16F9" w:rsidRDefault="004472FD" w:rsidP="00D3273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1933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327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933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</w:tcPr>
          <w:p w14:paraId="61575D4C" w14:textId="34365DDE" w:rsidR="005277D1" w:rsidRPr="003A16F9" w:rsidRDefault="00354448" w:rsidP="0060210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Редовна средства б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уџет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BE61C4">
              <w:rPr>
                <w:rFonts w:ascii="Times New Roman" w:hAnsi="Times New Roman" w:cs="Times New Roman"/>
                <w:sz w:val="20"/>
                <w:szCs w:val="20"/>
              </w:rPr>
              <w:t>/Донаторска средства</w:t>
            </w:r>
          </w:p>
        </w:tc>
        <w:tc>
          <w:tcPr>
            <w:tcW w:w="484" w:type="pct"/>
          </w:tcPr>
          <w:p w14:paraId="6FA31907" w14:textId="35DF3CD2" w:rsidR="005277D1" w:rsidRPr="008D6985" w:rsidRDefault="005277D1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14:paraId="5F041B60" w14:textId="78911651" w:rsidR="005277D1" w:rsidRPr="004B4005" w:rsidRDefault="004B4005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517" w:type="pct"/>
          </w:tcPr>
          <w:p w14:paraId="3B9B1934" w14:textId="4158E14A" w:rsidR="005277D1" w:rsidRPr="004B4005" w:rsidRDefault="00365423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11.800.000</w:t>
            </w:r>
          </w:p>
        </w:tc>
        <w:tc>
          <w:tcPr>
            <w:tcW w:w="548" w:type="pct"/>
          </w:tcPr>
          <w:p w14:paraId="4822A5E0" w14:textId="3882A2ED" w:rsidR="005277D1" w:rsidRPr="003A16F9" w:rsidRDefault="00365423" w:rsidP="001D685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11.800.000</w:t>
            </w:r>
          </w:p>
        </w:tc>
      </w:tr>
      <w:tr w:rsidR="00602100" w:rsidRPr="003A16F9" w14:paraId="5FC43DC6" w14:textId="77777777" w:rsidTr="005C2A89">
        <w:trPr>
          <w:trHeight w:val="140"/>
        </w:trPr>
        <w:tc>
          <w:tcPr>
            <w:tcW w:w="888" w:type="pct"/>
            <w:tcBorders>
              <w:left w:val="double" w:sz="4" w:space="0" w:color="auto"/>
            </w:tcBorders>
          </w:tcPr>
          <w:p w14:paraId="7443678A" w14:textId="23BA809D" w:rsidR="00602100" w:rsidRPr="003A16F9" w:rsidRDefault="00602100" w:rsidP="000A4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3.2.3. 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>Организација промоције домаћег тржишта капитала и издаваоца финансијских инструмената, укључујући и Републику Србију, у водећим глобалним финансијским центрима и региону (енг. „National Road Show”)</w:t>
            </w:r>
            <w:r w:rsidR="000A4760">
              <w:rPr>
                <w:rFonts w:ascii="Times New Roman" w:hAnsi="Times New Roman" w:cs="Times New Roman"/>
                <w:sz w:val="20"/>
                <w:szCs w:val="20"/>
              </w:rPr>
              <w:t>; активност ће се спроводити до краја периода важења Стратегије</w:t>
            </w:r>
          </w:p>
        </w:tc>
        <w:tc>
          <w:tcPr>
            <w:tcW w:w="550" w:type="pct"/>
          </w:tcPr>
          <w:p w14:paraId="58E80C26" w14:textId="331BF913" w:rsidR="00602100" w:rsidRPr="003A16F9" w:rsidRDefault="00602100" w:rsidP="00602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инистарствофинансија</w:t>
            </w:r>
          </w:p>
        </w:tc>
        <w:tc>
          <w:tcPr>
            <w:tcW w:w="550" w:type="pct"/>
          </w:tcPr>
          <w:p w14:paraId="5926E0C0" w14:textId="3DDB7213" w:rsidR="00602100" w:rsidRPr="00716FF5" w:rsidRDefault="00602100" w:rsidP="00602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УЈД, ББ</w:t>
            </w:r>
          </w:p>
        </w:tc>
        <w:tc>
          <w:tcPr>
            <w:tcW w:w="428" w:type="pct"/>
          </w:tcPr>
          <w:p w14:paraId="43890283" w14:textId="007D2FEF" w:rsidR="00602100" w:rsidRDefault="00602100" w:rsidP="000A4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0A47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</w:tcPr>
          <w:p w14:paraId="7A32307B" w14:textId="15382FDF" w:rsidR="00602100" w:rsidRPr="006D3763" w:rsidRDefault="00602100" w:rsidP="00354448">
            <w:pPr>
              <w:pStyle w:val="BodyAAA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Редован </w:t>
            </w:r>
            <w:r w:rsidRPr="003A16F9">
              <w:rPr>
                <w:rFonts w:ascii="Times New Roman" w:hAnsi="Times New Roman" w:cs="Times New Roman"/>
                <w:sz w:val="20"/>
                <w:szCs w:val="20"/>
              </w:rPr>
              <w:t>Буџет Р</w:t>
            </w:r>
            <w:r w:rsidR="003544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  <w:tc>
          <w:tcPr>
            <w:tcW w:w="484" w:type="pct"/>
          </w:tcPr>
          <w:p w14:paraId="727AD72A" w14:textId="5AEC5536" w:rsidR="00602100" w:rsidRPr="008D6985" w:rsidRDefault="00602100" w:rsidP="00602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14:paraId="6D9D6974" w14:textId="0DF80A6D" w:rsidR="00602100" w:rsidRPr="003A16F9" w:rsidRDefault="00602100" w:rsidP="00602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</w:tcPr>
          <w:p w14:paraId="4AE38971" w14:textId="15C61989" w:rsidR="00602100" w:rsidRPr="003A16F9" w:rsidRDefault="00602100" w:rsidP="006021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Накнадно ће бити дефинисан износ</w:t>
            </w:r>
          </w:p>
        </w:tc>
        <w:tc>
          <w:tcPr>
            <w:tcW w:w="548" w:type="pct"/>
          </w:tcPr>
          <w:p w14:paraId="161C8919" w14:textId="4ED627DB" w:rsidR="00602100" w:rsidRPr="003A16F9" w:rsidRDefault="00602100" w:rsidP="006021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Накнадно ће бити дефинисан износ</w:t>
            </w:r>
          </w:p>
        </w:tc>
      </w:tr>
      <w:tr w:rsidR="00602100" w:rsidRPr="003A16F9" w14:paraId="6958BDE9" w14:textId="77777777" w:rsidTr="005C2A89">
        <w:trPr>
          <w:trHeight w:val="140"/>
        </w:trPr>
        <w:tc>
          <w:tcPr>
            <w:tcW w:w="888" w:type="pct"/>
            <w:tcBorders>
              <w:left w:val="double" w:sz="4" w:space="0" w:color="auto"/>
            </w:tcBorders>
          </w:tcPr>
          <w:p w14:paraId="1702E30F" w14:textId="0E43B5F4" w:rsidR="00602100" w:rsidRDefault="00602100" w:rsidP="00602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3.2.5. 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Организација догађаја за ученике средњих школа са циљем </w:t>
            </w:r>
            <w:r w:rsidRPr="003C0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унапређења њиховог знања из области финансија, економије и тржишта капитала</w:t>
            </w:r>
          </w:p>
        </w:tc>
        <w:tc>
          <w:tcPr>
            <w:tcW w:w="550" w:type="pct"/>
          </w:tcPr>
          <w:p w14:paraId="64CD7D68" w14:textId="6D030084" w:rsidR="00602100" w:rsidRDefault="00602100" w:rsidP="00602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6F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инистарствофинансија</w:t>
            </w:r>
          </w:p>
        </w:tc>
        <w:tc>
          <w:tcPr>
            <w:tcW w:w="550" w:type="pct"/>
          </w:tcPr>
          <w:p w14:paraId="3A50D925" w14:textId="13606946" w:rsidR="00602100" w:rsidRPr="00382912" w:rsidRDefault="00602100" w:rsidP="00602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912">
              <w:rPr>
                <w:rFonts w:ascii="Times New Roman" w:hAnsi="Times New Roman" w:cs="Times New Roman"/>
                <w:sz w:val="20"/>
                <w:szCs w:val="20"/>
              </w:rPr>
              <w:t>МПНТР, КХоВ, ЦРХоВ, ББ</w:t>
            </w:r>
          </w:p>
        </w:tc>
        <w:tc>
          <w:tcPr>
            <w:tcW w:w="428" w:type="pct"/>
          </w:tcPr>
          <w:p w14:paraId="4AA73C87" w14:textId="25FDFA8B" w:rsidR="00602100" w:rsidRDefault="00602100" w:rsidP="00602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31.12.2023.</w:t>
            </w:r>
          </w:p>
        </w:tc>
        <w:tc>
          <w:tcPr>
            <w:tcW w:w="517" w:type="pct"/>
          </w:tcPr>
          <w:p w14:paraId="0CC9E9F4" w14:textId="1A2E8713" w:rsidR="00602100" w:rsidRDefault="00C662B4" w:rsidP="00602100">
            <w:pPr>
              <w:pStyle w:val="BodyAAA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>Донаторска средства</w:t>
            </w:r>
          </w:p>
        </w:tc>
        <w:tc>
          <w:tcPr>
            <w:tcW w:w="484" w:type="pct"/>
          </w:tcPr>
          <w:p w14:paraId="3920E020" w14:textId="6A993906" w:rsidR="00602100" w:rsidRPr="001933C2" w:rsidRDefault="00602100" w:rsidP="0060210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1B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14:paraId="3D430517" w14:textId="374F2EEC" w:rsidR="00602100" w:rsidRPr="003A16F9" w:rsidRDefault="00354448" w:rsidP="00602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7" w:type="pct"/>
          </w:tcPr>
          <w:p w14:paraId="4F27188C" w14:textId="511AAA78" w:rsidR="00602100" w:rsidRPr="003A16F9" w:rsidRDefault="00354448" w:rsidP="006021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8" w:type="pct"/>
          </w:tcPr>
          <w:p w14:paraId="29E5A0DB" w14:textId="1B112BE6" w:rsidR="00602100" w:rsidRPr="003A16F9" w:rsidRDefault="00354448" w:rsidP="006021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11.800.000</w:t>
            </w:r>
          </w:p>
        </w:tc>
      </w:tr>
    </w:tbl>
    <w:p w14:paraId="6B09A237" w14:textId="77777777" w:rsidR="007118C1" w:rsidRPr="003A16F9" w:rsidRDefault="007118C1" w:rsidP="00CD5678">
      <w:pPr>
        <w:spacing w:after="120" w:line="240" w:lineRule="auto"/>
        <w:ind w:firstLine="720"/>
        <w:rPr>
          <w:rFonts w:ascii="Times New Roman" w:hAnsi="Times New Roman" w:cs="Times New Roman"/>
          <w:b/>
          <w:sz w:val="24"/>
        </w:rPr>
      </w:pPr>
    </w:p>
    <w:p w14:paraId="79289B1E" w14:textId="77777777" w:rsidR="00990625" w:rsidRPr="00B365E8" w:rsidRDefault="00990625" w:rsidP="00990625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B365E8">
        <w:rPr>
          <w:rFonts w:ascii="Times New Roman" w:hAnsi="Times New Roman" w:cs="Times New Roman"/>
        </w:rPr>
        <w:t>ЗАВРШНИ ДЕО</w:t>
      </w:r>
    </w:p>
    <w:p w14:paraId="4640D3AD" w14:textId="2337DB17" w:rsidR="00990625" w:rsidRPr="00B365E8" w:rsidRDefault="00990625" w:rsidP="00321F1F">
      <w:pPr>
        <w:spacing w:after="120" w:line="240" w:lineRule="auto"/>
        <w:ind w:firstLine="360"/>
        <w:jc w:val="both"/>
        <w:rPr>
          <w:rFonts w:ascii="Times New Roman" w:hAnsi="Times New Roman" w:cs="Times New Roman"/>
        </w:rPr>
      </w:pPr>
      <w:r w:rsidRPr="00B365E8">
        <w:rPr>
          <w:rFonts w:ascii="Times New Roman" w:hAnsi="Times New Roman" w:cs="Times New Roman"/>
        </w:rPr>
        <w:t>Овај АП објавити на интернет страници Владе, на интернет с</w:t>
      </w:r>
      <w:r w:rsidR="00321F1F">
        <w:rPr>
          <w:rFonts w:ascii="Times New Roman" w:hAnsi="Times New Roman" w:cs="Times New Roman"/>
        </w:rPr>
        <w:t>траници Министарства финансија, на порталу е-Управе</w:t>
      </w:r>
      <w:r w:rsidRPr="00B365E8">
        <w:rPr>
          <w:rFonts w:ascii="Times New Roman" w:hAnsi="Times New Roman" w:cs="Times New Roman"/>
        </w:rPr>
        <w:t xml:space="preserve"> и у „Службеном гласнику Републике Србије” у року од седам радних дана од дана усвајања.</w:t>
      </w:r>
    </w:p>
    <w:p w14:paraId="40057781" w14:textId="77777777" w:rsidR="00990625" w:rsidRPr="00B365E8" w:rsidRDefault="00990625" w:rsidP="00990625">
      <w:pPr>
        <w:spacing w:after="120" w:line="240" w:lineRule="auto"/>
        <w:ind w:firstLine="360"/>
        <w:jc w:val="both"/>
        <w:rPr>
          <w:rFonts w:ascii="Times New Roman" w:hAnsi="Times New Roman" w:cs="Times New Roman"/>
        </w:rPr>
      </w:pPr>
      <w:r w:rsidRPr="00B365E8">
        <w:rPr>
          <w:rFonts w:ascii="Times New Roman" w:hAnsi="Times New Roman" w:cs="Times New Roman"/>
        </w:rPr>
        <w:t>Овај АП објавити у „Службеном гласнику Републике Србије”.</w:t>
      </w:r>
    </w:p>
    <w:p w14:paraId="2CC659AB" w14:textId="77777777" w:rsidR="00990625" w:rsidRPr="00B365E8" w:rsidRDefault="00990625" w:rsidP="00321F1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506ACBBD" w14:textId="467A60AF" w:rsidR="00990625" w:rsidRPr="00FF0B21" w:rsidRDefault="00990625" w:rsidP="00321F1F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B365E8">
        <w:rPr>
          <w:rFonts w:ascii="Times New Roman" w:hAnsi="Times New Roman" w:cs="Times New Roman"/>
        </w:rPr>
        <w:t xml:space="preserve">05 Број: </w:t>
      </w:r>
      <w:r w:rsidR="00FF0B21">
        <w:rPr>
          <w:rFonts w:ascii="Times New Roman" w:hAnsi="Times New Roman" w:cs="Times New Roman"/>
          <w:lang w:val="en-US"/>
        </w:rPr>
        <w:t>4-11124/2021-2</w:t>
      </w:r>
    </w:p>
    <w:p w14:paraId="2C16EA9A" w14:textId="55314EA8" w:rsidR="00990625" w:rsidRPr="00B365E8" w:rsidRDefault="00321F1F" w:rsidP="00321F1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Београду,</w:t>
      </w:r>
      <w:r w:rsidR="00FF0B21">
        <w:rPr>
          <w:rFonts w:ascii="Times New Roman" w:hAnsi="Times New Roman" w:cs="Times New Roman"/>
          <w:lang w:val="en-US"/>
        </w:rPr>
        <w:t xml:space="preserve"> 2.</w:t>
      </w:r>
      <w:r w:rsidR="00FF0B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децембра</w:t>
      </w:r>
      <w:r w:rsidR="00990625" w:rsidRPr="00B365E8">
        <w:rPr>
          <w:rFonts w:ascii="Times New Roman" w:hAnsi="Times New Roman" w:cs="Times New Roman"/>
        </w:rPr>
        <w:t xml:space="preserve"> 2021. године</w:t>
      </w:r>
    </w:p>
    <w:p w14:paraId="3C955875" w14:textId="77777777" w:rsidR="00321F1F" w:rsidRDefault="00321F1F" w:rsidP="00321F1F">
      <w:pPr>
        <w:spacing w:after="0" w:line="240" w:lineRule="auto"/>
        <w:rPr>
          <w:rFonts w:ascii="Times New Roman" w:hAnsi="Times New Roman" w:cs="Times New Roman"/>
        </w:rPr>
      </w:pPr>
    </w:p>
    <w:p w14:paraId="0632E0BA" w14:textId="5FD2DF0F" w:rsidR="00990625" w:rsidRDefault="00990625" w:rsidP="00321F1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365E8">
        <w:rPr>
          <w:rFonts w:ascii="Times New Roman" w:hAnsi="Times New Roman" w:cs="Times New Roman"/>
        </w:rPr>
        <w:t>В Л А Д А</w:t>
      </w:r>
    </w:p>
    <w:p w14:paraId="37C422F5" w14:textId="77777777" w:rsidR="00321F1F" w:rsidRPr="00B365E8" w:rsidRDefault="00321F1F" w:rsidP="00321F1F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8E3FDAF" w14:textId="0744EDA8" w:rsidR="00990625" w:rsidRPr="00B365E8" w:rsidRDefault="00990625" w:rsidP="00321F1F">
      <w:pPr>
        <w:spacing w:after="0" w:line="240" w:lineRule="auto"/>
        <w:ind w:firstLine="720"/>
        <w:jc w:val="center"/>
        <w:rPr>
          <w:rFonts w:ascii="Times New Roman" w:hAnsi="Times New Roman" w:cs="Times New Roman"/>
        </w:rPr>
      </w:pPr>
      <w:r w:rsidRPr="00B365E8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321F1F">
        <w:rPr>
          <w:rFonts w:ascii="Times New Roman" w:hAnsi="Times New Roman" w:cs="Times New Roman"/>
        </w:rPr>
        <w:t xml:space="preserve">                                                               </w:t>
      </w:r>
      <w:r w:rsidRPr="00B365E8">
        <w:rPr>
          <w:rFonts w:ascii="Times New Roman" w:hAnsi="Times New Roman" w:cs="Times New Roman"/>
        </w:rPr>
        <w:t xml:space="preserve">  ПРЕДСЕДНИК</w:t>
      </w:r>
    </w:p>
    <w:p w14:paraId="0D8812AC" w14:textId="77777777" w:rsidR="00990625" w:rsidRPr="00B365E8" w:rsidRDefault="00990625" w:rsidP="00321F1F">
      <w:pPr>
        <w:spacing w:after="0" w:line="240" w:lineRule="auto"/>
        <w:ind w:firstLine="720"/>
        <w:jc w:val="center"/>
        <w:rPr>
          <w:rFonts w:ascii="Times New Roman" w:hAnsi="Times New Roman" w:cs="Times New Roman"/>
        </w:rPr>
      </w:pPr>
      <w:r w:rsidRPr="00B365E8">
        <w:rPr>
          <w:rFonts w:ascii="Times New Roman" w:hAnsi="Times New Roman" w:cs="Times New Roman"/>
        </w:rPr>
        <w:t xml:space="preserve">                                           </w:t>
      </w:r>
    </w:p>
    <w:p w14:paraId="3840F9C5" w14:textId="09DEE9F6" w:rsidR="00990625" w:rsidRPr="00FF0B21" w:rsidRDefault="00990625" w:rsidP="00321F1F">
      <w:pPr>
        <w:spacing w:after="0" w:line="240" w:lineRule="auto"/>
        <w:ind w:firstLine="720"/>
        <w:jc w:val="center"/>
        <w:rPr>
          <w:rFonts w:ascii="Times New Roman" w:hAnsi="Times New Roman" w:cs="Times New Roman"/>
        </w:rPr>
      </w:pPr>
      <w:r w:rsidRPr="00B365E8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321F1F">
        <w:rPr>
          <w:rFonts w:ascii="Times New Roman" w:hAnsi="Times New Roman" w:cs="Times New Roman"/>
        </w:rPr>
        <w:t xml:space="preserve">                                                                              Ана Брнабић</w:t>
      </w:r>
      <w:r w:rsidR="00FF0B21">
        <w:rPr>
          <w:rFonts w:ascii="Times New Roman" w:hAnsi="Times New Roman" w:cs="Times New Roman"/>
          <w:lang w:val="en-US"/>
        </w:rPr>
        <w:t xml:space="preserve">, </w:t>
      </w:r>
      <w:r w:rsidR="00FF0B21">
        <w:rPr>
          <w:rFonts w:ascii="Times New Roman" w:hAnsi="Times New Roman" w:cs="Times New Roman"/>
        </w:rPr>
        <w:t>с.р.</w:t>
      </w:r>
    </w:p>
    <w:p w14:paraId="2FBAD7A1" w14:textId="3ED2AFD3" w:rsidR="00990625" w:rsidRPr="003A16F9" w:rsidRDefault="00321F1F" w:rsidP="00990625">
      <w:pPr>
        <w:spacing w:after="120" w:line="240" w:lineRule="auto"/>
        <w:ind w:firstLine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</w:t>
      </w:r>
    </w:p>
    <w:p w14:paraId="4A4C1522" w14:textId="77777777" w:rsidR="00990625" w:rsidRPr="003A16F9" w:rsidRDefault="00990625"/>
    <w:sectPr w:rsidR="00990625" w:rsidRPr="003A16F9" w:rsidSect="008529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F29DF" w14:textId="77777777" w:rsidR="000F226D" w:rsidRDefault="000F226D" w:rsidP="00CD5678">
      <w:pPr>
        <w:spacing w:after="0" w:line="240" w:lineRule="auto"/>
      </w:pPr>
      <w:r>
        <w:separator/>
      </w:r>
    </w:p>
  </w:endnote>
  <w:endnote w:type="continuationSeparator" w:id="0">
    <w:p w14:paraId="5F829E2C" w14:textId="77777777" w:rsidR="000F226D" w:rsidRDefault="000F226D" w:rsidP="00CD5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D4ED" w14:textId="77777777" w:rsidR="00321F1F" w:rsidRDefault="00321F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180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C5695B" w14:textId="3672B818" w:rsidR="00321F1F" w:rsidRDefault="00321F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B21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77AE0D7D" w14:textId="77777777" w:rsidR="00321F1F" w:rsidRDefault="00321F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5C09" w14:textId="77777777" w:rsidR="00321F1F" w:rsidRDefault="00321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775B1" w14:textId="77777777" w:rsidR="000F226D" w:rsidRDefault="000F226D" w:rsidP="00CD5678">
      <w:pPr>
        <w:spacing w:after="0" w:line="240" w:lineRule="auto"/>
      </w:pPr>
      <w:r>
        <w:separator/>
      </w:r>
    </w:p>
  </w:footnote>
  <w:footnote w:type="continuationSeparator" w:id="0">
    <w:p w14:paraId="1F5DEFAC" w14:textId="77777777" w:rsidR="000F226D" w:rsidRDefault="000F226D" w:rsidP="00CD5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555A9" w14:textId="77777777" w:rsidR="00321F1F" w:rsidRDefault="00321F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62CEA" w14:textId="77777777" w:rsidR="00321F1F" w:rsidRDefault="00321F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DDDC9" w14:textId="2F6DD470" w:rsidR="00321F1F" w:rsidRPr="00AD5C24" w:rsidRDefault="00321F1F">
    <w:pPr>
      <w:pStyle w:val="Header"/>
      <w:rPr>
        <w:rFonts w:ascii="Times New Roman" w:hAnsi="Times New Roman" w:cs="Times New Roman"/>
      </w:rPr>
    </w:pPr>
    <w:r>
      <w:tab/>
    </w:r>
    <w:r>
      <w:tab/>
    </w:r>
    <w:r>
      <w:tab/>
    </w:r>
    <w:r>
      <w:tab/>
    </w:r>
  </w:p>
  <w:p w14:paraId="2115B2E2" w14:textId="77777777" w:rsidR="00321F1F" w:rsidRDefault="00321F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C73FB"/>
    <w:multiLevelType w:val="hybridMultilevel"/>
    <w:tmpl w:val="D88C31F2"/>
    <w:lvl w:ilvl="0" w:tplc="6B40FA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96950"/>
    <w:multiLevelType w:val="hybridMultilevel"/>
    <w:tmpl w:val="8D044E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61396"/>
    <w:multiLevelType w:val="hybridMultilevel"/>
    <w:tmpl w:val="647A0974"/>
    <w:lvl w:ilvl="0" w:tplc="1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9A5AF0"/>
    <w:multiLevelType w:val="hybridMultilevel"/>
    <w:tmpl w:val="73C263F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27FD9"/>
    <w:multiLevelType w:val="hybridMultilevel"/>
    <w:tmpl w:val="691853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F0CA9"/>
    <w:multiLevelType w:val="hybridMultilevel"/>
    <w:tmpl w:val="14DA3ADE"/>
    <w:lvl w:ilvl="0" w:tplc="D6B8C8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EE26D6"/>
    <w:multiLevelType w:val="hybridMultilevel"/>
    <w:tmpl w:val="F89E757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03CD0"/>
    <w:multiLevelType w:val="hybridMultilevel"/>
    <w:tmpl w:val="9864B8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455BB"/>
    <w:multiLevelType w:val="hybridMultilevel"/>
    <w:tmpl w:val="473AE860"/>
    <w:lvl w:ilvl="0" w:tplc="4B6CDCA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6D0331"/>
    <w:multiLevelType w:val="hybridMultilevel"/>
    <w:tmpl w:val="870652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C62E73"/>
    <w:multiLevelType w:val="hybridMultilevel"/>
    <w:tmpl w:val="3CA037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E51AA"/>
    <w:multiLevelType w:val="hybridMultilevel"/>
    <w:tmpl w:val="4516E4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103B1"/>
    <w:multiLevelType w:val="hybridMultilevel"/>
    <w:tmpl w:val="9454EE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2F5FBA"/>
    <w:multiLevelType w:val="multilevel"/>
    <w:tmpl w:val="97C8558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16C05F5"/>
    <w:multiLevelType w:val="hybridMultilevel"/>
    <w:tmpl w:val="F89E757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7318FC"/>
    <w:multiLevelType w:val="hybridMultilevel"/>
    <w:tmpl w:val="9536C6A2"/>
    <w:lvl w:ilvl="0" w:tplc="28ACA3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5"/>
  </w:num>
  <w:num w:numId="4">
    <w:abstractNumId w:val="2"/>
  </w:num>
  <w:num w:numId="5">
    <w:abstractNumId w:val="0"/>
  </w:num>
  <w:num w:numId="6">
    <w:abstractNumId w:val="3"/>
  </w:num>
  <w:num w:numId="7">
    <w:abstractNumId w:val="14"/>
  </w:num>
  <w:num w:numId="8">
    <w:abstractNumId w:val="9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4"/>
  </w:num>
  <w:num w:numId="14">
    <w:abstractNumId w:val="1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B8"/>
    <w:rsid w:val="000009EF"/>
    <w:rsid w:val="000019D3"/>
    <w:rsid w:val="00002C21"/>
    <w:rsid w:val="0000762C"/>
    <w:rsid w:val="00011D05"/>
    <w:rsid w:val="00011D2E"/>
    <w:rsid w:val="0001235C"/>
    <w:rsid w:val="00016937"/>
    <w:rsid w:val="00017BFB"/>
    <w:rsid w:val="00021FB5"/>
    <w:rsid w:val="000229EF"/>
    <w:rsid w:val="00024394"/>
    <w:rsid w:val="00024A00"/>
    <w:rsid w:val="0002722E"/>
    <w:rsid w:val="00027D19"/>
    <w:rsid w:val="00027F2C"/>
    <w:rsid w:val="000325DB"/>
    <w:rsid w:val="000349CB"/>
    <w:rsid w:val="00035737"/>
    <w:rsid w:val="00035C46"/>
    <w:rsid w:val="0003600A"/>
    <w:rsid w:val="000379CB"/>
    <w:rsid w:val="0004021D"/>
    <w:rsid w:val="0004139E"/>
    <w:rsid w:val="000443C2"/>
    <w:rsid w:val="0004444F"/>
    <w:rsid w:val="000447C3"/>
    <w:rsid w:val="00046814"/>
    <w:rsid w:val="000521A8"/>
    <w:rsid w:val="0005262C"/>
    <w:rsid w:val="00053E67"/>
    <w:rsid w:val="000541D7"/>
    <w:rsid w:val="0005489B"/>
    <w:rsid w:val="00054B8B"/>
    <w:rsid w:val="000559FC"/>
    <w:rsid w:val="0006239A"/>
    <w:rsid w:val="00062A2D"/>
    <w:rsid w:val="00064226"/>
    <w:rsid w:val="00064E46"/>
    <w:rsid w:val="00065FDA"/>
    <w:rsid w:val="00070E11"/>
    <w:rsid w:val="00071A77"/>
    <w:rsid w:val="00074772"/>
    <w:rsid w:val="000773EC"/>
    <w:rsid w:val="0007758E"/>
    <w:rsid w:val="000802A5"/>
    <w:rsid w:val="00082215"/>
    <w:rsid w:val="000840B9"/>
    <w:rsid w:val="00084B57"/>
    <w:rsid w:val="00084D06"/>
    <w:rsid w:val="000852E9"/>
    <w:rsid w:val="00091CFC"/>
    <w:rsid w:val="00093144"/>
    <w:rsid w:val="0009505E"/>
    <w:rsid w:val="000951FB"/>
    <w:rsid w:val="00096890"/>
    <w:rsid w:val="00096E64"/>
    <w:rsid w:val="00097067"/>
    <w:rsid w:val="000979F8"/>
    <w:rsid w:val="000A1B14"/>
    <w:rsid w:val="000A2315"/>
    <w:rsid w:val="000A2A89"/>
    <w:rsid w:val="000A3770"/>
    <w:rsid w:val="000A37A6"/>
    <w:rsid w:val="000A4760"/>
    <w:rsid w:val="000A53D1"/>
    <w:rsid w:val="000B0A33"/>
    <w:rsid w:val="000B1ED5"/>
    <w:rsid w:val="000B577C"/>
    <w:rsid w:val="000B7249"/>
    <w:rsid w:val="000C046C"/>
    <w:rsid w:val="000C25E9"/>
    <w:rsid w:val="000C33AF"/>
    <w:rsid w:val="000D1928"/>
    <w:rsid w:val="000D238C"/>
    <w:rsid w:val="000D4E11"/>
    <w:rsid w:val="000D6452"/>
    <w:rsid w:val="000D7188"/>
    <w:rsid w:val="000D721F"/>
    <w:rsid w:val="000E1A1F"/>
    <w:rsid w:val="000E1BC1"/>
    <w:rsid w:val="000E1D41"/>
    <w:rsid w:val="000E3AC9"/>
    <w:rsid w:val="000E49B0"/>
    <w:rsid w:val="000E4E21"/>
    <w:rsid w:val="000E4F59"/>
    <w:rsid w:val="000E7F45"/>
    <w:rsid w:val="000F1EB0"/>
    <w:rsid w:val="000F1F8C"/>
    <w:rsid w:val="000F226D"/>
    <w:rsid w:val="000F47A5"/>
    <w:rsid w:val="000F55D9"/>
    <w:rsid w:val="000F59C1"/>
    <w:rsid w:val="000F5EE8"/>
    <w:rsid w:val="0010086D"/>
    <w:rsid w:val="00100CF6"/>
    <w:rsid w:val="00102067"/>
    <w:rsid w:val="00102BA5"/>
    <w:rsid w:val="001033B4"/>
    <w:rsid w:val="0010359C"/>
    <w:rsid w:val="00106278"/>
    <w:rsid w:val="00110060"/>
    <w:rsid w:val="001105FF"/>
    <w:rsid w:val="00113175"/>
    <w:rsid w:val="00113387"/>
    <w:rsid w:val="001138FC"/>
    <w:rsid w:val="00113AF1"/>
    <w:rsid w:val="001167BB"/>
    <w:rsid w:val="00116977"/>
    <w:rsid w:val="00121A85"/>
    <w:rsid w:val="00122A8F"/>
    <w:rsid w:val="00123C7F"/>
    <w:rsid w:val="00123EFF"/>
    <w:rsid w:val="001240E3"/>
    <w:rsid w:val="00124C66"/>
    <w:rsid w:val="001263E5"/>
    <w:rsid w:val="00126CC9"/>
    <w:rsid w:val="001277B5"/>
    <w:rsid w:val="00130008"/>
    <w:rsid w:val="0013033F"/>
    <w:rsid w:val="00130810"/>
    <w:rsid w:val="001315A2"/>
    <w:rsid w:val="00132059"/>
    <w:rsid w:val="001322D1"/>
    <w:rsid w:val="001326EA"/>
    <w:rsid w:val="00132C69"/>
    <w:rsid w:val="00133D8B"/>
    <w:rsid w:val="00134819"/>
    <w:rsid w:val="00135AB8"/>
    <w:rsid w:val="00135E0C"/>
    <w:rsid w:val="00136283"/>
    <w:rsid w:val="00140BE4"/>
    <w:rsid w:val="00142CA6"/>
    <w:rsid w:val="001434E6"/>
    <w:rsid w:val="00145C0A"/>
    <w:rsid w:val="00146B45"/>
    <w:rsid w:val="00147B45"/>
    <w:rsid w:val="00150C2B"/>
    <w:rsid w:val="00150FEB"/>
    <w:rsid w:val="001518CC"/>
    <w:rsid w:val="00152550"/>
    <w:rsid w:val="001545B2"/>
    <w:rsid w:val="001559A7"/>
    <w:rsid w:val="00155ADE"/>
    <w:rsid w:val="00157CA7"/>
    <w:rsid w:val="00157E46"/>
    <w:rsid w:val="00160E0E"/>
    <w:rsid w:val="001623F7"/>
    <w:rsid w:val="00162587"/>
    <w:rsid w:val="001638DD"/>
    <w:rsid w:val="00163EA9"/>
    <w:rsid w:val="00164686"/>
    <w:rsid w:val="00164CF1"/>
    <w:rsid w:val="001658E5"/>
    <w:rsid w:val="001670C9"/>
    <w:rsid w:val="0017070C"/>
    <w:rsid w:val="00170A93"/>
    <w:rsid w:val="00171D8D"/>
    <w:rsid w:val="00172C4E"/>
    <w:rsid w:val="001742D1"/>
    <w:rsid w:val="001755A7"/>
    <w:rsid w:val="00175D21"/>
    <w:rsid w:val="0017694B"/>
    <w:rsid w:val="001817CF"/>
    <w:rsid w:val="00185435"/>
    <w:rsid w:val="00186DC2"/>
    <w:rsid w:val="001933C2"/>
    <w:rsid w:val="001940A6"/>
    <w:rsid w:val="001A33D9"/>
    <w:rsid w:val="001A3E29"/>
    <w:rsid w:val="001A4AE1"/>
    <w:rsid w:val="001A688E"/>
    <w:rsid w:val="001A69E8"/>
    <w:rsid w:val="001A6C97"/>
    <w:rsid w:val="001A7072"/>
    <w:rsid w:val="001B2A15"/>
    <w:rsid w:val="001B4136"/>
    <w:rsid w:val="001B5713"/>
    <w:rsid w:val="001B6C41"/>
    <w:rsid w:val="001C10B3"/>
    <w:rsid w:val="001C1447"/>
    <w:rsid w:val="001C1F16"/>
    <w:rsid w:val="001C2D75"/>
    <w:rsid w:val="001C3BC2"/>
    <w:rsid w:val="001C657A"/>
    <w:rsid w:val="001D1FCD"/>
    <w:rsid w:val="001D23C1"/>
    <w:rsid w:val="001D4BD9"/>
    <w:rsid w:val="001D4DF8"/>
    <w:rsid w:val="001D5266"/>
    <w:rsid w:val="001D5291"/>
    <w:rsid w:val="001D535D"/>
    <w:rsid w:val="001D5A13"/>
    <w:rsid w:val="001D653E"/>
    <w:rsid w:val="001D685F"/>
    <w:rsid w:val="001D76E7"/>
    <w:rsid w:val="001D7D26"/>
    <w:rsid w:val="001E023B"/>
    <w:rsid w:val="001E071B"/>
    <w:rsid w:val="001E1CCD"/>
    <w:rsid w:val="001E1F06"/>
    <w:rsid w:val="001E361F"/>
    <w:rsid w:val="001E3E94"/>
    <w:rsid w:val="001E401B"/>
    <w:rsid w:val="001E4135"/>
    <w:rsid w:val="001E7381"/>
    <w:rsid w:val="001F0C42"/>
    <w:rsid w:val="001F1CC9"/>
    <w:rsid w:val="001F58FA"/>
    <w:rsid w:val="001F5A13"/>
    <w:rsid w:val="001F6969"/>
    <w:rsid w:val="00200C3D"/>
    <w:rsid w:val="002033DF"/>
    <w:rsid w:val="00204227"/>
    <w:rsid w:val="00206D20"/>
    <w:rsid w:val="00206E6E"/>
    <w:rsid w:val="00212C02"/>
    <w:rsid w:val="00212CD9"/>
    <w:rsid w:val="00215385"/>
    <w:rsid w:val="002159E6"/>
    <w:rsid w:val="00220AEF"/>
    <w:rsid w:val="00221516"/>
    <w:rsid w:val="00222A29"/>
    <w:rsid w:val="00225814"/>
    <w:rsid w:val="002302DB"/>
    <w:rsid w:val="0023180F"/>
    <w:rsid w:val="00232A73"/>
    <w:rsid w:val="00234F0F"/>
    <w:rsid w:val="002374EE"/>
    <w:rsid w:val="0024011A"/>
    <w:rsid w:val="002408BE"/>
    <w:rsid w:val="002433B0"/>
    <w:rsid w:val="002445B6"/>
    <w:rsid w:val="0024503C"/>
    <w:rsid w:val="00245570"/>
    <w:rsid w:val="002458DB"/>
    <w:rsid w:val="00245ED8"/>
    <w:rsid w:val="00245F04"/>
    <w:rsid w:val="00250F13"/>
    <w:rsid w:val="00254B98"/>
    <w:rsid w:val="00255BE5"/>
    <w:rsid w:val="00255CFE"/>
    <w:rsid w:val="002573D1"/>
    <w:rsid w:val="002605B1"/>
    <w:rsid w:val="0026187B"/>
    <w:rsid w:val="00263217"/>
    <w:rsid w:val="00264B4A"/>
    <w:rsid w:val="00266AA1"/>
    <w:rsid w:val="00267D44"/>
    <w:rsid w:val="0027030A"/>
    <w:rsid w:val="00271899"/>
    <w:rsid w:val="002740F8"/>
    <w:rsid w:val="00275180"/>
    <w:rsid w:val="002753BC"/>
    <w:rsid w:val="002759EF"/>
    <w:rsid w:val="002822A0"/>
    <w:rsid w:val="0028343B"/>
    <w:rsid w:val="00283E11"/>
    <w:rsid w:val="00285D76"/>
    <w:rsid w:val="00286572"/>
    <w:rsid w:val="00286AB8"/>
    <w:rsid w:val="00287345"/>
    <w:rsid w:val="00287DE2"/>
    <w:rsid w:val="00290885"/>
    <w:rsid w:val="00294BD9"/>
    <w:rsid w:val="00295344"/>
    <w:rsid w:val="00297A36"/>
    <w:rsid w:val="002A1D0F"/>
    <w:rsid w:val="002A3F79"/>
    <w:rsid w:val="002A423C"/>
    <w:rsid w:val="002A4445"/>
    <w:rsid w:val="002A6303"/>
    <w:rsid w:val="002A648B"/>
    <w:rsid w:val="002A6911"/>
    <w:rsid w:val="002A7810"/>
    <w:rsid w:val="002A7D5A"/>
    <w:rsid w:val="002A7FFE"/>
    <w:rsid w:val="002B1AB0"/>
    <w:rsid w:val="002B2FC7"/>
    <w:rsid w:val="002B32D4"/>
    <w:rsid w:val="002C11BF"/>
    <w:rsid w:val="002C3D30"/>
    <w:rsid w:val="002D06EE"/>
    <w:rsid w:val="002D5882"/>
    <w:rsid w:val="002D5FD6"/>
    <w:rsid w:val="002D687A"/>
    <w:rsid w:val="002D6C0C"/>
    <w:rsid w:val="002D6E4F"/>
    <w:rsid w:val="002E24CF"/>
    <w:rsid w:val="002E4863"/>
    <w:rsid w:val="002E5ECC"/>
    <w:rsid w:val="002E70CD"/>
    <w:rsid w:val="002E75D6"/>
    <w:rsid w:val="002E79C3"/>
    <w:rsid w:val="002E7FD7"/>
    <w:rsid w:val="002F064C"/>
    <w:rsid w:val="002F0A2D"/>
    <w:rsid w:val="002F2817"/>
    <w:rsid w:val="002F40A3"/>
    <w:rsid w:val="002F4171"/>
    <w:rsid w:val="002F516C"/>
    <w:rsid w:val="002F5F98"/>
    <w:rsid w:val="002F70BE"/>
    <w:rsid w:val="002F7591"/>
    <w:rsid w:val="00300203"/>
    <w:rsid w:val="00304576"/>
    <w:rsid w:val="003061D9"/>
    <w:rsid w:val="003064F4"/>
    <w:rsid w:val="00307C9E"/>
    <w:rsid w:val="00307D3B"/>
    <w:rsid w:val="003109CF"/>
    <w:rsid w:val="00310D32"/>
    <w:rsid w:val="00312F8E"/>
    <w:rsid w:val="00314385"/>
    <w:rsid w:val="00315237"/>
    <w:rsid w:val="00315FBE"/>
    <w:rsid w:val="003161E3"/>
    <w:rsid w:val="00316D08"/>
    <w:rsid w:val="00320928"/>
    <w:rsid w:val="00321A6F"/>
    <w:rsid w:val="00321C72"/>
    <w:rsid w:val="00321F1F"/>
    <w:rsid w:val="00322180"/>
    <w:rsid w:val="003222BB"/>
    <w:rsid w:val="00322910"/>
    <w:rsid w:val="00323B0F"/>
    <w:rsid w:val="00326FF2"/>
    <w:rsid w:val="0032761A"/>
    <w:rsid w:val="00330397"/>
    <w:rsid w:val="00330A1F"/>
    <w:rsid w:val="003335C9"/>
    <w:rsid w:val="00334AFB"/>
    <w:rsid w:val="003350BB"/>
    <w:rsid w:val="00335F93"/>
    <w:rsid w:val="00336084"/>
    <w:rsid w:val="003368D2"/>
    <w:rsid w:val="003371B3"/>
    <w:rsid w:val="003379FF"/>
    <w:rsid w:val="0034175D"/>
    <w:rsid w:val="003445DE"/>
    <w:rsid w:val="0034671C"/>
    <w:rsid w:val="0034787F"/>
    <w:rsid w:val="003478BF"/>
    <w:rsid w:val="00350FCF"/>
    <w:rsid w:val="00352AD9"/>
    <w:rsid w:val="00353B4B"/>
    <w:rsid w:val="00354448"/>
    <w:rsid w:val="0036382B"/>
    <w:rsid w:val="00363D8E"/>
    <w:rsid w:val="00365423"/>
    <w:rsid w:val="00365610"/>
    <w:rsid w:val="00365639"/>
    <w:rsid w:val="00365CDB"/>
    <w:rsid w:val="00365FA6"/>
    <w:rsid w:val="00372E5E"/>
    <w:rsid w:val="003761D2"/>
    <w:rsid w:val="00381630"/>
    <w:rsid w:val="00381F39"/>
    <w:rsid w:val="00382912"/>
    <w:rsid w:val="0038577B"/>
    <w:rsid w:val="00386322"/>
    <w:rsid w:val="00386685"/>
    <w:rsid w:val="00386B79"/>
    <w:rsid w:val="00390553"/>
    <w:rsid w:val="00390D5D"/>
    <w:rsid w:val="0039118A"/>
    <w:rsid w:val="00392199"/>
    <w:rsid w:val="0039339F"/>
    <w:rsid w:val="0039391F"/>
    <w:rsid w:val="00393B37"/>
    <w:rsid w:val="00395D99"/>
    <w:rsid w:val="0039644A"/>
    <w:rsid w:val="0039798A"/>
    <w:rsid w:val="00397A89"/>
    <w:rsid w:val="003A16F9"/>
    <w:rsid w:val="003A19CE"/>
    <w:rsid w:val="003A1CCC"/>
    <w:rsid w:val="003A2916"/>
    <w:rsid w:val="003A31E5"/>
    <w:rsid w:val="003A4AEF"/>
    <w:rsid w:val="003A653B"/>
    <w:rsid w:val="003B331E"/>
    <w:rsid w:val="003B5E40"/>
    <w:rsid w:val="003B6AE1"/>
    <w:rsid w:val="003C05DE"/>
    <w:rsid w:val="003C0D62"/>
    <w:rsid w:val="003C28A4"/>
    <w:rsid w:val="003C2E35"/>
    <w:rsid w:val="003C64A1"/>
    <w:rsid w:val="003D692E"/>
    <w:rsid w:val="003D72A2"/>
    <w:rsid w:val="003E2027"/>
    <w:rsid w:val="003E2991"/>
    <w:rsid w:val="003E337E"/>
    <w:rsid w:val="003E35CD"/>
    <w:rsid w:val="003E46B7"/>
    <w:rsid w:val="003E53FA"/>
    <w:rsid w:val="003E5791"/>
    <w:rsid w:val="003E5F7B"/>
    <w:rsid w:val="003F03FB"/>
    <w:rsid w:val="003F0407"/>
    <w:rsid w:val="003F120B"/>
    <w:rsid w:val="003F19CF"/>
    <w:rsid w:val="003F74DD"/>
    <w:rsid w:val="003F76A8"/>
    <w:rsid w:val="00400E24"/>
    <w:rsid w:val="00400EE6"/>
    <w:rsid w:val="00402271"/>
    <w:rsid w:val="00402B1F"/>
    <w:rsid w:val="00403068"/>
    <w:rsid w:val="004036D5"/>
    <w:rsid w:val="00404B06"/>
    <w:rsid w:val="00404F77"/>
    <w:rsid w:val="004065E0"/>
    <w:rsid w:val="00406B34"/>
    <w:rsid w:val="0041434C"/>
    <w:rsid w:val="0041656F"/>
    <w:rsid w:val="0041689B"/>
    <w:rsid w:val="004170BE"/>
    <w:rsid w:val="00421568"/>
    <w:rsid w:val="00422015"/>
    <w:rsid w:val="004222F4"/>
    <w:rsid w:val="0042365A"/>
    <w:rsid w:val="00423AA2"/>
    <w:rsid w:val="004247A1"/>
    <w:rsid w:val="00424850"/>
    <w:rsid w:val="00425781"/>
    <w:rsid w:val="00425E10"/>
    <w:rsid w:val="0043144A"/>
    <w:rsid w:val="0043299B"/>
    <w:rsid w:val="00433784"/>
    <w:rsid w:val="004339F0"/>
    <w:rsid w:val="00433BE0"/>
    <w:rsid w:val="0043579F"/>
    <w:rsid w:val="00435A3C"/>
    <w:rsid w:val="0044136B"/>
    <w:rsid w:val="00441749"/>
    <w:rsid w:val="00442F01"/>
    <w:rsid w:val="00446C17"/>
    <w:rsid w:val="004472FD"/>
    <w:rsid w:val="00451A2F"/>
    <w:rsid w:val="004520E5"/>
    <w:rsid w:val="00453177"/>
    <w:rsid w:val="004536FD"/>
    <w:rsid w:val="00454AF3"/>
    <w:rsid w:val="004551F8"/>
    <w:rsid w:val="00455971"/>
    <w:rsid w:val="004565C9"/>
    <w:rsid w:val="0045687E"/>
    <w:rsid w:val="00456AD5"/>
    <w:rsid w:val="00457A85"/>
    <w:rsid w:val="004607CE"/>
    <w:rsid w:val="004607E4"/>
    <w:rsid w:val="00462934"/>
    <w:rsid w:val="00470348"/>
    <w:rsid w:val="004713D7"/>
    <w:rsid w:val="00472B26"/>
    <w:rsid w:val="0047349B"/>
    <w:rsid w:val="00473F3A"/>
    <w:rsid w:val="0047575C"/>
    <w:rsid w:val="00475B0D"/>
    <w:rsid w:val="00475E8E"/>
    <w:rsid w:val="004810DA"/>
    <w:rsid w:val="0048199A"/>
    <w:rsid w:val="00482839"/>
    <w:rsid w:val="00483A8D"/>
    <w:rsid w:val="00483B3E"/>
    <w:rsid w:val="00484192"/>
    <w:rsid w:val="00484753"/>
    <w:rsid w:val="00484F0C"/>
    <w:rsid w:val="00486C23"/>
    <w:rsid w:val="00491865"/>
    <w:rsid w:val="00492B2B"/>
    <w:rsid w:val="00492FE4"/>
    <w:rsid w:val="004957EF"/>
    <w:rsid w:val="004A2F1A"/>
    <w:rsid w:val="004A3778"/>
    <w:rsid w:val="004A4459"/>
    <w:rsid w:val="004A6AA5"/>
    <w:rsid w:val="004A6F6B"/>
    <w:rsid w:val="004A6FDF"/>
    <w:rsid w:val="004A7179"/>
    <w:rsid w:val="004A77CD"/>
    <w:rsid w:val="004A7B99"/>
    <w:rsid w:val="004A7F2D"/>
    <w:rsid w:val="004B0219"/>
    <w:rsid w:val="004B02FA"/>
    <w:rsid w:val="004B2664"/>
    <w:rsid w:val="004B3BE6"/>
    <w:rsid w:val="004B4005"/>
    <w:rsid w:val="004B4378"/>
    <w:rsid w:val="004B51B2"/>
    <w:rsid w:val="004B542B"/>
    <w:rsid w:val="004B67FE"/>
    <w:rsid w:val="004B687C"/>
    <w:rsid w:val="004B7E93"/>
    <w:rsid w:val="004C05F7"/>
    <w:rsid w:val="004C14A1"/>
    <w:rsid w:val="004C1C2A"/>
    <w:rsid w:val="004C3107"/>
    <w:rsid w:val="004C46FF"/>
    <w:rsid w:val="004C5A5B"/>
    <w:rsid w:val="004C70C9"/>
    <w:rsid w:val="004D186F"/>
    <w:rsid w:val="004D1ACB"/>
    <w:rsid w:val="004D264D"/>
    <w:rsid w:val="004D2BF4"/>
    <w:rsid w:val="004D5788"/>
    <w:rsid w:val="004D7062"/>
    <w:rsid w:val="004D757D"/>
    <w:rsid w:val="004E07F8"/>
    <w:rsid w:val="004E1AF6"/>
    <w:rsid w:val="004E1B21"/>
    <w:rsid w:val="004E1E07"/>
    <w:rsid w:val="004E2A60"/>
    <w:rsid w:val="004E4643"/>
    <w:rsid w:val="004E470F"/>
    <w:rsid w:val="004E4B0F"/>
    <w:rsid w:val="004E4E49"/>
    <w:rsid w:val="004E5F42"/>
    <w:rsid w:val="004E5F48"/>
    <w:rsid w:val="004E61FE"/>
    <w:rsid w:val="004F10CD"/>
    <w:rsid w:val="004F2524"/>
    <w:rsid w:val="004F2A5A"/>
    <w:rsid w:val="004F3709"/>
    <w:rsid w:val="004F3B81"/>
    <w:rsid w:val="004F5503"/>
    <w:rsid w:val="004F5F76"/>
    <w:rsid w:val="004F771C"/>
    <w:rsid w:val="004F7807"/>
    <w:rsid w:val="00503031"/>
    <w:rsid w:val="0050585C"/>
    <w:rsid w:val="00507E1D"/>
    <w:rsid w:val="00511109"/>
    <w:rsid w:val="00513667"/>
    <w:rsid w:val="00513D1C"/>
    <w:rsid w:val="00514C3B"/>
    <w:rsid w:val="00517FA2"/>
    <w:rsid w:val="0052057B"/>
    <w:rsid w:val="005215AD"/>
    <w:rsid w:val="00521F2D"/>
    <w:rsid w:val="005237AF"/>
    <w:rsid w:val="0052445A"/>
    <w:rsid w:val="005259DE"/>
    <w:rsid w:val="005277D1"/>
    <w:rsid w:val="0053052C"/>
    <w:rsid w:val="00531101"/>
    <w:rsid w:val="00534FE5"/>
    <w:rsid w:val="005404F0"/>
    <w:rsid w:val="00540A73"/>
    <w:rsid w:val="005421E9"/>
    <w:rsid w:val="00542A5B"/>
    <w:rsid w:val="00542A8F"/>
    <w:rsid w:val="00542DFC"/>
    <w:rsid w:val="00543359"/>
    <w:rsid w:val="00545DA5"/>
    <w:rsid w:val="0054609E"/>
    <w:rsid w:val="00546AB1"/>
    <w:rsid w:val="00547440"/>
    <w:rsid w:val="00547E21"/>
    <w:rsid w:val="005501B2"/>
    <w:rsid w:val="005524C4"/>
    <w:rsid w:val="00552D94"/>
    <w:rsid w:val="0056028C"/>
    <w:rsid w:val="005603F7"/>
    <w:rsid w:val="0056133C"/>
    <w:rsid w:val="0056464A"/>
    <w:rsid w:val="005648E5"/>
    <w:rsid w:val="005651FA"/>
    <w:rsid w:val="005658F3"/>
    <w:rsid w:val="00565F10"/>
    <w:rsid w:val="00566262"/>
    <w:rsid w:val="00566DC7"/>
    <w:rsid w:val="00567CAA"/>
    <w:rsid w:val="00570E12"/>
    <w:rsid w:val="00572B6B"/>
    <w:rsid w:val="00572C8B"/>
    <w:rsid w:val="005744A5"/>
    <w:rsid w:val="00575EC7"/>
    <w:rsid w:val="005762BB"/>
    <w:rsid w:val="00576C33"/>
    <w:rsid w:val="00581179"/>
    <w:rsid w:val="00583458"/>
    <w:rsid w:val="0058378B"/>
    <w:rsid w:val="00586ACD"/>
    <w:rsid w:val="00586EE2"/>
    <w:rsid w:val="005901C6"/>
    <w:rsid w:val="00591A6E"/>
    <w:rsid w:val="00591E53"/>
    <w:rsid w:val="00594364"/>
    <w:rsid w:val="0059564F"/>
    <w:rsid w:val="00597C19"/>
    <w:rsid w:val="00597C93"/>
    <w:rsid w:val="005A0B8F"/>
    <w:rsid w:val="005A1725"/>
    <w:rsid w:val="005A3AE7"/>
    <w:rsid w:val="005A4B31"/>
    <w:rsid w:val="005A5419"/>
    <w:rsid w:val="005A5814"/>
    <w:rsid w:val="005B0C37"/>
    <w:rsid w:val="005B1391"/>
    <w:rsid w:val="005B6CF9"/>
    <w:rsid w:val="005B6D2A"/>
    <w:rsid w:val="005B7256"/>
    <w:rsid w:val="005B76AF"/>
    <w:rsid w:val="005B76DD"/>
    <w:rsid w:val="005C1831"/>
    <w:rsid w:val="005C2A89"/>
    <w:rsid w:val="005C527C"/>
    <w:rsid w:val="005C731D"/>
    <w:rsid w:val="005C7909"/>
    <w:rsid w:val="005C79B9"/>
    <w:rsid w:val="005D0FDA"/>
    <w:rsid w:val="005D17B1"/>
    <w:rsid w:val="005D1D45"/>
    <w:rsid w:val="005D4519"/>
    <w:rsid w:val="005D4E22"/>
    <w:rsid w:val="005D5D45"/>
    <w:rsid w:val="005D7029"/>
    <w:rsid w:val="005E42AB"/>
    <w:rsid w:val="005E6600"/>
    <w:rsid w:val="005E71B4"/>
    <w:rsid w:val="005E7A64"/>
    <w:rsid w:val="005E7B97"/>
    <w:rsid w:val="005F01A1"/>
    <w:rsid w:val="005F28C0"/>
    <w:rsid w:val="005F43BA"/>
    <w:rsid w:val="005F76C5"/>
    <w:rsid w:val="00600D1D"/>
    <w:rsid w:val="00602100"/>
    <w:rsid w:val="006033AE"/>
    <w:rsid w:val="00603698"/>
    <w:rsid w:val="00612EE0"/>
    <w:rsid w:val="006131BF"/>
    <w:rsid w:val="00613CA3"/>
    <w:rsid w:val="00614657"/>
    <w:rsid w:val="00615966"/>
    <w:rsid w:val="0061778A"/>
    <w:rsid w:val="006202B1"/>
    <w:rsid w:val="00622AC0"/>
    <w:rsid w:val="00623D38"/>
    <w:rsid w:val="00626EEB"/>
    <w:rsid w:val="006304E6"/>
    <w:rsid w:val="00630687"/>
    <w:rsid w:val="00632023"/>
    <w:rsid w:val="006322CB"/>
    <w:rsid w:val="00633D07"/>
    <w:rsid w:val="00636462"/>
    <w:rsid w:val="00636554"/>
    <w:rsid w:val="006377C3"/>
    <w:rsid w:val="0064658A"/>
    <w:rsid w:val="00646D25"/>
    <w:rsid w:val="006479D5"/>
    <w:rsid w:val="00650688"/>
    <w:rsid w:val="006516B9"/>
    <w:rsid w:val="00664A7D"/>
    <w:rsid w:val="00665368"/>
    <w:rsid w:val="00665561"/>
    <w:rsid w:val="0066642B"/>
    <w:rsid w:val="00671E0B"/>
    <w:rsid w:val="0067250B"/>
    <w:rsid w:val="006731C2"/>
    <w:rsid w:val="00674CCF"/>
    <w:rsid w:val="00676952"/>
    <w:rsid w:val="00676E71"/>
    <w:rsid w:val="00680B84"/>
    <w:rsid w:val="0068403D"/>
    <w:rsid w:val="00684874"/>
    <w:rsid w:val="006859BA"/>
    <w:rsid w:val="00685D5D"/>
    <w:rsid w:val="006912A9"/>
    <w:rsid w:val="0069184D"/>
    <w:rsid w:val="00692410"/>
    <w:rsid w:val="00693733"/>
    <w:rsid w:val="00694C2A"/>
    <w:rsid w:val="006A03BD"/>
    <w:rsid w:val="006A0E18"/>
    <w:rsid w:val="006A14FA"/>
    <w:rsid w:val="006A3A0A"/>
    <w:rsid w:val="006A4DA3"/>
    <w:rsid w:val="006A512F"/>
    <w:rsid w:val="006A54D6"/>
    <w:rsid w:val="006A5DCA"/>
    <w:rsid w:val="006A5F9A"/>
    <w:rsid w:val="006B0FB4"/>
    <w:rsid w:val="006B4D6F"/>
    <w:rsid w:val="006B5F4A"/>
    <w:rsid w:val="006B77BA"/>
    <w:rsid w:val="006C1EAB"/>
    <w:rsid w:val="006C5B56"/>
    <w:rsid w:val="006C6EE2"/>
    <w:rsid w:val="006D06A7"/>
    <w:rsid w:val="006D1679"/>
    <w:rsid w:val="006D29B6"/>
    <w:rsid w:val="006D3297"/>
    <w:rsid w:val="006D3763"/>
    <w:rsid w:val="006D37EA"/>
    <w:rsid w:val="006D3C87"/>
    <w:rsid w:val="006D4175"/>
    <w:rsid w:val="006D573F"/>
    <w:rsid w:val="006E00C3"/>
    <w:rsid w:val="006E1EB5"/>
    <w:rsid w:val="006E6331"/>
    <w:rsid w:val="006E6348"/>
    <w:rsid w:val="006F1B32"/>
    <w:rsid w:val="006F4B16"/>
    <w:rsid w:val="006F70CC"/>
    <w:rsid w:val="006F7AA6"/>
    <w:rsid w:val="0070263D"/>
    <w:rsid w:val="00703278"/>
    <w:rsid w:val="00704EC8"/>
    <w:rsid w:val="0070529D"/>
    <w:rsid w:val="007065F1"/>
    <w:rsid w:val="007065F8"/>
    <w:rsid w:val="007106B4"/>
    <w:rsid w:val="00710C2B"/>
    <w:rsid w:val="007118C1"/>
    <w:rsid w:val="00714583"/>
    <w:rsid w:val="00714CDD"/>
    <w:rsid w:val="00714DB1"/>
    <w:rsid w:val="00716FF5"/>
    <w:rsid w:val="00717C6C"/>
    <w:rsid w:val="00720132"/>
    <w:rsid w:val="00720677"/>
    <w:rsid w:val="0072160B"/>
    <w:rsid w:val="00723DC3"/>
    <w:rsid w:val="00725074"/>
    <w:rsid w:val="00726488"/>
    <w:rsid w:val="00726977"/>
    <w:rsid w:val="007272C4"/>
    <w:rsid w:val="00731427"/>
    <w:rsid w:val="00732EC2"/>
    <w:rsid w:val="00742355"/>
    <w:rsid w:val="007424F5"/>
    <w:rsid w:val="00742A6E"/>
    <w:rsid w:val="00747239"/>
    <w:rsid w:val="00747309"/>
    <w:rsid w:val="00747EAA"/>
    <w:rsid w:val="00747FC2"/>
    <w:rsid w:val="00752373"/>
    <w:rsid w:val="007558A3"/>
    <w:rsid w:val="0075592D"/>
    <w:rsid w:val="007570B5"/>
    <w:rsid w:val="0075732A"/>
    <w:rsid w:val="007636DA"/>
    <w:rsid w:val="00764113"/>
    <w:rsid w:val="00764552"/>
    <w:rsid w:val="00764821"/>
    <w:rsid w:val="00766EDF"/>
    <w:rsid w:val="007701E2"/>
    <w:rsid w:val="0077032E"/>
    <w:rsid w:val="007709BF"/>
    <w:rsid w:val="0077455D"/>
    <w:rsid w:val="00775442"/>
    <w:rsid w:val="0077554F"/>
    <w:rsid w:val="00775F23"/>
    <w:rsid w:val="00776535"/>
    <w:rsid w:val="00776C0A"/>
    <w:rsid w:val="00776D6C"/>
    <w:rsid w:val="00783672"/>
    <w:rsid w:val="00786162"/>
    <w:rsid w:val="00790377"/>
    <w:rsid w:val="00794669"/>
    <w:rsid w:val="00796A7C"/>
    <w:rsid w:val="00796E1F"/>
    <w:rsid w:val="00796FCB"/>
    <w:rsid w:val="007A0B69"/>
    <w:rsid w:val="007A1EDA"/>
    <w:rsid w:val="007A27CB"/>
    <w:rsid w:val="007A3410"/>
    <w:rsid w:val="007A4CF9"/>
    <w:rsid w:val="007A651D"/>
    <w:rsid w:val="007A7371"/>
    <w:rsid w:val="007B066C"/>
    <w:rsid w:val="007B2364"/>
    <w:rsid w:val="007B353C"/>
    <w:rsid w:val="007B363F"/>
    <w:rsid w:val="007B40A7"/>
    <w:rsid w:val="007B54AE"/>
    <w:rsid w:val="007B5704"/>
    <w:rsid w:val="007B64D6"/>
    <w:rsid w:val="007B7122"/>
    <w:rsid w:val="007B751F"/>
    <w:rsid w:val="007C089A"/>
    <w:rsid w:val="007C2796"/>
    <w:rsid w:val="007C4A46"/>
    <w:rsid w:val="007C6D7B"/>
    <w:rsid w:val="007C7161"/>
    <w:rsid w:val="007C7A79"/>
    <w:rsid w:val="007D0B1A"/>
    <w:rsid w:val="007D0C3B"/>
    <w:rsid w:val="007D1592"/>
    <w:rsid w:val="007D3D59"/>
    <w:rsid w:val="007D4C69"/>
    <w:rsid w:val="007D5E71"/>
    <w:rsid w:val="007D63EE"/>
    <w:rsid w:val="007D6F5B"/>
    <w:rsid w:val="007E08AF"/>
    <w:rsid w:val="007E1C5F"/>
    <w:rsid w:val="007E3919"/>
    <w:rsid w:val="007E5A23"/>
    <w:rsid w:val="007E6C89"/>
    <w:rsid w:val="007E71EC"/>
    <w:rsid w:val="007E7AA1"/>
    <w:rsid w:val="007E7E28"/>
    <w:rsid w:val="007F0784"/>
    <w:rsid w:val="007F1694"/>
    <w:rsid w:val="007F3843"/>
    <w:rsid w:val="007F50A5"/>
    <w:rsid w:val="007F56E5"/>
    <w:rsid w:val="007F6372"/>
    <w:rsid w:val="007F7B71"/>
    <w:rsid w:val="00800C68"/>
    <w:rsid w:val="00802593"/>
    <w:rsid w:val="00802ABF"/>
    <w:rsid w:val="00803FA4"/>
    <w:rsid w:val="00804CDE"/>
    <w:rsid w:val="00804DCE"/>
    <w:rsid w:val="00807203"/>
    <w:rsid w:val="00810BD2"/>
    <w:rsid w:val="00811D1D"/>
    <w:rsid w:val="00811FEE"/>
    <w:rsid w:val="00816210"/>
    <w:rsid w:val="00816464"/>
    <w:rsid w:val="00823DB0"/>
    <w:rsid w:val="00826002"/>
    <w:rsid w:val="00832670"/>
    <w:rsid w:val="00832B1D"/>
    <w:rsid w:val="0083494B"/>
    <w:rsid w:val="00834954"/>
    <w:rsid w:val="0083788C"/>
    <w:rsid w:val="008400AA"/>
    <w:rsid w:val="00843373"/>
    <w:rsid w:val="00843704"/>
    <w:rsid w:val="008445F1"/>
    <w:rsid w:val="00844939"/>
    <w:rsid w:val="00845B4A"/>
    <w:rsid w:val="00847D83"/>
    <w:rsid w:val="00850169"/>
    <w:rsid w:val="008515B7"/>
    <w:rsid w:val="008518F9"/>
    <w:rsid w:val="0085291A"/>
    <w:rsid w:val="00855C0F"/>
    <w:rsid w:val="00856C18"/>
    <w:rsid w:val="00857313"/>
    <w:rsid w:val="00860780"/>
    <w:rsid w:val="00861EA5"/>
    <w:rsid w:val="00864E34"/>
    <w:rsid w:val="00864FF7"/>
    <w:rsid w:val="00865583"/>
    <w:rsid w:val="00866A77"/>
    <w:rsid w:val="00866FB8"/>
    <w:rsid w:val="0086737D"/>
    <w:rsid w:val="00871298"/>
    <w:rsid w:val="00871C5F"/>
    <w:rsid w:val="0087246E"/>
    <w:rsid w:val="00872738"/>
    <w:rsid w:val="00872A1C"/>
    <w:rsid w:val="00873745"/>
    <w:rsid w:val="0087566D"/>
    <w:rsid w:val="00876AB0"/>
    <w:rsid w:val="00880527"/>
    <w:rsid w:val="00880984"/>
    <w:rsid w:val="00880B1C"/>
    <w:rsid w:val="008815D6"/>
    <w:rsid w:val="00881EF4"/>
    <w:rsid w:val="008853B1"/>
    <w:rsid w:val="0088588D"/>
    <w:rsid w:val="0088701C"/>
    <w:rsid w:val="0088739B"/>
    <w:rsid w:val="00887876"/>
    <w:rsid w:val="00890146"/>
    <w:rsid w:val="0089037E"/>
    <w:rsid w:val="00891613"/>
    <w:rsid w:val="0089213B"/>
    <w:rsid w:val="0089376E"/>
    <w:rsid w:val="00896C31"/>
    <w:rsid w:val="00897978"/>
    <w:rsid w:val="008A055A"/>
    <w:rsid w:val="008A146D"/>
    <w:rsid w:val="008A2D23"/>
    <w:rsid w:val="008A3714"/>
    <w:rsid w:val="008A6279"/>
    <w:rsid w:val="008A6298"/>
    <w:rsid w:val="008B10EF"/>
    <w:rsid w:val="008B1918"/>
    <w:rsid w:val="008B1EE3"/>
    <w:rsid w:val="008B5859"/>
    <w:rsid w:val="008B5D8C"/>
    <w:rsid w:val="008B7157"/>
    <w:rsid w:val="008C0EE9"/>
    <w:rsid w:val="008C1C82"/>
    <w:rsid w:val="008C34B1"/>
    <w:rsid w:val="008C3FEB"/>
    <w:rsid w:val="008C46A4"/>
    <w:rsid w:val="008C5121"/>
    <w:rsid w:val="008C56AE"/>
    <w:rsid w:val="008D078A"/>
    <w:rsid w:val="008D260A"/>
    <w:rsid w:val="008D27F0"/>
    <w:rsid w:val="008D35E2"/>
    <w:rsid w:val="008D3FB5"/>
    <w:rsid w:val="008D6985"/>
    <w:rsid w:val="008D6D61"/>
    <w:rsid w:val="008D7480"/>
    <w:rsid w:val="008E1832"/>
    <w:rsid w:val="008E1F1D"/>
    <w:rsid w:val="008E432C"/>
    <w:rsid w:val="008F17EB"/>
    <w:rsid w:val="008F3C4D"/>
    <w:rsid w:val="008F4054"/>
    <w:rsid w:val="008F45C8"/>
    <w:rsid w:val="008F53C7"/>
    <w:rsid w:val="008F5704"/>
    <w:rsid w:val="008F579A"/>
    <w:rsid w:val="008F5E29"/>
    <w:rsid w:val="008F6DDA"/>
    <w:rsid w:val="008F78DF"/>
    <w:rsid w:val="00902DF0"/>
    <w:rsid w:val="00904653"/>
    <w:rsid w:val="0090626F"/>
    <w:rsid w:val="00906E52"/>
    <w:rsid w:val="0090763A"/>
    <w:rsid w:val="009131F7"/>
    <w:rsid w:val="00915EF9"/>
    <w:rsid w:val="00915F75"/>
    <w:rsid w:val="00921139"/>
    <w:rsid w:val="00921D8E"/>
    <w:rsid w:val="009224FA"/>
    <w:rsid w:val="0092281D"/>
    <w:rsid w:val="00922CB8"/>
    <w:rsid w:val="00924296"/>
    <w:rsid w:val="009247F4"/>
    <w:rsid w:val="0092540C"/>
    <w:rsid w:val="00925EF9"/>
    <w:rsid w:val="00926481"/>
    <w:rsid w:val="00926864"/>
    <w:rsid w:val="00927D8A"/>
    <w:rsid w:val="00927FB8"/>
    <w:rsid w:val="00930A47"/>
    <w:rsid w:val="00931F27"/>
    <w:rsid w:val="00932915"/>
    <w:rsid w:val="0093345B"/>
    <w:rsid w:val="00935DD1"/>
    <w:rsid w:val="00935FE6"/>
    <w:rsid w:val="00936B8B"/>
    <w:rsid w:val="00942272"/>
    <w:rsid w:val="00945201"/>
    <w:rsid w:val="00945A2C"/>
    <w:rsid w:val="00945E37"/>
    <w:rsid w:val="00946973"/>
    <w:rsid w:val="0095207D"/>
    <w:rsid w:val="00952AFB"/>
    <w:rsid w:val="00952BAB"/>
    <w:rsid w:val="00954EAC"/>
    <w:rsid w:val="00955547"/>
    <w:rsid w:val="009575D4"/>
    <w:rsid w:val="00960C21"/>
    <w:rsid w:val="00962650"/>
    <w:rsid w:val="009627B3"/>
    <w:rsid w:val="009632E9"/>
    <w:rsid w:val="00963754"/>
    <w:rsid w:val="00963A46"/>
    <w:rsid w:val="009710B5"/>
    <w:rsid w:val="00971261"/>
    <w:rsid w:val="00971CB2"/>
    <w:rsid w:val="0097391B"/>
    <w:rsid w:val="00974ECE"/>
    <w:rsid w:val="00974F7B"/>
    <w:rsid w:val="0097547F"/>
    <w:rsid w:val="009766B3"/>
    <w:rsid w:val="00976A5E"/>
    <w:rsid w:val="0098304D"/>
    <w:rsid w:val="00984117"/>
    <w:rsid w:val="00985BF1"/>
    <w:rsid w:val="00987CD6"/>
    <w:rsid w:val="009904FB"/>
    <w:rsid w:val="00990625"/>
    <w:rsid w:val="00991774"/>
    <w:rsid w:val="00993885"/>
    <w:rsid w:val="00994B51"/>
    <w:rsid w:val="00994DEF"/>
    <w:rsid w:val="00995C96"/>
    <w:rsid w:val="00996DB8"/>
    <w:rsid w:val="009A2459"/>
    <w:rsid w:val="009A59E4"/>
    <w:rsid w:val="009A6EC2"/>
    <w:rsid w:val="009A7F8D"/>
    <w:rsid w:val="009B0D23"/>
    <w:rsid w:val="009B1C75"/>
    <w:rsid w:val="009B210B"/>
    <w:rsid w:val="009B44CD"/>
    <w:rsid w:val="009B505F"/>
    <w:rsid w:val="009C11C2"/>
    <w:rsid w:val="009C1624"/>
    <w:rsid w:val="009C2C79"/>
    <w:rsid w:val="009C4489"/>
    <w:rsid w:val="009C4861"/>
    <w:rsid w:val="009C5428"/>
    <w:rsid w:val="009C706C"/>
    <w:rsid w:val="009C7461"/>
    <w:rsid w:val="009D2AD1"/>
    <w:rsid w:val="009D3AA5"/>
    <w:rsid w:val="009D4B82"/>
    <w:rsid w:val="009D594F"/>
    <w:rsid w:val="009D72C7"/>
    <w:rsid w:val="009D770B"/>
    <w:rsid w:val="009E03B7"/>
    <w:rsid w:val="009E16B2"/>
    <w:rsid w:val="009E2052"/>
    <w:rsid w:val="009E2537"/>
    <w:rsid w:val="009E2BD7"/>
    <w:rsid w:val="009E45BB"/>
    <w:rsid w:val="009E5756"/>
    <w:rsid w:val="009E7815"/>
    <w:rsid w:val="009F01AE"/>
    <w:rsid w:val="009F2530"/>
    <w:rsid w:val="009F3D24"/>
    <w:rsid w:val="009F440D"/>
    <w:rsid w:val="009F73F8"/>
    <w:rsid w:val="00A022F3"/>
    <w:rsid w:val="00A03C71"/>
    <w:rsid w:val="00A04E09"/>
    <w:rsid w:val="00A0600F"/>
    <w:rsid w:val="00A07038"/>
    <w:rsid w:val="00A078E1"/>
    <w:rsid w:val="00A07B74"/>
    <w:rsid w:val="00A1104B"/>
    <w:rsid w:val="00A11124"/>
    <w:rsid w:val="00A134A3"/>
    <w:rsid w:val="00A13EF8"/>
    <w:rsid w:val="00A1432A"/>
    <w:rsid w:val="00A159E1"/>
    <w:rsid w:val="00A1758B"/>
    <w:rsid w:val="00A2025E"/>
    <w:rsid w:val="00A202F6"/>
    <w:rsid w:val="00A20E16"/>
    <w:rsid w:val="00A214A6"/>
    <w:rsid w:val="00A21DA3"/>
    <w:rsid w:val="00A21F23"/>
    <w:rsid w:val="00A23603"/>
    <w:rsid w:val="00A2546C"/>
    <w:rsid w:val="00A262C4"/>
    <w:rsid w:val="00A27784"/>
    <w:rsid w:val="00A341F3"/>
    <w:rsid w:val="00A35899"/>
    <w:rsid w:val="00A3602E"/>
    <w:rsid w:val="00A36623"/>
    <w:rsid w:val="00A367CE"/>
    <w:rsid w:val="00A40C95"/>
    <w:rsid w:val="00A42033"/>
    <w:rsid w:val="00A453DB"/>
    <w:rsid w:val="00A4645C"/>
    <w:rsid w:val="00A47043"/>
    <w:rsid w:val="00A5012E"/>
    <w:rsid w:val="00A55714"/>
    <w:rsid w:val="00A5599F"/>
    <w:rsid w:val="00A55E72"/>
    <w:rsid w:val="00A57341"/>
    <w:rsid w:val="00A62601"/>
    <w:rsid w:val="00A6579E"/>
    <w:rsid w:val="00A6644E"/>
    <w:rsid w:val="00A6653B"/>
    <w:rsid w:val="00A70343"/>
    <w:rsid w:val="00A73BC8"/>
    <w:rsid w:val="00A75ECC"/>
    <w:rsid w:val="00A761C5"/>
    <w:rsid w:val="00A76F5A"/>
    <w:rsid w:val="00A810EC"/>
    <w:rsid w:val="00A812C6"/>
    <w:rsid w:val="00A844F4"/>
    <w:rsid w:val="00A84CDE"/>
    <w:rsid w:val="00A86CFD"/>
    <w:rsid w:val="00A87079"/>
    <w:rsid w:val="00A87ABA"/>
    <w:rsid w:val="00A92D7F"/>
    <w:rsid w:val="00A9302B"/>
    <w:rsid w:val="00A93596"/>
    <w:rsid w:val="00A94345"/>
    <w:rsid w:val="00A953BD"/>
    <w:rsid w:val="00A95F71"/>
    <w:rsid w:val="00A96944"/>
    <w:rsid w:val="00A96B13"/>
    <w:rsid w:val="00AA0EFD"/>
    <w:rsid w:val="00AA13E0"/>
    <w:rsid w:val="00AA3203"/>
    <w:rsid w:val="00AA426B"/>
    <w:rsid w:val="00AA6C6D"/>
    <w:rsid w:val="00AB3F24"/>
    <w:rsid w:val="00AB4331"/>
    <w:rsid w:val="00AB6A86"/>
    <w:rsid w:val="00AB72A8"/>
    <w:rsid w:val="00AC1706"/>
    <w:rsid w:val="00AC3B59"/>
    <w:rsid w:val="00AC3BD6"/>
    <w:rsid w:val="00AC52EB"/>
    <w:rsid w:val="00AC6CEE"/>
    <w:rsid w:val="00AC74D2"/>
    <w:rsid w:val="00AD071C"/>
    <w:rsid w:val="00AD18A6"/>
    <w:rsid w:val="00AD24D5"/>
    <w:rsid w:val="00AD5420"/>
    <w:rsid w:val="00AD5C24"/>
    <w:rsid w:val="00AD5F02"/>
    <w:rsid w:val="00AE0FD8"/>
    <w:rsid w:val="00AE1021"/>
    <w:rsid w:val="00AE1AAE"/>
    <w:rsid w:val="00AE22C0"/>
    <w:rsid w:val="00AE28B6"/>
    <w:rsid w:val="00AE3154"/>
    <w:rsid w:val="00AE3A3C"/>
    <w:rsid w:val="00AE63FE"/>
    <w:rsid w:val="00AE658C"/>
    <w:rsid w:val="00AE6712"/>
    <w:rsid w:val="00AE7377"/>
    <w:rsid w:val="00AE7933"/>
    <w:rsid w:val="00AF0121"/>
    <w:rsid w:val="00AF4C4C"/>
    <w:rsid w:val="00AF545B"/>
    <w:rsid w:val="00AF631E"/>
    <w:rsid w:val="00B029BF"/>
    <w:rsid w:val="00B030B7"/>
    <w:rsid w:val="00B03FF8"/>
    <w:rsid w:val="00B077E0"/>
    <w:rsid w:val="00B07B86"/>
    <w:rsid w:val="00B07FC6"/>
    <w:rsid w:val="00B10110"/>
    <w:rsid w:val="00B11847"/>
    <w:rsid w:val="00B11EAB"/>
    <w:rsid w:val="00B1285C"/>
    <w:rsid w:val="00B12924"/>
    <w:rsid w:val="00B13A85"/>
    <w:rsid w:val="00B13EFB"/>
    <w:rsid w:val="00B13F05"/>
    <w:rsid w:val="00B14D7B"/>
    <w:rsid w:val="00B14F95"/>
    <w:rsid w:val="00B1567A"/>
    <w:rsid w:val="00B15FB7"/>
    <w:rsid w:val="00B1708B"/>
    <w:rsid w:val="00B178A7"/>
    <w:rsid w:val="00B21B24"/>
    <w:rsid w:val="00B22CB9"/>
    <w:rsid w:val="00B22E5F"/>
    <w:rsid w:val="00B2669B"/>
    <w:rsid w:val="00B26DD4"/>
    <w:rsid w:val="00B2722D"/>
    <w:rsid w:val="00B27F7C"/>
    <w:rsid w:val="00B30E74"/>
    <w:rsid w:val="00B32A65"/>
    <w:rsid w:val="00B330CB"/>
    <w:rsid w:val="00B3350A"/>
    <w:rsid w:val="00B35371"/>
    <w:rsid w:val="00B365E8"/>
    <w:rsid w:val="00B36E66"/>
    <w:rsid w:val="00B41CB0"/>
    <w:rsid w:val="00B438B7"/>
    <w:rsid w:val="00B517CC"/>
    <w:rsid w:val="00B518C7"/>
    <w:rsid w:val="00B54D43"/>
    <w:rsid w:val="00B5585B"/>
    <w:rsid w:val="00B6084B"/>
    <w:rsid w:val="00B61BF4"/>
    <w:rsid w:val="00B62D10"/>
    <w:rsid w:val="00B64725"/>
    <w:rsid w:val="00B65765"/>
    <w:rsid w:val="00B66171"/>
    <w:rsid w:val="00B6648B"/>
    <w:rsid w:val="00B66E77"/>
    <w:rsid w:val="00B71EB5"/>
    <w:rsid w:val="00B72262"/>
    <w:rsid w:val="00B7243D"/>
    <w:rsid w:val="00B72BBE"/>
    <w:rsid w:val="00B733F3"/>
    <w:rsid w:val="00B73B4B"/>
    <w:rsid w:val="00B82E04"/>
    <w:rsid w:val="00B83253"/>
    <w:rsid w:val="00B83E2B"/>
    <w:rsid w:val="00B849AB"/>
    <w:rsid w:val="00B84D2E"/>
    <w:rsid w:val="00B85777"/>
    <w:rsid w:val="00B85D57"/>
    <w:rsid w:val="00B86BE2"/>
    <w:rsid w:val="00B90852"/>
    <w:rsid w:val="00B911FC"/>
    <w:rsid w:val="00B9302C"/>
    <w:rsid w:val="00B9452B"/>
    <w:rsid w:val="00B946CD"/>
    <w:rsid w:val="00B95000"/>
    <w:rsid w:val="00B9520E"/>
    <w:rsid w:val="00B955ED"/>
    <w:rsid w:val="00B96484"/>
    <w:rsid w:val="00BA0368"/>
    <w:rsid w:val="00BA289A"/>
    <w:rsid w:val="00BA33EE"/>
    <w:rsid w:val="00BA5694"/>
    <w:rsid w:val="00BA5873"/>
    <w:rsid w:val="00BA5946"/>
    <w:rsid w:val="00BA60C4"/>
    <w:rsid w:val="00BA6A15"/>
    <w:rsid w:val="00BB1C47"/>
    <w:rsid w:val="00BB3286"/>
    <w:rsid w:val="00BB4064"/>
    <w:rsid w:val="00BB7993"/>
    <w:rsid w:val="00BB7ED9"/>
    <w:rsid w:val="00BC4297"/>
    <w:rsid w:val="00BC4FFA"/>
    <w:rsid w:val="00BC636E"/>
    <w:rsid w:val="00BC64AC"/>
    <w:rsid w:val="00BC7655"/>
    <w:rsid w:val="00BD11AA"/>
    <w:rsid w:val="00BD1320"/>
    <w:rsid w:val="00BD13A2"/>
    <w:rsid w:val="00BD4090"/>
    <w:rsid w:val="00BD56AB"/>
    <w:rsid w:val="00BD5A40"/>
    <w:rsid w:val="00BD6398"/>
    <w:rsid w:val="00BD70C3"/>
    <w:rsid w:val="00BD787A"/>
    <w:rsid w:val="00BE2C22"/>
    <w:rsid w:val="00BE61BC"/>
    <w:rsid w:val="00BE61C4"/>
    <w:rsid w:val="00BE7181"/>
    <w:rsid w:val="00BE7A1E"/>
    <w:rsid w:val="00BF0626"/>
    <w:rsid w:val="00BF1038"/>
    <w:rsid w:val="00BF4073"/>
    <w:rsid w:val="00BF44E8"/>
    <w:rsid w:val="00BF46F5"/>
    <w:rsid w:val="00BF4D58"/>
    <w:rsid w:val="00BF6592"/>
    <w:rsid w:val="00BF65CC"/>
    <w:rsid w:val="00C006BA"/>
    <w:rsid w:val="00C00C41"/>
    <w:rsid w:val="00C03932"/>
    <w:rsid w:val="00C07DE3"/>
    <w:rsid w:val="00C1000D"/>
    <w:rsid w:val="00C10173"/>
    <w:rsid w:val="00C10DD4"/>
    <w:rsid w:val="00C11F54"/>
    <w:rsid w:val="00C14A66"/>
    <w:rsid w:val="00C160F4"/>
    <w:rsid w:val="00C16DBB"/>
    <w:rsid w:val="00C16E0B"/>
    <w:rsid w:val="00C22581"/>
    <w:rsid w:val="00C2359D"/>
    <w:rsid w:val="00C248F6"/>
    <w:rsid w:val="00C24C48"/>
    <w:rsid w:val="00C265CC"/>
    <w:rsid w:val="00C26A7C"/>
    <w:rsid w:val="00C275B5"/>
    <w:rsid w:val="00C32713"/>
    <w:rsid w:val="00C32A7C"/>
    <w:rsid w:val="00C359B4"/>
    <w:rsid w:val="00C35DC0"/>
    <w:rsid w:val="00C4118E"/>
    <w:rsid w:val="00C413F3"/>
    <w:rsid w:val="00C428B2"/>
    <w:rsid w:val="00C42D4D"/>
    <w:rsid w:val="00C43027"/>
    <w:rsid w:val="00C4325E"/>
    <w:rsid w:val="00C436EA"/>
    <w:rsid w:val="00C45000"/>
    <w:rsid w:val="00C46E8D"/>
    <w:rsid w:val="00C4739A"/>
    <w:rsid w:val="00C501F5"/>
    <w:rsid w:val="00C508ED"/>
    <w:rsid w:val="00C54749"/>
    <w:rsid w:val="00C54A02"/>
    <w:rsid w:val="00C552CA"/>
    <w:rsid w:val="00C5560E"/>
    <w:rsid w:val="00C57789"/>
    <w:rsid w:val="00C6039A"/>
    <w:rsid w:val="00C613AA"/>
    <w:rsid w:val="00C61B98"/>
    <w:rsid w:val="00C6242A"/>
    <w:rsid w:val="00C662B4"/>
    <w:rsid w:val="00C6641A"/>
    <w:rsid w:val="00C665FA"/>
    <w:rsid w:val="00C66921"/>
    <w:rsid w:val="00C67D83"/>
    <w:rsid w:val="00C70024"/>
    <w:rsid w:val="00C75207"/>
    <w:rsid w:val="00C76567"/>
    <w:rsid w:val="00C77FE6"/>
    <w:rsid w:val="00C80D5D"/>
    <w:rsid w:val="00C8124F"/>
    <w:rsid w:val="00C81B23"/>
    <w:rsid w:val="00C81D65"/>
    <w:rsid w:val="00C81DE0"/>
    <w:rsid w:val="00C846D2"/>
    <w:rsid w:val="00C84FD4"/>
    <w:rsid w:val="00C85FC8"/>
    <w:rsid w:val="00C869CB"/>
    <w:rsid w:val="00C902C1"/>
    <w:rsid w:val="00C9062E"/>
    <w:rsid w:val="00C909FE"/>
    <w:rsid w:val="00CA0E33"/>
    <w:rsid w:val="00CA0E9A"/>
    <w:rsid w:val="00CA26EA"/>
    <w:rsid w:val="00CA3D64"/>
    <w:rsid w:val="00CA7182"/>
    <w:rsid w:val="00CA7AC6"/>
    <w:rsid w:val="00CB0D25"/>
    <w:rsid w:val="00CB3487"/>
    <w:rsid w:val="00CB47B0"/>
    <w:rsid w:val="00CB4827"/>
    <w:rsid w:val="00CB4C6F"/>
    <w:rsid w:val="00CC03B8"/>
    <w:rsid w:val="00CC1960"/>
    <w:rsid w:val="00CC22C2"/>
    <w:rsid w:val="00CC2366"/>
    <w:rsid w:val="00CC4D35"/>
    <w:rsid w:val="00CC5AED"/>
    <w:rsid w:val="00CC65B5"/>
    <w:rsid w:val="00CC74F6"/>
    <w:rsid w:val="00CD1DDF"/>
    <w:rsid w:val="00CD2D5A"/>
    <w:rsid w:val="00CD3217"/>
    <w:rsid w:val="00CD41FB"/>
    <w:rsid w:val="00CD429E"/>
    <w:rsid w:val="00CD4D3B"/>
    <w:rsid w:val="00CD5678"/>
    <w:rsid w:val="00CD60F6"/>
    <w:rsid w:val="00CD7078"/>
    <w:rsid w:val="00CE1044"/>
    <w:rsid w:val="00CE369C"/>
    <w:rsid w:val="00CE45AE"/>
    <w:rsid w:val="00CE45DB"/>
    <w:rsid w:val="00CE6CB8"/>
    <w:rsid w:val="00CE75E4"/>
    <w:rsid w:val="00CF0998"/>
    <w:rsid w:val="00CF1DEE"/>
    <w:rsid w:val="00CF2A35"/>
    <w:rsid w:val="00CF3E38"/>
    <w:rsid w:val="00CF4B26"/>
    <w:rsid w:val="00CF571F"/>
    <w:rsid w:val="00D01A1B"/>
    <w:rsid w:val="00D03312"/>
    <w:rsid w:val="00D03885"/>
    <w:rsid w:val="00D07531"/>
    <w:rsid w:val="00D12DAD"/>
    <w:rsid w:val="00D15F29"/>
    <w:rsid w:val="00D17D64"/>
    <w:rsid w:val="00D20CA8"/>
    <w:rsid w:val="00D2101D"/>
    <w:rsid w:val="00D22BD9"/>
    <w:rsid w:val="00D23454"/>
    <w:rsid w:val="00D23CCD"/>
    <w:rsid w:val="00D2676F"/>
    <w:rsid w:val="00D30DE1"/>
    <w:rsid w:val="00D32302"/>
    <w:rsid w:val="00D32730"/>
    <w:rsid w:val="00D34BCF"/>
    <w:rsid w:val="00D34F6E"/>
    <w:rsid w:val="00D3530D"/>
    <w:rsid w:val="00D35500"/>
    <w:rsid w:val="00D36629"/>
    <w:rsid w:val="00D37A5B"/>
    <w:rsid w:val="00D41701"/>
    <w:rsid w:val="00D41E78"/>
    <w:rsid w:val="00D43073"/>
    <w:rsid w:val="00D43A3B"/>
    <w:rsid w:val="00D447D2"/>
    <w:rsid w:val="00D503F8"/>
    <w:rsid w:val="00D50D7F"/>
    <w:rsid w:val="00D539F0"/>
    <w:rsid w:val="00D53AB7"/>
    <w:rsid w:val="00D53D2C"/>
    <w:rsid w:val="00D547BA"/>
    <w:rsid w:val="00D5483D"/>
    <w:rsid w:val="00D54975"/>
    <w:rsid w:val="00D54CB4"/>
    <w:rsid w:val="00D561F4"/>
    <w:rsid w:val="00D575F4"/>
    <w:rsid w:val="00D577D1"/>
    <w:rsid w:val="00D60B82"/>
    <w:rsid w:val="00D610FC"/>
    <w:rsid w:val="00D613A4"/>
    <w:rsid w:val="00D61653"/>
    <w:rsid w:val="00D6270F"/>
    <w:rsid w:val="00D6382A"/>
    <w:rsid w:val="00D64251"/>
    <w:rsid w:val="00D649EF"/>
    <w:rsid w:val="00D65051"/>
    <w:rsid w:val="00D65115"/>
    <w:rsid w:val="00D65A68"/>
    <w:rsid w:val="00D66527"/>
    <w:rsid w:val="00D67E43"/>
    <w:rsid w:val="00D73547"/>
    <w:rsid w:val="00D75516"/>
    <w:rsid w:val="00D7562A"/>
    <w:rsid w:val="00D759F2"/>
    <w:rsid w:val="00D77B0C"/>
    <w:rsid w:val="00D80DE1"/>
    <w:rsid w:val="00D81979"/>
    <w:rsid w:val="00D81F1A"/>
    <w:rsid w:val="00D83A8A"/>
    <w:rsid w:val="00D84B9E"/>
    <w:rsid w:val="00D85259"/>
    <w:rsid w:val="00D85DF2"/>
    <w:rsid w:val="00D86B93"/>
    <w:rsid w:val="00D8793B"/>
    <w:rsid w:val="00D92934"/>
    <w:rsid w:val="00D92B78"/>
    <w:rsid w:val="00D94E0B"/>
    <w:rsid w:val="00D962D7"/>
    <w:rsid w:val="00DA0145"/>
    <w:rsid w:val="00DA2F49"/>
    <w:rsid w:val="00DA46BC"/>
    <w:rsid w:val="00DA5C4E"/>
    <w:rsid w:val="00DA5E76"/>
    <w:rsid w:val="00DB619E"/>
    <w:rsid w:val="00DB6705"/>
    <w:rsid w:val="00DC058F"/>
    <w:rsid w:val="00DC0A3B"/>
    <w:rsid w:val="00DC161E"/>
    <w:rsid w:val="00DC31C3"/>
    <w:rsid w:val="00DC4CF1"/>
    <w:rsid w:val="00DC5191"/>
    <w:rsid w:val="00DC5F8C"/>
    <w:rsid w:val="00DC635E"/>
    <w:rsid w:val="00DD0236"/>
    <w:rsid w:val="00DD06A2"/>
    <w:rsid w:val="00DD1212"/>
    <w:rsid w:val="00DD196E"/>
    <w:rsid w:val="00DD2FD6"/>
    <w:rsid w:val="00DD49FE"/>
    <w:rsid w:val="00DD72B3"/>
    <w:rsid w:val="00DD7908"/>
    <w:rsid w:val="00DE165B"/>
    <w:rsid w:val="00DE19C4"/>
    <w:rsid w:val="00DE6775"/>
    <w:rsid w:val="00DF077D"/>
    <w:rsid w:val="00DF0894"/>
    <w:rsid w:val="00DF19EA"/>
    <w:rsid w:val="00DF3C2F"/>
    <w:rsid w:val="00DF6900"/>
    <w:rsid w:val="00DF7F7A"/>
    <w:rsid w:val="00E001DF"/>
    <w:rsid w:val="00E047C2"/>
    <w:rsid w:val="00E047E9"/>
    <w:rsid w:val="00E07044"/>
    <w:rsid w:val="00E12EA6"/>
    <w:rsid w:val="00E13853"/>
    <w:rsid w:val="00E14E5B"/>
    <w:rsid w:val="00E16447"/>
    <w:rsid w:val="00E208D6"/>
    <w:rsid w:val="00E21F6E"/>
    <w:rsid w:val="00E22740"/>
    <w:rsid w:val="00E2276E"/>
    <w:rsid w:val="00E234BA"/>
    <w:rsid w:val="00E26C8A"/>
    <w:rsid w:val="00E26F53"/>
    <w:rsid w:val="00E32BDD"/>
    <w:rsid w:val="00E33516"/>
    <w:rsid w:val="00E352A0"/>
    <w:rsid w:val="00E37982"/>
    <w:rsid w:val="00E37AA9"/>
    <w:rsid w:val="00E40ED4"/>
    <w:rsid w:val="00E43FC6"/>
    <w:rsid w:val="00E450F5"/>
    <w:rsid w:val="00E462CF"/>
    <w:rsid w:val="00E46B9F"/>
    <w:rsid w:val="00E47BB3"/>
    <w:rsid w:val="00E521B6"/>
    <w:rsid w:val="00E57121"/>
    <w:rsid w:val="00E57697"/>
    <w:rsid w:val="00E602B6"/>
    <w:rsid w:val="00E630EC"/>
    <w:rsid w:val="00E65569"/>
    <w:rsid w:val="00E677B9"/>
    <w:rsid w:val="00E70B42"/>
    <w:rsid w:val="00E71A6F"/>
    <w:rsid w:val="00E7219D"/>
    <w:rsid w:val="00E7305B"/>
    <w:rsid w:val="00E7359E"/>
    <w:rsid w:val="00E743DF"/>
    <w:rsid w:val="00E74BB3"/>
    <w:rsid w:val="00E76493"/>
    <w:rsid w:val="00E80763"/>
    <w:rsid w:val="00E80A14"/>
    <w:rsid w:val="00E81BAB"/>
    <w:rsid w:val="00E81C10"/>
    <w:rsid w:val="00E82FB3"/>
    <w:rsid w:val="00E90471"/>
    <w:rsid w:val="00E9102F"/>
    <w:rsid w:val="00E94EFD"/>
    <w:rsid w:val="00E96D7D"/>
    <w:rsid w:val="00E96EA3"/>
    <w:rsid w:val="00EA037F"/>
    <w:rsid w:val="00EA1AF9"/>
    <w:rsid w:val="00EA2BB0"/>
    <w:rsid w:val="00EA324A"/>
    <w:rsid w:val="00EA396E"/>
    <w:rsid w:val="00EA4810"/>
    <w:rsid w:val="00EA7A28"/>
    <w:rsid w:val="00EB0077"/>
    <w:rsid w:val="00EB0403"/>
    <w:rsid w:val="00EB0B42"/>
    <w:rsid w:val="00EB2406"/>
    <w:rsid w:val="00EB25E3"/>
    <w:rsid w:val="00EB352B"/>
    <w:rsid w:val="00EB4381"/>
    <w:rsid w:val="00EB43B2"/>
    <w:rsid w:val="00EB5A9D"/>
    <w:rsid w:val="00EB6F65"/>
    <w:rsid w:val="00EC003F"/>
    <w:rsid w:val="00EC1476"/>
    <w:rsid w:val="00EC181F"/>
    <w:rsid w:val="00EC2C06"/>
    <w:rsid w:val="00EC69EC"/>
    <w:rsid w:val="00ED0C99"/>
    <w:rsid w:val="00ED1E93"/>
    <w:rsid w:val="00ED40B1"/>
    <w:rsid w:val="00ED4185"/>
    <w:rsid w:val="00ED4F29"/>
    <w:rsid w:val="00ED7332"/>
    <w:rsid w:val="00ED7A80"/>
    <w:rsid w:val="00EE057D"/>
    <w:rsid w:val="00EE1E54"/>
    <w:rsid w:val="00EE34E9"/>
    <w:rsid w:val="00EE3F1F"/>
    <w:rsid w:val="00EE46EF"/>
    <w:rsid w:val="00EE73AC"/>
    <w:rsid w:val="00EF083A"/>
    <w:rsid w:val="00EF206F"/>
    <w:rsid w:val="00EF27C2"/>
    <w:rsid w:val="00EF2ADF"/>
    <w:rsid w:val="00EF59CC"/>
    <w:rsid w:val="00EF638E"/>
    <w:rsid w:val="00EF6A71"/>
    <w:rsid w:val="00EF6CF6"/>
    <w:rsid w:val="00EF72A2"/>
    <w:rsid w:val="00F02992"/>
    <w:rsid w:val="00F03899"/>
    <w:rsid w:val="00F04966"/>
    <w:rsid w:val="00F06B1B"/>
    <w:rsid w:val="00F1060F"/>
    <w:rsid w:val="00F10E24"/>
    <w:rsid w:val="00F10FCB"/>
    <w:rsid w:val="00F11491"/>
    <w:rsid w:val="00F11A72"/>
    <w:rsid w:val="00F13046"/>
    <w:rsid w:val="00F13AB1"/>
    <w:rsid w:val="00F14B85"/>
    <w:rsid w:val="00F1533E"/>
    <w:rsid w:val="00F1760B"/>
    <w:rsid w:val="00F17E6F"/>
    <w:rsid w:val="00F20B15"/>
    <w:rsid w:val="00F218DA"/>
    <w:rsid w:val="00F21ADB"/>
    <w:rsid w:val="00F2460D"/>
    <w:rsid w:val="00F2531A"/>
    <w:rsid w:val="00F310EE"/>
    <w:rsid w:val="00F31610"/>
    <w:rsid w:val="00F31FF8"/>
    <w:rsid w:val="00F345A4"/>
    <w:rsid w:val="00F404C2"/>
    <w:rsid w:val="00F40A9E"/>
    <w:rsid w:val="00F42299"/>
    <w:rsid w:val="00F42FB1"/>
    <w:rsid w:val="00F43BCC"/>
    <w:rsid w:val="00F475C8"/>
    <w:rsid w:val="00F51CC1"/>
    <w:rsid w:val="00F52837"/>
    <w:rsid w:val="00F54664"/>
    <w:rsid w:val="00F54991"/>
    <w:rsid w:val="00F54F40"/>
    <w:rsid w:val="00F55115"/>
    <w:rsid w:val="00F55373"/>
    <w:rsid w:val="00F55415"/>
    <w:rsid w:val="00F55657"/>
    <w:rsid w:val="00F56118"/>
    <w:rsid w:val="00F57663"/>
    <w:rsid w:val="00F57F5F"/>
    <w:rsid w:val="00F60304"/>
    <w:rsid w:val="00F6157F"/>
    <w:rsid w:val="00F626BA"/>
    <w:rsid w:val="00F63C21"/>
    <w:rsid w:val="00F63D96"/>
    <w:rsid w:val="00F66B72"/>
    <w:rsid w:val="00F67ECD"/>
    <w:rsid w:val="00F70F66"/>
    <w:rsid w:val="00F727DC"/>
    <w:rsid w:val="00F75EE0"/>
    <w:rsid w:val="00F76069"/>
    <w:rsid w:val="00F76511"/>
    <w:rsid w:val="00F76F23"/>
    <w:rsid w:val="00F77CF3"/>
    <w:rsid w:val="00F80A18"/>
    <w:rsid w:val="00F80C08"/>
    <w:rsid w:val="00F81529"/>
    <w:rsid w:val="00F831E6"/>
    <w:rsid w:val="00F83C46"/>
    <w:rsid w:val="00F843F4"/>
    <w:rsid w:val="00F84C1C"/>
    <w:rsid w:val="00F84DA6"/>
    <w:rsid w:val="00F850BC"/>
    <w:rsid w:val="00F85556"/>
    <w:rsid w:val="00F8769D"/>
    <w:rsid w:val="00F90D97"/>
    <w:rsid w:val="00F91241"/>
    <w:rsid w:val="00F918B7"/>
    <w:rsid w:val="00F91BFD"/>
    <w:rsid w:val="00F930E6"/>
    <w:rsid w:val="00F94B3B"/>
    <w:rsid w:val="00F95896"/>
    <w:rsid w:val="00FA1A40"/>
    <w:rsid w:val="00FA20F4"/>
    <w:rsid w:val="00FA540D"/>
    <w:rsid w:val="00FA5BD9"/>
    <w:rsid w:val="00FA6AF9"/>
    <w:rsid w:val="00FB0631"/>
    <w:rsid w:val="00FB2788"/>
    <w:rsid w:val="00FB2ED1"/>
    <w:rsid w:val="00FB56B1"/>
    <w:rsid w:val="00FC03D4"/>
    <w:rsid w:val="00FC1785"/>
    <w:rsid w:val="00FC5712"/>
    <w:rsid w:val="00FC6C07"/>
    <w:rsid w:val="00FD1427"/>
    <w:rsid w:val="00FD245A"/>
    <w:rsid w:val="00FD2F16"/>
    <w:rsid w:val="00FD30A4"/>
    <w:rsid w:val="00FE0AA0"/>
    <w:rsid w:val="00FE46C9"/>
    <w:rsid w:val="00FF0249"/>
    <w:rsid w:val="00FF0B21"/>
    <w:rsid w:val="00FF2733"/>
    <w:rsid w:val="00FF3740"/>
    <w:rsid w:val="00FF4A58"/>
    <w:rsid w:val="00FF65F0"/>
    <w:rsid w:val="00FF6E2F"/>
    <w:rsid w:val="00FF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13B39"/>
  <w15:chartTrackingRefBased/>
  <w15:docId w15:val="{4FE755E8-745B-4BC0-819F-C4F8DF68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678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5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678"/>
  </w:style>
  <w:style w:type="paragraph" w:styleId="Footer">
    <w:name w:val="footer"/>
    <w:basedOn w:val="Normal"/>
    <w:link w:val="FooterChar"/>
    <w:uiPriority w:val="99"/>
    <w:unhideWhenUsed/>
    <w:rsid w:val="00CD5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678"/>
  </w:style>
  <w:style w:type="character" w:styleId="CommentReference">
    <w:name w:val="annotation reference"/>
    <w:basedOn w:val="DefaultParagraphFont"/>
    <w:uiPriority w:val="99"/>
    <w:semiHidden/>
    <w:unhideWhenUsed/>
    <w:rsid w:val="00CD56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56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56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56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56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678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56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567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5678"/>
    <w:rPr>
      <w:vertAlign w:val="superscript"/>
    </w:rPr>
  </w:style>
  <w:style w:type="paragraph" w:styleId="Revision">
    <w:name w:val="Revision"/>
    <w:hidden/>
    <w:uiPriority w:val="99"/>
    <w:semiHidden/>
    <w:rsid w:val="00CD5678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CD5678"/>
  </w:style>
  <w:style w:type="paragraph" w:styleId="ListParagraph">
    <w:name w:val="List Paragraph"/>
    <w:basedOn w:val="Normal"/>
    <w:uiPriority w:val="34"/>
    <w:qFormat/>
    <w:rsid w:val="00CD5678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CD5678"/>
  </w:style>
  <w:style w:type="table" w:customStyle="1" w:styleId="TableGrid1">
    <w:name w:val="Table Grid1"/>
    <w:basedOn w:val="TableNormal"/>
    <w:next w:val="TableGrid"/>
    <w:uiPriority w:val="39"/>
    <w:rsid w:val="00CD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CD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D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CD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CD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D567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D4D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4D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BodyAA">
    <w:name w:val="Body A A"/>
    <w:rsid w:val="001263E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sr-Latn-R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copre">
    <w:name w:val="acopre"/>
    <w:basedOn w:val="DefaultParagraphFont"/>
    <w:rsid w:val="001D23C1"/>
  </w:style>
  <w:style w:type="paragraph" w:customStyle="1" w:styleId="BodyAAA">
    <w:name w:val="Body A A A"/>
    <w:rsid w:val="005B6D2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sr-Latn-RS"/>
    </w:rPr>
  </w:style>
  <w:style w:type="character" w:styleId="Emphasis">
    <w:name w:val="Emphasis"/>
    <w:basedOn w:val="DefaultParagraphFont"/>
    <w:uiPriority w:val="20"/>
    <w:qFormat/>
    <w:rsid w:val="00DC31C3"/>
    <w:rPr>
      <w:i/>
      <w:iCs/>
    </w:rPr>
  </w:style>
  <w:style w:type="character" w:customStyle="1" w:styleId="auto-style1">
    <w:name w:val="auto-style1"/>
    <w:basedOn w:val="DefaultParagraphFont"/>
    <w:rsid w:val="00425781"/>
  </w:style>
  <w:style w:type="paragraph" w:customStyle="1" w:styleId="xmsonormal">
    <w:name w:val="x_msonormal"/>
    <w:basedOn w:val="Normal"/>
    <w:rsid w:val="000B1ED5"/>
    <w:pPr>
      <w:spacing w:after="0" w:line="240" w:lineRule="auto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8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533D3-8E32-4A37-810B-ECC2FCCF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5838</Words>
  <Characters>33283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Čikarić</dc:creator>
  <cp:keywords/>
  <dc:description/>
  <cp:lastModifiedBy>Bojan Grgić</cp:lastModifiedBy>
  <cp:revision>2</cp:revision>
  <cp:lastPrinted>2021-12-02T11:54:00Z</cp:lastPrinted>
  <dcterms:created xsi:type="dcterms:W3CDTF">2021-12-03T12:04:00Z</dcterms:created>
  <dcterms:modified xsi:type="dcterms:W3CDTF">2021-12-03T12:04:00Z</dcterms:modified>
</cp:coreProperties>
</file>