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862BA" w14:textId="77777777" w:rsidR="00A861BB" w:rsidRPr="00CD313B" w:rsidRDefault="00A861BB" w:rsidP="00A861BB">
      <w:pPr>
        <w:widowControl w:val="0"/>
        <w:autoSpaceDE w:val="0"/>
        <w:autoSpaceDN w:val="0"/>
        <w:spacing w:before="72" w:after="0" w:line="240" w:lineRule="auto"/>
        <w:ind w:right="114" w:firstLine="720"/>
        <w:jc w:val="both"/>
        <w:rPr>
          <w:rFonts w:eastAsia="Times New Roman" w:cs="Times New Roman"/>
          <w:szCs w:val="24"/>
          <w:lang w:val="sr-Cyrl-CS"/>
        </w:rPr>
      </w:pPr>
      <w:r w:rsidRPr="00CD313B">
        <w:rPr>
          <w:rFonts w:eastAsia="Times New Roman" w:cs="Times New Roman"/>
          <w:szCs w:val="24"/>
          <w:lang w:val="sr-Cyrl-CS"/>
        </w:rPr>
        <w:t>На основу члана 24. став 6. Закона о коришћењу обновљивих извора енергије („Службени гласник РС”, број 40/21) и члана 42. став 1. Закона о Влади („Службени гласник РС”, бр. 55/05, 71/05</w:t>
      </w:r>
      <w:r w:rsidR="00301807" w:rsidRPr="00CD313B">
        <w:rPr>
          <w:rFonts w:eastAsia="Times New Roman" w:cs="Times New Roman"/>
          <w:szCs w:val="24"/>
          <w:lang w:val="sr-Cyrl-CS"/>
        </w:rPr>
        <w:t xml:space="preserve"> - исправка</w:t>
      </w:r>
      <w:r w:rsidRPr="00CD313B">
        <w:rPr>
          <w:rFonts w:eastAsia="Times New Roman" w:cs="Times New Roman"/>
          <w:szCs w:val="24"/>
          <w:lang w:val="sr-Cyrl-CS"/>
        </w:rPr>
        <w:t xml:space="preserve">, 101/07, 65/08, 16/11, 68/12 </w:t>
      </w:r>
      <w:r w:rsidR="00301807" w:rsidRPr="00CD313B">
        <w:rPr>
          <w:rFonts w:eastAsia="Times New Roman" w:cs="Times New Roman"/>
          <w:szCs w:val="24"/>
          <w:lang w:val="sr-Cyrl-CS"/>
        </w:rPr>
        <w:t>-</w:t>
      </w:r>
      <w:r w:rsidRPr="00CD313B">
        <w:rPr>
          <w:rFonts w:eastAsia="Times New Roman" w:cs="Times New Roman"/>
          <w:szCs w:val="24"/>
          <w:lang w:val="sr-Cyrl-CS"/>
        </w:rPr>
        <w:t xml:space="preserve"> УС, 72/12, 7/14 -УС, 44/14 и 30/18 - др закон),</w:t>
      </w:r>
    </w:p>
    <w:p w14:paraId="525052CF" w14:textId="77777777" w:rsidR="00301807" w:rsidRPr="00CD313B" w:rsidRDefault="00301807" w:rsidP="00A861BB">
      <w:pPr>
        <w:widowControl w:val="0"/>
        <w:autoSpaceDE w:val="0"/>
        <w:autoSpaceDN w:val="0"/>
        <w:spacing w:before="72" w:after="0" w:line="240" w:lineRule="auto"/>
        <w:ind w:right="114" w:firstLine="720"/>
        <w:jc w:val="both"/>
        <w:rPr>
          <w:rFonts w:eastAsia="Times New Roman" w:cs="Times New Roman"/>
          <w:szCs w:val="24"/>
          <w:lang w:val="sr-Cyrl-CS"/>
        </w:rPr>
      </w:pPr>
    </w:p>
    <w:p w14:paraId="6E85B5D9" w14:textId="77777777" w:rsidR="00A861BB" w:rsidRPr="00CD313B" w:rsidRDefault="00A861BB" w:rsidP="00A861BB">
      <w:pPr>
        <w:widowControl w:val="0"/>
        <w:autoSpaceDE w:val="0"/>
        <w:autoSpaceDN w:val="0"/>
        <w:spacing w:after="0" w:line="240" w:lineRule="auto"/>
        <w:ind w:left="838"/>
        <w:jc w:val="both"/>
        <w:rPr>
          <w:rFonts w:eastAsia="Times New Roman" w:cs="Times New Roman"/>
          <w:szCs w:val="24"/>
          <w:lang w:val="sr-Cyrl-CS"/>
        </w:rPr>
      </w:pPr>
      <w:r w:rsidRPr="00CD313B">
        <w:rPr>
          <w:rFonts w:eastAsia="Times New Roman" w:cs="Times New Roman"/>
          <w:szCs w:val="24"/>
          <w:lang w:val="sr-Cyrl-CS"/>
        </w:rPr>
        <w:t>Влада доноси</w:t>
      </w:r>
    </w:p>
    <w:p w14:paraId="1A9E4031" w14:textId="77777777" w:rsidR="00A861BB" w:rsidRPr="00CD313B" w:rsidRDefault="00A861BB" w:rsidP="00A861BB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4"/>
          <w:lang w:val="sr-Cyrl-CS"/>
        </w:rPr>
      </w:pPr>
    </w:p>
    <w:p w14:paraId="4411631B" w14:textId="77777777" w:rsidR="00A861BB" w:rsidRPr="00CD313B" w:rsidRDefault="00A861BB" w:rsidP="00A861BB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4"/>
          <w:lang w:val="sr-Cyrl-CS"/>
        </w:rPr>
      </w:pPr>
    </w:p>
    <w:p w14:paraId="6A13CB56" w14:textId="77777777" w:rsidR="00301807" w:rsidRPr="00CD313B" w:rsidRDefault="00A861BB" w:rsidP="00A861BB">
      <w:pPr>
        <w:widowControl w:val="0"/>
        <w:autoSpaceDE w:val="0"/>
        <w:autoSpaceDN w:val="0"/>
        <w:spacing w:after="0" w:line="240" w:lineRule="auto"/>
        <w:ind w:left="178" w:right="178"/>
        <w:jc w:val="center"/>
        <w:rPr>
          <w:rFonts w:eastAsia="Times New Roman" w:cs="Times New Roman"/>
          <w:bCs/>
          <w:szCs w:val="24"/>
          <w:lang w:val="sr-Cyrl-CS"/>
        </w:rPr>
      </w:pPr>
      <w:r w:rsidRPr="00CD313B">
        <w:rPr>
          <w:rFonts w:eastAsia="Times New Roman" w:cs="Times New Roman"/>
          <w:bCs/>
          <w:szCs w:val="24"/>
          <w:lang w:val="sr-Cyrl-CS"/>
        </w:rPr>
        <w:t xml:space="preserve">УРЕДБУ </w:t>
      </w:r>
    </w:p>
    <w:p w14:paraId="146C9BDB" w14:textId="77777777" w:rsidR="00A861BB" w:rsidRPr="00CD313B" w:rsidRDefault="00A861BB" w:rsidP="00A861BB">
      <w:pPr>
        <w:widowControl w:val="0"/>
        <w:autoSpaceDE w:val="0"/>
        <w:autoSpaceDN w:val="0"/>
        <w:spacing w:after="0" w:line="240" w:lineRule="auto"/>
        <w:ind w:left="178" w:right="178"/>
        <w:jc w:val="center"/>
        <w:rPr>
          <w:rFonts w:eastAsia="Times New Roman" w:cs="Times New Roman"/>
          <w:bCs/>
          <w:szCs w:val="24"/>
          <w:lang w:val="sr-Cyrl-CS"/>
        </w:rPr>
      </w:pPr>
      <w:r w:rsidRPr="00CD313B">
        <w:rPr>
          <w:rFonts w:eastAsia="Times New Roman" w:cs="Times New Roman"/>
          <w:bCs/>
          <w:szCs w:val="24"/>
          <w:lang w:val="sr-Cyrl-CS"/>
        </w:rPr>
        <w:t>О МОДЕЛУ УГОВОРА О ТРЖИШНОЈ ПРЕМИЈИ</w:t>
      </w:r>
    </w:p>
    <w:p w14:paraId="25A3CC78" w14:textId="77777777" w:rsidR="00301807" w:rsidRPr="00CD313B" w:rsidRDefault="00301807" w:rsidP="00A861BB">
      <w:pPr>
        <w:widowControl w:val="0"/>
        <w:autoSpaceDE w:val="0"/>
        <w:autoSpaceDN w:val="0"/>
        <w:spacing w:after="0" w:line="240" w:lineRule="auto"/>
        <w:ind w:left="178" w:right="178"/>
        <w:jc w:val="center"/>
        <w:rPr>
          <w:rFonts w:eastAsia="Times New Roman" w:cs="Times New Roman"/>
          <w:bCs/>
          <w:szCs w:val="24"/>
          <w:lang w:val="sr-Cyrl-CS"/>
        </w:rPr>
      </w:pPr>
    </w:p>
    <w:p w14:paraId="17E7DC02" w14:textId="77777777" w:rsidR="00A861BB" w:rsidRPr="00CD313B" w:rsidRDefault="00A861BB" w:rsidP="00A861BB">
      <w:pPr>
        <w:widowControl w:val="0"/>
        <w:autoSpaceDE w:val="0"/>
        <w:autoSpaceDN w:val="0"/>
        <w:spacing w:before="231" w:after="0" w:line="240" w:lineRule="auto"/>
        <w:ind w:left="4230"/>
        <w:jc w:val="both"/>
        <w:rPr>
          <w:rFonts w:eastAsia="Times New Roman" w:cs="Times New Roman"/>
          <w:szCs w:val="24"/>
          <w:lang w:val="sr-Cyrl-CS"/>
        </w:rPr>
      </w:pPr>
      <w:r w:rsidRPr="00CD313B">
        <w:rPr>
          <w:rFonts w:eastAsia="Times New Roman" w:cs="Times New Roman"/>
          <w:szCs w:val="24"/>
          <w:lang w:val="sr-Cyrl-CS"/>
        </w:rPr>
        <w:t>Члан</w:t>
      </w:r>
      <w:r w:rsidRPr="00CD313B">
        <w:rPr>
          <w:rFonts w:eastAsia="Times New Roman" w:cs="Times New Roman"/>
          <w:spacing w:val="-1"/>
          <w:szCs w:val="24"/>
          <w:lang w:val="sr-Cyrl-CS"/>
        </w:rPr>
        <w:t xml:space="preserve"> </w:t>
      </w:r>
      <w:r w:rsidRPr="00CD313B">
        <w:rPr>
          <w:rFonts w:eastAsia="Times New Roman" w:cs="Times New Roman"/>
          <w:szCs w:val="24"/>
          <w:lang w:val="sr-Cyrl-CS"/>
        </w:rPr>
        <w:t>1.</w:t>
      </w:r>
    </w:p>
    <w:p w14:paraId="34EFE5FC" w14:textId="77777777" w:rsidR="00A861BB" w:rsidRPr="00CD313B" w:rsidRDefault="00A861BB" w:rsidP="00A861BB">
      <w:pPr>
        <w:widowControl w:val="0"/>
        <w:autoSpaceDE w:val="0"/>
        <w:autoSpaceDN w:val="0"/>
        <w:spacing w:after="0" w:line="240" w:lineRule="auto"/>
        <w:ind w:left="118" w:right="114" w:firstLine="719"/>
        <w:jc w:val="both"/>
        <w:rPr>
          <w:rFonts w:eastAsia="Times New Roman" w:cs="Times New Roman"/>
          <w:szCs w:val="24"/>
          <w:lang w:val="sr-Cyrl-CS"/>
        </w:rPr>
      </w:pPr>
      <w:r w:rsidRPr="00CD313B">
        <w:rPr>
          <w:rFonts w:eastAsia="Times New Roman" w:cs="Times New Roman"/>
          <w:szCs w:val="24"/>
          <w:lang w:val="sr-Cyrl-CS"/>
        </w:rPr>
        <w:t>Овом уредбом ближе се прописује модел уговора о тржишној премији.</w:t>
      </w:r>
      <w:r w:rsidRPr="00CD313B" w:rsidDel="00CC3829">
        <w:rPr>
          <w:rFonts w:eastAsia="Times New Roman" w:cs="Times New Roman"/>
          <w:szCs w:val="24"/>
          <w:lang w:val="sr-Cyrl-CS"/>
        </w:rPr>
        <w:t xml:space="preserve"> </w:t>
      </w:r>
    </w:p>
    <w:p w14:paraId="7256C34B" w14:textId="77777777" w:rsidR="00A861BB" w:rsidRPr="00CD313B" w:rsidRDefault="00A861BB" w:rsidP="00A861BB">
      <w:pPr>
        <w:widowControl w:val="0"/>
        <w:autoSpaceDE w:val="0"/>
        <w:autoSpaceDN w:val="0"/>
        <w:spacing w:after="0" w:line="240" w:lineRule="auto"/>
        <w:ind w:left="118" w:right="114" w:firstLine="719"/>
        <w:jc w:val="both"/>
        <w:rPr>
          <w:rFonts w:eastAsia="Times New Roman" w:cs="Times New Roman"/>
          <w:szCs w:val="24"/>
          <w:lang w:val="sr-Cyrl-CS"/>
        </w:rPr>
      </w:pPr>
      <w:r w:rsidRPr="00CD313B" w:rsidDel="00C17152">
        <w:rPr>
          <w:rFonts w:eastAsia="Times New Roman" w:cs="Times New Roman"/>
          <w:szCs w:val="24"/>
          <w:lang w:val="sr-Cyrl-CS"/>
        </w:rPr>
        <w:t xml:space="preserve"> </w:t>
      </w:r>
    </w:p>
    <w:p w14:paraId="058F10C8" w14:textId="77777777" w:rsidR="00A861BB" w:rsidRPr="00CD313B" w:rsidRDefault="00A861BB" w:rsidP="00A861BB">
      <w:pPr>
        <w:widowControl w:val="0"/>
        <w:autoSpaceDE w:val="0"/>
        <w:autoSpaceDN w:val="0"/>
        <w:spacing w:before="1" w:after="0" w:line="240" w:lineRule="auto"/>
        <w:ind w:left="4230"/>
        <w:jc w:val="both"/>
        <w:rPr>
          <w:rFonts w:eastAsia="Times New Roman" w:cs="Times New Roman"/>
          <w:szCs w:val="24"/>
          <w:lang w:val="sr-Cyrl-CS"/>
        </w:rPr>
      </w:pPr>
      <w:r w:rsidRPr="00CD313B">
        <w:rPr>
          <w:rFonts w:eastAsia="Times New Roman" w:cs="Times New Roman"/>
          <w:szCs w:val="24"/>
          <w:lang w:val="sr-Cyrl-CS"/>
        </w:rPr>
        <w:t>Члан</w:t>
      </w:r>
      <w:r w:rsidRPr="00CD313B">
        <w:rPr>
          <w:rFonts w:eastAsia="Times New Roman" w:cs="Times New Roman"/>
          <w:spacing w:val="-1"/>
          <w:szCs w:val="24"/>
          <w:lang w:val="sr-Cyrl-CS"/>
        </w:rPr>
        <w:t xml:space="preserve"> </w:t>
      </w:r>
      <w:r w:rsidRPr="00CD313B">
        <w:rPr>
          <w:rFonts w:eastAsia="Times New Roman" w:cs="Times New Roman"/>
          <w:szCs w:val="24"/>
          <w:lang w:val="sr-Cyrl-CS"/>
        </w:rPr>
        <w:t>2.</w:t>
      </w:r>
    </w:p>
    <w:p w14:paraId="5C8377EF" w14:textId="77777777" w:rsidR="00A861BB" w:rsidRPr="00CD313B" w:rsidRDefault="00A861BB" w:rsidP="00A861BB">
      <w:pPr>
        <w:widowControl w:val="0"/>
        <w:autoSpaceDE w:val="0"/>
        <w:autoSpaceDN w:val="0"/>
        <w:spacing w:after="0" w:line="240" w:lineRule="auto"/>
        <w:ind w:left="118" w:firstLine="719"/>
        <w:jc w:val="both"/>
        <w:rPr>
          <w:rFonts w:eastAsia="Times New Roman" w:cs="Times New Roman"/>
          <w:szCs w:val="24"/>
          <w:lang w:val="sr-Cyrl-CS"/>
        </w:rPr>
      </w:pPr>
      <w:r w:rsidRPr="00CD313B">
        <w:rPr>
          <w:rFonts w:eastAsia="Times New Roman" w:cs="Times New Roman"/>
          <w:szCs w:val="24"/>
          <w:lang w:val="sr-Cyrl-CS"/>
        </w:rPr>
        <w:t>Уговор о тржишној премији</w:t>
      </w:r>
      <w:r w:rsidRPr="00CD313B">
        <w:rPr>
          <w:rFonts w:eastAsia="Times New Roman" w:cs="Times New Roman"/>
          <w:spacing w:val="28"/>
          <w:szCs w:val="24"/>
          <w:lang w:val="sr-Cyrl-CS"/>
        </w:rPr>
        <w:t xml:space="preserve"> </w:t>
      </w:r>
      <w:r w:rsidRPr="00CD313B">
        <w:rPr>
          <w:rFonts w:eastAsia="Times New Roman" w:cs="Times New Roman"/>
          <w:szCs w:val="24"/>
          <w:lang w:val="sr-Cyrl-CS"/>
        </w:rPr>
        <w:t xml:space="preserve">садржи: </w:t>
      </w:r>
    </w:p>
    <w:p w14:paraId="3A9CFD44" w14:textId="77777777" w:rsidR="00A861BB" w:rsidRPr="00CD313B" w:rsidRDefault="00A861BB" w:rsidP="00A861BB">
      <w:pPr>
        <w:widowControl w:val="0"/>
        <w:numPr>
          <w:ilvl w:val="0"/>
          <w:numId w:val="1"/>
        </w:numPr>
        <w:tabs>
          <w:tab w:val="left" w:pos="1235"/>
        </w:tabs>
        <w:autoSpaceDE w:val="0"/>
        <w:autoSpaceDN w:val="0"/>
        <w:spacing w:before="7" w:after="0" w:line="240" w:lineRule="auto"/>
        <w:ind w:left="118" w:right="111" w:firstLine="719"/>
        <w:jc w:val="both"/>
        <w:rPr>
          <w:rFonts w:eastAsia="Times New Roman" w:cs="Times New Roman"/>
          <w:szCs w:val="24"/>
          <w:lang w:val="sr-Cyrl-CS"/>
        </w:rPr>
      </w:pPr>
      <w:r w:rsidRPr="00CD313B">
        <w:rPr>
          <w:rFonts w:eastAsia="Times New Roman" w:cs="Times New Roman"/>
          <w:szCs w:val="24"/>
          <w:lang w:val="sr-Cyrl-CS"/>
        </w:rPr>
        <w:t>податке о уговорним странама;</w:t>
      </w:r>
    </w:p>
    <w:p w14:paraId="33ACF3B1" w14:textId="77777777" w:rsidR="00A861BB" w:rsidRPr="00CD313B" w:rsidRDefault="00A861BB" w:rsidP="00A861BB">
      <w:pPr>
        <w:widowControl w:val="0"/>
        <w:numPr>
          <w:ilvl w:val="0"/>
          <w:numId w:val="1"/>
        </w:numPr>
        <w:tabs>
          <w:tab w:val="left" w:pos="1235"/>
        </w:tabs>
        <w:autoSpaceDE w:val="0"/>
        <w:autoSpaceDN w:val="0"/>
        <w:spacing w:before="7" w:after="0" w:line="240" w:lineRule="auto"/>
        <w:ind w:left="118" w:right="111" w:firstLine="719"/>
        <w:jc w:val="both"/>
        <w:rPr>
          <w:rFonts w:eastAsia="Times New Roman" w:cs="Times New Roman"/>
          <w:szCs w:val="24"/>
          <w:lang w:val="sr-Cyrl-CS"/>
        </w:rPr>
      </w:pPr>
      <w:r w:rsidRPr="00CD313B">
        <w:rPr>
          <w:rFonts w:eastAsia="Times New Roman" w:cs="Times New Roman"/>
          <w:szCs w:val="24"/>
          <w:lang w:val="sr-Cyrl-CS"/>
        </w:rPr>
        <w:t>права и обавезе уговорних страна;</w:t>
      </w:r>
    </w:p>
    <w:p w14:paraId="0D0DACEA" w14:textId="77777777" w:rsidR="00A861BB" w:rsidRPr="00CD313B" w:rsidRDefault="00A861BB" w:rsidP="00A861BB">
      <w:pPr>
        <w:widowControl w:val="0"/>
        <w:numPr>
          <w:ilvl w:val="0"/>
          <w:numId w:val="1"/>
        </w:numPr>
        <w:tabs>
          <w:tab w:val="left" w:pos="1235"/>
        </w:tabs>
        <w:autoSpaceDE w:val="0"/>
        <w:autoSpaceDN w:val="0"/>
        <w:spacing w:before="7" w:after="0" w:line="240" w:lineRule="auto"/>
        <w:ind w:left="118" w:right="111" w:firstLine="719"/>
        <w:jc w:val="both"/>
        <w:rPr>
          <w:rFonts w:eastAsia="Times New Roman" w:cs="Times New Roman"/>
          <w:szCs w:val="24"/>
          <w:lang w:val="sr-Cyrl-CS"/>
        </w:rPr>
      </w:pPr>
      <w:r w:rsidRPr="00CD313B">
        <w:rPr>
          <w:rFonts w:eastAsia="Times New Roman" w:cs="Times New Roman"/>
          <w:szCs w:val="24"/>
          <w:lang w:val="sr-Cyrl-CS"/>
        </w:rPr>
        <w:t>предмет уговора;</w:t>
      </w:r>
    </w:p>
    <w:p w14:paraId="60AF37CA" w14:textId="77777777" w:rsidR="00A861BB" w:rsidRPr="00CD313B" w:rsidRDefault="00A861BB" w:rsidP="00A861BB">
      <w:pPr>
        <w:widowControl w:val="0"/>
        <w:numPr>
          <w:ilvl w:val="0"/>
          <w:numId w:val="1"/>
        </w:numPr>
        <w:tabs>
          <w:tab w:val="left" w:pos="1235"/>
        </w:tabs>
        <w:autoSpaceDE w:val="0"/>
        <w:autoSpaceDN w:val="0"/>
        <w:spacing w:before="7" w:after="0" w:line="240" w:lineRule="auto"/>
        <w:ind w:right="111"/>
        <w:jc w:val="both"/>
        <w:rPr>
          <w:rFonts w:eastAsia="Times New Roman" w:cs="Times New Roman"/>
          <w:szCs w:val="24"/>
          <w:lang w:val="sr-Cyrl-CS"/>
        </w:rPr>
      </w:pPr>
      <w:r w:rsidRPr="00CD313B">
        <w:rPr>
          <w:rFonts w:eastAsia="Times New Roman" w:cs="Times New Roman"/>
          <w:szCs w:val="24"/>
          <w:lang w:val="sr-Cyrl-CS"/>
        </w:rPr>
        <w:t>висину и податке о тржишној премији;</w:t>
      </w:r>
    </w:p>
    <w:p w14:paraId="3CFC35B9" w14:textId="77777777" w:rsidR="00A861BB" w:rsidRPr="00CD313B" w:rsidRDefault="00A861BB" w:rsidP="00A861BB">
      <w:pPr>
        <w:widowControl w:val="0"/>
        <w:numPr>
          <w:ilvl w:val="0"/>
          <w:numId w:val="1"/>
        </w:numPr>
        <w:tabs>
          <w:tab w:val="left" w:pos="1235"/>
        </w:tabs>
        <w:autoSpaceDE w:val="0"/>
        <w:autoSpaceDN w:val="0"/>
        <w:spacing w:before="7" w:after="0" w:line="240" w:lineRule="auto"/>
        <w:ind w:right="111"/>
        <w:jc w:val="both"/>
        <w:rPr>
          <w:rFonts w:eastAsia="Times New Roman" w:cs="Times New Roman"/>
          <w:szCs w:val="24"/>
          <w:lang w:val="sr-Cyrl-CS"/>
        </w:rPr>
      </w:pPr>
      <w:r w:rsidRPr="00CD313B">
        <w:rPr>
          <w:rFonts w:eastAsia="Times New Roman" w:cs="Times New Roman"/>
          <w:szCs w:val="24"/>
          <w:lang w:val="sr-Cyrl-CS"/>
        </w:rPr>
        <w:t>податке о могућим плаћањима овлашћеној уговорној страни уколико референтна тржишна цена прелази унапред одређену висину;</w:t>
      </w:r>
    </w:p>
    <w:p w14:paraId="32A5BEEB" w14:textId="77777777" w:rsidR="00A861BB" w:rsidRPr="00CD313B" w:rsidRDefault="00A861BB" w:rsidP="00A861BB">
      <w:pPr>
        <w:widowControl w:val="0"/>
        <w:numPr>
          <w:ilvl w:val="0"/>
          <w:numId w:val="1"/>
        </w:numPr>
        <w:tabs>
          <w:tab w:val="left" w:pos="1235"/>
        </w:tabs>
        <w:autoSpaceDE w:val="0"/>
        <w:autoSpaceDN w:val="0"/>
        <w:spacing w:before="7" w:after="0" w:line="240" w:lineRule="auto"/>
        <w:ind w:right="111"/>
        <w:jc w:val="both"/>
        <w:rPr>
          <w:rFonts w:eastAsia="Times New Roman" w:cs="Times New Roman"/>
          <w:szCs w:val="24"/>
          <w:lang w:val="sr-Cyrl-CS"/>
        </w:rPr>
      </w:pPr>
      <w:r w:rsidRPr="00CD313B">
        <w:rPr>
          <w:rFonts w:eastAsia="Times New Roman" w:cs="Times New Roman"/>
          <w:szCs w:val="24"/>
          <w:lang w:val="sr-Cyrl-CS"/>
        </w:rPr>
        <w:t>врсту и капацитет електране;</w:t>
      </w:r>
    </w:p>
    <w:p w14:paraId="1B9A0681" w14:textId="77777777" w:rsidR="00A861BB" w:rsidRPr="00CD313B" w:rsidRDefault="00A861BB" w:rsidP="00A861BB">
      <w:pPr>
        <w:widowControl w:val="0"/>
        <w:numPr>
          <w:ilvl w:val="0"/>
          <w:numId w:val="1"/>
        </w:numPr>
        <w:tabs>
          <w:tab w:val="left" w:pos="1235"/>
        </w:tabs>
        <w:autoSpaceDE w:val="0"/>
        <w:autoSpaceDN w:val="0"/>
        <w:spacing w:before="7" w:after="0" w:line="240" w:lineRule="auto"/>
        <w:ind w:right="111"/>
        <w:jc w:val="both"/>
        <w:rPr>
          <w:rFonts w:eastAsia="Times New Roman" w:cs="Times New Roman"/>
          <w:szCs w:val="24"/>
          <w:lang w:val="sr-Cyrl-CS"/>
        </w:rPr>
      </w:pPr>
      <w:r w:rsidRPr="00CD313B">
        <w:rPr>
          <w:rFonts w:eastAsia="Times New Roman" w:cs="Times New Roman"/>
          <w:szCs w:val="24"/>
          <w:lang w:val="sr-Cyrl-CS"/>
        </w:rPr>
        <w:t>подстицајни период и рок закључења уговора;</w:t>
      </w:r>
    </w:p>
    <w:p w14:paraId="7EF84120" w14:textId="77777777" w:rsidR="00A861BB" w:rsidRPr="00CD313B" w:rsidRDefault="00A861BB" w:rsidP="00A861BB">
      <w:pPr>
        <w:widowControl w:val="0"/>
        <w:numPr>
          <w:ilvl w:val="0"/>
          <w:numId w:val="1"/>
        </w:numPr>
        <w:tabs>
          <w:tab w:val="left" w:pos="1235"/>
        </w:tabs>
        <w:autoSpaceDE w:val="0"/>
        <w:autoSpaceDN w:val="0"/>
        <w:spacing w:before="7" w:after="0" w:line="240" w:lineRule="auto"/>
        <w:ind w:right="111"/>
        <w:jc w:val="both"/>
        <w:rPr>
          <w:rFonts w:eastAsia="Times New Roman" w:cs="Times New Roman"/>
          <w:szCs w:val="24"/>
          <w:lang w:val="sr-Cyrl-CS"/>
        </w:rPr>
      </w:pPr>
      <w:r w:rsidRPr="00CD313B">
        <w:rPr>
          <w:rFonts w:eastAsia="Times New Roman" w:cs="Times New Roman"/>
          <w:szCs w:val="24"/>
          <w:lang w:val="sr-Cyrl-CS"/>
        </w:rPr>
        <w:t xml:space="preserve">разлоге за раскид уговора; </w:t>
      </w:r>
    </w:p>
    <w:p w14:paraId="14E766A8" w14:textId="77777777" w:rsidR="00A861BB" w:rsidRPr="00CD313B" w:rsidRDefault="00A861BB" w:rsidP="00A861BB">
      <w:pPr>
        <w:widowControl w:val="0"/>
        <w:numPr>
          <w:ilvl w:val="0"/>
          <w:numId w:val="1"/>
        </w:numPr>
        <w:tabs>
          <w:tab w:val="left" w:pos="1235"/>
        </w:tabs>
        <w:autoSpaceDE w:val="0"/>
        <w:autoSpaceDN w:val="0"/>
        <w:spacing w:before="7" w:after="0" w:line="240" w:lineRule="auto"/>
        <w:ind w:left="118" w:right="111" w:firstLine="719"/>
        <w:jc w:val="both"/>
        <w:rPr>
          <w:rFonts w:eastAsia="Times New Roman" w:cs="Times New Roman"/>
          <w:szCs w:val="24"/>
          <w:lang w:val="sr-Cyrl-CS"/>
        </w:rPr>
      </w:pPr>
      <w:r w:rsidRPr="00CD313B">
        <w:rPr>
          <w:rFonts w:eastAsia="Times New Roman" w:cs="Times New Roman"/>
          <w:szCs w:val="24"/>
          <w:lang w:val="sr-Cyrl-CS"/>
        </w:rPr>
        <w:t>начин решавања спорова;</w:t>
      </w:r>
    </w:p>
    <w:p w14:paraId="0C5A0297" w14:textId="77777777" w:rsidR="00A861BB" w:rsidRPr="00CD313B" w:rsidRDefault="00A861BB" w:rsidP="00A861BB">
      <w:pPr>
        <w:widowControl w:val="0"/>
        <w:numPr>
          <w:ilvl w:val="0"/>
          <w:numId w:val="1"/>
        </w:numPr>
        <w:tabs>
          <w:tab w:val="left" w:pos="1235"/>
        </w:tabs>
        <w:autoSpaceDE w:val="0"/>
        <w:autoSpaceDN w:val="0"/>
        <w:spacing w:before="7" w:after="0" w:line="240" w:lineRule="auto"/>
        <w:ind w:right="111"/>
        <w:jc w:val="both"/>
        <w:rPr>
          <w:rFonts w:eastAsia="Times New Roman" w:cs="Times New Roman"/>
          <w:szCs w:val="24"/>
          <w:lang w:val="sr-Cyrl-CS"/>
        </w:rPr>
      </w:pPr>
      <w:r w:rsidRPr="00CD313B">
        <w:rPr>
          <w:rFonts w:eastAsia="Times New Roman" w:cs="Times New Roman"/>
          <w:szCs w:val="24"/>
          <w:lang w:val="sr-Cyrl-CS"/>
        </w:rPr>
        <w:t>друге елементе утврђене чланом 3</w:t>
      </w:r>
      <w:r w:rsidR="00772E1D" w:rsidRPr="00CD313B">
        <w:rPr>
          <w:rFonts w:eastAsia="Times New Roman" w:cs="Times New Roman"/>
          <w:szCs w:val="24"/>
          <w:lang w:val="sr-Cyrl-CS"/>
        </w:rPr>
        <w:t>.</w:t>
      </w:r>
      <w:r w:rsidRPr="00CD313B">
        <w:rPr>
          <w:rFonts w:eastAsia="Times New Roman" w:cs="Times New Roman"/>
          <w:szCs w:val="24"/>
          <w:lang w:val="sr-Cyrl-CS"/>
        </w:rPr>
        <w:t xml:space="preserve"> ове уредбе. </w:t>
      </w:r>
    </w:p>
    <w:p w14:paraId="7422203C" w14:textId="77777777" w:rsidR="00A861BB" w:rsidRPr="00CD313B" w:rsidRDefault="00A861BB" w:rsidP="00A861BB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4"/>
          <w:lang w:val="sr-Cyrl-CS"/>
        </w:rPr>
      </w:pPr>
    </w:p>
    <w:p w14:paraId="5C3BA5A4" w14:textId="77777777" w:rsidR="00A861BB" w:rsidRPr="00CD313B" w:rsidRDefault="00A861BB" w:rsidP="00A861BB">
      <w:pPr>
        <w:widowControl w:val="0"/>
        <w:autoSpaceDE w:val="0"/>
        <w:autoSpaceDN w:val="0"/>
        <w:spacing w:before="1" w:after="0" w:line="240" w:lineRule="auto"/>
        <w:ind w:left="4230"/>
        <w:jc w:val="both"/>
        <w:rPr>
          <w:rFonts w:eastAsia="Times New Roman" w:cs="Times New Roman"/>
          <w:szCs w:val="24"/>
          <w:lang w:val="sr-Cyrl-CS"/>
        </w:rPr>
      </w:pPr>
      <w:r w:rsidRPr="00CD313B">
        <w:rPr>
          <w:rFonts w:eastAsia="Times New Roman" w:cs="Times New Roman"/>
          <w:szCs w:val="24"/>
          <w:lang w:val="sr-Cyrl-CS"/>
        </w:rPr>
        <w:t>Члан</w:t>
      </w:r>
      <w:r w:rsidRPr="00CD313B">
        <w:rPr>
          <w:rFonts w:eastAsia="Times New Roman" w:cs="Times New Roman"/>
          <w:spacing w:val="-1"/>
          <w:szCs w:val="24"/>
          <w:lang w:val="sr-Cyrl-CS"/>
        </w:rPr>
        <w:t xml:space="preserve"> </w:t>
      </w:r>
      <w:r w:rsidRPr="00CD313B">
        <w:rPr>
          <w:rFonts w:eastAsia="Times New Roman" w:cs="Times New Roman"/>
          <w:szCs w:val="24"/>
          <w:lang w:val="sr-Cyrl-CS"/>
        </w:rPr>
        <w:t>3.</w:t>
      </w:r>
    </w:p>
    <w:p w14:paraId="774E6A8D" w14:textId="77777777" w:rsidR="00A861BB" w:rsidRPr="00CD313B" w:rsidRDefault="00A861BB" w:rsidP="00A861BB">
      <w:pPr>
        <w:widowControl w:val="0"/>
        <w:autoSpaceDE w:val="0"/>
        <w:autoSpaceDN w:val="0"/>
        <w:spacing w:after="0" w:line="240" w:lineRule="auto"/>
        <w:ind w:left="118" w:right="113" w:firstLine="719"/>
        <w:jc w:val="both"/>
        <w:rPr>
          <w:rFonts w:eastAsia="Times New Roman" w:cs="Times New Roman"/>
          <w:szCs w:val="24"/>
          <w:lang w:val="sr-Cyrl-CS"/>
        </w:rPr>
      </w:pPr>
      <w:r w:rsidRPr="00CD313B">
        <w:rPr>
          <w:rFonts w:eastAsia="Times New Roman" w:cs="Times New Roman"/>
          <w:szCs w:val="24"/>
          <w:lang w:val="sr-Cyrl-CS"/>
        </w:rPr>
        <w:t xml:space="preserve">Уговор из </w:t>
      </w:r>
      <w:r w:rsidR="00255C31" w:rsidRPr="00CD313B">
        <w:rPr>
          <w:rFonts w:eastAsia="Times New Roman" w:cs="Times New Roman"/>
          <w:szCs w:val="24"/>
          <w:lang w:val="sr-Cyrl-CS"/>
        </w:rPr>
        <w:t>члана 2.</w:t>
      </w:r>
      <w:r w:rsidR="00F868F0" w:rsidRPr="00CD313B">
        <w:rPr>
          <w:rFonts w:eastAsia="Times New Roman" w:cs="Times New Roman"/>
          <w:szCs w:val="24"/>
          <w:lang w:val="sr-Cyrl-CS"/>
        </w:rPr>
        <w:t xml:space="preserve"> ове уредбе </w:t>
      </w:r>
      <w:r w:rsidRPr="00CD313B">
        <w:rPr>
          <w:rFonts w:eastAsia="Times New Roman" w:cs="Times New Roman"/>
          <w:szCs w:val="24"/>
          <w:lang w:val="sr-Cyrl-CS"/>
        </w:rPr>
        <w:t>закључује се у складу са моделом уговора о тржишној премији (у даљем тексту: Модел),</w:t>
      </w:r>
      <w:r w:rsidRPr="00CD313B">
        <w:rPr>
          <w:rFonts w:eastAsia="Times New Roman" w:cs="Times New Roman"/>
          <w:spacing w:val="1"/>
          <w:szCs w:val="24"/>
          <w:lang w:val="sr-Cyrl-CS"/>
        </w:rPr>
        <w:t xml:space="preserve"> </w:t>
      </w:r>
      <w:r w:rsidRPr="00CD313B">
        <w:rPr>
          <w:rFonts w:eastAsia="Times New Roman" w:cs="Times New Roman"/>
          <w:szCs w:val="24"/>
          <w:lang w:val="sr-Cyrl-CS"/>
        </w:rPr>
        <w:t>који је одштампан уз ову уредбу и чини њен саставни део.</w:t>
      </w:r>
    </w:p>
    <w:p w14:paraId="165AAB98" w14:textId="77777777" w:rsidR="00A861BB" w:rsidRPr="00CD313B" w:rsidRDefault="00A861BB" w:rsidP="00A861BB">
      <w:pPr>
        <w:widowControl w:val="0"/>
        <w:autoSpaceDE w:val="0"/>
        <w:autoSpaceDN w:val="0"/>
        <w:spacing w:after="0" w:line="240" w:lineRule="auto"/>
        <w:ind w:left="118" w:right="114" w:firstLine="719"/>
        <w:jc w:val="both"/>
        <w:rPr>
          <w:rFonts w:eastAsia="Times New Roman" w:cs="Times New Roman"/>
          <w:szCs w:val="24"/>
          <w:lang w:val="sr-Cyrl-CS"/>
        </w:rPr>
      </w:pPr>
      <w:r w:rsidRPr="00CD313B">
        <w:rPr>
          <w:rFonts w:eastAsia="Times New Roman" w:cs="Times New Roman"/>
          <w:szCs w:val="24"/>
          <w:lang w:val="sr-Cyrl-CS"/>
        </w:rPr>
        <w:t>Уговорне стране су дужне да уговор о тржишној премији закључе у писаној форми у складу са Моделом.</w:t>
      </w:r>
    </w:p>
    <w:p w14:paraId="2F75B02D" w14:textId="77777777" w:rsidR="00A861BB" w:rsidRPr="00CD313B" w:rsidRDefault="00A861BB" w:rsidP="00A861BB">
      <w:pPr>
        <w:widowControl w:val="0"/>
        <w:autoSpaceDE w:val="0"/>
        <w:autoSpaceDN w:val="0"/>
        <w:spacing w:after="0" w:line="240" w:lineRule="auto"/>
        <w:ind w:left="118" w:right="114" w:firstLine="719"/>
        <w:jc w:val="both"/>
        <w:rPr>
          <w:rFonts w:eastAsia="Times New Roman" w:cs="Times New Roman"/>
          <w:szCs w:val="24"/>
          <w:lang w:val="sr-Cyrl-CS"/>
        </w:rPr>
      </w:pPr>
      <w:r w:rsidRPr="00CD313B">
        <w:rPr>
          <w:rFonts w:eastAsia="Times New Roman" w:cs="Times New Roman"/>
          <w:szCs w:val="24"/>
          <w:lang w:val="sr-Cyrl-CS"/>
        </w:rPr>
        <w:t>Делови Модела написани курзивом и у угластим заградама представљају обавезне смернице којима се руководе уговорне стране приликом закључења уговора о тржишној премији и у складу са њима, у зависности од конкретног случаја, уносе у уговор о тржишној премији одговарајуће податке или одредбе из Модела</w:t>
      </w:r>
      <w:r w:rsidRPr="00CD313B">
        <w:rPr>
          <w:rFonts w:eastAsia="Times New Roman" w:cs="Times New Roman"/>
          <w:i/>
          <w:iCs/>
          <w:szCs w:val="24"/>
          <w:lang w:val="sr-Cyrl-CS"/>
        </w:rPr>
        <w:t>.</w:t>
      </w:r>
    </w:p>
    <w:p w14:paraId="50F46C8A" w14:textId="77777777" w:rsidR="00A861BB" w:rsidRPr="00CD313B" w:rsidRDefault="00A861BB" w:rsidP="00A861BB">
      <w:pPr>
        <w:widowControl w:val="0"/>
        <w:autoSpaceDE w:val="0"/>
        <w:autoSpaceDN w:val="0"/>
        <w:spacing w:after="0" w:line="240" w:lineRule="auto"/>
        <w:ind w:left="118" w:right="112" w:firstLine="719"/>
        <w:jc w:val="both"/>
        <w:rPr>
          <w:rFonts w:eastAsia="Times New Roman" w:cs="Times New Roman"/>
          <w:szCs w:val="24"/>
          <w:lang w:val="sr-Cyrl-CS"/>
        </w:rPr>
      </w:pPr>
      <w:r w:rsidRPr="00CD313B">
        <w:rPr>
          <w:rFonts w:eastAsia="Times New Roman" w:cs="Times New Roman"/>
          <w:szCs w:val="24"/>
          <w:lang w:val="sr-Cyrl-CS"/>
        </w:rPr>
        <w:t xml:space="preserve">Уговорне стране не могу унети у уговор о тржишној премији одредбе којима се мењају, допуњују или изостављају одредбе </w:t>
      </w:r>
      <w:r w:rsidR="009013E0" w:rsidRPr="00CD313B">
        <w:rPr>
          <w:rFonts w:eastAsia="Times New Roman" w:cs="Times New Roman"/>
          <w:szCs w:val="24"/>
          <w:lang w:val="sr-Cyrl-CS"/>
        </w:rPr>
        <w:t>М</w:t>
      </w:r>
      <w:r w:rsidRPr="00CD313B">
        <w:rPr>
          <w:rFonts w:eastAsia="Times New Roman" w:cs="Times New Roman"/>
          <w:szCs w:val="24"/>
          <w:lang w:val="sr-Cyrl-CS"/>
        </w:rPr>
        <w:t xml:space="preserve">одела, осим ако </w:t>
      </w:r>
      <w:r w:rsidR="009013E0" w:rsidRPr="00CD313B">
        <w:rPr>
          <w:rFonts w:eastAsia="Times New Roman" w:cs="Times New Roman"/>
          <w:szCs w:val="24"/>
          <w:lang w:val="sr-Cyrl-CS"/>
        </w:rPr>
        <w:t>М</w:t>
      </w:r>
      <w:r w:rsidRPr="00CD313B">
        <w:rPr>
          <w:rFonts w:eastAsia="Times New Roman" w:cs="Times New Roman"/>
          <w:szCs w:val="24"/>
          <w:lang w:val="sr-Cyrl-CS"/>
        </w:rPr>
        <w:t>оделом није другачије одређено.</w:t>
      </w:r>
    </w:p>
    <w:p w14:paraId="4BF4BAD5" w14:textId="77777777" w:rsidR="00A861BB" w:rsidRPr="00CD313B" w:rsidRDefault="00A861BB" w:rsidP="00A861BB">
      <w:pPr>
        <w:widowControl w:val="0"/>
        <w:autoSpaceDE w:val="0"/>
        <w:autoSpaceDN w:val="0"/>
        <w:spacing w:after="0" w:line="240" w:lineRule="auto"/>
        <w:ind w:left="118" w:right="112" w:firstLine="719"/>
        <w:jc w:val="both"/>
        <w:rPr>
          <w:rFonts w:eastAsia="Times New Roman" w:cs="Times New Roman"/>
          <w:szCs w:val="24"/>
          <w:lang w:val="sr-Cyrl-CS"/>
        </w:rPr>
      </w:pPr>
      <w:r w:rsidRPr="00CD313B">
        <w:rPr>
          <w:rFonts w:eastAsia="Times New Roman" w:cs="Times New Roman"/>
          <w:szCs w:val="24"/>
          <w:lang w:val="sr-Cyrl-CS"/>
        </w:rPr>
        <w:t xml:space="preserve">Изузетно од става 4. овог члана, ако се приликом закључења уговора о тржишној премији утврди да поједина питања, која не представљају битне елементе уговора, нису регулисана Моделом или је потребно да се поједине одредбе </w:t>
      </w:r>
      <w:r w:rsidR="00DB054B" w:rsidRPr="00CD313B">
        <w:rPr>
          <w:rFonts w:eastAsia="Times New Roman" w:cs="Times New Roman"/>
          <w:szCs w:val="24"/>
          <w:lang w:val="sr-Cyrl-CS"/>
        </w:rPr>
        <w:t>М</w:t>
      </w:r>
      <w:r w:rsidRPr="00CD313B">
        <w:rPr>
          <w:rFonts w:eastAsia="Times New Roman" w:cs="Times New Roman"/>
          <w:szCs w:val="24"/>
          <w:lang w:val="sr-Cyrl-CS"/>
        </w:rPr>
        <w:t>одела измене или допуне да би се његова примена прилагодила околностима конкретног случаја, уговорне стране могу уговор о тржишној премији да измене или допуне уз сагласност министарства надлежног за послове енергетике (у даљем тексту: Министарство).</w:t>
      </w:r>
    </w:p>
    <w:p w14:paraId="06B048E9" w14:textId="77777777" w:rsidR="00A861BB" w:rsidRPr="00CD313B" w:rsidRDefault="00A861BB" w:rsidP="00A861BB">
      <w:pPr>
        <w:widowControl w:val="0"/>
        <w:autoSpaceDE w:val="0"/>
        <w:autoSpaceDN w:val="0"/>
        <w:spacing w:after="0" w:line="240" w:lineRule="auto"/>
        <w:ind w:left="118" w:right="112" w:firstLine="719"/>
        <w:jc w:val="both"/>
        <w:rPr>
          <w:rFonts w:eastAsia="Times New Roman" w:cs="Times New Roman"/>
          <w:szCs w:val="24"/>
          <w:lang w:val="sr-Cyrl-CS"/>
        </w:rPr>
      </w:pPr>
      <w:r w:rsidRPr="00CD313B">
        <w:rPr>
          <w:rFonts w:eastAsia="Times New Roman" w:cs="Times New Roman"/>
          <w:szCs w:val="24"/>
          <w:lang w:val="sr-Cyrl-CS"/>
        </w:rPr>
        <w:lastRenderedPageBreak/>
        <w:t>Министарство је дужно да, у року од 30 дана од дана подношења захтева за давање сагл</w:t>
      </w:r>
      <w:r w:rsidR="00603328" w:rsidRPr="00CD313B">
        <w:rPr>
          <w:rFonts w:eastAsia="Times New Roman" w:cs="Times New Roman"/>
          <w:szCs w:val="24"/>
          <w:lang w:val="sr-Cyrl-CS"/>
        </w:rPr>
        <w:t xml:space="preserve">асности из става 5. овог члана, </w:t>
      </w:r>
      <w:r w:rsidRPr="00CD313B">
        <w:rPr>
          <w:rFonts w:eastAsia="Times New Roman" w:cs="Times New Roman"/>
          <w:szCs w:val="24"/>
          <w:lang w:val="sr-Cyrl-CS"/>
        </w:rPr>
        <w:t xml:space="preserve">да сагласност или одбије давање сагласности. </w:t>
      </w:r>
    </w:p>
    <w:p w14:paraId="33E9C9B8" w14:textId="77777777" w:rsidR="00A861BB" w:rsidRPr="00CD313B" w:rsidRDefault="00A861BB" w:rsidP="00A861BB">
      <w:pPr>
        <w:widowControl w:val="0"/>
        <w:autoSpaceDE w:val="0"/>
        <w:autoSpaceDN w:val="0"/>
        <w:spacing w:before="1" w:after="0" w:line="240" w:lineRule="auto"/>
        <w:jc w:val="both"/>
        <w:rPr>
          <w:rFonts w:eastAsia="Times New Roman" w:cs="Times New Roman"/>
          <w:szCs w:val="24"/>
          <w:lang w:val="sr-Cyrl-CS"/>
        </w:rPr>
      </w:pPr>
    </w:p>
    <w:p w14:paraId="2AEC5EBA" w14:textId="77777777" w:rsidR="00A861BB" w:rsidRPr="00CD313B" w:rsidRDefault="00A861BB" w:rsidP="00A861BB">
      <w:pPr>
        <w:widowControl w:val="0"/>
        <w:autoSpaceDE w:val="0"/>
        <w:autoSpaceDN w:val="0"/>
        <w:spacing w:after="0" w:line="240" w:lineRule="auto"/>
        <w:ind w:left="4230"/>
        <w:jc w:val="both"/>
        <w:rPr>
          <w:rFonts w:eastAsia="Times New Roman" w:cs="Times New Roman"/>
          <w:szCs w:val="24"/>
          <w:lang w:val="sr-Cyrl-CS"/>
        </w:rPr>
      </w:pPr>
      <w:r w:rsidRPr="00CD313B">
        <w:rPr>
          <w:rFonts w:eastAsia="Times New Roman" w:cs="Times New Roman"/>
          <w:szCs w:val="24"/>
          <w:lang w:val="sr-Cyrl-CS"/>
        </w:rPr>
        <w:t>Члан</w:t>
      </w:r>
      <w:r w:rsidRPr="00CD313B">
        <w:rPr>
          <w:rFonts w:eastAsia="Times New Roman" w:cs="Times New Roman"/>
          <w:spacing w:val="-1"/>
          <w:szCs w:val="24"/>
          <w:lang w:val="sr-Cyrl-CS"/>
        </w:rPr>
        <w:t xml:space="preserve"> </w:t>
      </w:r>
      <w:r w:rsidRPr="00CD313B">
        <w:rPr>
          <w:rFonts w:eastAsia="Times New Roman" w:cs="Times New Roman"/>
          <w:szCs w:val="24"/>
          <w:lang w:val="sr-Cyrl-CS"/>
        </w:rPr>
        <w:t>4.</w:t>
      </w:r>
    </w:p>
    <w:p w14:paraId="48FAD8F7" w14:textId="77777777" w:rsidR="00A861BB" w:rsidRPr="00CD313B" w:rsidRDefault="00A861BB" w:rsidP="00A861BB">
      <w:pPr>
        <w:widowControl w:val="0"/>
        <w:autoSpaceDE w:val="0"/>
        <w:autoSpaceDN w:val="0"/>
        <w:spacing w:after="0" w:line="240" w:lineRule="auto"/>
        <w:ind w:left="118" w:right="115" w:firstLine="719"/>
        <w:jc w:val="both"/>
        <w:rPr>
          <w:rFonts w:eastAsia="Times New Roman" w:cs="Times New Roman"/>
          <w:szCs w:val="24"/>
          <w:lang w:val="sr-Cyrl-CS"/>
        </w:rPr>
      </w:pPr>
      <w:r w:rsidRPr="00CD313B">
        <w:rPr>
          <w:rFonts w:eastAsia="Times New Roman" w:cs="Times New Roman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Србије”.</w:t>
      </w:r>
    </w:p>
    <w:p w14:paraId="5A625BF0" w14:textId="77777777" w:rsidR="00A861BB" w:rsidRPr="00CD313B" w:rsidRDefault="00A861BB" w:rsidP="00A861BB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4"/>
          <w:lang w:val="sr-Cyrl-CS"/>
        </w:rPr>
      </w:pPr>
    </w:p>
    <w:p w14:paraId="0A6DE8B9" w14:textId="77777777" w:rsidR="00A861BB" w:rsidRPr="00CD313B" w:rsidRDefault="00A861BB" w:rsidP="00A861BB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4"/>
          <w:lang w:val="sr-Cyrl-CS"/>
        </w:rPr>
      </w:pPr>
    </w:p>
    <w:p w14:paraId="3585AF37" w14:textId="77777777" w:rsidR="00CD313B" w:rsidRPr="00CD313B" w:rsidRDefault="00CD313B" w:rsidP="00CD313B">
      <w:pPr>
        <w:tabs>
          <w:tab w:val="left" w:pos="1418"/>
        </w:tabs>
        <w:spacing w:after="0" w:line="240" w:lineRule="auto"/>
        <w:jc w:val="both"/>
        <w:rPr>
          <w:rFonts w:eastAsia="Times New Roman" w:cs="Times New Roman"/>
          <w:color w:val="000000"/>
          <w:szCs w:val="24"/>
          <w:lang w:val="sr-Cyrl-CS"/>
        </w:rPr>
      </w:pPr>
      <w:r w:rsidRPr="00CD313B">
        <w:rPr>
          <w:rFonts w:eastAsia="Times New Roman" w:cs="Times New Roman"/>
          <w:color w:val="000000"/>
          <w:szCs w:val="24"/>
          <w:lang w:val="sr-Cyrl-CS"/>
        </w:rPr>
        <w:t>05 Број: 110-9353/</w:t>
      </w:r>
      <w:r w:rsidRPr="00CD313B">
        <w:rPr>
          <w:rFonts w:eastAsia="Times New Roman" w:cs="Times New Roman"/>
          <w:szCs w:val="24"/>
          <w:lang w:val="sr-Cyrl-CS"/>
        </w:rPr>
        <w:t>2021-1</w:t>
      </w:r>
    </w:p>
    <w:p w14:paraId="649F98AF" w14:textId="77777777" w:rsidR="00CD313B" w:rsidRPr="00CD313B" w:rsidRDefault="00CD313B" w:rsidP="00CD313B">
      <w:pPr>
        <w:tabs>
          <w:tab w:val="left" w:pos="1418"/>
        </w:tabs>
        <w:spacing w:after="0" w:line="240" w:lineRule="auto"/>
        <w:jc w:val="both"/>
        <w:rPr>
          <w:rFonts w:eastAsia="Times New Roman" w:cs="Times New Roman"/>
          <w:szCs w:val="24"/>
          <w:lang w:val="sr-Cyrl-CS"/>
        </w:rPr>
      </w:pPr>
      <w:r w:rsidRPr="00CD313B">
        <w:rPr>
          <w:rFonts w:eastAsia="Times New Roman" w:cs="Times New Roman"/>
          <w:szCs w:val="24"/>
          <w:lang w:val="sr-Cyrl-CS"/>
        </w:rPr>
        <w:t>У Београду, 25. новембра 2021. године</w:t>
      </w:r>
    </w:p>
    <w:p w14:paraId="59B16B42" w14:textId="77777777" w:rsidR="00CD313B" w:rsidRPr="00CD313B" w:rsidRDefault="00CD313B" w:rsidP="00CD313B">
      <w:pPr>
        <w:tabs>
          <w:tab w:val="left" w:pos="1418"/>
        </w:tabs>
        <w:spacing w:after="0" w:line="240" w:lineRule="auto"/>
        <w:jc w:val="both"/>
        <w:rPr>
          <w:rFonts w:eastAsia="Times New Roman" w:cs="Times New Roman"/>
          <w:szCs w:val="24"/>
          <w:lang w:val="sr-Cyrl-CS"/>
        </w:rPr>
      </w:pPr>
    </w:p>
    <w:p w14:paraId="066C9C38" w14:textId="77777777" w:rsidR="00CD313B" w:rsidRPr="00CD313B" w:rsidRDefault="00CD313B" w:rsidP="00CD313B">
      <w:pPr>
        <w:tabs>
          <w:tab w:val="left" w:pos="1418"/>
        </w:tabs>
        <w:spacing w:after="0" w:line="240" w:lineRule="auto"/>
        <w:jc w:val="both"/>
        <w:rPr>
          <w:rFonts w:eastAsia="Times New Roman" w:cs="Times New Roman"/>
          <w:szCs w:val="24"/>
          <w:lang w:val="sr-Cyrl-CS"/>
        </w:rPr>
      </w:pPr>
    </w:p>
    <w:p w14:paraId="0FB1D0A3" w14:textId="77777777" w:rsidR="00CD313B" w:rsidRPr="00CD313B" w:rsidRDefault="00CD313B" w:rsidP="00CD313B">
      <w:pPr>
        <w:spacing w:after="0" w:line="240" w:lineRule="auto"/>
        <w:ind w:hanging="26"/>
        <w:jc w:val="center"/>
        <w:rPr>
          <w:rFonts w:eastAsia="Times New Roman" w:cs="Times New Roman"/>
          <w:spacing w:val="40"/>
          <w:szCs w:val="24"/>
          <w:lang w:val="sr-Cyrl-CS"/>
        </w:rPr>
      </w:pPr>
      <w:r w:rsidRPr="00CD313B">
        <w:rPr>
          <w:rFonts w:eastAsia="Times New Roman" w:cs="Times New Roman"/>
          <w:spacing w:val="40"/>
          <w:szCs w:val="24"/>
          <w:lang w:val="sr-Cyrl-CS"/>
        </w:rPr>
        <w:t>В Л А Д А</w:t>
      </w:r>
    </w:p>
    <w:p w14:paraId="339DAAD9" w14:textId="77777777" w:rsidR="00CD313B" w:rsidRPr="00CD313B" w:rsidRDefault="00CD313B" w:rsidP="00CD313B">
      <w:pPr>
        <w:spacing w:after="0" w:line="240" w:lineRule="auto"/>
        <w:ind w:hanging="26"/>
        <w:jc w:val="center"/>
        <w:rPr>
          <w:rFonts w:eastAsia="Times New Roman" w:cs="Times New Roman"/>
          <w:spacing w:val="40"/>
          <w:szCs w:val="24"/>
          <w:lang w:val="sr-Cyrl-C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D313B" w:rsidRPr="00CD313B" w14:paraId="09FB4124" w14:textId="77777777" w:rsidTr="00CD313B">
        <w:tc>
          <w:tcPr>
            <w:tcW w:w="4360" w:type="dxa"/>
          </w:tcPr>
          <w:p w14:paraId="42B0120F" w14:textId="77777777" w:rsidR="00CD313B" w:rsidRPr="00CD313B" w:rsidRDefault="00CD313B" w:rsidP="00CD313B">
            <w:pPr>
              <w:tabs>
                <w:tab w:val="left" w:pos="1418"/>
              </w:tabs>
              <w:spacing w:after="0" w:line="240" w:lineRule="auto"/>
              <w:jc w:val="center"/>
              <w:rPr>
                <w:rFonts w:eastAsia="Times New Roman" w:cs="Times New Roman"/>
                <w:szCs w:val="23"/>
                <w:lang w:val="sr-Cyrl-CS"/>
              </w:rPr>
            </w:pPr>
          </w:p>
        </w:tc>
        <w:tc>
          <w:tcPr>
            <w:tcW w:w="4360" w:type="dxa"/>
          </w:tcPr>
          <w:p w14:paraId="77B1B15F" w14:textId="77777777" w:rsidR="00CD313B" w:rsidRPr="00CD313B" w:rsidRDefault="00CD313B" w:rsidP="00CD313B">
            <w:pPr>
              <w:tabs>
                <w:tab w:val="left" w:pos="1418"/>
              </w:tabs>
              <w:spacing w:after="0" w:line="240" w:lineRule="auto"/>
              <w:jc w:val="center"/>
              <w:rPr>
                <w:rFonts w:eastAsia="Times New Roman" w:cs="Times New Roman"/>
                <w:szCs w:val="23"/>
                <w:lang w:val="sr-Cyrl-CS"/>
              </w:rPr>
            </w:pPr>
            <w:r w:rsidRPr="00CD313B">
              <w:rPr>
                <w:rFonts w:eastAsia="Times New Roman" w:cs="Times New Roman"/>
                <w:szCs w:val="23"/>
                <w:lang w:val="sr-Cyrl-CS"/>
              </w:rPr>
              <w:t xml:space="preserve">                             ПРЕДСЕДНИК </w:t>
            </w:r>
          </w:p>
          <w:p w14:paraId="76EE873D" w14:textId="77777777" w:rsidR="00CD313B" w:rsidRPr="00CD313B" w:rsidRDefault="00CD313B" w:rsidP="00CD313B">
            <w:pPr>
              <w:tabs>
                <w:tab w:val="left" w:pos="1418"/>
              </w:tabs>
              <w:spacing w:after="0" w:line="240" w:lineRule="auto"/>
              <w:jc w:val="both"/>
              <w:rPr>
                <w:rFonts w:eastAsia="Times New Roman" w:cs="Times New Roman"/>
                <w:szCs w:val="23"/>
                <w:lang w:val="sr-Cyrl-CS"/>
              </w:rPr>
            </w:pPr>
          </w:p>
          <w:p w14:paraId="37C72792" w14:textId="77777777" w:rsidR="00CD313B" w:rsidRPr="00CD313B" w:rsidRDefault="00CD313B" w:rsidP="00CD313B">
            <w:pPr>
              <w:tabs>
                <w:tab w:val="left" w:pos="1418"/>
              </w:tabs>
              <w:spacing w:after="0" w:line="240" w:lineRule="auto"/>
              <w:jc w:val="both"/>
              <w:rPr>
                <w:rFonts w:eastAsia="Times New Roman" w:cs="Times New Roman"/>
                <w:szCs w:val="23"/>
                <w:lang w:val="sr-Cyrl-CS"/>
              </w:rPr>
            </w:pPr>
          </w:p>
          <w:p w14:paraId="6E45E1FB" w14:textId="77777777" w:rsidR="00CD313B" w:rsidRPr="00CD313B" w:rsidRDefault="00CD313B" w:rsidP="00CD313B">
            <w:pPr>
              <w:tabs>
                <w:tab w:val="center" w:pos="4535"/>
                <w:tab w:val="right" w:pos="9071"/>
              </w:tabs>
              <w:spacing w:after="0" w:line="240" w:lineRule="auto"/>
              <w:jc w:val="center"/>
              <w:rPr>
                <w:rFonts w:eastAsia="Times New Roman" w:cs="Times New Roman"/>
                <w:szCs w:val="23"/>
                <w:lang w:val="sr-Cyrl-CS"/>
              </w:rPr>
            </w:pPr>
            <w:r w:rsidRPr="00CD313B">
              <w:rPr>
                <w:rFonts w:eastAsia="Times New Roman" w:cs="Times New Roman"/>
                <w:szCs w:val="23"/>
                <w:lang w:val="sr-Cyrl-CS"/>
              </w:rPr>
              <w:t xml:space="preserve">                              Ана Брнабић, с.р.</w:t>
            </w:r>
          </w:p>
        </w:tc>
      </w:tr>
    </w:tbl>
    <w:p w14:paraId="06FEA560" w14:textId="77777777" w:rsidR="0023548A" w:rsidRPr="00CD313B" w:rsidRDefault="0023548A" w:rsidP="00A861BB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szCs w:val="24"/>
          <w:lang w:val="sr-Cyrl-CS"/>
        </w:rPr>
      </w:pPr>
    </w:p>
    <w:sectPr w:rsidR="0023548A" w:rsidRPr="00CD313B" w:rsidSect="003E4B23">
      <w:footerReference w:type="default" r:id="rId7"/>
      <w:pgSz w:w="11907" w:h="16840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958D8" w14:textId="77777777" w:rsidR="00700FF2" w:rsidRDefault="00700FF2" w:rsidP="00E45F38">
      <w:pPr>
        <w:spacing w:after="0" w:line="240" w:lineRule="auto"/>
      </w:pPr>
      <w:r>
        <w:separator/>
      </w:r>
    </w:p>
  </w:endnote>
  <w:endnote w:type="continuationSeparator" w:id="0">
    <w:p w14:paraId="76250CE0" w14:textId="77777777" w:rsidR="00700FF2" w:rsidRDefault="00700FF2" w:rsidP="00E45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37523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F480E9" w14:textId="77777777" w:rsidR="00E45F38" w:rsidRDefault="00E45F3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313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C024DEC" w14:textId="77777777" w:rsidR="00E45F38" w:rsidRDefault="00E45F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BB789" w14:textId="77777777" w:rsidR="00700FF2" w:rsidRDefault="00700FF2" w:rsidP="00E45F38">
      <w:pPr>
        <w:spacing w:after="0" w:line="240" w:lineRule="auto"/>
      </w:pPr>
      <w:r>
        <w:separator/>
      </w:r>
    </w:p>
  </w:footnote>
  <w:footnote w:type="continuationSeparator" w:id="0">
    <w:p w14:paraId="5421554A" w14:textId="77777777" w:rsidR="00700FF2" w:rsidRDefault="00700FF2" w:rsidP="00E45F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F6065"/>
    <w:multiLevelType w:val="hybridMultilevel"/>
    <w:tmpl w:val="79FC5D3C"/>
    <w:lvl w:ilvl="0" w:tplc="82462D18">
      <w:start w:val="1"/>
      <w:numFmt w:val="decimal"/>
      <w:suff w:val="space"/>
      <w:lvlText w:val="%1)"/>
      <w:lvlJc w:val="left"/>
      <w:pPr>
        <w:ind w:left="0" w:firstLine="83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57B2A374">
      <w:numFmt w:val="bullet"/>
      <w:lvlText w:val="•"/>
      <w:lvlJc w:val="left"/>
      <w:pPr>
        <w:ind w:left="1920" w:hanging="260"/>
      </w:pPr>
      <w:rPr>
        <w:rFonts w:hint="default"/>
        <w:lang w:val="en-US" w:eastAsia="en-US" w:bidi="ar-SA"/>
      </w:rPr>
    </w:lvl>
    <w:lvl w:ilvl="2" w:tplc="14D2334E">
      <w:numFmt w:val="bullet"/>
      <w:lvlText w:val="•"/>
      <w:lvlJc w:val="left"/>
      <w:pPr>
        <w:ind w:left="2741" w:hanging="260"/>
      </w:pPr>
      <w:rPr>
        <w:rFonts w:hint="default"/>
        <w:lang w:val="en-US" w:eastAsia="en-US" w:bidi="ar-SA"/>
      </w:rPr>
    </w:lvl>
    <w:lvl w:ilvl="3" w:tplc="BF00F7AE">
      <w:numFmt w:val="bullet"/>
      <w:lvlText w:val="•"/>
      <w:lvlJc w:val="left"/>
      <w:pPr>
        <w:ind w:left="3561" w:hanging="260"/>
      </w:pPr>
      <w:rPr>
        <w:rFonts w:hint="default"/>
        <w:lang w:val="en-US" w:eastAsia="en-US" w:bidi="ar-SA"/>
      </w:rPr>
    </w:lvl>
    <w:lvl w:ilvl="4" w:tplc="75048494">
      <w:numFmt w:val="bullet"/>
      <w:lvlText w:val="•"/>
      <w:lvlJc w:val="left"/>
      <w:pPr>
        <w:ind w:left="4382" w:hanging="260"/>
      </w:pPr>
      <w:rPr>
        <w:rFonts w:hint="default"/>
        <w:lang w:val="en-US" w:eastAsia="en-US" w:bidi="ar-SA"/>
      </w:rPr>
    </w:lvl>
    <w:lvl w:ilvl="5" w:tplc="C02CD056">
      <w:numFmt w:val="bullet"/>
      <w:lvlText w:val="•"/>
      <w:lvlJc w:val="left"/>
      <w:pPr>
        <w:ind w:left="5203" w:hanging="260"/>
      </w:pPr>
      <w:rPr>
        <w:rFonts w:hint="default"/>
        <w:lang w:val="en-US" w:eastAsia="en-US" w:bidi="ar-SA"/>
      </w:rPr>
    </w:lvl>
    <w:lvl w:ilvl="6" w:tplc="F4D4FD0C">
      <w:numFmt w:val="bullet"/>
      <w:lvlText w:val="•"/>
      <w:lvlJc w:val="left"/>
      <w:pPr>
        <w:ind w:left="6023" w:hanging="260"/>
      </w:pPr>
      <w:rPr>
        <w:rFonts w:hint="default"/>
        <w:lang w:val="en-US" w:eastAsia="en-US" w:bidi="ar-SA"/>
      </w:rPr>
    </w:lvl>
    <w:lvl w:ilvl="7" w:tplc="4FCE2514">
      <w:numFmt w:val="bullet"/>
      <w:lvlText w:val="•"/>
      <w:lvlJc w:val="left"/>
      <w:pPr>
        <w:ind w:left="6844" w:hanging="260"/>
      </w:pPr>
      <w:rPr>
        <w:rFonts w:hint="default"/>
        <w:lang w:val="en-US" w:eastAsia="en-US" w:bidi="ar-SA"/>
      </w:rPr>
    </w:lvl>
    <w:lvl w:ilvl="8" w:tplc="E6585C34">
      <w:numFmt w:val="bullet"/>
      <w:lvlText w:val="•"/>
      <w:lvlJc w:val="left"/>
      <w:pPr>
        <w:ind w:left="7665" w:hanging="2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A80"/>
    <w:rsid w:val="00000D47"/>
    <w:rsid w:val="0023548A"/>
    <w:rsid w:val="002405F1"/>
    <w:rsid w:val="00255C31"/>
    <w:rsid w:val="00301807"/>
    <w:rsid w:val="003227DC"/>
    <w:rsid w:val="00381EE7"/>
    <w:rsid w:val="003A5F3B"/>
    <w:rsid w:val="003E4B23"/>
    <w:rsid w:val="00426304"/>
    <w:rsid w:val="0047201B"/>
    <w:rsid w:val="00480AA5"/>
    <w:rsid w:val="00523B15"/>
    <w:rsid w:val="00565F79"/>
    <w:rsid w:val="00603328"/>
    <w:rsid w:val="00634706"/>
    <w:rsid w:val="006A79B7"/>
    <w:rsid w:val="00700FF2"/>
    <w:rsid w:val="00772E1D"/>
    <w:rsid w:val="009013E0"/>
    <w:rsid w:val="00911A98"/>
    <w:rsid w:val="009D05CF"/>
    <w:rsid w:val="00A05268"/>
    <w:rsid w:val="00A861BB"/>
    <w:rsid w:val="00B92176"/>
    <w:rsid w:val="00C12225"/>
    <w:rsid w:val="00C4588C"/>
    <w:rsid w:val="00CB4A80"/>
    <w:rsid w:val="00CD313B"/>
    <w:rsid w:val="00D844AB"/>
    <w:rsid w:val="00DB054B"/>
    <w:rsid w:val="00E45F38"/>
    <w:rsid w:val="00E47FC1"/>
    <w:rsid w:val="00EB5277"/>
    <w:rsid w:val="00F8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8FC4B"/>
  <w15:chartTrackingRefBased/>
  <w15:docId w15:val="{98E849FF-B7E3-4552-9822-7DC96957B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68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8F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5F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5F38"/>
  </w:style>
  <w:style w:type="paragraph" w:styleId="Footer">
    <w:name w:val="footer"/>
    <w:basedOn w:val="Normal"/>
    <w:link w:val="FooterChar"/>
    <w:uiPriority w:val="99"/>
    <w:unhideWhenUsed/>
    <w:rsid w:val="00E45F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5F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Markovic</dc:creator>
  <cp:keywords/>
  <dc:description/>
  <cp:lastModifiedBy>Bojan Grgić</cp:lastModifiedBy>
  <cp:revision>2</cp:revision>
  <cp:lastPrinted>2021-11-25T10:53:00Z</cp:lastPrinted>
  <dcterms:created xsi:type="dcterms:W3CDTF">2021-11-26T13:47:00Z</dcterms:created>
  <dcterms:modified xsi:type="dcterms:W3CDTF">2021-11-26T13:47:00Z</dcterms:modified>
</cp:coreProperties>
</file>