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C0E0" w14:textId="77777777" w:rsidR="00A21C9B" w:rsidRPr="009D6DAC" w:rsidRDefault="005E789C" w:rsidP="009D6DAC">
      <w:pPr>
        <w:spacing w:after="0" w:line="264" w:lineRule="auto"/>
        <w:jc w:val="center"/>
        <w:rPr>
          <w:rFonts w:ascii="Times New Roman" w:eastAsia="Times New Roman" w:hAnsi="Times New Roman" w:cs="Times New Roman"/>
          <w:b/>
          <w:sz w:val="28"/>
          <w:szCs w:val="28"/>
          <w:lang w:val="sr-Cyrl-CS"/>
        </w:rPr>
      </w:pPr>
      <w:r w:rsidRPr="009D6DAC">
        <w:rPr>
          <w:rFonts w:ascii="Times New Roman" w:eastAsia="Times New Roman" w:hAnsi="Times New Roman" w:cs="Times New Roman"/>
          <w:b/>
          <w:sz w:val="28"/>
          <w:szCs w:val="28"/>
          <w:lang w:val="sr-Cyrl-CS"/>
        </w:rPr>
        <w:t>Прелиминарна листа структурних реформи за Програм економских реформи Републике Србије за период од 2022. до 2024. године</w:t>
      </w:r>
    </w:p>
    <w:p w14:paraId="5EDE2C69" w14:textId="77777777" w:rsidR="009D6DAC" w:rsidRPr="0078079A" w:rsidRDefault="009D6DAC" w:rsidP="005E789C">
      <w:pPr>
        <w:spacing w:after="0" w:line="264" w:lineRule="auto"/>
        <w:rPr>
          <w:rFonts w:ascii="Times New Roman" w:hAnsi="Times New Roman" w:cs="Times New Roman"/>
          <w:b/>
          <w:smallCaps/>
          <w:w w:val="115"/>
          <w:sz w:val="28"/>
          <w:szCs w:val="28"/>
          <w:u w:val="single"/>
          <w:lang w:val="sr-Cyrl-CS"/>
        </w:rPr>
      </w:pPr>
    </w:p>
    <w:tbl>
      <w:tblPr>
        <w:tblStyle w:val="TableGrid"/>
        <w:tblW w:w="14509" w:type="dxa"/>
        <w:tblInd w:w="-294" w:type="dxa"/>
        <w:tblLook w:val="04A0" w:firstRow="1" w:lastRow="0" w:firstColumn="1" w:lastColumn="0" w:noHBand="0" w:noVBand="1"/>
      </w:tblPr>
      <w:tblGrid>
        <w:gridCol w:w="516"/>
        <w:gridCol w:w="4003"/>
        <w:gridCol w:w="9990"/>
      </w:tblGrid>
      <w:tr w:rsidR="00FC73A3" w:rsidRPr="0078079A" w14:paraId="0D9BB450" w14:textId="77777777" w:rsidTr="00687D9F">
        <w:trPr>
          <w:trHeight w:val="397"/>
        </w:trPr>
        <w:tc>
          <w:tcPr>
            <w:tcW w:w="14509" w:type="dxa"/>
            <w:gridSpan w:val="3"/>
            <w:shd w:val="clear" w:color="auto" w:fill="DEEAF6" w:themeFill="accent1" w:themeFillTint="33"/>
            <w:vAlign w:val="center"/>
          </w:tcPr>
          <w:p w14:paraId="0C5AAC96" w14:textId="77777777" w:rsidR="00FC73A3" w:rsidRPr="009D6DAC" w:rsidRDefault="00FC73A3" w:rsidP="007A7688">
            <w:pPr>
              <w:spacing w:after="0"/>
              <w:rPr>
                <w:rFonts w:ascii="Times New Roman" w:hAnsi="Times New Roman" w:cs="Times New Roman"/>
                <w:b/>
                <w:sz w:val="20"/>
                <w:szCs w:val="20"/>
                <w:lang w:val="sr-Cyrl-CS"/>
              </w:rPr>
            </w:pPr>
            <w:r w:rsidRPr="009D6DAC">
              <w:rPr>
                <w:rFonts w:ascii="Times New Roman" w:hAnsi="Times New Roman" w:cs="Times New Roman"/>
                <w:b/>
                <w:sz w:val="20"/>
                <w:szCs w:val="20"/>
                <w:lang w:val="sr-Cyrl-CS"/>
              </w:rPr>
              <w:t>ТРИ КЉУЧН</w:t>
            </w:r>
            <w:r w:rsidR="007A7688">
              <w:rPr>
                <w:rFonts w:ascii="Times New Roman" w:hAnsi="Times New Roman" w:cs="Times New Roman"/>
                <w:b/>
                <w:sz w:val="20"/>
                <w:szCs w:val="20"/>
                <w:lang w:val="sr-Cyrl-CS"/>
              </w:rPr>
              <w:t>А</w:t>
            </w:r>
            <w:r w:rsidRPr="009D6DAC">
              <w:rPr>
                <w:rFonts w:ascii="Times New Roman" w:hAnsi="Times New Roman" w:cs="Times New Roman"/>
                <w:b/>
                <w:sz w:val="20"/>
                <w:szCs w:val="20"/>
                <w:lang w:val="sr-Cyrl-CS"/>
              </w:rPr>
              <w:t xml:space="preserve"> </w:t>
            </w:r>
            <w:r w:rsidR="007A7688">
              <w:rPr>
                <w:rFonts w:ascii="Times New Roman" w:hAnsi="Times New Roman" w:cs="Times New Roman"/>
                <w:b/>
                <w:sz w:val="20"/>
                <w:szCs w:val="20"/>
                <w:lang w:val="sr-Cyrl-CS"/>
              </w:rPr>
              <w:t>ИЗАЗОВА</w:t>
            </w:r>
            <w:r w:rsidRPr="009D6DAC">
              <w:rPr>
                <w:rFonts w:ascii="Times New Roman" w:hAnsi="Times New Roman" w:cs="Times New Roman"/>
                <w:b/>
                <w:sz w:val="20"/>
                <w:szCs w:val="20"/>
                <w:lang w:val="sr-Cyrl-CS"/>
              </w:rPr>
              <w:t xml:space="preserve"> ЗА КОНКУРЕНТНОСТ И ИНКЛУЗИВНИ РАСТ И ПОВЕЗАНЕ СТРУКТУРНЕ РЕФОРМЕ</w:t>
            </w:r>
          </w:p>
        </w:tc>
      </w:tr>
      <w:tr w:rsidR="00D66057" w:rsidRPr="0078079A" w14:paraId="0B862D82" w14:textId="77777777" w:rsidTr="00687D9F">
        <w:trPr>
          <w:trHeight w:val="397"/>
        </w:trPr>
        <w:tc>
          <w:tcPr>
            <w:tcW w:w="14509" w:type="dxa"/>
            <w:gridSpan w:val="3"/>
            <w:shd w:val="clear" w:color="auto" w:fill="DEEAF6" w:themeFill="accent1" w:themeFillTint="33"/>
            <w:vAlign w:val="center"/>
          </w:tcPr>
          <w:p w14:paraId="29610EEC" w14:textId="77777777" w:rsidR="00D66057" w:rsidRPr="00FC73A3" w:rsidRDefault="00FC73A3" w:rsidP="00A21C9B">
            <w:pPr>
              <w:spacing w:after="0"/>
              <w:rPr>
                <w:rFonts w:ascii="Times New Roman" w:hAnsi="Times New Roman" w:cs="Times New Roman"/>
                <w:b/>
                <w:lang w:val="sr-Latn-RS"/>
              </w:rPr>
            </w:pPr>
            <w:r w:rsidRPr="00FC73A3">
              <w:rPr>
                <w:rFonts w:ascii="Times New Roman" w:hAnsi="Times New Roman" w:cs="Times New Roman"/>
                <w:b/>
                <w:lang w:val="sr-Cyrl-CS"/>
              </w:rPr>
              <w:t xml:space="preserve">Кључни изазов број 1: </w:t>
            </w:r>
            <w:r w:rsidR="00A0128A">
              <w:rPr>
                <w:rFonts w:ascii="Times New Roman" w:hAnsi="Times New Roman" w:cs="Times New Roman"/>
                <w:b/>
                <w:bCs/>
                <w:i/>
                <w:iCs/>
                <w:sz w:val="24"/>
                <w:szCs w:val="24"/>
                <w:lang w:val="sr-Cyrl-RS"/>
              </w:rPr>
              <w:t>Повећање запослености, посебно младих</w:t>
            </w:r>
            <w:r w:rsidR="00A0128A">
              <w:rPr>
                <w:rFonts w:ascii="Times New Roman" w:hAnsi="Times New Roman" w:cs="Times New Roman"/>
                <w:b/>
                <w:bCs/>
                <w:i/>
                <w:iCs/>
                <w:sz w:val="24"/>
                <w:szCs w:val="24"/>
                <w:lang w:val="sr-Latn-RS"/>
              </w:rPr>
              <w:t>,</w:t>
            </w:r>
            <w:r w:rsidR="00A0128A">
              <w:rPr>
                <w:rFonts w:ascii="Times New Roman" w:hAnsi="Times New Roman" w:cs="Times New Roman"/>
                <w:b/>
                <w:bCs/>
                <w:i/>
                <w:iCs/>
                <w:sz w:val="24"/>
                <w:szCs w:val="24"/>
                <w:lang w:val="sr-Cyrl-RS"/>
              </w:rPr>
              <w:t xml:space="preserve"> и</w:t>
            </w:r>
            <w:r w:rsidR="00A0128A">
              <w:rPr>
                <w:rFonts w:ascii="Times New Roman" w:hAnsi="Times New Roman" w:cs="Times New Roman"/>
                <w:b/>
                <w:bCs/>
                <w:i/>
                <w:iCs/>
                <w:sz w:val="24"/>
                <w:szCs w:val="24"/>
              </w:rPr>
              <w:t xml:space="preserve"> усклађ</w:t>
            </w:r>
            <w:r w:rsidR="00A0128A">
              <w:rPr>
                <w:rFonts w:ascii="Times New Roman" w:hAnsi="Times New Roman" w:cs="Times New Roman"/>
                <w:b/>
                <w:bCs/>
                <w:i/>
                <w:iCs/>
                <w:sz w:val="24"/>
                <w:szCs w:val="24"/>
                <w:lang w:val="sr-Cyrl-RS"/>
              </w:rPr>
              <w:t xml:space="preserve">ивање квалификација са </w:t>
            </w:r>
            <w:r w:rsidR="00A0128A">
              <w:rPr>
                <w:rFonts w:ascii="Times New Roman" w:hAnsi="Times New Roman" w:cs="Times New Roman"/>
                <w:b/>
                <w:bCs/>
                <w:i/>
                <w:iCs/>
                <w:sz w:val="24"/>
                <w:szCs w:val="24"/>
              </w:rPr>
              <w:t>потреба</w:t>
            </w:r>
            <w:r w:rsidR="00A0128A">
              <w:rPr>
                <w:rFonts w:ascii="Times New Roman" w:hAnsi="Times New Roman" w:cs="Times New Roman"/>
                <w:b/>
                <w:bCs/>
                <w:i/>
                <w:iCs/>
                <w:sz w:val="24"/>
                <w:szCs w:val="24"/>
                <w:lang w:val="sr-Cyrl-RS"/>
              </w:rPr>
              <w:t>ма</w:t>
            </w:r>
            <w:r w:rsidR="00A0128A">
              <w:rPr>
                <w:rFonts w:ascii="Times New Roman" w:hAnsi="Times New Roman" w:cs="Times New Roman"/>
                <w:b/>
                <w:bCs/>
                <w:i/>
                <w:iCs/>
                <w:sz w:val="24"/>
                <w:szCs w:val="24"/>
              </w:rPr>
              <w:t xml:space="preserve"> тржишта рада</w:t>
            </w:r>
          </w:p>
        </w:tc>
      </w:tr>
      <w:tr w:rsidR="00FC73A3" w:rsidRPr="0078079A" w14:paraId="2B9BDE24" w14:textId="77777777" w:rsidTr="006538C1">
        <w:tc>
          <w:tcPr>
            <w:tcW w:w="516" w:type="dxa"/>
            <w:shd w:val="clear" w:color="auto" w:fill="DEEAF6" w:themeFill="accent1" w:themeFillTint="33"/>
          </w:tcPr>
          <w:p w14:paraId="358C896D" w14:textId="77777777" w:rsidR="00FC73A3" w:rsidRPr="0078079A" w:rsidRDefault="00FC73A3" w:rsidP="00FC73A3">
            <w:pPr>
              <w:spacing w:after="0"/>
              <w:rPr>
                <w:rFonts w:ascii="Times New Roman" w:hAnsi="Times New Roman" w:cs="Times New Roman"/>
                <w:b/>
                <w:lang w:val="sr-Cyrl-CS"/>
              </w:rPr>
            </w:pPr>
            <w:r w:rsidRPr="0078079A">
              <w:rPr>
                <w:rFonts w:ascii="Times New Roman" w:hAnsi="Times New Roman" w:cs="Times New Roman"/>
                <w:b/>
                <w:lang w:val="sr-Cyrl-CS"/>
              </w:rPr>
              <w:t>СР</w:t>
            </w:r>
          </w:p>
          <w:p w14:paraId="6B80F316" w14:textId="77777777" w:rsidR="00FC73A3" w:rsidRDefault="00FC73A3" w:rsidP="00FC73A3">
            <w:pPr>
              <w:rPr>
                <w:rFonts w:ascii="Times New Roman" w:hAnsi="Times New Roman" w:cs="Times New Roman"/>
                <w:b/>
                <w:lang w:val="sr-Latn-RS"/>
              </w:rPr>
            </w:pPr>
            <w:r w:rsidRPr="0078079A">
              <w:rPr>
                <w:rFonts w:ascii="Times New Roman" w:hAnsi="Times New Roman" w:cs="Times New Roman"/>
                <w:b/>
                <w:lang w:val="sr-Cyrl-CS"/>
              </w:rPr>
              <w:t>Рб.</w:t>
            </w:r>
          </w:p>
        </w:tc>
        <w:tc>
          <w:tcPr>
            <w:tcW w:w="4003" w:type="dxa"/>
            <w:shd w:val="clear" w:color="auto" w:fill="DEEAF6" w:themeFill="accent1" w:themeFillTint="33"/>
            <w:vAlign w:val="center"/>
          </w:tcPr>
          <w:p w14:paraId="4CFA80B0" w14:textId="77777777" w:rsidR="00FC73A3" w:rsidRPr="00FC73A3" w:rsidRDefault="00FC73A3" w:rsidP="00FC73A3">
            <w:pPr>
              <w:rPr>
                <w:rFonts w:ascii="Times New Roman" w:hAnsi="Times New Roman" w:cs="Times New Roman"/>
                <w:b/>
                <w:lang w:val="sr-Cyrl-CS"/>
              </w:rPr>
            </w:pPr>
            <w:r w:rsidRPr="0078079A">
              <w:rPr>
                <w:rFonts w:ascii="Times New Roman" w:hAnsi="Times New Roman" w:cs="Times New Roman"/>
                <w:b/>
                <w:lang w:val="sr-Cyrl-CS"/>
              </w:rPr>
              <w:t>Назив структурне реформе</w:t>
            </w:r>
          </w:p>
        </w:tc>
        <w:tc>
          <w:tcPr>
            <w:tcW w:w="9990" w:type="dxa"/>
            <w:shd w:val="clear" w:color="auto" w:fill="DEEAF6" w:themeFill="accent1" w:themeFillTint="33"/>
            <w:vAlign w:val="center"/>
          </w:tcPr>
          <w:p w14:paraId="4127B6C8" w14:textId="77777777" w:rsidR="00FC73A3" w:rsidRPr="0078079A" w:rsidRDefault="00FC73A3" w:rsidP="00FC73A3">
            <w:pPr>
              <w:spacing w:after="0"/>
              <w:jc w:val="both"/>
              <w:rPr>
                <w:rFonts w:ascii="Times New Roman" w:hAnsi="Times New Roman" w:cs="Times New Roman"/>
                <w:lang w:val="sr-Cyrl-CS"/>
              </w:rPr>
            </w:pPr>
            <w:r w:rsidRPr="0078079A">
              <w:rPr>
                <w:rFonts w:ascii="Times New Roman" w:hAnsi="Times New Roman" w:cs="Times New Roman"/>
                <w:b/>
                <w:lang w:val="sr-Cyrl-CS"/>
              </w:rPr>
              <w:t>Опис структурне реформе</w:t>
            </w:r>
          </w:p>
        </w:tc>
      </w:tr>
      <w:tr w:rsidR="00FC73A3" w:rsidRPr="0078079A" w14:paraId="57D8A1FA" w14:textId="77777777" w:rsidTr="006B01EB">
        <w:tc>
          <w:tcPr>
            <w:tcW w:w="516" w:type="dxa"/>
          </w:tcPr>
          <w:p w14:paraId="15A5C97F" w14:textId="77777777" w:rsidR="00FC73A3" w:rsidRPr="00FC73A3" w:rsidRDefault="00FC73A3" w:rsidP="00FC73A3">
            <w:pPr>
              <w:rPr>
                <w:rFonts w:ascii="Times New Roman" w:hAnsi="Times New Roman" w:cs="Times New Roman"/>
                <w:b/>
                <w:lang w:val="sr-Latn-RS"/>
              </w:rPr>
            </w:pPr>
            <w:r>
              <w:rPr>
                <w:rFonts w:ascii="Times New Roman" w:hAnsi="Times New Roman" w:cs="Times New Roman"/>
                <w:b/>
                <w:lang w:val="sr-Latn-RS"/>
              </w:rPr>
              <w:t>1</w:t>
            </w:r>
          </w:p>
        </w:tc>
        <w:tc>
          <w:tcPr>
            <w:tcW w:w="4003" w:type="dxa"/>
          </w:tcPr>
          <w:p w14:paraId="142FCC61" w14:textId="77777777" w:rsidR="00FC73A3" w:rsidRPr="0078079A" w:rsidRDefault="00FC73A3" w:rsidP="00FC73A3">
            <w:pPr>
              <w:rPr>
                <w:rFonts w:ascii="Times New Roman" w:hAnsi="Times New Roman" w:cs="Times New Roman"/>
                <w:b/>
                <w:lang w:val="sr-Cyrl-CS"/>
              </w:rPr>
            </w:pPr>
            <w:r w:rsidRPr="00FC73A3">
              <w:rPr>
                <w:rFonts w:ascii="Times New Roman" w:hAnsi="Times New Roman" w:cs="Times New Roman"/>
                <w:b/>
                <w:lang w:val="sr-Cyrl-CS"/>
              </w:rPr>
              <w:t>Успостављање оквира з</w:t>
            </w:r>
            <w:r w:rsidR="0007691A">
              <w:rPr>
                <w:rFonts w:ascii="Times New Roman" w:hAnsi="Times New Roman" w:cs="Times New Roman"/>
                <w:b/>
                <w:lang w:val="sr-Cyrl-CS"/>
              </w:rPr>
              <w:t>а увођење Гаранција за младе у Републици С</w:t>
            </w:r>
            <w:r w:rsidRPr="00FC73A3">
              <w:rPr>
                <w:rFonts w:ascii="Times New Roman" w:hAnsi="Times New Roman" w:cs="Times New Roman"/>
                <w:b/>
                <w:lang w:val="sr-Cyrl-CS"/>
              </w:rPr>
              <w:t>рбији</w:t>
            </w:r>
          </w:p>
        </w:tc>
        <w:tc>
          <w:tcPr>
            <w:tcW w:w="9990" w:type="dxa"/>
          </w:tcPr>
          <w:p w14:paraId="08C06468" w14:textId="77777777" w:rsidR="00FC73A3" w:rsidRPr="0078079A" w:rsidRDefault="0007691A" w:rsidP="00FC73A3">
            <w:pPr>
              <w:spacing w:after="0"/>
              <w:jc w:val="both"/>
              <w:rPr>
                <w:rFonts w:ascii="Times New Roman" w:hAnsi="Times New Roman" w:cs="Times New Roman"/>
                <w:lang w:val="sr-Cyrl-CS"/>
              </w:rPr>
            </w:pPr>
            <w:r w:rsidRPr="0007691A">
              <w:rPr>
                <w:rFonts w:ascii="Times New Roman" w:hAnsi="Times New Roman" w:cs="Times New Roman"/>
                <w:lang w:val="sr-Cyrl-CS"/>
              </w:rPr>
              <w:t>Реформа подразумева успостављање оквира за увођење Гаранција за младе, што ће младима омогућити квалитетну понуду за посао, наставак образовања, праксу или обуку након уласка у статус незапослености или напуштања, односно завршетка формалног образовања. У оквиру овог програма, младима који су неактивни и незапослени приступа се кроз сарадњу различитих сектора и социјалних партнера и организација цивилног друштва, да би се осигурала њихова благовремена, адекватна и квалитетна (ре)интеграција у свет рада. Посебан акценат биће на НЕЕТ младима (млади који нису запослени, нису у процесу образовања, нису на обуци).</w:t>
            </w:r>
          </w:p>
        </w:tc>
      </w:tr>
      <w:tr w:rsidR="00FC73A3" w:rsidRPr="0078079A" w14:paraId="1A473FE8" w14:textId="77777777" w:rsidTr="006B01EB">
        <w:tc>
          <w:tcPr>
            <w:tcW w:w="516" w:type="dxa"/>
          </w:tcPr>
          <w:p w14:paraId="2CCAD681" w14:textId="77777777" w:rsidR="00FC73A3" w:rsidRPr="00FC73A3" w:rsidRDefault="00FC73A3" w:rsidP="00FC73A3">
            <w:pPr>
              <w:rPr>
                <w:rFonts w:ascii="Times New Roman" w:hAnsi="Times New Roman" w:cs="Times New Roman"/>
                <w:b/>
                <w:lang w:val="sr-Latn-RS"/>
              </w:rPr>
            </w:pPr>
            <w:r>
              <w:rPr>
                <w:rFonts w:ascii="Times New Roman" w:hAnsi="Times New Roman" w:cs="Times New Roman"/>
                <w:b/>
                <w:lang w:val="sr-Latn-RS"/>
              </w:rPr>
              <w:t>2</w:t>
            </w:r>
          </w:p>
        </w:tc>
        <w:tc>
          <w:tcPr>
            <w:tcW w:w="4003" w:type="dxa"/>
          </w:tcPr>
          <w:p w14:paraId="7C93CECD" w14:textId="77777777" w:rsidR="00FC73A3" w:rsidRPr="0078079A" w:rsidRDefault="00FC73A3" w:rsidP="00FC73A3">
            <w:pPr>
              <w:rPr>
                <w:rFonts w:ascii="Times New Roman" w:hAnsi="Times New Roman" w:cs="Times New Roman"/>
                <w:b/>
                <w:lang w:val="sr-Cyrl-CS"/>
              </w:rPr>
            </w:pPr>
            <w:r w:rsidRPr="00FC73A3">
              <w:rPr>
                <w:rFonts w:ascii="Times New Roman" w:hAnsi="Times New Roman" w:cs="Times New Roman"/>
                <w:b/>
                <w:lang w:val="sr-Cyrl-CS"/>
              </w:rPr>
              <w:t>Квалификације оријентисане према потребама тржишта рада</w:t>
            </w:r>
          </w:p>
        </w:tc>
        <w:tc>
          <w:tcPr>
            <w:tcW w:w="9990" w:type="dxa"/>
          </w:tcPr>
          <w:p w14:paraId="4D719AAA" w14:textId="77777777" w:rsidR="00FC73A3" w:rsidRPr="0078079A" w:rsidRDefault="00A71A73" w:rsidP="00FC73A3">
            <w:pPr>
              <w:spacing w:after="0"/>
              <w:jc w:val="both"/>
              <w:rPr>
                <w:rFonts w:ascii="Times New Roman" w:hAnsi="Times New Roman" w:cs="Times New Roman"/>
                <w:lang w:val="sr-Cyrl-CS"/>
              </w:rPr>
            </w:pPr>
            <w:r w:rsidRPr="00A71A73">
              <w:rPr>
                <w:rFonts w:ascii="Times New Roman" w:hAnsi="Times New Roman" w:cs="Times New Roman"/>
                <w:lang w:val="sr-Cyrl-CS"/>
              </w:rPr>
              <w:t>Реформа подразумева имплементацију система Националног оквира квалификација у Србији (НОКС) којим се успоставља тржишно релевантан систем квалификација који одговара на потребе појединца, привреде и тржишта рада као и остваривање дуалног модела студија у високом образовању којим ће се обезбедити услови за стицање, усавршавање и развој компетенција студената у складу са потребама тржишта рада, лакше запошљавање по завршеном високом образовању, даље образовање и целоживотно учење што ће допринети јачању конкурентности привреде Републике Србије.</w:t>
            </w:r>
          </w:p>
        </w:tc>
      </w:tr>
      <w:tr w:rsidR="00FC73A3" w:rsidRPr="0078079A" w14:paraId="2164BF91" w14:textId="77777777" w:rsidTr="006B01EB">
        <w:tc>
          <w:tcPr>
            <w:tcW w:w="516" w:type="dxa"/>
          </w:tcPr>
          <w:p w14:paraId="3A6B5A15" w14:textId="77777777" w:rsidR="00FC73A3" w:rsidRPr="00FC73A3" w:rsidRDefault="00FC73A3" w:rsidP="00FC73A3">
            <w:pPr>
              <w:rPr>
                <w:rFonts w:ascii="Times New Roman" w:hAnsi="Times New Roman" w:cs="Times New Roman"/>
                <w:b/>
                <w:lang w:val="sr-Latn-RS"/>
              </w:rPr>
            </w:pPr>
            <w:r>
              <w:rPr>
                <w:rFonts w:ascii="Times New Roman" w:hAnsi="Times New Roman" w:cs="Times New Roman"/>
                <w:b/>
                <w:lang w:val="sr-Latn-RS"/>
              </w:rPr>
              <w:t>3</w:t>
            </w:r>
          </w:p>
        </w:tc>
        <w:tc>
          <w:tcPr>
            <w:tcW w:w="4003" w:type="dxa"/>
          </w:tcPr>
          <w:p w14:paraId="436BB750" w14:textId="77777777" w:rsidR="00FC73A3" w:rsidRPr="0078079A" w:rsidRDefault="00FC73A3" w:rsidP="00FC73A3">
            <w:pPr>
              <w:rPr>
                <w:rFonts w:ascii="Times New Roman" w:hAnsi="Times New Roman" w:cs="Times New Roman"/>
                <w:b/>
                <w:lang w:val="sr-Cyrl-CS"/>
              </w:rPr>
            </w:pPr>
            <w:r w:rsidRPr="00FC73A3">
              <w:rPr>
                <w:rFonts w:ascii="Times New Roman" w:hAnsi="Times New Roman" w:cs="Times New Roman"/>
                <w:b/>
                <w:lang w:val="sr-Cyrl-CS"/>
              </w:rPr>
              <w:t>Унапређење амбијента за подстицање, подршку и праћење циркуларних и економских миграција</w:t>
            </w:r>
          </w:p>
        </w:tc>
        <w:tc>
          <w:tcPr>
            <w:tcW w:w="9990" w:type="dxa"/>
          </w:tcPr>
          <w:p w14:paraId="1664502E" w14:textId="77777777" w:rsidR="00FC73A3" w:rsidRPr="00EA1D56" w:rsidRDefault="005F30A9" w:rsidP="00FC73A3">
            <w:pPr>
              <w:spacing w:after="0"/>
              <w:jc w:val="both"/>
              <w:rPr>
                <w:rFonts w:ascii="Times New Roman" w:hAnsi="Times New Roman" w:cs="Times New Roman"/>
              </w:rPr>
            </w:pPr>
            <w:r w:rsidRPr="005F30A9">
              <w:rPr>
                <w:rFonts w:ascii="Times New Roman" w:hAnsi="Times New Roman" w:cs="Times New Roman"/>
                <w:lang w:val="sr-Cyrl-CS"/>
              </w:rPr>
              <w:t>Реформа подразумева стварање амбијента за успоравање одласка и привлачење радно способног становништва, подстицање циркуларних миграција и односа са дијаспором, јачање механизама за праћење миграторних токова и привлачење странаца у складу са Стратегијом о економским миграцијама Републике Србије 2021-2027. Посебан фокус је на  регулаторним реформама као и једноставнијем привлачењу страних држављана. Намера је да се промовишу постојећи порески и други подстицаји за запошљавање повратника, утиче на изградњу поверења са дијаспором кроз учестале дијалоге и низ активности и истраживања.</w:t>
            </w:r>
          </w:p>
        </w:tc>
      </w:tr>
      <w:tr w:rsidR="00FC73A3" w:rsidRPr="0078079A" w14:paraId="2FA91873" w14:textId="77777777" w:rsidTr="00FC73A3">
        <w:trPr>
          <w:trHeight w:val="485"/>
        </w:trPr>
        <w:tc>
          <w:tcPr>
            <w:tcW w:w="14509" w:type="dxa"/>
            <w:gridSpan w:val="3"/>
            <w:shd w:val="clear" w:color="auto" w:fill="DEEAF6" w:themeFill="accent1" w:themeFillTint="33"/>
            <w:vAlign w:val="center"/>
          </w:tcPr>
          <w:p w14:paraId="3115E2C3" w14:textId="77777777" w:rsidR="00FC73A3" w:rsidRPr="0078079A" w:rsidRDefault="00FC73A3" w:rsidP="004D7EF9">
            <w:pPr>
              <w:spacing w:after="0"/>
              <w:rPr>
                <w:rFonts w:ascii="Times New Roman" w:hAnsi="Times New Roman" w:cs="Times New Roman"/>
                <w:lang w:val="sr-Cyrl-CS"/>
              </w:rPr>
            </w:pPr>
            <w:r w:rsidRPr="00FC73A3">
              <w:rPr>
                <w:rFonts w:ascii="Times New Roman" w:hAnsi="Times New Roman" w:cs="Times New Roman"/>
                <w:b/>
                <w:lang w:val="sr-Cyrl-CS"/>
              </w:rPr>
              <w:t xml:space="preserve">Кључни изазов број 2: </w:t>
            </w:r>
            <w:r w:rsidR="004D7EF9">
              <w:rPr>
                <w:rFonts w:ascii="Times New Roman" w:hAnsi="Times New Roman" w:cs="Times New Roman"/>
                <w:b/>
                <w:lang w:val="sr-Cyrl-CS"/>
              </w:rPr>
              <w:t>Унапређење</w:t>
            </w:r>
            <w:r w:rsidRPr="00FC73A3">
              <w:rPr>
                <w:rFonts w:ascii="Times New Roman" w:hAnsi="Times New Roman" w:cs="Times New Roman"/>
                <w:b/>
                <w:lang w:val="sr-Cyrl-CS"/>
              </w:rPr>
              <w:t xml:space="preserve"> пословног амбијента повољнијег за инвестиције</w:t>
            </w:r>
          </w:p>
        </w:tc>
      </w:tr>
      <w:tr w:rsidR="009B2947" w:rsidRPr="0078079A" w14:paraId="6A33896D" w14:textId="77777777" w:rsidTr="00921886">
        <w:tc>
          <w:tcPr>
            <w:tcW w:w="516" w:type="dxa"/>
            <w:shd w:val="clear" w:color="auto" w:fill="DEEAF6" w:themeFill="accent1" w:themeFillTint="33"/>
          </w:tcPr>
          <w:p w14:paraId="051BC3CE" w14:textId="77777777"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СР</w:t>
            </w:r>
          </w:p>
          <w:p w14:paraId="15336904" w14:textId="77777777" w:rsidR="009B2947" w:rsidRDefault="009B2947" w:rsidP="009B2947">
            <w:pPr>
              <w:rPr>
                <w:rFonts w:ascii="Times New Roman" w:hAnsi="Times New Roman" w:cs="Times New Roman"/>
                <w:b/>
                <w:lang w:val="sr-Latn-RS"/>
              </w:rPr>
            </w:pPr>
            <w:r w:rsidRPr="0078079A">
              <w:rPr>
                <w:rFonts w:ascii="Times New Roman" w:hAnsi="Times New Roman" w:cs="Times New Roman"/>
                <w:b/>
                <w:lang w:val="sr-Cyrl-CS"/>
              </w:rPr>
              <w:t>Рб.</w:t>
            </w:r>
          </w:p>
        </w:tc>
        <w:tc>
          <w:tcPr>
            <w:tcW w:w="4003" w:type="dxa"/>
            <w:shd w:val="clear" w:color="auto" w:fill="DEEAF6" w:themeFill="accent1" w:themeFillTint="33"/>
            <w:vAlign w:val="center"/>
          </w:tcPr>
          <w:p w14:paraId="70507440" w14:textId="77777777" w:rsidR="009B2947" w:rsidRPr="00FC73A3" w:rsidRDefault="009B2947" w:rsidP="009B2947">
            <w:pPr>
              <w:rPr>
                <w:rFonts w:ascii="Times New Roman" w:hAnsi="Times New Roman" w:cs="Times New Roman"/>
                <w:b/>
                <w:lang w:val="sr-Cyrl-CS"/>
              </w:rPr>
            </w:pPr>
            <w:r w:rsidRPr="0078079A">
              <w:rPr>
                <w:rFonts w:ascii="Times New Roman" w:hAnsi="Times New Roman" w:cs="Times New Roman"/>
                <w:b/>
                <w:lang w:val="sr-Cyrl-CS"/>
              </w:rPr>
              <w:t>Назив структурне реформе</w:t>
            </w:r>
          </w:p>
        </w:tc>
        <w:tc>
          <w:tcPr>
            <w:tcW w:w="9990" w:type="dxa"/>
            <w:shd w:val="clear" w:color="auto" w:fill="DEEAF6" w:themeFill="accent1" w:themeFillTint="33"/>
            <w:vAlign w:val="center"/>
          </w:tcPr>
          <w:p w14:paraId="5988A51F" w14:textId="77777777" w:rsidR="009B2947" w:rsidRPr="0078079A" w:rsidRDefault="009B2947" w:rsidP="009B2947">
            <w:pPr>
              <w:spacing w:after="0"/>
              <w:jc w:val="both"/>
              <w:rPr>
                <w:rFonts w:ascii="Times New Roman" w:hAnsi="Times New Roman" w:cs="Times New Roman"/>
                <w:lang w:val="sr-Cyrl-CS"/>
              </w:rPr>
            </w:pPr>
            <w:r w:rsidRPr="0078079A">
              <w:rPr>
                <w:rFonts w:ascii="Times New Roman" w:hAnsi="Times New Roman" w:cs="Times New Roman"/>
                <w:b/>
                <w:lang w:val="sr-Cyrl-CS"/>
              </w:rPr>
              <w:t>Опис структурне реформе</w:t>
            </w:r>
          </w:p>
        </w:tc>
      </w:tr>
      <w:tr w:rsidR="001F5DEC" w:rsidRPr="0078079A" w14:paraId="4709A4CB" w14:textId="77777777" w:rsidTr="006B01EB">
        <w:tc>
          <w:tcPr>
            <w:tcW w:w="516" w:type="dxa"/>
          </w:tcPr>
          <w:p w14:paraId="562BFB67" w14:textId="77777777" w:rsidR="001F5DEC" w:rsidRPr="001F5DEC" w:rsidRDefault="001F5DEC" w:rsidP="009B2947">
            <w:pPr>
              <w:rPr>
                <w:rFonts w:ascii="Times New Roman" w:hAnsi="Times New Roman" w:cs="Times New Roman"/>
                <w:b/>
                <w:lang w:val="sr-Cyrl-RS"/>
              </w:rPr>
            </w:pPr>
            <w:r>
              <w:rPr>
                <w:rFonts w:ascii="Times New Roman" w:hAnsi="Times New Roman" w:cs="Times New Roman"/>
                <w:b/>
                <w:lang w:val="sr-Cyrl-RS"/>
              </w:rPr>
              <w:lastRenderedPageBreak/>
              <w:t>4</w:t>
            </w:r>
          </w:p>
        </w:tc>
        <w:tc>
          <w:tcPr>
            <w:tcW w:w="4003" w:type="dxa"/>
          </w:tcPr>
          <w:p w14:paraId="70589254" w14:textId="77777777" w:rsidR="001F5DEC" w:rsidRPr="00FC73A3" w:rsidRDefault="000052A1" w:rsidP="009B2947">
            <w:pPr>
              <w:rPr>
                <w:rFonts w:ascii="Times New Roman" w:hAnsi="Times New Roman" w:cs="Times New Roman"/>
                <w:b/>
                <w:lang w:val="sr-Cyrl-CS"/>
              </w:rPr>
            </w:pPr>
            <w:r w:rsidRPr="00FC73A3">
              <w:rPr>
                <w:rFonts w:ascii="Times New Roman" w:hAnsi="Times New Roman" w:cs="Times New Roman"/>
                <w:b/>
                <w:lang w:val="sr-Cyrl-CS"/>
              </w:rPr>
              <w:t>У</w:t>
            </w:r>
            <w:r>
              <w:rPr>
                <w:rFonts w:ascii="Times New Roman" w:hAnsi="Times New Roman" w:cs="Times New Roman"/>
                <w:b/>
                <w:lang w:val="sr-Cyrl-RS"/>
              </w:rPr>
              <w:t>напређење квалитета пружања јавних услуга кроз оптимизацију и дигитализацију административних поступака – е-Папир</w:t>
            </w:r>
          </w:p>
        </w:tc>
        <w:tc>
          <w:tcPr>
            <w:tcW w:w="9990" w:type="dxa"/>
          </w:tcPr>
          <w:p w14:paraId="10F2A0A5" w14:textId="77777777" w:rsidR="001F5DEC" w:rsidRPr="007B17F5" w:rsidRDefault="000052A1" w:rsidP="00BB0A37">
            <w:pPr>
              <w:spacing w:after="0"/>
              <w:jc w:val="both"/>
              <w:rPr>
                <w:rFonts w:ascii="Times New Roman" w:hAnsi="Times New Roman" w:cs="Times New Roman"/>
                <w:lang w:val="sr-Cyrl-RS"/>
              </w:rPr>
            </w:pPr>
            <w:r w:rsidRPr="00EA1D56">
              <w:rPr>
                <w:rFonts w:ascii="Times New Roman" w:hAnsi="Times New Roman" w:cs="Times New Roman"/>
                <w:lang w:val="sr-Cyrl-CS"/>
              </w:rPr>
              <w:t>Реформа подразумева поједностављење административних поступака (укидањем сувишних тј. гиљотином и поједностављењем осталих административних поступака) за привреду и грађане, као и успостављање Јединственог јавног регистра административних поступака и осталих услова пословања. Регистар представља полазну основу за формирање Јединствене електронске контактне тачке (ЈЕКТ). Ефекат реформе огледаће се и у смањењу административних трошкова за привреду за 15-20%, а на основу анализе и предлога за поједностављење и оптимизацију, као и евентуално укидање најмање 50% најучесталијих и најскупљих административних поступака.</w:t>
            </w:r>
          </w:p>
        </w:tc>
      </w:tr>
      <w:tr w:rsidR="009B2947" w:rsidRPr="0078079A" w14:paraId="2B69FFE0" w14:textId="77777777" w:rsidTr="006B01EB">
        <w:tc>
          <w:tcPr>
            <w:tcW w:w="516" w:type="dxa"/>
          </w:tcPr>
          <w:p w14:paraId="5803EB31" w14:textId="77777777" w:rsidR="009B2947" w:rsidRPr="00FC73A3" w:rsidRDefault="001F5DEC" w:rsidP="009B2947">
            <w:pPr>
              <w:rPr>
                <w:rFonts w:ascii="Times New Roman" w:hAnsi="Times New Roman" w:cs="Times New Roman"/>
                <w:b/>
                <w:lang w:val="sr-Latn-RS"/>
              </w:rPr>
            </w:pPr>
            <w:r>
              <w:rPr>
                <w:rFonts w:ascii="Times New Roman" w:hAnsi="Times New Roman" w:cs="Times New Roman"/>
                <w:b/>
                <w:lang w:val="sr-Latn-RS"/>
              </w:rPr>
              <w:t>5</w:t>
            </w:r>
          </w:p>
        </w:tc>
        <w:tc>
          <w:tcPr>
            <w:tcW w:w="4003" w:type="dxa"/>
          </w:tcPr>
          <w:p w14:paraId="2962A2C6" w14:textId="77777777" w:rsidR="000052A1" w:rsidRDefault="000052A1" w:rsidP="000052A1">
            <w:pPr>
              <w:rPr>
                <w:rFonts w:ascii="Times New Roman" w:hAnsi="Times New Roman" w:cs="Times New Roman"/>
                <w:b/>
                <w:lang w:val="sr-Cyrl-CS"/>
              </w:rPr>
            </w:pPr>
            <w:r w:rsidRPr="00FC73A3">
              <w:rPr>
                <w:rFonts w:ascii="Times New Roman" w:hAnsi="Times New Roman" w:cs="Times New Roman"/>
                <w:b/>
                <w:lang w:val="sr-Cyrl-CS"/>
              </w:rPr>
              <w:t>Одрживо и ефикасно управљање прив</w:t>
            </w:r>
            <w:r>
              <w:rPr>
                <w:rFonts w:ascii="Times New Roman" w:hAnsi="Times New Roman" w:cs="Times New Roman"/>
                <w:b/>
                <w:lang w:val="sr-Cyrl-CS"/>
              </w:rPr>
              <w:t xml:space="preserve">редним субјектима у власништву </w:t>
            </w:r>
            <w:r>
              <w:rPr>
                <w:rFonts w:ascii="Times New Roman" w:hAnsi="Times New Roman" w:cs="Times New Roman"/>
                <w:b/>
                <w:lang w:val="sr-Cyrl-RS"/>
              </w:rPr>
              <w:t>Р</w:t>
            </w:r>
            <w:r>
              <w:rPr>
                <w:rFonts w:ascii="Times New Roman" w:hAnsi="Times New Roman" w:cs="Times New Roman"/>
                <w:b/>
                <w:lang w:val="sr-Cyrl-CS"/>
              </w:rPr>
              <w:t>епублике С</w:t>
            </w:r>
            <w:r w:rsidRPr="00FC73A3">
              <w:rPr>
                <w:rFonts w:ascii="Times New Roman" w:hAnsi="Times New Roman" w:cs="Times New Roman"/>
                <w:b/>
                <w:lang w:val="sr-Cyrl-CS"/>
              </w:rPr>
              <w:t>рбије</w:t>
            </w:r>
            <w:r>
              <w:rPr>
                <w:rFonts w:ascii="Times New Roman" w:hAnsi="Times New Roman" w:cs="Times New Roman"/>
                <w:b/>
                <w:lang w:val="sr-Cyrl-CS"/>
              </w:rPr>
              <w:t xml:space="preserve"> (ПСРС)</w:t>
            </w:r>
          </w:p>
          <w:p w14:paraId="480B55F4" w14:textId="77777777" w:rsidR="009B2947" w:rsidRPr="0078079A" w:rsidRDefault="009B2947" w:rsidP="009B2947">
            <w:pPr>
              <w:rPr>
                <w:rFonts w:ascii="Times New Roman" w:hAnsi="Times New Roman" w:cs="Times New Roman"/>
                <w:b/>
                <w:lang w:val="sr-Cyrl-CS"/>
              </w:rPr>
            </w:pPr>
          </w:p>
        </w:tc>
        <w:tc>
          <w:tcPr>
            <w:tcW w:w="9990" w:type="dxa"/>
          </w:tcPr>
          <w:p w14:paraId="75ED4B2D" w14:textId="77777777" w:rsidR="009B2947" w:rsidRPr="0078079A" w:rsidRDefault="000052A1" w:rsidP="009B2947">
            <w:pPr>
              <w:spacing w:after="0"/>
              <w:jc w:val="both"/>
              <w:rPr>
                <w:rFonts w:ascii="Times New Roman" w:hAnsi="Times New Roman" w:cs="Times New Roman"/>
                <w:lang w:val="sr-Cyrl-CS"/>
              </w:rPr>
            </w:pPr>
            <w:r w:rsidRPr="00EA1D56">
              <w:rPr>
                <w:rFonts w:ascii="Times New Roman" w:hAnsi="Times New Roman" w:cs="Times New Roman"/>
                <w:lang w:val="sr-Cyrl-CS"/>
              </w:rPr>
              <w:t>Циљ структурне реформе је успостављање одрживог и ефикасног управљања привредним субјектима у власништву РС (ПСРС). У складу са Стратегијом државног власништва и управљања привредним субјектима који су у власништву РС за период 2021. до 2027. године и пратећим Акционим планом за период 2021. до 2023. године, биће спроведена анализа прописа које ПСРС примењују у раду, ради припреме основе за израду новог правног оквира за реализацију Стратегије. Такође, биће установљена централизована база података свих ПСРС и извршена њихова класификација. У циљу унапређења корпоративног управљања, између осталог, биће спроведена анализа стања за успостављање јединственог система за корпоративно управљање.</w:t>
            </w:r>
          </w:p>
        </w:tc>
      </w:tr>
      <w:tr w:rsidR="009B2947" w:rsidRPr="0078079A" w14:paraId="3B12BEBB" w14:textId="77777777" w:rsidTr="006B01EB">
        <w:tc>
          <w:tcPr>
            <w:tcW w:w="516" w:type="dxa"/>
          </w:tcPr>
          <w:p w14:paraId="1C89F80A" w14:textId="77777777" w:rsidR="009B2947" w:rsidRPr="00FC73A3" w:rsidRDefault="001F5DEC" w:rsidP="009B2947">
            <w:pPr>
              <w:rPr>
                <w:rFonts w:ascii="Times New Roman" w:hAnsi="Times New Roman" w:cs="Times New Roman"/>
                <w:b/>
                <w:lang w:val="sr-Latn-RS"/>
              </w:rPr>
            </w:pPr>
            <w:r>
              <w:rPr>
                <w:rFonts w:ascii="Times New Roman" w:hAnsi="Times New Roman" w:cs="Times New Roman"/>
                <w:b/>
                <w:lang w:val="sr-Latn-RS"/>
              </w:rPr>
              <w:t>6</w:t>
            </w:r>
          </w:p>
        </w:tc>
        <w:tc>
          <w:tcPr>
            <w:tcW w:w="4003" w:type="dxa"/>
          </w:tcPr>
          <w:p w14:paraId="73FD4BEE" w14:textId="77777777" w:rsidR="000052A1" w:rsidRPr="0078079A" w:rsidRDefault="000052A1" w:rsidP="009B2947">
            <w:pPr>
              <w:rPr>
                <w:rFonts w:ascii="Times New Roman" w:hAnsi="Times New Roman" w:cs="Times New Roman"/>
                <w:b/>
                <w:lang w:val="sr-Cyrl-CS"/>
              </w:rPr>
            </w:pPr>
            <w:r w:rsidRPr="001F5DEC">
              <w:rPr>
                <w:rFonts w:ascii="Times New Roman" w:hAnsi="Times New Roman" w:cs="Times New Roman"/>
                <w:b/>
                <w:lang w:val="sr-Cyrl-CS"/>
              </w:rPr>
              <w:t>Развој домаћег тржишта капитала кроз увођење нових правних института и обезбеђивање већег степена заштите инвеститора</w:t>
            </w:r>
          </w:p>
        </w:tc>
        <w:tc>
          <w:tcPr>
            <w:tcW w:w="9990" w:type="dxa"/>
          </w:tcPr>
          <w:p w14:paraId="5756E16C" w14:textId="77777777" w:rsidR="009B2947" w:rsidRPr="0078079A" w:rsidRDefault="000052A1" w:rsidP="00BB0A37">
            <w:pPr>
              <w:spacing w:after="0"/>
              <w:jc w:val="both"/>
              <w:rPr>
                <w:rFonts w:ascii="Times New Roman" w:hAnsi="Times New Roman" w:cs="Times New Roman"/>
                <w:lang w:val="sr-Cyrl-CS"/>
              </w:rPr>
            </w:pPr>
            <w:r w:rsidRPr="001F5DEC">
              <w:rPr>
                <w:rFonts w:ascii="Times New Roman" w:hAnsi="Times New Roman" w:cs="Times New Roman"/>
                <w:lang w:val="sr-Cyrl-CS"/>
              </w:rPr>
              <w:t>Структурном реформом је предвиђено развијање конкурентног, високо ефикасног, транспарентног и продуктивног тржишта капитала са широким спектром финансијских инструмената и услуга, упоредивог са водећим регионалним и европским финансијским тржиштима. Циљ је креирање и развој финансијских института који се нуде на тржишту капитала, ради повећања атрактивности домаћег тржишта како за домаће, тако и за стране инвеститоре. Усклађивањем домаћег правног и институционалног оквира са правним тековинама ЕУ обезбедиће се већи степен заштите инвеститора и повећаће се ефикасност тржишта капитала, обезбеђујући већу јасноћу правне регулативе и већи степен правне сигурности</w:t>
            </w:r>
            <w:r w:rsidR="00BB0A37">
              <w:rPr>
                <w:rFonts w:ascii="Times New Roman" w:hAnsi="Times New Roman" w:cs="Times New Roman"/>
                <w:lang w:val="sr-Cyrl-CS"/>
              </w:rPr>
              <w:t xml:space="preserve">. Реформа се заснива на усвојеној </w:t>
            </w:r>
            <w:r w:rsidR="00BB0A37">
              <w:rPr>
                <w:rFonts w:ascii="Times New Roman" w:hAnsi="Times New Roman" w:cs="Times New Roman"/>
                <w:lang w:val="sr-Cyrl-RS"/>
              </w:rPr>
              <w:t>Стратегији за развој тржишта капитала 2021-2026.</w:t>
            </w:r>
          </w:p>
        </w:tc>
      </w:tr>
      <w:tr w:rsidR="009B2947" w:rsidRPr="0078079A" w14:paraId="04068F83" w14:textId="77777777" w:rsidTr="009B2947">
        <w:trPr>
          <w:trHeight w:val="530"/>
        </w:trPr>
        <w:tc>
          <w:tcPr>
            <w:tcW w:w="14509" w:type="dxa"/>
            <w:gridSpan w:val="3"/>
            <w:shd w:val="clear" w:color="auto" w:fill="DEEAF6" w:themeFill="accent1" w:themeFillTint="33"/>
            <w:vAlign w:val="center"/>
          </w:tcPr>
          <w:p w14:paraId="592BE53F" w14:textId="77777777" w:rsidR="009B2947" w:rsidRPr="0078079A" w:rsidRDefault="009B2947" w:rsidP="000156B8">
            <w:pPr>
              <w:spacing w:after="0"/>
              <w:rPr>
                <w:rFonts w:ascii="Times New Roman" w:hAnsi="Times New Roman" w:cs="Times New Roman"/>
                <w:lang w:val="sr-Cyrl-CS"/>
              </w:rPr>
            </w:pPr>
            <w:r w:rsidRPr="00FC73A3">
              <w:rPr>
                <w:rFonts w:ascii="Times New Roman" w:hAnsi="Times New Roman" w:cs="Times New Roman"/>
                <w:b/>
                <w:lang w:val="sr-Cyrl-CS"/>
              </w:rPr>
              <w:t xml:space="preserve">Кључни изазов број 3: </w:t>
            </w:r>
            <w:r w:rsidR="000156B8">
              <w:rPr>
                <w:rFonts w:ascii="Times New Roman" w:hAnsi="Times New Roman" w:cs="Times New Roman"/>
                <w:b/>
                <w:lang w:val="sr-Cyrl-CS"/>
              </w:rPr>
              <w:t>Ефикасније коришћење енергије уз даље</w:t>
            </w:r>
            <w:r w:rsidRPr="00FC73A3">
              <w:rPr>
                <w:rFonts w:ascii="Times New Roman" w:hAnsi="Times New Roman" w:cs="Times New Roman"/>
                <w:b/>
                <w:lang w:val="sr-Cyrl-CS"/>
              </w:rPr>
              <w:t xml:space="preserve"> отварање енергетског тржишта</w:t>
            </w:r>
          </w:p>
        </w:tc>
      </w:tr>
      <w:tr w:rsidR="009B2947" w:rsidRPr="0078079A" w14:paraId="561A1780" w14:textId="77777777" w:rsidTr="00704F4A">
        <w:tc>
          <w:tcPr>
            <w:tcW w:w="516" w:type="dxa"/>
            <w:shd w:val="clear" w:color="auto" w:fill="DEEAF6" w:themeFill="accent1" w:themeFillTint="33"/>
          </w:tcPr>
          <w:p w14:paraId="0ABC3E1B" w14:textId="77777777"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СР</w:t>
            </w:r>
          </w:p>
          <w:p w14:paraId="72A7370C" w14:textId="77777777"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Рб.</w:t>
            </w:r>
          </w:p>
        </w:tc>
        <w:tc>
          <w:tcPr>
            <w:tcW w:w="4003" w:type="dxa"/>
            <w:shd w:val="clear" w:color="auto" w:fill="DEEAF6" w:themeFill="accent1" w:themeFillTint="33"/>
            <w:vAlign w:val="center"/>
          </w:tcPr>
          <w:p w14:paraId="13F7ABC4" w14:textId="77777777"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Назив структурне реформе</w:t>
            </w:r>
          </w:p>
        </w:tc>
        <w:tc>
          <w:tcPr>
            <w:tcW w:w="9990" w:type="dxa"/>
            <w:shd w:val="clear" w:color="auto" w:fill="DEEAF6" w:themeFill="accent1" w:themeFillTint="33"/>
            <w:vAlign w:val="center"/>
          </w:tcPr>
          <w:p w14:paraId="1F8540F7" w14:textId="77777777" w:rsidR="009B2947" w:rsidRPr="0078079A" w:rsidRDefault="009B2947" w:rsidP="009B2947">
            <w:pPr>
              <w:spacing w:after="0"/>
              <w:jc w:val="both"/>
              <w:rPr>
                <w:rFonts w:ascii="Times New Roman" w:hAnsi="Times New Roman" w:cs="Times New Roman"/>
                <w:lang w:val="sr-Cyrl-CS"/>
              </w:rPr>
            </w:pPr>
            <w:r w:rsidRPr="0078079A">
              <w:rPr>
                <w:rFonts w:ascii="Times New Roman" w:hAnsi="Times New Roman" w:cs="Times New Roman"/>
                <w:b/>
                <w:lang w:val="sr-Cyrl-CS"/>
              </w:rPr>
              <w:t>Опис структурне реформе</w:t>
            </w:r>
          </w:p>
        </w:tc>
      </w:tr>
      <w:tr w:rsidR="009B2947" w:rsidRPr="0078079A" w14:paraId="042161C0" w14:textId="77777777" w:rsidTr="006B01EB">
        <w:tc>
          <w:tcPr>
            <w:tcW w:w="516" w:type="dxa"/>
          </w:tcPr>
          <w:p w14:paraId="42046630" w14:textId="77777777" w:rsidR="009B2947" w:rsidRPr="009B2947" w:rsidRDefault="009B2947" w:rsidP="009B2947">
            <w:pPr>
              <w:rPr>
                <w:rFonts w:ascii="Times New Roman" w:hAnsi="Times New Roman" w:cs="Times New Roman"/>
                <w:b/>
              </w:rPr>
            </w:pPr>
            <w:r>
              <w:rPr>
                <w:rFonts w:ascii="Times New Roman" w:hAnsi="Times New Roman" w:cs="Times New Roman"/>
                <w:b/>
              </w:rPr>
              <w:t>7</w:t>
            </w:r>
          </w:p>
        </w:tc>
        <w:tc>
          <w:tcPr>
            <w:tcW w:w="4003" w:type="dxa"/>
          </w:tcPr>
          <w:p w14:paraId="3DD10D5D" w14:textId="77777777" w:rsidR="009B2947" w:rsidRPr="0078079A" w:rsidRDefault="009B2947" w:rsidP="009B2947">
            <w:pPr>
              <w:rPr>
                <w:rFonts w:ascii="Times New Roman" w:hAnsi="Times New Roman" w:cs="Times New Roman"/>
                <w:b/>
                <w:lang w:val="sr-Cyrl-CS"/>
              </w:rPr>
            </w:pPr>
            <w:r w:rsidRPr="009B2947">
              <w:rPr>
                <w:rFonts w:ascii="Times New Roman" w:hAnsi="Times New Roman" w:cs="Times New Roman"/>
                <w:b/>
                <w:lang w:val="sr-Cyrl-CS"/>
              </w:rPr>
              <w:t>Развој енергетског тржишта уз изградњу енергетске инфраструктуре</w:t>
            </w:r>
          </w:p>
        </w:tc>
        <w:tc>
          <w:tcPr>
            <w:tcW w:w="9990" w:type="dxa"/>
          </w:tcPr>
          <w:p w14:paraId="17FA7F08" w14:textId="77777777" w:rsidR="009217C2" w:rsidRDefault="005245C5" w:rsidP="009B2947">
            <w:pPr>
              <w:spacing w:after="0"/>
              <w:jc w:val="both"/>
              <w:rPr>
                <w:rFonts w:ascii="Times New Roman" w:hAnsi="Times New Roman" w:cs="Times New Roman"/>
                <w:lang w:val="sr-Cyrl-CS"/>
              </w:rPr>
            </w:pPr>
            <w:r w:rsidRPr="0005748D">
              <w:rPr>
                <w:rFonts w:ascii="Times New Roman" w:hAnsi="Times New Roman" w:cs="Times New Roman"/>
                <w:lang w:val="sr-Cyrl-CS"/>
              </w:rPr>
              <w:t>Структурна реформа подразумева развој енергетског тржишта уз изградњу енергетске инфраструктуре, а за циљ има повећање преносног капацитета мреже Западне Србије, повећање сигурности и поузданости напајања електричном енергијом потрошача у Републици Србији, као и изградњу нових интерконективних далековода на границама са Румунијом, БиХ и Црном Гором.</w:t>
            </w:r>
            <w:r w:rsidR="009217C2">
              <w:rPr>
                <w:rFonts w:ascii="Times New Roman" w:hAnsi="Times New Roman" w:cs="Times New Roman"/>
                <w:lang w:val="sr-Cyrl-RS"/>
              </w:rPr>
              <w:t xml:space="preserve"> Пројекат </w:t>
            </w:r>
            <w:r w:rsidR="009217C2">
              <w:rPr>
                <w:rFonts w:ascii="Times New Roman" w:hAnsi="Times New Roman" w:cs="Times New Roman"/>
              </w:rPr>
              <w:t>T</w:t>
            </w:r>
            <w:r w:rsidR="009217C2">
              <w:rPr>
                <w:rFonts w:ascii="Times New Roman" w:hAnsi="Times New Roman" w:cs="Times New Roman"/>
                <w:lang w:val="sr-Cyrl-RS"/>
              </w:rPr>
              <w:t>рансбалкански коридор (</w:t>
            </w:r>
            <w:r w:rsidR="009217C2">
              <w:rPr>
                <w:rFonts w:ascii="Times New Roman" w:hAnsi="Times New Roman" w:cs="Times New Roman"/>
                <w:lang w:val="sr-Latn-RS"/>
              </w:rPr>
              <w:t xml:space="preserve">I </w:t>
            </w:r>
            <w:r w:rsidR="009217C2">
              <w:rPr>
                <w:rFonts w:ascii="Times New Roman" w:hAnsi="Times New Roman" w:cs="Times New Roman"/>
                <w:lang w:val="sr-Cyrl-RS"/>
              </w:rPr>
              <w:t>фаза) се састоји од четири секције</w:t>
            </w:r>
            <w:r w:rsidR="009217C2">
              <w:rPr>
                <w:rFonts w:ascii="Times New Roman" w:hAnsi="Times New Roman" w:cs="Times New Roman"/>
                <w:lang w:val="sr-Latn-RS"/>
              </w:rPr>
              <w:t>.</w:t>
            </w:r>
          </w:p>
          <w:p w14:paraId="7FE80C00" w14:textId="77777777" w:rsidR="009217C2" w:rsidRPr="009D6DAC" w:rsidRDefault="009217C2" w:rsidP="009B2947">
            <w:pPr>
              <w:spacing w:after="0"/>
              <w:jc w:val="both"/>
              <w:rPr>
                <w:rFonts w:ascii="Times New Roman" w:hAnsi="Times New Roman" w:cs="Times New Roman"/>
                <w:highlight w:val="yellow"/>
                <w:lang w:val="sr-Cyrl-CS"/>
              </w:rPr>
            </w:pPr>
          </w:p>
        </w:tc>
      </w:tr>
      <w:tr w:rsidR="009B2947" w:rsidRPr="0078079A" w14:paraId="59F412A8" w14:textId="77777777" w:rsidTr="006B01EB">
        <w:tc>
          <w:tcPr>
            <w:tcW w:w="516" w:type="dxa"/>
          </w:tcPr>
          <w:p w14:paraId="0FAFBF12" w14:textId="77777777" w:rsidR="009B2947" w:rsidRPr="009B2947" w:rsidRDefault="009B2947" w:rsidP="009B2947">
            <w:pPr>
              <w:rPr>
                <w:rFonts w:ascii="Times New Roman" w:hAnsi="Times New Roman" w:cs="Times New Roman"/>
                <w:b/>
              </w:rPr>
            </w:pPr>
            <w:r>
              <w:rPr>
                <w:rFonts w:ascii="Times New Roman" w:hAnsi="Times New Roman" w:cs="Times New Roman"/>
                <w:b/>
              </w:rPr>
              <w:lastRenderedPageBreak/>
              <w:t>8</w:t>
            </w:r>
          </w:p>
        </w:tc>
        <w:tc>
          <w:tcPr>
            <w:tcW w:w="4003" w:type="dxa"/>
          </w:tcPr>
          <w:p w14:paraId="6441D17B" w14:textId="77777777" w:rsidR="009B2947" w:rsidRPr="0078079A" w:rsidRDefault="00506A0E" w:rsidP="009B2947">
            <w:pPr>
              <w:rPr>
                <w:rFonts w:ascii="Times New Roman" w:hAnsi="Times New Roman" w:cs="Times New Roman"/>
                <w:b/>
                <w:lang w:val="sr-Cyrl-CS"/>
              </w:rPr>
            </w:pPr>
            <w:r w:rsidRPr="00506A0E">
              <w:rPr>
                <w:rFonts w:ascii="Times New Roman" w:hAnsi="Times New Roman" w:cs="Times New Roman"/>
                <w:b/>
                <w:lang w:val="sr-Cyrl-CS"/>
              </w:rPr>
              <w:t>Унапређење услова за повећање енергетске ефикасности кроз унапређење правног и институционалног оквира и обезбеђење подстицаја</w:t>
            </w:r>
          </w:p>
        </w:tc>
        <w:tc>
          <w:tcPr>
            <w:tcW w:w="9990" w:type="dxa"/>
          </w:tcPr>
          <w:p w14:paraId="4C0E4183" w14:textId="77777777" w:rsidR="009B2947" w:rsidRPr="009D6DAC" w:rsidRDefault="009217C2" w:rsidP="009B2947">
            <w:pPr>
              <w:spacing w:after="0"/>
              <w:jc w:val="both"/>
              <w:rPr>
                <w:rFonts w:ascii="Times New Roman" w:hAnsi="Times New Roman" w:cs="Times New Roman"/>
                <w:highlight w:val="yellow"/>
                <w:lang w:val="sr-Cyrl-CS"/>
              </w:rPr>
            </w:pPr>
            <w:r w:rsidRPr="005245C5">
              <w:rPr>
                <w:rFonts w:ascii="Times New Roman" w:hAnsi="Times New Roman" w:cs="Times New Roman"/>
                <w:lang w:val="sr-Cyrl-CS"/>
              </w:rPr>
              <w:t>Реформа ће обухватити доношење подзаконских аката новог Закона о енергетској ефикасности и рационалној употреби енергије у циљу потпуне хармонизације са регулативом ЕУ у области енергетске ефикасности. Предвиђа и јачање капацитета за спровођење политике енергетске ефикасности, финансирање енергетске ефикасности и успостављање одрживог механизма финансирања енергетске ефикасности кроз оснивање и почетак рада Управе за финансирање и подстицање енергетске ефикасности као и подстицај за енергетску ефикасност који ће посебно бити усмерени на домаћинства, за потребе енергетске санације стамбених објеката и уградњу соларних панела за производњу електричне енергије за сопствене потребе.</w:t>
            </w:r>
          </w:p>
        </w:tc>
      </w:tr>
      <w:tr w:rsidR="009B2947" w:rsidRPr="0078079A" w14:paraId="616917A9" w14:textId="77777777" w:rsidTr="009B2947">
        <w:tc>
          <w:tcPr>
            <w:tcW w:w="14509" w:type="dxa"/>
            <w:gridSpan w:val="3"/>
            <w:shd w:val="clear" w:color="auto" w:fill="DEEAF6" w:themeFill="accent1" w:themeFillTint="33"/>
          </w:tcPr>
          <w:p w14:paraId="037CAF98" w14:textId="77777777" w:rsidR="009B2947" w:rsidRPr="009B2947" w:rsidRDefault="00D54AA4" w:rsidP="00D54AA4">
            <w:pPr>
              <w:spacing w:after="0"/>
              <w:jc w:val="both"/>
              <w:rPr>
                <w:rFonts w:ascii="Times New Roman" w:hAnsi="Times New Roman" w:cs="Times New Roman"/>
                <w:b/>
                <w:lang w:val="sr-Cyrl-CS"/>
              </w:rPr>
            </w:pPr>
            <w:r>
              <w:rPr>
                <w:rFonts w:ascii="Times New Roman" w:hAnsi="Times New Roman" w:cs="Times New Roman"/>
                <w:b/>
                <w:lang w:val="sr-Cyrl-CS"/>
              </w:rPr>
              <w:t>ИЗАЗОВИ</w:t>
            </w:r>
            <w:r w:rsidR="009B2947" w:rsidRPr="009B2947">
              <w:rPr>
                <w:rFonts w:ascii="Times New Roman" w:hAnsi="Times New Roman" w:cs="Times New Roman"/>
                <w:b/>
                <w:lang w:val="sr-Cyrl-CS"/>
              </w:rPr>
              <w:t xml:space="preserve"> У ДРУГИМ ОБЛАСТИМА И ОДГОВАРАЈУЋЕ СТРУКТУРНЕ РЕФОРМЕ</w:t>
            </w:r>
          </w:p>
        </w:tc>
      </w:tr>
      <w:tr w:rsidR="009B2947" w:rsidRPr="0078079A" w14:paraId="5CCFBB17" w14:textId="77777777" w:rsidTr="009B2947">
        <w:trPr>
          <w:trHeight w:val="440"/>
        </w:trPr>
        <w:tc>
          <w:tcPr>
            <w:tcW w:w="14509" w:type="dxa"/>
            <w:gridSpan w:val="3"/>
            <w:shd w:val="clear" w:color="auto" w:fill="DEEAF6" w:themeFill="accent1" w:themeFillTint="33"/>
            <w:vAlign w:val="center"/>
          </w:tcPr>
          <w:p w14:paraId="17BD8623" w14:textId="77777777" w:rsidR="009B2947" w:rsidRPr="0078079A" w:rsidRDefault="009B2947" w:rsidP="009B2947">
            <w:pPr>
              <w:spacing w:after="0"/>
              <w:rPr>
                <w:rFonts w:ascii="Times New Roman" w:hAnsi="Times New Roman" w:cs="Times New Roman"/>
                <w:lang w:val="sr-Cyrl-CS"/>
              </w:rPr>
            </w:pPr>
            <w:r w:rsidRPr="009B2947">
              <w:rPr>
                <w:rFonts w:ascii="Times New Roman" w:hAnsi="Times New Roman" w:cs="Times New Roman"/>
                <w:b/>
                <w:lang w:val="sr-Cyrl-CS"/>
              </w:rPr>
              <w:t xml:space="preserve">Област </w:t>
            </w:r>
            <w:r>
              <w:rPr>
                <w:rFonts w:ascii="Times New Roman" w:hAnsi="Times New Roman" w:cs="Times New Roman"/>
                <w:b/>
              </w:rPr>
              <w:t xml:space="preserve">1: </w:t>
            </w:r>
            <w:r w:rsidRPr="009B2947">
              <w:rPr>
                <w:rFonts w:ascii="Times New Roman" w:hAnsi="Times New Roman" w:cs="Times New Roman"/>
                <w:b/>
                <w:lang w:val="sr-Cyrl-CS"/>
              </w:rPr>
              <w:t>УПРАВЉАЊЕ ЈАВНИМ ФИНАНСИЈАМА</w:t>
            </w:r>
          </w:p>
        </w:tc>
      </w:tr>
      <w:tr w:rsidR="009B2947" w:rsidRPr="0078079A" w14:paraId="7177D32B" w14:textId="77777777" w:rsidTr="006B01EB">
        <w:tc>
          <w:tcPr>
            <w:tcW w:w="516" w:type="dxa"/>
          </w:tcPr>
          <w:p w14:paraId="28493B0C" w14:textId="77777777" w:rsidR="009B2947" w:rsidRPr="009B2947" w:rsidRDefault="009B2947" w:rsidP="009B2947">
            <w:pPr>
              <w:rPr>
                <w:rFonts w:ascii="Times New Roman" w:hAnsi="Times New Roman" w:cs="Times New Roman"/>
                <w:b/>
              </w:rPr>
            </w:pPr>
            <w:r>
              <w:rPr>
                <w:rFonts w:ascii="Times New Roman" w:hAnsi="Times New Roman" w:cs="Times New Roman"/>
                <w:b/>
              </w:rPr>
              <w:t>9</w:t>
            </w:r>
          </w:p>
        </w:tc>
        <w:tc>
          <w:tcPr>
            <w:tcW w:w="4003" w:type="dxa"/>
          </w:tcPr>
          <w:p w14:paraId="1C6AFF19" w14:textId="77777777" w:rsidR="009B2947" w:rsidRPr="0078079A" w:rsidRDefault="00457038" w:rsidP="00457038">
            <w:pPr>
              <w:rPr>
                <w:rFonts w:ascii="Times New Roman" w:hAnsi="Times New Roman" w:cs="Times New Roman"/>
                <w:b/>
                <w:lang w:val="sr-Cyrl-CS"/>
              </w:rPr>
            </w:pPr>
            <w:r>
              <w:rPr>
                <w:rFonts w:ascii="Times New Roman" w:hAnsi="Times New Roman" w:cs="Times New Roman"/>
                <w:b/>
                <w:lang w:val="sr-Cyrl-CS"/>
              </w:rPr>
              <w:t>Трансформација П</w:t>
            </w:r>
            <w:r w:rsidRPr="009B2947">
              <w:rPr>
                <w:rFonts w:ascii="Times New Roman" w:hAnsi="Times New Roman" w:cs="Times New Roman"/>
                <w:b/>
                <w:lang w:val="sr-Cyrl-CS"/>
              </w:rPr>
              <w:t xml:space="preserve">ореске управе </w:t>
            </w:r>
          </w:p>
        </w:tc>
        <w:tc>
          <w:tcPr>
            <w:tcW w:w="9990" w:type="dxa"/>
          </w:tcPr>
          <w:p w14:paraId="4FC91D5A" w14:textId="77777777" w:rsidR="009B2947" w:rsidRPr="0078079A" w:rsidRDefault="00457038" w:rsidP="00457038">
            <w:pPr>
              <w:spacing w:after="0"/>
              <w:jc w:val="both"/>
              <w:rPr>
                <w:rFonts w:ascii="Times New Roman" w:hAnsi="Times New Roman" w:cs="Times New Roman"/>
                <w:lang w:val="sr-Cyrl-CS"/>
              </w:rPr>
            </w:pPr>
            <w:r w:rsidRPr="009B2947">
              <w:rPr>
                <w:rFonts w:ascii="Times New Roman" w:hAnsi="Times New Roman" w:cs="Times New Roman"/>
                <w:lang w:val="sr-Cyrl-CS"/>
              </w:rPr>
              <w:t>Главни циљ структурне реформе је да Пореска управа постане организација коју карактерише модерно дигитално пословање, да буде администрација оријентисана ка пружању услуга пореским обвезницима, да се услуге пружају у складу са најбољим међународним стандардима, да постоји анализа ризика која омогућава ефикасно коришћење расположивих ресурса за оптимизацију прикупљања прихода. Реформа подразумева три компоненте: 1. Интегрисан информациони систем базиран на COTS-у, који укршта и проверава податке Пореске управе и трећих страна у циљу откривања пореских обвезника који не послују у складу са прописима</w:t>
            </w:r>
            <w:r>
              <w:rPr>
                <w:rFonts w:ascii="Times New Roman" w:hAnsi="Times New Roman" w:cs="Times New Roman"/>
                <w:lang w:val="sr-Cyrl-RS"/>
              </w:rPr>
              <w:t xml:space="preserve"> (набавка и почетак имплементације </w:t>
            </w:r>
            <w:r w:rsidRPr="009B2947">
              <w:rPr>
                <w:rFonts w:ascii="Times New Roman" w:hAnsi="Times New Roman" w:cs="Times New Roman"/>
                <w:lang w:val="sr-Cyrl-CS"/>
              </w:rPr>
              <w:t>COTS</w:t>
            </w:r>
            <w:r>
              <w:rPr>
                <w:rFonts w:ascii="Times New Roman" w:hAnsi="Times New Roman" w:cs="Times New Roman"/>
                <w:lang w:val="sr-Cyrl-CS"/>
              </w:rPr>
              <w:t xml:space="preserve"> се очекује у 2022</w:t>
            </w:r>
            <w:r>
              <w:rPr>
                <w:rFonts w:ascii="Times New Roman" w:hAnsi="Times New Roman" w:cs="Times New Roman"/>
                <w:lang w:val="sr-Cyrl-RS"/>
              </w:rPr>
              <w:t>)</w:t>
            </w:r>
            <w:r w:rsidRPr="009B2947">
              <w:rPr>
                <w:rFonts w:ascii="Times New Roman" w:hAnsi="Times New Roman" w:cs="Times New Roman"/>
                <w:lang w:val="sr-Cyrl-CS"/>
              </w:rPr>
              <w:t>; 2. Лични е-Портал прилагођен сваком пореском обвезнику, који представља модул за директну комуникацију појединца са Пореском управом и 3.Унапређење стручног образовања пореских службеника на Пореској академији.</w:t>
            </w:r>
            <w:r w:rsidR="009B2947" w:rsidRPr="009B2947">
              <w:rPr>
                <w:rFonts w:ascii="Times New Roman" w:hAnsi="Times New Roman" w:cs="Times New Roman"/>
                <w:lang w:val="sr-Cyrl-CS"/>
              </w:rPr>
              <w:t xml:space="preserve"> </w:t>
            </w:r>
          </w:p>
        </w:tc>
      </w:tr>
      <w:tr w:rsidR="009B2947" w:rsidRPr="0078079A" w14:paraId="345D868E" w14:textId="77777777" w:rsidTr="006B01EB">
        <w:tc>
          <w:tcPr>
            <w:tcW w:w="516" w:type="dxa"/>
          </w:tcPr>
          <w:p w14:paraId="1CED11C8" w14:textId="77777777" w:rsidR="009B2947" w:rsidRPr="009B2947" w:rsidRDefault="009B2947" w:rsidP="009B2947">
            <w:pPr>
              <w:rPr>
                <w:rFonts w:ascii="Times New Roman" w:hAnsi="Times New Roman" w:cs="Times New Roman"/>
                <w:b/>
              </w:rPr>
            </w:pPr>
            <w:r>
              <w:rPr>
                <w:rFonts w:ascii="Times New Roman" w:hAnsi="Times New Roman" w:cs="Times New Roman"/>
                <w:b/>
              </w:rPr>
              <w:t>10</w:t>
            </w:r>
          </w:p>
        </w:tc>
        <w:tc>
          <w:tcPr>
            <w:tcW w:w="4003" w:type="dxa"/>
          </w:tcPr>
          <w:p w14:paraId="4DCFF48E" w14:textId="77777777" w:rsidR="009B2947" w:rsidRPr="0078079A" w:rsidRDefault="00457038" w:rsidP="009B2947">
            <w:pPr>
              <w:rPr>
                <w:rFonts w:ascii="Times New Roman" w:hAnsi="Times New Roman" w:cs="Times New Roman"/>
                <w:b/>
                <w:lang w:val="sr-Cyrl-CS"/>
              </w:rPr>
            </w:pPr>
            <w:r w:rsidRPr="009B2947">
              <w:rPr>
                <w:rFonts w:ascii="Times New Roman" w:hAnsi="Times New Roman" w:cs="Times New Roman"/>
                <w:b/>
                <w:lang w:val="sr-Cyrl-CS"/>
              </w:rPr>
              <w:t>Увођење новог модела фискализације и прелазак на електронско фактурисање</w:t>
            </w:r>
          </w:p>
        </w:tc>
        <w:tc>
          <w:tcPr>
            <w:tcW w:w="9990" w:type="dxa"/>
          </w:tcPr>
          <w:p w14:paraId="3DE5CFB1" w14:textId="77777777" w:rsidR="009B2947" w:rsidRPr="0078079A" w:rsidRDefault="00457038" w:rsidP="009B2947">
            <w:pPr>
              <w:spacing w:after="0"/>
              <w:jc w:val="both"/>
              <w:rPr>
                <w:rFonts w:ascii="Times New Roman" w:hAnsi="Times New Roman" w:cs="Times New Roman"/>
                <w:lang w:val="sr-Cyrl-CS"/>
              </w:rPr>
            </w:pPr>
            <w:r w:rsidRPr="009B2947">
              <w:rPr>
                <w:rFonts w:ascii="Times New Roman" w:hAnsi="Times New Roman" w:cs="Times New Roman"/>
                <w:lang w:val="sr-Cyrl-CS"/>
              </w:rPr>
              <w:t xml:space="preserve">Структурна реформа подразумева две мере – увођење новог модела фискализације (е-фискализација) и прелазак на електронско фактурисање. Како је током 2021. године фокус усмерен на креирање правног оквира и упознавање јавности са реформама (укључујући и програме обука), у 2022. години почиње имплементација и прелазак на нове дигитализоване моделе издавања фискалних рачуна и фактурисања. Предвиђено је да у току 2022. године, поступно, сви обвезници ПДВ пређу на нове моделе и да се тако период комплетне транзиције оконча у року од годину дана.  </w:t>
            </w:r>
          </w:p>
        </w:tc>
      </w:tr>
      <w:tr w:rsidR="009B2947" w:rsidRPr="0078079A" w14:paraId="26952A83" w14:textId="77777777" w:rsidTr="00687D9F">
        <w:trPr>
          <w:trHeight w:val="397"/>
        </w:trPr>
        <w:tc>
          <w:tcPr>
            <w:tcW w:w="14509" w:type="dxa"/>
            <w:gridSpan w:val="3"/>
            <w:shd w:val="clear" w:color="auto" w:fill="DEEAF6" w:themeFill="accent1" w:themeFillTint="33"/>
            <w:vAlign w:val="center"/>
          </w:tcPr>
          <w:p w14:paraId="02FFB37B" w14:textId="77777777"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2: ЗЕЛЕНА ТРАНЗИЦИЈА</w:t>
            </w:r>
          </w:p>
        </w:tc>
      </w:tr>
      <w:tr w:rsidR="009B2947" w:rsidRPr="0078079A" w14:paraId="6B0A893E" w14:textId="77777777" w:rsidTr="006B01EB">
        <w:tc>
          <w:tcPr>
            <w:tcW w:w="516" w:type="dxa"/>
          </w:tcPr>
          <w:p w14:paraId="438C993E" w14:textId="77777777" w:rsidR="009B2947" w:rsidRPr="0078079A" w:rsidRDefault="009B2947" w:rsidP="009B2947">
            <w:pPr>
              <w:rPr>
                <w:rFonts w:ascii="Times New Roman" w:hAnsi="Times New Roman" w:cs="Times New Roman"/>
                <w:b/>
                <w:lang w:val="sr-Cyrl-CS"/>
              </w:rPr>
            </w:pPr>
            <w:r>
              <w:rPr>
                <w:rFonts w:ascii="Times New Roman" w:hAnsi="Times New Roman" w:cs="Times New Roman"/>
                <w:b/>
                <w:lang w:val="sr-Cyrl-CS"/>
              </w:rPr>
              <w:t>11</w:t>
            </w:r>
          </w:p>
        </w:tc>
        <w:tc>
          <w:tcPr>
            <w:tcW w:w="4003" w:type="dxa"/>
          </w:tcPr>
          <w:p w14:paraId="03DFAC1B" w14:textId="77777777"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Увођење концепта циркуларне економије</w:t>
            </w:r>
          </w:p>
        </w:tc>
        <w:tc>
          <w:tcPr>
            <w:tcW w:w="9990" w:type="dxa"/>
          </w:tcPr>
          <w:p w14:paraId="36DA2D59" w14:textId="77777777" w:rsidR="009B2947" w:rsidRPr="0078079A" w:rsidRDefault="009B2947" w:rsidP="009B2947">
            <w:pPr>
              <w:spacing w:after="0"/>
              <w:jc w:val="both"/>
              <w:rPr>
                <w:rFonts w:ascii="Times New Roman" w:hAnsi="Times New Roman" w:cs="Times New Roman"/>
                <w:lang w:val="sr-Cyrl-CS"/>
              </w:rPr>
            </w:pPr>
            <w:r w:rsidRPr="0078079A">
              <w:rPr>
                <w:rFonts w:ascii="Times New Roman" w:hAnsi="Times New Roman" w:cs="Times New Roman"/>
                <w:lang w:val="sr-Cyrl-CS"/>
              </w:rPr>
              <w:t>Структурна реформа која предвиђа увођење концепта ци</w:t>
            </w:r>
            <w:r>
              <w:rPr>
                <w:rFonts w:ascii="Times New Roman" w:hAnsi="Times New Roman" w:cs="Times New Roman"/>
                <w:lang w:val="sr-Cyrl-CS"/>
              </w:rPr>
              <w:t>ркуларне економије као мултидисцип</w:t>
            </w:r>
            <w:r w:rsidRPr="0078079A">
              <w:rPr>
                <w:rFonts w:ascii="Times New Roman" w:hAnsi="Times New Roman" w:cs="Times New Roman"/>
                <w:lang w:val="sr-Cyrl-CS"/>
              </w:rPr>
              <w:t>линарног модела који повезује многе области, има за циљ покретање зелене привредне транзиције Републике Србије, уз ефикасно коришћење ресурса и енергије и очување и унапређење животне средине и здравља људи. Развојем иновативног дизајна, дигитализације и нових технолошких достигнућа, допринеће се стварању модерног, конкуре</w:t>
            </w:r>
            <w:r>
              <w:rPr>
                <w:rFonts w:ascii="Times New Roman" w:hAnsi="Times New Roman" w:cs="Times New Roman"/>
                <w:lang w:val="sr-Cyrl-CS"/>
              </w:rPr>
              <w:t>н</w:t>
            </w:r>
            <w:r w:rsidRPr="0078079A">
              <w:rPr>
                <w:rFonts w:ascii="Times New Roman" w:hAnsi="Times New Roman" w:cs="Times New Roman"/>
                <w:lang w:val="sr-Cyrl-CS"/>
              </w:rPr>
              <w:t xml:space="preserve">тног  и климатски неутралног друштва. Реформа ће се спроводити кроз подршку </w:t>
            </w:r>
            <w:r w:rsidRPr="0078079A">
              <w:rPr>
                <w:rFonts w:ascii="Times New Roman" w:hAnsi="Times New Roman" w:cs="Times New Roman"/>
                <w:szCs w:val="20"/>
                <w:lang w:val="sr-Cyrl-CS"/>
              </w:rPr>
              <w:t>привредним субјектима, локалним самоуправама и кроз унапређење сарадње бизнис и научно-истраживачког сектора.</w:t>
            </w:r>
          </w:p>
        </w:tc>
      </w:tr>
      <w:tr w:rsidR="009B2947" w:rsidRPr="0078079A" w14:paraId="118640E2" w14:textId="77777777" w:rsidTr="006B01EB">
        <w:tc>
          <w:tcPr>
            <w:tcW w:w="516" w:type="dxa"/>
          </w:tcPr>
          <w:p w14:paraId="0E400E88" w14:textId="77777777" w:rsidR="009B2947" w:rsidRPr="009B2947" w:rsidRDefault="009B2947" w:rsidP="009B2947">
            <w:pPr>
              <w:rPr>
                <w:rFonts w:ascii="Times New Roman" w:hAnsi="Times New Roman" w:cs="Times New Roman"/>
                <w:b/>
              </w:rPr>
            </w:pPr>
            <w:r>
              <w:rPr>
                <w:rFonts w:ascii="Times New Roman" w:hAnsi="Times New Roman" w:cs="Times New Roman"/>
                <w:b/>
              </w:rPr>
              <w:lastRenderedPageBreak/>
              <w:t>12</w:t>
            </w:r>
          </w:p>
        </w:tc>
        <w:tc>
          <w:tcPr>
            <w:tcW w:w="4003" w:type="dxa"/>
          </w:tcPr>
          <w:p w14:paraId="4A7A2663" w14:textId="77777777" w:rsidR="009B2947" w:rsidRPr="0078079A" w:rsidRDefault="005245C5" w:rsidP="009B2947">
            <w:pPr>
              <w:rPr>
                <w:rFonts w:ascii="Times New Roman" w:hAnsi="Times New Roman" w:cs="Times New Roman"/>
                <w:b/>
                <w:lang w:val="sr-Cyrl-CS"/>
              </w:rPr>
            </w:pPr>
            <w:r w:rsidRPr="00762236">
              <w:rPr>
                <w:rFonts w:ascii="Times New Roman" w:hAnsi="Times New Roman" w:cs="Times New Roman"/>
                <w:b/>
                <w:lang w:val="sr-Cyrl-CS"/>
              </w:rPr>
              <w:t xml:space="preserve">Успостављање депозитног система </w:t>
            </w:r>
            <w:r w:rsidR="00B750B6" w:rsidRPr="00762236">
              <w:rPr>
                <w:rFonts w:ascii="Times New Roman" w:hAnsi="Times New Roman" w:cs="Times New Roman"/>
                <w:b/>
                <w:lang w:val="sr-Cyrl-CS"/>
              </w:rPr>
              <w:t>у области управљања амбалажним отпадом</w:t>
            </w:r>
          </w:p>
        </w:tc>
        <w:tc>
          <w:tcPr>
            <w:tcW w:w="9990" w:type="dxa"/>
          </w:tcPr>
          <w:p w14:paraId="4B1F7988" w14:textId="77777777" w:rsidR="009D7533" w:rsidRPr="009D7533" w:rsidRDefault="00091C37" w:rsidP="00091C37">
            <w:pPr>
              <w:spacing w:after="0"/>
              <w:jc w:val="both"/>
              <w:rPr>
                <w:rFonts w:ascii="Times New Roman" w:hAnsi="Times New Roman" w:cs="Times New Roman"/>
                <w:lang w:val="sr-Cyrl-CS"/>
              </w:rPr>
            </w:pPr>
            <w:r w:rsidRPr="002D3921">
              <w:rPr>
                <w:rFonts w:ascii="Times New Roman" w:hAnsi="Times New Roman" w:cs="Times New Roman"/>
                <w:lang w:val="sr-Cyrl-CS"/>
              </w:rPr>
              <w:t>Циљ структурне реформе је увођење д</w:t>
            </w:r>
            <w:r w:rsidR="00E7167F" w:rsidRPr="002D3921">
              <w:rPr>
                <w:rFonts w:ascii="Times New Roman" w:hAnsi="Times New Roman" w:cs="Times New Roman"/>
                <w:lang w:val="sr-Cyrl-CS"/>
              </w:rPr>
              <w:t>епозитн</w:t>
            </w:r>
            <w:r w:rsidRPr="002D3921">
              <w:rPr>
                <w:rFonts w:ascii="Times New Roman" w:hAnsi="Times New Roman" w:cs="Times New Roman"/>
                <w:lang w:val="sr-Cyrl-CS"/>
              </w:rPr>
              <w:t>ог</w:t>
            </w:r>
            <w:r w:rsidR="00E7167F" w:rsidRPr="002D3921">
              <w:rPr>
                <w:rFonts w:ascii="Times New Roman" w:hAnsi="Times New Roman" w:cs="Times New Roman"/>
                <w:lang w:val="sr-Cyrl-CS"/>
              </w:rPr>
              <w:t xml:space="preserve"> систем</w:t>
            </w:r>
            <w:r w:rsidRPr="002D3921">
              <w:rPr>
                <w:rFonts w:ascii="Times New Roman" w:hAnsi="Times New Roman" w:cs="Times New Roman"/>
                <w:lang w:val="sr-Cyrl-CS"/>
              </w:rPr>
              <w:t>а</w:t>
            </w:r>
            <w:r w:rsidR="00E7167F" w:rsidRPr="002D3921">
              <w:rPr>
                <w:rFonts w:ascii="Times New Roman" w:hAnsi="Times New Roman" w:cs="Times New Roman"/>
                <w:lang w:val="sr-Cyrl-CS"/>
              </w:rPr>
              <w:t xml:space="preserve"> (ДРС) за једнократну амбалажу</w:t>
            </w:r>
            <w:r w:rsidRPr="002D3921">
              <w:rPr>
                <w:rFonts w:ascii="Times New Roman" w:hAnsi="Times New Roman" w:cs="Times New Roman"/>
                <w:lang w:val="sr-Cyrl-CS"/>
              </w:rPr>
              <w:t>, који представља</w:t>
            </w:r>
            <w:r w:rsidR="00E7167F" w:rsidRPr="002D3921">
              <w:rPr>
                <w:rFonts w:ascii="Times New Roman" w:hAnsi="Times New Roman" w:cs="Times New Roman"/>
                <w:lang w:val="sr-Cyrl-CS"/>
              </w:rPr>
              <w:t xml:space="preserve"> </w:t>
            </w:r>
            <w:r w:rsidR="00E7167F" w:rsidRPr="00762236">
              <w:rPr>
                <w:rFonts w:ascii="Times New Roman" w:hAnsi="Times New Roman" w:cs="Times New Roman"/>
                <w:lang w:val="sr-Cyrl-CS"/>
              </w:rPr>
              <w:t>систем који подстиче повраћај (сакупљање) амбалаж</w:t>
            </w:r>
            <w:r w:rsidR="00B750B6" w:rsidRPr="00762236">
              <w:rPr>
                <w:rFonts w:ascii="Times New Roman" w:hAnsi="Times New Roman" w:cs="Times New Roman"/>
                <w:lang w:val="sr-Cyrl-CS"/>
              </w:rPr>
              <w:t xml:space="preserve">ног отпада </w:t>
            </w:r>
            <w:r w:rsidR="00E7167F" w:rsidRPr="00762236">
              <w:rPr>
                <w:rFonts w:ascii="Times New Roman" w:hAnsi="Times New Roman" w:cs="Times New Roman"/>
                <w:lang w:val="sr-Cyrl-CS"/>
              </w:rPr>
              <w:t>(најчешће лименки и флаша) на сабирна места, користећи депозит који може да се рефу</w:t>
            </w:r>
            <w:r w:rsidR="00B7434E" w:rsidRPr="00762236">
              <w:rPr>
                <w:rFonts w:ascii="Times New Roman" w:hAnsi="Times New Roman" w:cs="Times New Roman"/>
                <w:lang w:val="sr-Cyrl-CS"/>
              </w:rPr>
              <w:t>ндира</w:t>
            </w:r>
            <w:r w:rsidR="00E7167F" w:rsidRPr="00762236">
              <w:rPr>
                <w:rFonts w:ascii="Times New Roman" w:hAnsi="Times New Roman" w:cs="Times New Roman"/>
                <w:lang w:val="sr-Cyrl-CS"/>
              </w:rPr>
              <w:t xml:space="preserve">. </w:t>
            </w:r>
            <w:r w:rsidR="00B750B6" w:rsidRPr="00762236">
              <w:rPr>
                <w:rFonts w:ascii="Times New Roman" w:hAnsi="Times New Roman" w:cs="Times New Roman"/>
                <w:lang w:val="sr-Cyrl-CS"/>
              </w:rPr>
              <w:t xml:space="preserve">ДРС повећава стопе рециклирања и смањује смеће повећањем стопе прикупљања амбалаже за пиће, чиме се преусмерава материјал са депонија и постројења за спаљивање, што заузврат може смањити емисију гасова стаклене баште (због мање употребе сировог материјала за производњу нове амбалаже за пиће) и других загађивача ваздуха. </w:t>
            </w:r>
            <w:r w:rsidR="00E7167F" w:rsidRPr="00762236">
              <w:rPr>
                <w:rFonts w:ascii="Times New Roman" w:hAnsi="Times New Roman" w:cs="Times New Roman"/>
                <w:lang w:val="sr-Cyrl-CS"/>
              </w:rPr>
              <w:t>Потрошачи плаћају депозит када купе пиће, а депозит се враћа када врате искоришћену амбалажу на</w:t>
            </w:r>
            <w:r w:rsidR="00E7167F" w:rsidRPr="002D3921">
              <w:rPr>
                <w:rFonts w:ascii="Times New Roman" w:hAnsi="Times New Roman" w:cs="Times New Roman"/>
                <w:lang w:val="sr-Cyrl-CS"/>
              </w:rPr>
              <w:t xml:space="preserve"> одређено сабирно место ради рециклирања. Ако потрошач одлучи да не врати искоришћену амбалажу, губи депозит. Према конвенционалним ДРС у европским земљама, сабирна места се налазе у малопродајним објектима или близу њих, са великом већином повраћаја извршеног путем аутоматизованих „Реверзних аутомата за продају</w:t>
            </w:r>
            <w:r w:rsidR="00B7434E" w:rsidRPr="002D3921">
              <w:rPr>
                <w:rFonts w:ascii="Times New Roman" w:hAnsi="Times New Roman" w:cs="Times New Roman"/>
                <w:lang w:val="sr-Latn-RS"/>
              </w:rPr>
              <w:t>“</w:t>
            </w:r>
            <w:r w:rsidR="00E7167F" w:rsidRPr="002D3921">
              <w:rPr>
                <w:rFonts w:ascii="Times New Roman" w:hAnsi="Times New Roman" w:cs="Times New Roman"/>
                <w:lang w:val="sr-Cyrl-CS"/>
              </w:rPr>
              <w:t>.</w:t>
            </w:r>
          </w:p>
        </w:tc>
      </w:tr>
      <w:tr w:rsidR="009B2947" w:rsidRPr="0078079A" w14:paraId="04DFC512" w14:textId="77777777" w:rsidTr="00687D9F">
        <w:trPr>
          <w:trHeight w:val="397"/>
        </w:trPr>
        <w:tc>
          <w:tcPr>
            <w:tcW w:w="14509" w:type="dxa"/>
            <w:gridSpan w:val="3"/>
            <w:shd w:val="clear" w:color="auto" w:fill="DEEAF6" w:themeFill="accent1" w:themeFillTint="33"/>
            <w:vAlign w:val="center"/>
          </w:tcPr>
          <w:p w14:paraId="6673D5D9" w14:textId="77777777"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3: ДИГИТАЛНА ТРАНСФОРМАЦИЈА</w:t>
            </w:r>
          </w:p>
        </w:tc>
      </w:tr>
      <w:tr w:rsidR="009B2947" w:rsidRPr="0078079A" w14:paraId="00ED8882" w14:textId="77777777" w:rsidTr="006B01EB">
        <w:tc>
          <w:tcPr>
            <w:tcW w:w="516" w:type="dxa"/>
          </w:tcPr>
          <w:p w14:paraId="1797F1D9" w14:textId="77777777" w:rsidR="009B2947" w:rsidRPr="0078079A" w:rsidRDefault="005245C5" w:rsidP="009B2947">
            <w:pPr>
              <w:rPr>
                <w:rFonts w:ascii="Times New Roman" w:hAnsi="Times New Roman" w:cs="Times New Roman"/>
                <w:b/>
                <w:lang w:val="sr-Cyrl-CS"/>
              </w:rPr>
            </w:pPr>
            <w:r>
              <w:rPr>
                <w:rFonts w:ascii="Times New Roman" w:hAnsi="Times New Roman" w:cs="Times New Roman"/>
                <w:b/>
                <w:lang w:val="sr-Cyrl-CS"/>
              </w:rPr>
              <w:t>13</w:t>
            </w:r>
          </w:p>
        </w:tc>
        <w:tc>
          <w:tcPr>
            <w:tcW w:w="4003" w:type="dxa"/>
          </w:tcPr>
          <w:p w14:paraId="3B25CF0D" w14:textId="77777777"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Развој и унапређење националне информационо-комуникационе инфраструктуре</w:t>
            </w:r>
          </w:p>
          <w:p w14:paraId="3484E88F" w14:textId="77777777" w:rsidR="009B2947" w:rsidRPr="0078079A" w:rsidRDefault="009B2947" w:rsidP="009B2947">
            <w:pPr>
              <w:rPr>
                <w:rFonts w:ascii="Times New Roman" w:hAnsi="Times New Roman" w:cs="Times New Roman"/>
                <w:b/>
                <w:lang w:val="sr-Cyrl-CS"/>
              </w:rPr>
            </w:pPr>
          </w:p>
        </w:tc>
        <w:tc>
          <w:tcPr>
            <w:tcW w:w="9990" w:type="dxa"/>
          </w:tcPr>
          <w:p w14:paraId="69DA90AF" w14:textId="77777777" w:rsidR="009B2947" w:rsidRPr="0078079A" w:rsidRDefault="009B2947" w:rsidP="009B2947">
            <w:pPr>
              <w:tabs>
                <w:tab w:val="left" w:pos="1134"/>
              </w:tabs>
              <w:spacing w:after="0"/>
              <w:jc w:val="both"/>
              <w:rPr>
                <w:rFonts w:ascii="Times New Roman" w:hAnsi="Times New Roman"/>
                <w:lang w:val="sr-Cyrl-CS"/>
              </w:rPr>
            </w:pPr>
            <w:r w:rsidRPr="0078079A">
              <w:rPr>
                <w:rFonts w:ascii="Times New Roman" w:hAnsi="Times New Roman"/>
                <w:lang w:val="sr-Cyrl-CS"/>
              </w:rPr>
              <w:t>Реформа подразумева развој широкопојасних мрежа за приступ обезбеђивањем подстицаја државе за заједничку изградњу комуникационе инфраструктуре кроз реализацију пројекта изградње широкопојасне мреже у руралним областима, побољшање услова образовања и повећање коришћења сервиса електронске управе повезивањем установа образовања и културе на АМРЕС, као и кроз реализацију пројекта „Повезане школе”.</w:t>
            </w:r>
            <w:r w:rsidRPr="0078079A">
              <w:rPr>
                <w:rFonts w:ascii="Times New Roman" w:hAnsi="Times New Roman" w:cs="Times New Roman"/>
                <w:lang w:val="sr-Cyrl-CS"/>
              </w:rPr>
              <w:t xml:space="preserve"> Позитиван ефекат реализације реформе огледа се кроз </w:t>
            </w:r>
            <w:r w:rsidRPr="0078079A">
              <w:rPr>
                <w:rFonts w:ascii="Times New Roman" w:eastAsia="Times New Roman" w:hAnsi="Times New Roman" w:cs="Times New Roman"/>
                <w:color w:val="000000"/>
                <w:lang w:val="sr-Cyrl-CS"/>
              </w:rPr>
              <w:t>развој руралних области, повезивање привредних региона, развој индустријских зона, као и повећање употребе нових технологија и иновација у пословању и образовању.</w:t>
            </w:r>
          </w:p>
        </w:tc>
      </w:tr>
      <w:tr w:rsidR="009B2947" w:rsidRPr="0078079A" w14:paraId="4A1BCA13" w14:textId="77777777" w:rsidTr="006B01EB">
        <w:tc>
          <w:tcPr>
            <w:tcW w:w="516" w:type="dxa"/>
          </w:tcPr>
          <w:p w14:paraId="339A8B2A" w14:textId="77777777" w:rsidR="009B2947" w:rsidRPr="0078079A" w:rsidRDefault="005245C5" w:rsidP="009B2947">
            <w:pPr>
              <w:rPr>
                <w:rFonts w:ascii="Times New Roman" w:hAnsi="Times New Roman" w:cs="Times New Roman"/>
                <w:b/>
                <w:lang w:val="sr-Cyrl-CS"/>
              </w:rPr>
            </w:pPr>
            <w:r>
              <w:rPr>
                <w:rFonts w:ascii="Times New Roman" w:hAnsi="Times New Roman" w:cs="Times New Roman"/>
                <w:b/>
                <w:lang w:val="sr-Cyrl-CS"/>
              </w:rPr>
              <w:t>14</w:t>
            </w:r>
          </w:p>
        </w:tc>
        <w:tc>
          <w:tcPr>
            <w:tcW w:w="4003" w:type="dxa"/>
          </w:tcPr>
          <w:p w14:paraId="4AD99CFB" w14:textId="77777777"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 xml:space="preserve">Успостављање инфраструктуре и окружења за креирање и примену иновативних и решења базираних на вештачкој интелигенцији </w:t>
            </w:r>
          </w:p>
        </w:tc>
        <w:tc>
          <w:tcPr>
            <w:tcW w:w="9990" w:type="dxa"/>
          </w:tcPr>
          <w:p w14:paraId="19681C8B" w14:textId="77777777" w:rsidR="009B2947" w:rsidRPr="0078079A" w:rsidRDefault="009B2947" w:rsidP="009B2947">
            <w:pPr>
              <w:spacing w:after="0"/>
              <w:jc w:val="both"/>
              <w:rPr>
                <w:rFonts w:ascii="Times New Roman" w:hAnsi="Times New Roman" w:cs="Times New Roman"/>
                <w:lang w:val="sr-Cyrl-CS"/>
              </w:rPr>
            </w:pPr>
            <w:r w:rsidRPr="0078079A">
              <w:rPr>
                <w:rFonts w:ascii="Times New Roman" w:hAnsi="Times New Roman" w:cs="Times New Roman"/>
                <w:lang w:val="sr-Cyrl-CS"/>
              </w:rPr>
              <w:t xml:space="preserve">Структурна реформа </w:t>
            </w:r>
            <w:r w:rsidRPr="0078079A">
              <w:rPr>
                <w:rFonts w:ascii="Times New Roman" w:hAnsi="Times New Roman" w:cs="Times New Roman"/>
                <w:color w:val="000000"/>
                <w:lang w:val="sr-Cyrl-CS"/>
              </w:rPr>
              <w:t>има за циљ обезбеђивање неопходне техничке инфраст</w:t>
            </w:r>
            <w:r>
              <w:rPr>
                <w:rFonts w:ascii="Times New Roman" w:hAnsi="Times New Roman" w:cs="Times New Roman"/>
                <w:color w:val="000000"/>
                <w:lang w:val="sr-Cyrl-CS"/>
              </w:rPr>
              <w:t>р</w:t>
            </w:r>
            <w:r w:rsidRPr="0078079A">
              <w:rPr>
                <w:rFonts w:ascii="Times New Roman" w:hAnsi="Times New Roman" w:cs="Times New Roman"/>
                <w:color w:val="000000"/>
                <w:lang w:val="sr-Cyrl-CS"/>
              </w:rPr>
              <w:t xml:space="preserve">уктуре, али и стварање стимулативног окружења за развој иновативних и решења базираних на вештачкој интелигенцији. </w:t>
            </w:r>
            <w:r w:rsidRPr="0078079A">
              <w:rPr>
                <w:rFonts w:ascii="Times New Roman" w:hAnsi="Times New Roman" w:cs="Times New Roman"/>
                <w:lang w:val="sr-Cyrl-CS"/>
              </w:rPr>
              <w:t xml:space="preserve">Реформа подразумева изградњу неопходне инфраструктуре у комплексу Државног центра за управљање и чување података у Крагујевцу (Дата центар), оснаживање јединица локалних самоуправа кроз спровођење пројекта </w:t>
            </w:r>
            <w:r w:rsidRPr="0078079A">
              <w:rPr>
                <w:rFonts w:ascii="Times New Roman" w:hAnsi="Times New Roman" w:cs="Times New Roman"/>
                <w:i/>
                <w:lang w:val="sr-Cyrl-CS"/>
              </w:rPr>
              <w:t>Smart City</w:t>
            </w:r>
            <w:r w:rsidRPr="0078079A">
              <w:rPr>
                <w:rFonts w:ascii="Times New Roman" w:hAnsi="Times New Roman" w:cs="Times New Roman"/>
                <w:b/>
                <w:lang w:val="sr-Cyrl-CS"/>
              </w:rPr>
              <w:t xml:space="preserve"> </w:t>
            </w:r>
            <w:r w:rsidRPr="0078079A">
              <w:rPr>
                <w:rFonts w:ascii="Times New Roman" w:hAnsi="Times New Roman" w:cs="Times New Roman"/>
                <w:lang w:val="sr-Cyrl-CS"/>
              </w:rPr>
              <w:t>и изградњу креативно-иновативног мултифункционалног центра „Ложионица” у Београду.</w:t>
            </w:r>
          </w:p>
        </w:tc>
      </w:tr>
      <w:tr w:rsidR="009B2947" w:rsidRPr="0078079A" w14:paraId="305EB620" w14:textId="77777777" w:rsidTr="00687D9F">
        <w:trPr>
          <w:trHeight w:val="397"/>
        </w:trPr>
        <w:tc>
          <w:tcPr>
            <w:tcW w:w="14509" w:type="dxa"/>
            <w:gridSpan w:val="3"/>
            <w:shd w:val="clear" w:color="auto" w:fill="DEEAF6" w:themeFill="accent1" w:themeFillTint="33"/>
            <w:vAlign w:val="center"/>
          </w:tcPr>
          <w:p w14:paraId="272422FB" w14:textId="77777777"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shd w:val="clear" w:color="auto" w:fill="DEEAF6" w:themeFill="accent1" w:themeFillTint="33"/>
                <w:lang w:val="sr-Cyrl-CS"/>
              </w:rPr>
              <w:t>ОБЛАСТ</w:t>
            </w:r>
            <w:r w:rsidRPr="0078079A">
              <w:rPr>
                <w:rFonts w:ascii="Times New Roman" w:hAnsi="Times New Roman" w:cs="Times New Roman"/>
                <w:b/>
                <w:lang w:val="sr-Cyrl-CS"/>
              </w:rPr>
              <w:t xml:space="preserve"> 5: ИСТРАЖИВАЊЕ, РАВОЈ И ИНОВАЦИЈЕ</w:t>
            </w:r>
          </w:p>
        </w:tc>
      </w:tr>
      <w:tr w:rsidR="009B2947" w:rsidRPr="0078079A" w14:paraId="57500C25" w14:textId="77777777" w:rsidTr="006B01EB">
        <w:tc>
          <w:tcPr>
            <w:tcW w:w="516" w:type="dxa"/>
          </w:tcPr>
          <w:p w14:paraId="3C7DB348" w14:textId="77777777"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t>15</w:t>
            </w:r>
          </w:p>
        </w:tc>
        <w:tc>
          <w:tcPr>
            <w:tcW w:w="4003" w:type="dxa"/>
          </w:tcPr>
          <w:p w14:paraId="3D5399D6" w14:textId="77777777" w:rsidR="00D86E78" w:rsidRPr="0078079A" w:rsidRDefault="00D86E78" w:rsidP="00D86E78">
            <w:pPr>
              <w:rPr>
                <w:rFonts w:ascii="Times New Roman" w:hAnsi="Times New Roman" w:cs="Times New Roman"/>
                <w:b/>
                <w:lang w:val="sr-Cyrl-CS"/>
              </w:rPr>
            </w:pPr>
            <w:r w:rsidRPr="0078079A">
              <w:rPr>
                <w:rFonts w:ascii="Times New Roman" w:hAnsi="Times New Roman" w:cs="Times New Roman"/>
                <w:b/>
                <w:lang w:val="sr-Cyrl-CS"/>
              </w:rPr>
              <w:t>Развој стартап екосистема</w:t>
            </w:r>
          </w:p>
          <w:p w14:paraId="4B4187EC" w14:textId="77777777" w:rsidR="009B2947" w:rsidRPr="0078079A" w:rsidRDefault="009B2947" w:rsidP="009B2947">
            <w:pPr>
              <w:rPr>
                <w:rFonts w:ascii="Times New Roman" w:hAnsi="Times New Roman" w:cs="Times New Roman"/>
                <w:b/>
                <w:lang w:val="sr-Cyrl-CS"/>
              </w:rPr>
            </w:pPr>
          </w:p>
        </w:tc>
        <w:tc>
          <w:tcPr>
            <w:tcW w:w="9990" w:type="dxa"/>
          </w:tcPr>
          <w:p w14:paraId="2C085921" w14:textId="77777777" w:rsidR="009B2947" w:rsidRPr="0078079A" w:rsidRDefault="00D86E78" w:rsidP="00762236">
            <w:pPr>
              <w:jc w:val="both"/>
              <w:rPr>
                <w:rFonts w:ascii="Times New Roman" w:hAnsi="Times New Roman" w:cs="Times New Roman"/>
                <w:lang w:val="sr-Cyrl-CS"/>
              </w:rPr>
            </w:pPr>
            <w:r w:rsidRPr="0078079A">
              <w:rPr>
                <w:rFonts w:ascii="Times New Roman" w:hAnsi="Times New Roman" w:cs="Times New Roman"/>
                <w:lang w:val="sr-Cyrl-CS"/>
              </w:rPr>
              <w:t xml:space="preserve">Реформа обухвата стварање стимулативног окружења за развој стартапа који ће допринети </w:t>
            </w:r>
            <w:r w:rsidRPr="0078079A">
              <w:rPr>
                <w:rFonts w:ascii="Times New Roman" w:eastAsia="Times New Roman" w:hAnsi="Times New Roman" w:cs="Times New Roman"/>
                <w:lang w:val="sr-Cyrl-CS"/>
              </w:rPr>
              <w:t xml:space="preserve">привредном расту заснованом на економији знања, јачању конкурентности привреде, као и препознатљивости на националном и глобалном нивоу. </w:t>
            </w:r>
            <w:r w:rsidR="00A0128A">
              <w:rPr>
                <w:rFonts w:ascii="Times New Roman" w:hAnsi="Times New Roman" w:cs="Times New Roman"/>
              </w:rPr>
              <w:t>Стратегиј</w:t>
            </w:r>
            <w:r w:rsidR="00A0128A">
              <w:rPr>
                <w:rFonts w:ascii="Times New Roman" w:hAnsi="Times New Roman" w:cs="Times New Roman"/>
                <w:lang w:val="sr-Cyrl-RS"/>
              </w:rPr>
              <w:t>ом</w:t>
            </w:r>
            <w:r w:rsidR="00A0128A">
              <w:rPr>
                <w:rFonts w:ascii="Times New Roman" w:hAnsi="Times New Roman" w:cs="Times New Roman"/>
              </w:rPr>
              <w:t xml:space="preserve"> развоја стартап екосистема РС за период 2021-2025</w:t>
            </w:r>
            <w:r w:rsidR="00A0128A">
              <w:rPr>
                <w:rFonts w:ascii="Times New Roman" w:hAnsi="Times New Roman" w:cs="Times New Roman"/>
                <w:lang w:val="sr-Cyrl-RS"/>
              </w:rPr>
              <w:t>.</w:t>
            </w:r>
            <w:r w:rsidR="00A0128A">
              <w:rPr>
                <w:rFonts w:ascii="Times New Roman" w:hAnsi="Times New Roman" w:cs="Times New Roman"/>
              </w:rPr>
              <w:t>,</w:t>
            </w:r>
            <w:r w:rsidR="00A0128A">
              <w:rPr>
                <w:rFonts w:ascii="Times New Roman" w:hAnsi="Times New Roman" w:cs="Times New Roman"/>
                <w:lang w:val="sr-Cyrl-RS"/>
              </w:rPr>
              <w:t xml:space="preserve"> чије усвајање се очекује до краја године, дефинисаће се </w:t>
            </w:r>
            <w:r w:rsidR="00A0128A">
              <w:rPr>
                <w:rFonts w:ascii="Times New Roman" w:hAnsi="Times New Roman" w:cs="Times New Roman"/>
              </w:rPr>
              <w:t xml:space="preserve">оквир за пословање </w:t>
            </w:r>
            <w:r w:rsidR="00A0128A">
              <w:rPr>
                <w:rFonts w:ascii="Times New Roman" w:hAnsi="Times New Roman" w:cs="Times New Roman"/>
                <w:lang w:val="sr-Cyrl-RS"/>
              </w:rPr>
              <w:t>стартапа, који ће, уз</w:t>
            </w:r>
            <w:r w:rsidR="00A0128A">
              <w:rPr>
                <w:rFonts w:ascii="Times New Roman" w:hAnsi="Times New Roman" w:cs="Times New Roman"/>
              </w:rPr>
              <w:t xml:space="preserve"> имплементациј</w:t>
            </w:r>
            <w:r w:rsidR="00A0128A">
              <w:rPr>
                <w:rFonts w:ascii="Times New Roman" w:hAnsi="Times New Roman" w:cs="Times New Roman"/>
                <w:lang w:val="sr-Cyrl-RS"/>
              </w:rPr>
              <w:t xml:space="preserve">у </w:t>
            </w:r>
            <w:r w:rsidR="00A0128A">
              <w:rPr>
                <w:rFonts w:ascii="Times New Roman" w:hAnsi="Times New Roman" w:cs="Times New Roman"/>
              </w:rPr>
              <w:t>подстицајн</w:t>
            </w:r>
            <w:r w:rsidR="00A0128A">
              <w:rPr>
                <w:rFonts w:ascii="Times New Roman" w:hAnsi="Times New Roman" w:cs="Times New Roman"/>
                <w:lang w:val="sr-Cyrl-RS"/>
              </w:rPr>
              <w:t>их</w:t>
            </w:r>
            <w:r w:rsidR="00A0128A">
              <w:rPr>
                <w:rFonts w:ascii="Times New Roman" w:hAnsi="Times New Roman" w:cs="Times New Roman"/>
              </w:rPr>
              <w:t xml:space="preserve"> мер</w:t>
            </w:r>
            <w:r w:rsidR="00A0128A">
              <w:rPr>
                <w:rFonts w:ascii="Times New Roman" w:hAnsi="Times New Roman" w:cs="Times New Roman"/>
                <w:lang w:val="sr-Cyrl-RS"/>
              </w:rPr>
              <w:t xml:space="preserve">а које се односе на </w:t>
            </w:r>
            <w:r w:rsidR="00A0128A">
              <w:rPr>
                <w:rFonts w:ascii="Times New Roman" w:hAnsi="Times New Roman" w:cs="Times New Roman"/>
              </w:rPr>
              <w:t>истраживањ</w:t>
            </w:r>
            <w:r w:rsidR="00A0128A">
              <w:rPr>
                <w:rFonts w:ascii="Times New Roman" w:hAnsi="Times New Roman" w:cs="Times New Roman"/>
                <w:lang w:val="sr-Cyrl-RS"/>
              </w:rPr>
              <w:t>е</w:t>
            </w:r>
            <w:r w:rsidR="00A0128A">
              <w:rPr>
                <w:rFonts w:ascii="Times New Roman" w:hAnsi="Times New Roman" w:cs="Times New Roman"/>
              </w:rPr>
              <w:t xml:space="preserve"> и развој </w:t>
            </w:r>
            <w:r w:rsidR="00A0128A">
              <w:rPr>
                <w:rFonts w:ascii="Times New Roman" w:hAnsi="Times New Roman" w:cs="Times New Roman"/>
                <w:lang w:val="sr-Cyrl-RS"/>
              </w:rPr>
              <w:t xml:space="preserve">утврђених другим стратешким оквирима, пре свега у области паметне </w:t>
            </w:r>
            <w:r w:rsidR="00A0128A">
              <w:rPr>
                <w:rFonts w:ascii="Times New Roman" w:hAnsi="Times New Roman" w:cs="Times New Roman"/>
              </w:rPr>
              <w:t>специјализациј</w:t>
            </w:r>
            <w:r w:rsidR="00A0128A">
              <w:rPr>
                <w:rFonts w:ascii="Times New Roman" w:hAnsi="Times New Roman" w:cs="Times New Roman"/>
                <w:lang w:val="sr-Cyrl-RS"/>
              </w:rPr>
              <w:t>е и</w:t>
            </w:r>
            <w:r w:rsidR="00A0128A">
              <w:rPr>
                <w:rFonts w:ascii="Times New Roman" w:hAnsi="Times New Roman" w:cs="Times New Roman"/>
              </w:rPr>
              <w:t xml:space="preserve"> вештачк</w:t>
            </w:r>
            <w:r w:rsidR="00A0128A">
              <w:rPr>
                <w:rFonts w:ascii="Times New Roman" w:hAnsi="Times New Roman" w:cs="Times New Roman"/>
                <w:lang w:val="sr-Cyrl-RS"/>
              </w:rPr>
              <w:t>е</w:t>
            </w:r>
            <w:r w:rsidR="00A0128A">
              <w:rPr>
                <w:rFonts w:ascii="Times New Roman" w:hAnsi="Times New Roman" w:cs="Times New Roman"/>
              </w:rPr>
              <w:t xml:space="preserve"> интелигенциј</w:t>
            </w:r>
            <w:r w:rsidR="00A0128A">
              <w:rPr>
                <w:rFonts w:ascii="Times New Roman" w:hAnsi="Times New Roman" w:cs="Times New Roman"/>
                <w:lang w:val="sr-Cyrl-RS"/>
              </w:rPr>
              <w:t>е, довести</w:t>
            </w:r>
            <w:r w:rsidR="00A0128A">
              <w:rPr>
                <w:rFonts w:ascii="Times New Roman" w:hAnsi="Times New Roman" w:cs="Times New Roman"/>
              </w:rPr>
              <w:t xml:space="preserve"> до </w:t>
            </w:r>
            <w:r w:rsidR="00A0128A">
              <w:rPr>
                <w:rFonts w:ascii="Times New Roman" w:hAnsi="Times New Roman" w:cs="Times New Roman"/>
                <w:lang w:val="sr-Cyrl-RS"/>
              </w:rPr>
              <w:t>даљег развоја</w:t>
            </w:r>
            <w:r w:rsidR="00A0128A">
              <w:rPr>
                <w:rFonts w:ascii="Times New Roman" w:hAnsi="Times New Roman" w:cs="Times New Roman"/>
              </w:rPr>
              <w:t xml:space="preserve"> стартап</w:t>
            </w:r>
            <w:r w:rsidR="00A0128A">
              <w:rPr>
                <w:rFonts w:ascii="Times New Roman" w:hAnsi="Times New Roman" w:cs="Times New Roman"/>
                <w:lang w:val="sr-Cyrl-RS"/>
              </w:rPr>
              <w:t xml:space="preserve"> екосистема</w:t>
            </w:r>
            <w:r w:rsidR="00A0128A">
              <w:rPr>
                <w:rFonts w:ascii="Times New Roman" w:hAnsi="Times New Roman" w:cs="Times New Roman"/>
              </w:rPr>
              <w:t xml:space="preserve">. </w:t>
            </w:r>
            <w:r w:rsidR="00A0128A">
              <w:rPr>
                <w:rFonts w:ascii="Times New Roman" w:hAnsi="Times New Roman" w:cs="Times New Roman"/>
                <w:sz w:val="24"/>
                <w:szCs w:val="24"/>
              </w:rPr>
              <w:t> </w:t>
            </w:r>
            <w:r w:rsidRPr="0078079A">
              <w:rPr>
                <w:rFonts w:ascii="Times New Roman" w:eastAsia="Times New Roman" w:hAnsi="Times New Roman" w:cs="Times New Roman"/>
                <w:lang w:val="sr-Cyrl-CS"/>
              </w:rPr>
              <w:t xml:space="preserve">Намера је да се подстакну јавне и приватне инвестиције у овој области, омогући развој домаћег тржишта предузетничког капитала, развој високотехнолошке </w:t>
            </w:r>
            <w:r w:rsidRPr="0078079A">
              <w:rPr>
                <w:rFonts w:ascii="Times New Roman" w:eastAsia="Times New Roman" w:hAnsi="Times New Roman" w:cs="Times New Roman"/>
                <w:lang w:val="sr-Cyrl-CS"/>
              </w:rPr>
              <w:lastRenderedPageBreak/>
              <w:t xml:space="preserve">предузетничке културе и подизања предузетничких капацитета кроз образовне програме и јачање капацитета организација подршке. </w:t>
            </w:r>
          </w:p>
        </w:tc>
      </w:tr>
      <w:tr w:rsidR="009B2947" w:rsidRPr="0078079A" w14:paraId="650C35EE" w14:textId="77777777" w:rsidTr="006B01EB">
        <w:tc>
          <w:tcPr>
            <w:tcW w:w="516" w:type="dxa"/>
          </w:tcPr>
          <w:p w14:paraId="34EEDA62" w14:textId="77777777"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lastRenderedPageBreak/>
              <w:t>16</w:t>
            </w:r>
          </w:p>
        </w:tc>
        <w:tc>
          <w:tcPr>
            <w:tcW w:w="4003" w:type="dxa"/>
          </w:tcPr>
          <w:p w14:paraId="4A3CAD81" w14:textId="77777777" w:rsidR="009B2947" w:rsidRPr="0078079A" w:rsidRDefault="00D86E78" w:rsidP="00D86E78">
            <w:pPr>
              <w:rPr>
                <w:rFonts w:ascii="Times New Roman" w:hAnsi="Times New Roman" w:cs="Times New Roman"/>
                <w:b/>
                <w:lang w:val="sr-Cyrl-CS"/>
              </w:rPr>
            </w:pPr>
            <w:r w:rsidRPr="0078079A">
              <w:rPr>
                <w:rFonts w:ascii="Times New Roman" w:hAnsi="Times New Roman" w:cs="Times New Roman"/>
                <w:b/>
                <w:lang w:val="sr-Cyrl-CS"/>
              </w:rPr>
              <w:t>Стварање услова за развој бионаука и биоекономије кроз изградњу БИО4 Кампуса</w:t>
            </w:r>
          </w:p>
        </w:tc>
        <w:tc>
          <w:tcPr>
            <w:tcW w:w="9990" w:type="dxa"/>
          </w:tcPr>
          <w:p w14:paraId="14D907C8" w14:textId="77777777" w:rsidR="009B2947" w:rsidRPr="0078079A" w:rsidRDefault="00D86E78" w:rsidP="001B5759">
            <w:pPr>
              <w:spacing w:after="0"/>
              <w:jc w:val="both"/>
              <w:rPr>
                <w:rFonts w:ascii="Times New Roman" w:eastAsia="Times New Roman" w:hAnsi="Times New Roman" w:cs="Times New Roman"/>
                <w:lang w:val="sr-Cyrl-CS"/>
              </w:rPr>
            </w:pPr>
            <w:r w:rsidRPr="0078079A">
              <w:rPr>
                <w:rFonts w:ascii="Times New Roman" w:hAnsi="Times New Roman" w:cs="Times New Roman"/>
                <w:lang w:val="sr-Cyrl-CS"/>
              </w:rPr>
              <w:t>Реформа предвиђа интензивирање развоја у области биотехнологије, биомедицине, биоинформатике и биодиверзитета (БИО4). Технолошки напредак мења досадашњи приступ здрављу, подиже квалитет живота становништва, унапређује државну безбедност и представља значајну прилику за економски развој РС. Изградњом БИО4 Кампуса биће створена прилика за концентрацију људи, акумулирање мултидисциплинарних знања и развој инфраструктуре (факултети, институти, научно-технолошки парк, итд.) у поменутим областима, која ће временом привлачити све више партнера из привр</w:t>
            </w:r>
            <w:r>
              <w:rPr>
                <w:rFonts w:ascii="Times New Roman" w:hAnsi="Times New Roman" w:cs="Times New Roman"/>
                <w:lang w:val="sr-Latn-RS"/>
              </w:rPr>
              <w:t>e</w:t>
            </w:r>
            <w:r w:rsidRPr="0078079A">
              <w:rPr>
                <w:rFonts w:ascii="Times New Roman" w:hAnsi="Times New Roman" w:cs="Times New Roman"/>
                <w:lang w:val="sr-Cyrl-CS"/>
              </w:rPr>
              <w:t>де, али и омогућити бржу и квалитетнију транзицију здравственог система у правцу модерне, иновативне дијагностике и лечења заснованих на подацима и најновијим научним сазнањима.</w:t>
            </w:r>
          </w:p>
        </w:tc>
      </w:tr>
      <w:tr w:rsidR="009B2947" w:rsidRPr="0078079A" w14:paraId="19175252" w14:textId="77777777" w:rsidTr="00687D9F">
        <w:trPr>
          <w:trHeight w:val="397"/>
        </w:trPr>
        <w:tc>
          <w:tcPr>
            <w:tcW w:w="14509" w:type="dxa"/>
            <w:gridSpan w:val="3"/>
            <w:shd w:val="clear" w:color="auto" w:fill="DEEAF6" w:themeFill="accent1" w:themeFillTint="33"/>
            <w:vAlign w:val="center"/>
          </w:tcPr>
          <w:p w14:paraId="207DE718" w14:textId="77777777"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6: РЕФОРМE У ОБЛАСТИ ЕКОНОМСКИХ ИНТЕГРАЦИЈА</w:t>
            </w:r>
          </w:p>
        </w:tc>
      </w:tr>
      <w:tr w:rsidR="009B2947" w:rsidRPr="0078079A" w14:paraId="022E0819" w14:textId="77777777" w:rsidTr="006B01EB">
        <w:tc>
          <w:tcPr>
            <w:tcW w:w="516" w:type="dxa"/>
          </w:tcPr>
          <w:p w14:paraId="2EBDDC05" w14:textId="77777777"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t>17</w:t>
            </w:r>
          </w:p>
        </w:tc>
        <w:tc>
          <w:tcPr>
            <w:tcW w:w="4003" w:type="dxa"/>
          </w:tcPr>
          <w:p w14:paraId="44AE898D" w14:textId="77777777"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Унапређење услова и уклањање препрека трговини</w:t>
            </w:r>
          </w:p>
        </w:tc>
        <w:tc>
          <w:tcPr>
            <w:tcW w:w="9990" w:type="dxa"/>
          </w:tcPr>
          <w:p w14:paraId="76DFC8FA" w14:textId="77777777" w:rsidR="009B2947" w:rsidRPr="0078079A" w:rsidRDefault="009B2947" w:rsidP="009B2947">
            <w:pPr>
              <w:spacing w:after="0"/>
              <w:jc w:val="both"/>
              <w:rPr>
                <w:rFonts w:ascii="Times New Roman" w:hAnsi="Times New Roman" w:cs="Times New Roman"/>
                <w:strike/>
                <w:lang w:val="sr-Cyrl-CS"/>
              </w:rPr>
            </w:pPr>
            <w:r w:rsidRPr="0078079A">
              <w:rPr>
                <w:rFonts w:ascii="Times New Roman" w:eastAsia="Calibri" w:hAnsi="Times New Roman" w:cs="Times New Roman"/>
                <w:lang w:val="sr-Cyrl-CS"/>
              </w:rPr>
              <w:t xml:space="preserve">Реформа подразумева интензивирање, унапређење, диверсификацију и даљи раст спољне трговине РС како на регионалном, тако и на глобалном нивоу. Активности су усмерене и на јачање конкурентности српских компанија ради припреме за чланство у ЕУ и лакшег укључивања у тржишну утакмицу која постоји на јединственом европском тржишту. Реформа подразумева наставак билатералних преговора о приступању СТО, усвајање прописа усаглашених са СТО правилима и принципима, </w:t>
            </w:r>
            <w:r w:rsidRPr="0078079A">
              <w:rPr>
                <w:rFonts w:ascii="Times New Roman" w:hAnsi="Times New Roman" w:cs="Times New Roman"/>
                <w:lang w:val="sr-Cyrl-CS"/>
              </w:rPr>
              <w:t xml:space="preserve">спровођење активности на имплементацији обавеза из ЦЕФТА Додатног протокола 5 и 6 и наставак преговора о ЦЕФТА Додатном протоколу 7, </w:t>
            </w:r>
            <w:r w:rsidRPr="0078079A">
              <w:rPr>
                <w:rFonts w:ascii="Times New Roman" w:eastAsia="Calibri" w:hAnsi="Times New Roman" w:cs="Times New Roman"/>
                <w:lang w:val="sr-Cyrl-CS"/>
              </w:rPr>
              <w:t xml:space="preserve"> </w:t>
            </w:r>
            <w:r w:rsidRPr="0078079A">
              <w:rPr>
                <w:rFonts w:ascii="Times New Roman" w:hAnsi="Times New Roman" w:cs="Times New Roman"/>
                <w:lang w:val="sr-Cyrl-CS"/>
              </w:rPr>
              <w:t>даљу трговинску интеграцију у региону предвиђену Акционим планом за Заједничко регионално тржиште,</w:t>
            </w:r>
            <w:r w:rsidRPr="0078079A">
              <w:rPr>
                <w:rFonts w:ascii="Times New Roman" w:eastAsia="Calibri" w:hAnsi="Times New Roman" w:cs="Times New Roman"/>
                <w:lang w:val="sr-Cyrl-CS"/>
              </w:rPr>
              <w:t xml:space="preserve"> као и израду и имплементацију новог Акционог плана Националног координационог тела за олакшавање трговине (НКТОТ) за 2022-2023 у циљу идентификовања и уклањања препрека трговини, посебно техничких и фитосанитарних мера, као и олакшавању царинских процедура.</w:t>
            </w:r>
          </w:p>
        </w:tc>
      </w:tr>
      <w:tr w:rsidR="009B2947" w:rsidRPr="0078079A" w14:paraId="0C44A3EB" w14:textId="77777777" w:rsidTr="00687D9F">
        <w:trPr>
          <w:trHeight w:val="397"/>
        </w:trPr>
        <w:tc>
          <w:tcPr>
            <w:tcW w:w="14509" w:type="dxa"/>
            <w:gridSpan w:val="3"/>
            <w:shd w:val="clear" w:color="auto" w:fill="DEEAF6" w:themeFill="accent1" w:themeFillTint="33"/>
            <w:vAlign w:val="center"/>
          </w:tcPr>
          <w:p w14:paraId="3AF96280" w14:textId="77777777"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8: РЕФОРМЕ ТРАНСПОРТНОГ ТРЖИШТА</w:t>
            </w:r>
          </w:p>
        </w:tc>
      </w:tr>
      <w:tr w:rsidR="009B2947" w:rsidRPr="0078079A" w14:paraId="5FC3B1B9" w14:textId="77777777" w:rsidTr="006B01EB">
        <w:tc>
          <w:tcPr>
            <w:tcW w:w="516" w:type="dxa"/>
          </w:tcPr>
          <w:p w14:paraId="40512991" w14:textId="77777777"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t>18</w:t>
            </w:r>
          </w:p>
        </w:tc>
        <w:tc>
          <w:tcPr>
            <w:tcW w:w="4003" w:type="dxa"/>
          </w:tcPr>
          <w:p w14:paraId="04B46630" w14:textId="77777777" w:rsidR="009B2947" w:rsidRPr="0078079A" w:rsidRDefault="009B2947" w:rsidP="009B2947">
            <w:pPr>
              <w:rPr>
                <w:rFonts w:ascii="Times New Roman" w:hAnsi="Times New Roman" w:cs="Times New Roman"/>
                <w:b/>
                <w:lang w:val="sr-Cyrl-CS"/>
              </w:rPr>
            </w:pPr>
            <w:r w:rsidRPr="00DE61A8">
              <w:rPr>
                <w:rFonts w:ascii="Times New Roman" w:hAnsi="Times New Roman" w:cs="Times New Roman"/>
                <w:b/>
                <w:lang w:val="sr-Cyrl-CS"/>
              </w:rPr>
              <w:t>Реформа железнице кроз унапређење безбедности у железничком саобраћају и ефикасности путничког саобраћаја</w:t>
            </w:r>
          </w:p>
        </w:tc>
        <w:tc>
          <w:tcPr>
            <w:tcW w:w="9990" w:type="dxa"/>
          </w:tcPr>
          <w:p w14:paraId="17C0EFFE" w14:textId="77777777" w:rsidR="009B2947" w:rsidRPr="00FC73A3" w:rsidRDefault="009B2947" w:rsidP="009B2947">
            <w:pPr>
              <w:jc w:val="both"/>
              <w:rPr>
                <w:rFonts w:ascii="Times New Roman" w:hAnsi="Times New Roman" w:cs="Times New Roman"/>
                <w:lang w:val="sr-Latn-RS"/>
              </w:rPr>
            </w:pPr>
            <w:r w:rsidRPr="00C62A20">
              <w:rPr>
                <w:rFonts w:ascii="Times New Roman" w:hAnsi="Times New Roman" w:cs="Times New Roman"/>
                <w:lang w:val="sr-Cyrl-CS"/>
              </w:rPr>
              <w:t xml:space="preserve">Унапређење регулаторног оквира кроз доношење и примену нове Методологије за обрачун цене приступа железничкој инфраструктури и усаглашавање закона из области железнице са </w:t>
            </w:r>
            <w:r w:rsidRPr="00C62A20">
              <w:rPr>
                <w:rFonts w:ascii="Times New Roman" w:hAnsi="Times New Roman" w:cs="Times New Roman"/>
                <w:lang w:val="sr-Latn-RS"/>
              </w:rPr>
              <w:t>IV</w:t>
            </w:r>
            <w:r w:rsidRPr="00C62A20">
              <w:rPr>
                <w:rFonts w:ascii="Times New Roman" w:hAnsi="Times New Roman" w:cs="Times New Roman"/>
                <w:lang w:val="sr-Cyrl-RS"/>
              </w:rPr>
              <w:t xml:space="preserve"> пакетом железничких ЕУ прописа. Поред обнове, реконструкције и модернизације железничких пруга, предвиђена је и модернизација путно-пружних прелаза.</w:t>
            </w:r>
          </w:p>
        </w:tc>
      </w:tr>
      <w:tr w:rsidR="009B2947" w:rsidRPr="0078079A" w14:paraId="38F69243" w14:textId="77777777" w:rsidTr="00687D9F">
        <w:trPr>
          <w:trHeight w:val="397"/>
        </w:trPr>
        <w:tc>
          <w:tcPr>
            <w:tcW w:w="14509" w:type="dxa"/>
            <w:gridSpan w:val="3"/>
            <w:shd w:val="clear" w:color="auto" w:fill="DEEAF6" w:themeFill="accent1" w:themeFillTint="33"/>
            <w:vAlign w:val="center"/>
          </w:tcPr>
          <w:p w14:paraId="7185E6DD" w14:textId="77777777"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9: ПОЉОПРИВРЕДА, ИНДУСТРИЈА И УСЛУГЕ</w:t>
            </w:r>
          </w:p>
        </w:tc>
      </w:tr>
      <w:tr w:rsidR="009B2947" w:rsidRPr="0078079A" w14:paraId="5AA348CD" w14:textId="77777777" w:rsidTr="006B01EB">
        <w:tc>
          <w:tcPr>
            <w:tcW w:w="516" w:type="dxa"/>
          </w:tcPr>
          <w:p w14:paraId="6655F66B" w14:textId="77777777"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t>19</w:t>
            </w:r>
          </w:p>
        </w:tc>
        <w:tc>
          <w:tcPr>
            <w:tcW w:w="4003" w:type="dxa"/>
          </w:tcPr>
          <w:p w14:paraId="0ADB5E29" w14:textId="77777777"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Унапређење конкурентности пољопривреде</w:t>
            </w:r>
          </w:p>
        </w:tc>
        <w:tc>
          <w:tcPr>
            <w:tcW w:w="9990" w:type="dxa"/>
          </w:tcPr>
          <w:p w14:paraId="1CB804F7" w14:textId="77777777" w:rsidR="009B2947" w:rsidRPr="0078079A" w:rsidRDefault="009B2947" w:rsidP="009B2947">
            <w:pPr>
              <w:spacing w:after="0"/>
              <w:jc w:val="both"/>
              <w:rPr>
                <w:rFonts w:ascii="Times New Roman" w:hAnsi="Times New Roman" w:cs="Times New Roman"/>
                <w:i/>
                <w:lang w:val="sr-Cyrl-CS"/>
              </w:rPr>
            </w:pPr>
            <w:r w:rsidRPr="0078079A">
              <w:rPr>
                <w:rFonts w:ascii="Times New Roman" w:eastAsia="Calibri" w:hAnsi="Times New Roman" w:cs="Times New Roman"/>
                <w:lang w:val="sr-Cyrl-CS"/>
              </w:rPr>
              <w:t>Реформа има за циљ унапређење конкурентности пољопривреде и обухвата више компоненти</w:t>
            </w:r>
            <w:r w:rsidRPr="0078079A">
              <w:rPr>
                <w:rFonts w:ascii="Times New Roman" w:hAnsi="Times New Roman" w:cs="Times New Roman"/>
                <w:color w:val="000000" w:themeColor="text1"/>
                <w:lang w:val="sr-Cyrl-CS"/>
              </w:rPr>
              <w:t xml:space="preserve"> које доприносе испуњавању економских критеријума за приступање ЕУ и остваривању циљева одрживог развоја.</w:t>
            </w:r>
            <w:r w:rsidRPr="0078079A">
              <w:rPr>
                <w:rFonts w:ascii="Times New Roman" w:eastAsia="Calibri" w:hAnsi="Times New Roman" w:cs="Times New Roman"/>
                <w:lang w:val="sr-Cyrl-CS"/>
              </w:rPr>
              <w:t xml:space="preserve"> </w:t>
            </w:r>
            <w:r w:rsidRPr="0078079A">
              <w:rPr>
                <w:rFonts w:ascii="Times New Roman" w:hAnsi="Times New Roman" w:cs="Times New Roman"/>
                <w:color w:val="000000" w:themeColor="text1"/>
                <w:lang w:val="sr-Cyrl-CS"/>
              </w:rPr>
              <w:t>Реформом је обухваћено унапређење инфраструктуре у руралним подручјима уз успостављање регулаторног оквира за процес комасације,</w:t>
            </w:r>
            <w:r w:rsidRPr="0078079A">
              <w:rPr>
                <w:rFonts w:ascii="Times New Roman" w:hAnsi="Times New Roman" w:cs="Times New Roman"/>
                <w:lang w:val="sr-Cyrl-CS"/>
              </w:rPr>
              <w:t xml:space="preserve"> уређење правног оквира у области уређења тржишта </w:t>
            </w:r>
            <w:r w:rsidRPr="0078079A">
              <w:rPr>
                <w:rFonts w:ascii="Times New Roman" w:hAnsi="Times New Roman" w:cs="Times New Roman"/>
                <w:lang w:val="sr-Cyrl-CS"/>
              </w:rPr>
              <w:lastRenderedPageBreak/>
              <w:t>пољопривредних производа, шема квалитета за пољопривредне и прехрамбене производе и органске производње чиме се стварају услови за унапређење конкурентности у свим секторима производње, као и</w:t>
            </w:r>
            <w:r w:rsidRPr="0078079A">
              <w:rPr>
                <w:rFonts w:ascii="Times New Roman" w:hAnsi="Times New Roman" w:cs="Times New Roman"/>
                <w:color w:val="000000" w:themeColor="text1"/>
                <w:lang w:val="sr-Cyrl-CS"/>
              </w:rPr>
              <w:t xml:space="preserve"> унапређење постојећих капацитета кроз дигитализацију и аутоматизацију система финансијске подршке пољопривредницима уз олакшан приступ расположивим подстицајима. </w:t>
            </w:r>
          </w:p>
        </w:tc>
      </w:tr>
      <w:tr w:rsidR="009B2947" w:rsidRPr="0078079A" w14:paraId="793936B8" w14:textId="77777777" w:rsidTr="006B01EB">
        <w:tc>
          <w:tcPr>
            <w:tcW w:w="516" w:type="dxa"/>
          </w:tcPr>
          <w:p w14:paraId="452CCED8" w14:textId="77777777" w:rsidR="009B2947" w:rsidRPr="00D26790" w:rsidRDefault="00751122" w:rsidP="009B2947">
            <w:pPr>
              <w:rPr>
                <w:rFonts w:ascii="Times New Roman" w:hAnsi="Times New Roman" w:cs="Times New Roman"/>
                <w:b/>
                <w:lang w:val="sr-Latn-RS"/>
              </w:rPr>
            </w:pPr>
            <w:r>
              <w:rPr>
                <w:rFonts w:ascii="Times New Roman" w:hAnsi="Times New Roman" w:cs="Times New Roman"/>
                <w:b/>
                <w:lang w:val="sr-Latn-RS"/>
              </w:rPr>
              <w:lastRenderedPageBreak/>
              <w:t>20</w:t>
            </w:r>
          </w:p>
        </w:tc>
        <w:tc>
          <w:tcPr>
            <w:tcW w:w="4003" w:type="dxa"/>
          </w:tcPr>
          <w:p w14:paraId="6307FD4C" w14:textId="77777777"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Безбедан и квалитетан производ - фактор развоја индустрије</w:t>
            </w:r>
          </w:p>
        </w:tc>
        <w:tc>
          <w:tcPr>
            <w:tcW w:w="9990" w:type="dxa"/>
          </w:tcPr>
          <w:p w14:paraId="448D3BBA" w14:textId="77777777" w:rsidR="009B2947" w:rsidRPr="0078079A" w:rsidRDefault="009B2947" w:rsidP="009B2947">
            <w:pPr>
              <w:spacing w:after="0"/>
              <w:jc w:val="both"/>
              <w:rPr>
                <w:rFonts w:ascii="Times New Roman" w:eastAsia="Calibri" w:hAnsi="Times New Roman" w:cs="Times New Roman"/>
                <w:lang w:val="sr-Cyrl-CS"/>
              </w:rPr>
            </w:pPr>
            <w:r w:rsidRPr="0078079A">
              <w:rPr>
                <w:rFonts w:ascii="Times New Roman" w:hAnsi="Times New Roman" w:cs="Times New Roman"/>
                <w:lang w:val="sr-Cyrl-CS"/>
              </w:rPr>
              <w:t>Реформа предвиђа финансијскy подршку привредним субјектима, превасходно малим и средњим предузећима, усмерену ка повећању нивоа коришћења стандарда у производњи и организацији пословања, сертификацији производа, система менаџмента и унапређењу доступности свих других услуга у области инфраструктуре квалитета. Такође, предвиђена је и изградња јединственог дигиталног сервиса „Производ-инфо“, са циљем унапређења информисаности и доступности дигиталних услуга у вези са применом техничких прописа.</w:t>
            </w:r>
          </w:p>
        </w:tc>
      </w:tr>
      <w:tr w:rsidR="009B2947" w:rsidRPr="0078079A" w14:paraId="306ACD82" w14:textId="77777777" w:rsidTr="00687D9F">
        <w:trPr>
          <w:trHeight w:val="397"/>
        </w:trPr>
        <w:tc>
          <w:tcPr>
            <w:tcW w:w="14509" w:type="dxa"/>
            <w:gridSpan w:val="3"/>
            <w:shd w:val="clear" w:color="auto" w:fill="DEEAF6" w:themeFill="accent1" w:themeFillTint="33"/>
            <w:vAlign w:val="center"/>
          </w:tcPr>
          <w:p w14:paraId="22F51D1E" w14:textId="77777777" w:rsidR="009B2947" w:rsidRPr="0078079A" w:rsidRDefault="009B2947" w:rsidP="009B2947">
            <w:pPr>
              <w:spacing w:after="0"/>
              <w:rPr>
                <w:rFonts w:ascii="Times New Roman" w:hAnsi="Times New Roman" w:cs="Times New Roman"/>
                <w:b/>
                <w:lang w:val="sr-Cyrl-CS"/>
              </w:rPr>
            </w:pPr>
            <w:r w:rsidRPr="0078079A">
              <w:rPr>
                <w:rFonts w:ascii="Times New Roman" w:hAnsi="Times New Roman" w:cs="Times New Roman"/>
                <w:b/>
                <w:lang w:val="sr-Cyrl-CS"/>
              </w:rPr>
              <w:t>ОБЛАСТ 10: ОБРАЗОВАЊЕ И ВЕШТИНЕ</w:t>
            </w:r>
          </w:p>
        </w:tc>
      </w:tr>
      <w:tr w:rsidR="009B2947" w:rsidRPr="0078079A" w14:paraId="3DB12C3D" w14:textId="77777777" w:rsidTr="006B01EB">
        <w:tc>
          <w:tcPr>
            <w:tcW w:w="516" w:type="dxa"/>
          </w:tcPr>
          <w:p w14:paraId="0C5AC441" w14:textId="77777777" w:rsidR="009B2947" w:rsidRPr="0078079A" w:rsidRDefault="00751122" w:rsidP="009B2947">
            <w:pPr>
              <w:rPr>
                <w:rFonts w:ascii="Times New Roman" w:hAnsi="Times New Roman" w:cs="Times New Roman"/>
                <w:b/>
                <w:lang w:val="sr-Cyrl-CS"/>
              </w:rPr>
            </w:pPr>
            <w:r>
              <w:rPr>
                <w:rFonts w:ascii="Times New Roman" w:hAnsi="Times New Roman" w:cs="Times New Roman"/>
                <w:b/>
                <w:lang w:val="sr-Cyrl-CS"/>
              </w:rPr>
              <w:t>21</w:t>
            </w:r>
          </w:p>
        </w:tc>
        <w:tc>
          <w:tcPr>
            <w:tcW w:w="4003" w:type="dxa"/>
          </w:tcPr>
          <w:p w14:paraId="1127A4CB" w14:textId="77777777"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Дигитализација система образовања и увођење јединственог информационог система образовања</w:t>
            </w:r>
          </w:p>
          <w:p w14:paraId="38E9B58C" w14:textId="77777777" w:rsidR="009B2947" w:rsidRPr="0078079A" w:rsidRDefault="009B2947" w:rsidP="009B2947">
            <w:pPr>
              <w:rPr>
                <w:rFonts w:ascii="Times New Roman" w:hAnsi="Times New Roman" w:cs="Times New Roman"/>
                <w:b/>
                <w:lang w:val="sr-Cyrl-CS"/>
              </w:rPr>
            </w:pPr>
          </w:p>
        </w:tc>
        <w:tc>
          <w:tcPr>
            <w:tcW w:w="9990" w:type="dxa"/>
          </w:tcPr>
          <w:p w14:paraId="78E67F5E" w14:textId="77777777" w:rsidR="009B2947" w:rsidRPr="0078079A" w:rsidRDefault="009B2947" w:rsidP="009B2947">
            <w:pPr>
              <w:spacing w:after="0"/>
              <w:jc w:val="both"/>
              <w:rPr>
                <w:rFonts w:ascii="Times New Roman" w:hAnsi="Times New Roman" w:cs="Times New Roman"/>
                <w:lang w:val="sr-Cyrl-CS"/>
              </w:rPr>
            </w:pPr>
            <w:r w:rsidRPr="0078079A">
              <w:rPr>
                <w:rFonts w:ascii="Times New Roman" w:hAnsi="Times New Roman" w:cs="Times New Roman"/>
                <w:lang w:val="sr-Cyrl-CS"/>
              </w:rPr>
              <w:t xml:space="preserve">Реформа има за циљ осавремењивање система образовања и васпитања кроз увођење савремених дигиталних технологија, које треба да обезбеде виши ниво остварености исхода учења и подизање квалитета дигиталних компетенција младих, омогућавајући им конкурентност на тржишту рада кроз дигиталну трансформацију. Такође, реформа подразумева употребу Јединственог информационог система у просвети (ЈИСП) као информатичку основу за модернизацију управљања и доношење одлука у систему образовања и васпитања. </w:t>
            </w:r>
          </w:p>
        </w:tc>
      </w:tr>
      <w:tr w:rsidR="009B2947" w:rsidRPr="0078079A" w14:paraId="4755A3AC" w14:textId="77777777" w:rsidTr="00687D9F">
        <w:trPr>
          <w:trHeight w:val="397"/>
        </w:trPr>
        <w:tc>
          <w:tcPr>
            <w:tcW w:w="14509" w:type="dxa"/>
            <w:gridSpan w:val="3"/>
            <w:shd w:val="clear" w:color="auto" w:fill="DEEAF6" w:themeFill="accent1" w:themeFillTint="33"/>
            <w:vAlign w:val="center"/>
          </w:tcPr>
          <w:p w14:paraId="50FAFA00" w14:textId="77777777" w:rsidR="009B2947" w:rsidRPr="00070193" w:rsidRDefault="009B2947" w:rsidP="009B2947">
            <w:pPr>
              <w:spacing w:after="0"/>
              <w:rPr>
                <w:rFonts w:ascii="Times New Roman" w:hAnsi="Times New Roman" w:cs="Times New Roman"/>
                <w:b/>
                <w:highlight w:val="yellow"/>
                <w:lang w:val="sr-Cyrl-RS"/>
              </w:rPr>
            </w:pPr>
            <w:r w:rsidRPr="00381DEA">
              <w:rPr>
                <w:rFonts w:ascii="Times New Roman" w:hAnsi="Times New Roman" w:cs="Times New Roman"/>
                <w:b/>
                <w:lang w:val="sr-Cyrl-CS"/>
              </w:rPr>
              <w:t>ОБЛАСТ 12: СОЦИЈАЛНА ЗАШТИТА И ИНКЛУЗИЈА</w:t>
            </w:r>
            <w:r w:rsidR="00070193" w:rsidRPr="00381DEA">
              <w:rPr>
                <w:rFonts w:ascii="Times New Roman" w:hAnsi="Times New Roman" w:cs="Times New Roman"/>
                <w:b/>
                <w:lang w:val="sr-Latn-RS"/>
              </w:rPr>
              <w:t xml:space="preserve"> </w:t>
            </w:r>
            <w:r w:rsidR="00070193" w:rsidRPr="00381DEA">
              <w:rPr>
                <w:rFonts w:ascii="Times New Roman" w:hAnsi="Times New Roman" w:cs="Times New Roman"/>
                <w:b/>
                <w:lang w:val="sr-Cyrl-RS"/>
              </w:rPr>
              <w:t xml:space="preserve">И </w:t>
            </w:r>
            <w:r w:rsidR="00070193" w:rsidRPr="0078079A">
              <w:rPr>
                <w:rFonts w:ascii="Times New Roman" w:hAnsi="Times New Roman" w:cs="Times New Roman"/>
                <w:b/>
                <w:lang w:val="sr-Cyrl-CS"/>
              </w:rPr>
              <w:t>ОБЛАСТ 13: СИСТЕМИ ЗДРАВСТВЕНЕ ЗАШТИТЕ</w:t>
            </w:r>
          </w:p>
        </w:tc>
      </w:tr>
      <w:tr w:rsidR="009B2947" w:rsidRPr="0078079A" w14:paraId="114D6702" w14:textId="77777777" w:rsidTr="006B01EB">
        <w:tc>
          <w:tcPr>
            <w:tcW w:w="516" w:type="dxa"/>
          </w:tcPr>
          <w:p w14:paraId="3B74D6E0" w14:textId="77777777" w:rsidR="009B2947" w:rsidRPr="0078079A" w:rsidRDefault="00751122" w:rsidP="00381DEA">
            <w:pPr>
              <w:rPr>
                <w:rFonts w:ascii="Times New Roman" w:hAnsi="Times New Roman" w:cs="Times New Roman"/>
                <w:b/>
                <w:lang w:val="sr-Cyrl-CS"/>
              </w:rPr>
            </w:pPr>
            <w:r>
              <w:rPr>
                <w:rFonts w:ascii="Times New Roman" w:hAnsi="Times New Roman" w:cs="Times New Roman"/>
                <w:b/>
                <w:lang w:val="sr-Cyrl-CS"/>
              </w:rPr>
              <w:t>2</w:t>
            </w:r>
            <w:r w:rsidR="00381DEA">
              <w:rPr>
                <w:rFonts w:ascii="Times New Roman" w:hAnsi="Times New Roman" w:cs="Times New Roman"/>
                <w:b/>
                <w:lang w:val="sr-Cyrl-CS"/>
              </w:rPr>
              <w:t>2</w:t>
            </w:r>
          </w:p>
        </w:tc>
        <w:tc>
          <w:tcPr>
            <w:tcW w:w="4003" w:type="dxa"/>
          </w:tcPr>
          <w:p w14:paraId="0C641D9B" w14:textId="77777777" w:rsidR="009B2947" w:rsidRPr="0078079A" w:rsidRDefault="009B2947" w:rsidP="009B2947">
            <w:pPr>
              <w:rPr>
                <w:rFonts w:ascii="Times New Roman" w:hAnsi="Times New Roman" w:cs="Times New Roman"/>
                <w:b/>
                <w:lang w:val="sr-Cyrl-CS"/>
              </w:rPr>
            </w:pPr>
            <w:r w:rsidRPr="0078079A">
              <w:rPr>
                <w:rFonts w:ascii="Times New Roman" w:hAnsi="Times New Roman" w:cs="Times New Roman"/>
                <w:b/>
                <w:lang w:val="sr-Cyrl-CS"/>
              </w:rPr>
              <w:t>Дигитализација у здравственом систему</w:t>
            </w:r>
          </w:p>
        </w:tc>
        <w:tc>
          <w:tcPr>
            <w:tcW w:w="9990" w:type="dxa"/>
          </w:tcPr>
          <w:p w14:paraId="77D068B2" w14:textId="77777777" w:rsidR="009B2947" w:rsidRPr="00D26790" w:rsidRDefault="009B2947" w:rsidP="009B2947">
            <w:pPr>
              <w:jc w:val="both"/>
              <w:rPr>
                <w:rFonts w:ascii="Times New Roman" w:hAnsi="Times New Roman" w:cs="Times New Roman"/>
                <w:lang w:val="sr-Latn-RS"/>
              </w:rPr>
            </w:pPr>
            <w:r w:rsidRPr="0078079A">
              <w:rPr>
                <w:rFonts w:ascii="Times New Roman" w:hAnsi="Times New Roman" w:cs="Times New Roman"/>
                <w:lang w:val="sr-Cyrl-CS"/>
              </w:rPr>
              <w:t xml:space="preserve">Ова реформа доприноси ефикасности здравственог система, вишем квалитету дијагностике и лечења и омогућава ауторизовани приступ информацијама кључним за доношење клиничких одлука. Електронским медицинским досијеом успоставиће се механизам ауторизованог приступа медицинским подацима пацијента, којим ће пацијентима бити омогућен електронски приступ сопственим здравственим информацијама. Планирано је и успостављање централног система за прикупљање података из свих лабораторијских система и њихова дистрибуција. Такође, у плану је и проширење имплементације еРецепта, као и увођење система провере интеракције лекова и система подршке доношењу клиничких одлука. Наведене активности позитивно ће утицати на ефикасност здравственог система и квалитет здравствене заштите. </w:t>
            </w:r>
          </w:p>
        </w:tc>
      </w:tr>
    </w:tbl>
    <w:p w14:paraId="61757265" w14:textId="77777777" w:rsidR="00FB40A6" w:rsidRPr="0078079A" w:rsidRDefault="00FB40A6">
      <w:pPr>
        <w:rPr>
          <w:lang w:val="sr-Cyrl-CS"/>
        </w:rPr>
      </w:pPr>
    </w:p>
    <w:sectPr w:rsidR="00FB40A6" w:rsidRPr="0078079A" w:rsidSect="002E1D0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BCC9" w14:textId="77777777" w:rsidR="00FB49E3" w:rsidRDefault="00FB49E3" w:rsidP="00A21C9B">
      <w:pPr>
        <w:spacing w:after="0"/>
      </w:pPr>
      <w:r>
        <w:separator/>
      </w:r>
    </w:p>
  </w:endnote>
  <w:endnote w:type="continuationSeparator" w:id="0">
    <w:p w14:paraId="0AF77EB0" w14:textId="77777777" w:rsidR="00FB49E3" w:rsidRDefault="00FB49E3" w:rsidP="00A21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C772" w14:textId="77777777" w:rsidR="00FB49E3" w:rsidRDefault="00FB49E3" w:rsidP="00A21C9B">
      <w:pPr>
        <w:spacing w:after="0"/>
      </w:pPr>
      <w:r>
        <w:separator/>
      </w:r>
    </w:p>
  </w:footnote>
  <w:footnote w:type="continuationSeparator" w:id="0">
    <w:p w14:paraId="3D0E291A" w14:textId="77777777" w:rsidR="00FB49E3" w:rsidRDefault="00FB49E3" w:rsidP="00A21C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0C02"/>
    <w:multiLevelType w:val="hybridMultilevel"/>
    <w:tmpl w:val="B77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8259F"/>
    <w:multiLevelType w:val="hybridMultilevel"/>
    <w:tmpl w:val="51D26CB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9B"/>
    <w:rsid w:val="0000132F"/>
    <w:rsid w:val="000052A1"/>
    <w:rsid w:val="000119BC"/>
    <w:rsid w:val="000156B8"/>
    <w:rsid w:val="00022652"/>
    <w:rsid w:val="000479B4"/>
    <w:rsid w:val="00055DCE"/>
    <w:rsid w:val="0005748D"/>
    <w:rsid w:val="00066172"/>
    <w:rsid w:val="00070193"/>
    <w:rsid w:val="0007691A"/>
    <w:rsid w:val="0008265B"/>
    <w:rsid w:val="0008411E"/>
    <w:rsid w:val="00085194"/>
    <w:rsid w:val="00091C37"/>
    <w:rsid w:val="000A26AF"/>
    <w:rsid w:val="000A650E"/>
    <w:rsid w:val="000B7B61"/>
    <w:rsid w:val="000C3738"/>
    <w:rsid w:val="000D28CB"/>
    <w:rsid w:val="000D2982"/>
    <w:rsid w:val="000E5F6B"/>
    <w:rsid w:val="000F0F16"/>
    <w:rsid w:val="000F2A9D"/>
    <w:rsid w:val="00113A1D"/>
    <w:rsid w:val="00117E93"/>
    <w:rsid w:val="00125335"/>
    <w:rsid w:val="001449BA"/>
    <w:rsid w:val="0014533F"/>
    <w:rsid w:val="00152250"/>
    <w:rsid w:val="00160A67"/>
    <w:rsid w:val="00177BD0"/>
    <w:rsid w:val="0018670D"/>
    <w:rsid w:val="00191C08"/>
    <w:rsid w:val="0019352D"/>
    <w:rsid w:val="00195FD4"/>
    <w:rsid w:val="001A25D4"/>
    <w:rsid w:val="001A64FC"/>
    <w:rsid w:val="001B21A6"/>
    <w:rsid w:val="001B5759"/>
    <w:rsid w:val="001B5C4E"/>
    <w:rsid w:val="001C1780"/>
    <w:rsid w:val="001C4F94"/>
    <w:rsid w:val="001D2352"/>
    <w:rsid w:val="001E7729"/>
    <w:rsid w:val="001F0904"/>
    <w:rsid w:val="001F5DEC"/>
    <w:rsid w:val="00202551"/>
    <w:rsid w:val="0021070E"/>
    <w:rsid w:val="0022593B"/>
    <w:rsid w:val="00237072"/>
    <w:rsid w:val="00250868"/>
    <w:rsid w:val="00253D7F"/>
    <w:rsid w:val="0027564D"/>
    <w:rsid w:val="00291F72"/>
    <w:rsid w:val="0029544B"/>
    <w:rsid w:val="0029614E"/>
    <w:rsid w:val="002A13BE"/>
    <w:rsid w:val="002D3921"/>
    <w:rsid w:val="002E1D0C"/>
    <w:rsid w:val="002E4885"/>
    <w:rsid w:val="00306402"/>
    <w:rsid w:val="00312359"/>
    <w:rsid w:val="00314CAD"/>
    <w:rsid w:val="00316B3B"/>
    <w:rsid w:val="0033271F"/>
    <w:rsid w:val="00335DC5"/>
    <w:rsid w:val="00340D32"/>
    <w:rsid w:val="003416AF"/>
    <w:rsid w:val="00342074"/>
    <w:rsid w:val="003431D5"/>
    <w:rsid w:val="00345250"/>
    <w:rsid w:val="003554AB"/>
    <w:rsid w:val="00365685"/>
    <w:rsid w:val="00370FA5"/>
    <w:rsid w:val="0037678D"/>
    <w:rsid w:val="0038157E"/>
    <w:rsid w:val="003815DD"/>
    <w:rsid w:val="00381DEA"/>
    <w:rsid w:val="00392F40"/>
    <w:rsid w:val="003A0B88"/>
    <w:rsid w:val="003A2D5F"/>
    <w:rsid w:val="003A4222"/>
    <w:rsid w:val="003B4798"/>
    <w:rsid w:val="003D5FFF"/>
    <w:rsid w:val="003D6C91"/>
    <w:rsid w:val="003E59C2"/>
    <w:rsid w:val="00405EF4"/>
    <w:rsid w:val="00407C11"/>
    <w:rsid w:val="00411A5C"/>
    <w:rsid w:val="0041327E"/>
    <w:rsid w:val="0043318C"/>
    <w:rsid w:val="00457038"/>
    <w:rsid w:val="00464DDE"/>
    <w:rsid w:val="00466BE6"/>
    <w:rsid w:val="004672A4"/>
    <w:rsid w:val="00475EF7"/>
    <w:rsid w:val="00477486"/>
    <w:rsid w:val="00484CB4"/>
    <w:rsid w:val="004B476B"/>
    <w:rsid w:val="004B793D"/>
    <w:rsid w:val="004D7EF9"/>
    <w:rsid w:val="004E182E"/>
    <w:rsid w:val="004E2513"/>
    <w:rsid w:val="004F4333"/>
    <w:rsid w:val="00500C84"/>
    <w:rsid w:val="0050177F"/>
    <w:rsid w:val="00506A0E"/>
    <w:rsid w:val="00515982"/>
    <w:rsid w:val="00516B0E"/>
    <w:rsid w:val="0051733B"/>
    <w:rsid w:val="005245C5"/>
    <w:rsid w:val="00544470"/>
    <w:rsid w:val="00545103"/>
    <w:rsid w:val="00561457"/>
    <w:rsid w:val="00570E66"/>
    <w:rsid w:val="005820BB"/>
    <w:rsid w:val="005A06DA"/>
    <w:rsid w:val="005B7530"/>
    <w:rsid w:val="005C2865"/>
    <w:rsid w:val="005D499A"/>
    <w:rsid w:val="005E789C"/>
    <w:rsid w:val="005F30A9"/>
    <w:rsid w:val="005F41BA"/>
    <w:rsid w:val="00607D7F"/>
    <w:rsid w:val="00624E5C"/>
    <w:rsid w:val="0063227E"/>
    <w:rsid w:val="0063351E"/>
    <w:rsid w:val="00634E60"/>
    <w:rsid w:val="006433B4"/>
    <w:rsid w:val="00646CA9"/>
    <w:rsid w:val="00652E20"/>
    <w:rsid w:val="00657A52"/>
    <w:rsid w:val="0068209E"/>
    <w:rsid w:val="006828F2"/>
    <w:rsid w:val="00687D9F"/>
    <w:rsid w:val="006A11FE"/>
    <w:rsid w:val="006B01EB"/>
    <w:rsid w:val="006B1E71"/>
    <w:rsid w:val="006C4188"/>
    <w:rsid w:val="006C4290"/>
    <w:rsid w:val="006C5FFE"/>
    <w:rsid w:val="0072503B"/>
    <w:rsid w:val="00731872"/>
    <w:rsid w:val="00744343"/>
    <w:rsid w:val="00751122"/>
    <w:rsid w:val="007611F0"/>
    <w:rsid w:val="00762236"/>
    <w:rsid w:val="007726B9"/>
    <w:rsid w:val="00772BDC"/>
    <w:rsid w:val="0078079A"/>
    <w:rsid w:val="00786964"/>
    <w:rsid w:val="00790261"/>
    <w:rsid w:val="007A26F7"/>
    <w:rsid w:val="007A7688"/>
    <w:rsid w:val="007B17F5"/>
    <w:rsid w:val="007C70D5"/>
    <w:rsid w:val="007D0F09"/>
    <w:rsid w:val="007D28DC"/>
    <w:rsid w:val="007D68D6"/>
    <w:rsid w:val="007F3EBD"/>
    <w:rsid w:val="007F4B7C"/>
    <w:rsid w:val="008046F5"/>
    <w:rsid w:val="00815B38"/>
    <w:rsid w:val="00823A67"/>
    <w:rsid w:val="00833D49"/>
    <w:rsid w:val="00835009"/>
    <w:rsid w:val="008475C7"/>
    <w:rsid w:val="00857A72"/>
    <w:rsid w:val="00860392"/>
    <w:rsid w:val="0089773B"/>
    <w:rsid w:val="008B178D"/>
    <w:rsid w:val="008B490B"/>
    <w:rsid w:val="008B5619"/>
    <w:rsid w:val="008D3EDA"/>
    <w:rsid w:val="008E0BEA"/>
    <w:rsid w:val="008E13C5"/>
    <w:rsid w:val="008E22C9"/>
    <w:rsid w:val="008F0CC9"/>
    <w:rsid w:val="008F24CB"/>
    <w:rsid w:val="008F6AE0"/>
    <w:rsid w:val="0090465D"/>
    <w:rsid w:val="009168DE"/>
    <w:rsid w:val="009217C2"/>
    <w:rsid w:val="00935C4F"/>
    <w:rsid w:val="00936E24"/>
    <w:rsid w:val="0094465C"/>
    <w:rsid w:val="00945D6D"/>
    <w:rsid w:val="009517F4"/>
    <w:rsid w:val="00966924"/>
    <w:rsid w:val="0096724B"/>
    <w:rsid w:val="009710D3"/>
    <w:rsid w:val="009A7539"/>
    <w:rsid w:val="009B2947"/>
    <w:rsid w:val="009B78A4"/>
    <w:rsid w:val="009C1F26"/>
    <w:rsid w:val="009C3475"/>
    <w:rsid w:val="009C687F"/>
    <w:rsid w:val="009D6DAC"/>
    <w:rsid w:val="009D7533"/>
    <w:rsid w:val="009F0977"/>
    <w:rsid w:val="009F4C1A"/>
    <w:rsid w:val="009F5B03"/>
    <w:rsid w:val="00A0128A"/>
    <w:rsid w:val="00A1379D"/>
    <w:rsid w:val="00A21C9B"/>
    <w:rsid w:val="00A23E8A"/>
    <w:rsid w:val="00A24D1C"/>
    <w:rsid w:val="00A307FF"/>
    <w:rsid w:val="00A351D1"/>
    <w:rsid w:val="00A36540"/>
    <w:rsid w:val="00A37479"/>
    <w:rsid w:val="00A40884"/>
    <w:rsid w:val="00A459AB"/>
    <w:rsid w:val="00A675C2"/>
    <w:rsid w:val="00A719E4"/>
    <w:rsid w:val="00A71A73"/>
    <w:rsid w:val="00A878C7"/>
    <w:rsid w:val="00AA0C88"/>
    <w:rsid w:val="00AE44C9"/>
    <w:rsid w:val="00AF36F0"/>
    <w:rsid w:val="00B02A92"/>
    <w:rsid w:val="00B113E6"/>
    <w:rsid w:val="00B20709"/>
    <w:rsid w:val="00B230A6"/>
    <w:rsid w:val="00B40223"/>
    <w:rsid w:val="00B44972"/>
    <w:rsid w:val="00B52605"/>
    <w:rsid w:val="00B53C43"/>
    <w:rsid w:val="00B570F5"/>
    <w:rsid w:val="00B600CF"/>
    <w:rsid w:val="00B66BCE"/>
    <w:rsid w:val="00B7434E"/>
    <w:rsid w:val="00B750B6"/>
    <w:rsid w:val="00BB079E"/>
    <w:rsid w:val="00BB0A37"/>
    <w:rsid w:val="00BB2311"/>
    <w:rsid w:val="00BB57D7"/>
    <w:rsid w:val="00BC18C1"/>
    <w:rsid w:val="00BC4A86"/>
    <w:rsid w:val="00BD34B6"/>
    <w:rsid w:val="00BD7888"/>
    <w:rsid w:val="00BE3C5A"/>
    <w:rsid w:val="00BF1B99"/>
    <w:rsid w:val="00BF2072"/>
    <w:rsid w:val="00BF72E6"/>
    <w:rsid w:val="00C056C0"/>
    <w:rsid w:val="00C303E7"/>
    <w:rsid w:val="00C31F24"/>
    <w:rsid w:val="00C36E5F"/>
    <w:rsid w:val="00C43F35"/>
    <w:rsid w:val="00C50FC4"/>
    <w:rsid w:val="00C629B5"/>
    <w:rsid w:val="00C62A20"/>
    <w:rsid w:val="00C803DC"/>
    <w:rsid w:val="00C950CE"/>
    <w:rsid w:val="00CB46FD"/>
    <w:rsid w:val="00CB5C6E"/>
    <w:rsid w:val="00CC175E"/>
    <w:rsid w:val="00CD1BB0"/>
    <w:rsid w:val="00CE26F5"/>
    <w:rsid w:val="00CE2A48"/>
    <w:rsid w:val="00CE331F"/>
    <w:rsid w:val="00CE7C38"/>
    <w:rsid w:val="00D041FC"/>
    <w:rsid w:val="00D13C84"/>
    <w:rsid w:val="00D24AFE"/>
    <w:rsid w:val="00D26790"/>
    <w:rsid w:val="00D40DA2"/>
    <w:rsid w:val="00D41324"/>
    <w:rsid w:val="00D417DA"/>
    <w:rsid w:val="00D41C70"/>
    <w:rsid w:val="00D54AA4"/>
    <w:rsid w:val="00D54C16"/>
    <w:rsid w:val="00D56D4D"/>
    <w:rsid w:val="00D650F7"/>
    <w:rsid w:val="00D65DFC"/>
    <w:rsid w:val="00D66057"/>
    <w:rsid w:val="00D66408"/>
    <w:rsid w:val="00D734A5"/>
    <w:rsid w:val="00D8104B"/>
    <w:rsid w:val="00D84784"/>
    <w:rsid w:val="00D86E78"/>
    <w:rsid w:val="00DA0976"/>
    <w:rsid w:val="00DA3595"/>
    <w:rsid w:val="00DB07A5"/>
    <w:rsid w:val="00DB4935"/>
    <w:rsid w:val="00DB653F"/>
    <w:rsid w:val="00DC75C2"/>
    <w:rsid w:val="00DC770C"/>
    <w:rsid w:val="00DD5379"/>
    <w:rsid w:val="00DE4DF9"/>
    <w:rsid w:val="00DE5D93"/>
    <w:rsid w:val="00DE61A8"/>
    <w:rsid w:val="00DE6693"/>
    <w:rsid w:val="00E120AF"/>
    <w:rsid w:val="00E26FB9"/>
    <w:rsid w:val="00E47DD5"/>
    <w:rsid w:val="00E60EC6"/>
    <w:rsid w:val="00E64518"/>
    <w:rsid w:val="00E7167F"/>
    <w:rsid w:val="00E9066C"/>
    <w:rsid w:val="00E96E0B"/>
    <w:rsid w:val="00EA1D56"/>
    <w:rsid w:val="00EA45C9"/>
    <w:rsid w:val="00EA7609"/>
    <w:rsid w:val="00EC0520"/>
    <w:rsid w:val="00EC6780"/>
    <w:rsid w:val="00EC782C"/>
    <w:rsid w:val="00ED1FD8"/>
    <w:rsid w:val="00ED66CA"/>
    <w:rsid w:val="00EE19C0"/>
    <w:rsid w:val="00EF4097"/>
    <w:rsid w:val="00F035C1"/>
    <w:rsid w:val="00F10DFE"/>
    <w:rsid w:val="00F10E49"/>
    <w:rsid w:val="00F10F00"/>
    <w:rsid w:val="00F11E93"/>
    <w:rsid w:val="00F13832"/>
    <w:rsid w:val="00F17AF6"/>
    <w:rsid w:val="00F2246B"/>
    <w:rsid w:val="00F24AC1"/>
    <w:rsid w:val="00F319D5"/>
    <w:rsid w:val="00F31C1F"/>
    <w:rsid w:val="00F33444"/>
    <w:rsid w:val="00F639AC"/>
    <w:rsid w:val="00F773A3"/>
    <w:rsid w:val="00FA1668"/>
    <w:rsid w:val="00FA2E02"/>
    <w:rsid w:val="00FA5A5B"/>
    <w:rsid w:val="00FB40A6"/>
    <w:rsid w:val="00FB49E3"/>
    <w:rsid w:val="00FC36D3"/>
    <w:rsid w:val="00FC60BE"/>
    <w:rsid w:val="00FC73A3"/>
    <w:rsid w:val="00FD604D"/>
    <w:rsid w:val="00FE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65C4"/>
  <w15:chartTrackingRefBased/>
  <w15:docId w15:val="{95E09C95-5DC9-414E-A281-BE4BD479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D4D"/>
    <w:pPr>
      <w:spacing w:after="120" w:line="240" w:lineRule="auto"/>
    </w:pPr>
    <w:rPr>
      <w:lang w:val="en-US"/>
    </w:rPr>
  </w:style>
  <w:style w:type="paragraph" w:styleId="Heading1">
    <w:name w:val="heading 1"/>
    <w:basedOn w:val="Normal"/>
    <w:next w:val="Normal"/>
    <w:link w:val="Heading1Char"/>
    <w:uiPriority w:val="9"/>
    <w:qFormat/>
    <w:rsid w:val="00FB40A6"/>
    <w:pPr>
      <w:keepNext/>
      <w:outlineLvl w:val="0"/>
    </w:pPr>
    <w:rPr>
      <w:rFonts w:ascii="Times New Roman" w:hAnsi="Times New Roman" w:cs="Times New Roman"/>
      <w:b/>
      <w:lang w:val="sr-Cyrl-RS"/>
    </w:rPr>
  </w:style>
  <w:style w:type="paragraph" w:styleId="Heading2">
    <w:name w:val="heading 2"/>
    <w:basedOn w:val="Normal"/>
    <w:next w:val="Normal"/>
    <w:link w:val="Heading2Char"/>
    <w:uiPriority w:val="9"/>
    <w:unhideWhenUsed/>
    <w:qFormat/>
    <w:rsid w:val="009C3475"/>
    <w:pPr>
      <w:keepNext/>
      <w:spacing w:after="60"/>
      <w:jc w:val="both"/>
      <w:outlineLvl w:val="1"/>
    </w:pPr>
    <w:rPr>
      <w:rFonts w:ascii="Times New Roman" w:hAnsi="Times New Roman" w:cs="Times New Roman"/>
      <w:b/>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Char Char Char,single space,ft,ft Char Char Char,ft Char Char,Fußnote, Char Char Char,footnote text,FOOTNOTES,fn,Footnote Text Char1 Char,Footnote Text Char Char Char Char Char,f"/>
    <w:basedOn w:val="Normal"/>
    <w:link w:val="FootnoteTextChar"/>
    <w:uiPriority w:val="99"/>
    <w:unhideWhenUsed/>
    <w:qFormat/>
    <w:rsid w:val="00A21C9B"/>
    <w:pPr>
      <w:spacing w:after="0"/>
    </w:pPr>
    <w:rPr>
      <w:sz w:val="20"/>
      <w:szCs w:val="20"/>
    </w:rPr>
  </w:style>
  <w:style w:type="character" w:customStyle="1" w:styleId="FootnoteTextChar">
    <w:name w:val="Footnote Text Char"/>
    <w:aliases w:val="Footnote Text Char Char Char Char,Footnote Text Char Char Char1,Char Char Char Char,single space Char,ft Char,ft Char Char Char Char,ft Char Char Char1,Fußnote Char, Char Char Char Char,footnote text Char,FOOTNOTES Char,fn Char,f Char"/>
    <w:basedOn w:val="DefaultParagraphFont"/>
    <w:link w:val="FootnoteText"/>
    <w:uiPriority w:val="99"/>
    <w:rsid w:val="00A21C9B"/>
    <w:rPr>
      <w:sz w:val="20"/>
      <w:szCs w:val="20"/>
      <w:lang w:val="en-US"/>
    </w:rPr>
  </w:style>
  <w:style w:type="character" w:styleId="FootnoteReference">
    <w:name w:val="footnote reference"/>
    <w:aliases w:val="ftref,BVI fnr,Footnote za GI,16 Point,Superscript 6 Point,Footnote Reference Number,nota pié di pagina,Footnote symbol,Footnote reference number,Times 10 Point,Exposant 3 Point,EN Footnote Reference,note TESI,Footnotes refss,4_G,fr"/>
    <w:basedOn w:val="DefaultParagraphFont"/>
    <w:link w:val="BVIfnrChar"/>
    <w:uiPriority w:val="99"/>
    <w:unhideWhenUsed/>
    <w:qFormat/>
    <w:rsid w:val="00A21C9B"/>
    <w:rPr>
      <w:vertAlign w:val="superscript"/>
    </w:rPr>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
    <w:basedOn w:val="Normal"/>
    <w:link w:val="FootnoteReference"/>
    <w:uiPriority w:val="99"/>
    <w:rsid w:val="00A21C9B"/>
    <w:pPr>
      <w:spacing w:after="160" w:line="240" w:lineRule="exact"/>
    </w:pPr>
    <w:rPr>
      <w:vertAlign w:val="superscript"/>
      <w:lang w:val="en-GB"/>
    </w:rPr>
  </w:style>
  <w:style w:type="table" w:styleId="TableGrid">
    <w:name w:val="Table Grid"/>
    <w:basedOn w:val="TableNormal"/>
    <w:uiPriority w:val="59"/>
    <w:rsid w:val="00A21C9B"/>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isanipasus">
    <w:name w:val="Numerisani pasus"/>
    <w:basedOn w:val="Normal"/>
    <w:autoRedefine/>
    <w:qFormat/>
    <w:rsid w:val="00A21C9B"/>
    <w:pPr>
      <w:numPr>
        <w:ilvl w:val="2"/>
      </w:numPr>
    </w:pPr>
    <w:rPr>
      <w:rFonts w:ascii="Century Schoolbook" w:eastAsia="Calibri" w:hAnsi="Century Schoolbook" w:cs="Times New Roman"/>
      <w:bCs/>
      <w:iCs/>
      <w:noProof/>
      <w:color w:val="000000"/>
      <w:spacing w:val="-3"/>
      <w:sz w:val="20"/>
      <w:szCs w:val="20"/>
      <w:lang w:val="sr-Cyrl-RS" w:eastAsia="x-none"/>
    </w:rPr>
  </w:style>
  <w:style w:type="paragraph" w:customStyle="1" w:styleId="font7">
    <w:name w:val="font7"/>
    <w:basedOn w:val="Normal"/>
    <w:rsid w:val="00A21C9B"/>
    <w:pPr>
      <w:spacing w:before="100" w:beforeAutospacing="1" w:after="100" w:afterAutospacing="1"/>
    </w:pPr>
    <w:rPr>
      <w:rFonts w:ascii="Times New Roman" w:eastAsia="Times New Roman" w:hAnsi="Times New Roman" w:cs="Times New Roman"/>
      <w:b/>
      <w:bCs/>
      <w:sz w:val="24"/>
      <w:szCs w:val="24"/>
      <w:lang w:val="sr-Cyrl-RS" w:eastAsia="sr-Cyrl-RS"/>
    </w:rPr>
  </w:style>
  <w:style w:type="paragraph" w:styleId="BalloonText">
    <w:name w:val="Balloon Text"/>
    <w:basedOn w:val="Normal"/>
    <w:link w:val="BalloonTextChar"/>
    <w:uiPriority w:val="99"/>
    <w:semiHidden/>
    <w:unhideWhenUsed/>
    <w:rsid w:val="000661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172"/>
    <w:rPr>
      <w:rFonts w:ascii="Segoe UI" w:hAnsi="Segoe UI" w:cs="Segoe UI"/>
      <w:sz w:val="18"/>
      <w:szCs w:val="18"/>
      <w:lang w:val="en-US"/>
    </w:rPr>
  </w:style>
  <w:style w:type="paragraph" w:styleId="ListParagraph">
    <w:name w:val="List Paragraph"/>
    <w:basedOn w:val="Normal"/>
    <w:link w:val="ListParagraphChar"/>
    <w:uiPriority w:val="34"/>
    <w:qFormat/>
    <w:rsid w:val="006C5FFE"/>
    <w:pPr>
      <w:ind w:left="720"/>
      <w:contextualSpacing/>
    </w:pPr>
  </w:style>
  <w:style w:type="character" w:customStyle="1" w:styleId="ListParagraphChar">
    <w:name w:val="List Paragraph Char"/>
    <w:basedOn w:val="DefaultParagraphFont"/>
    <w:link w:val="ListParagraph"/>
    <w:uiPriority w:val="34"/>
    <w:rsid w:val="000E5F6B"/>
    <w:rPr>
      <w:lang w:val="en-US"/>
    </w:rPr>
  </w:style>
  <w:style w:type="character" w:customStyle="1" w:styleId="Heading1Char">
    <w:name w:val="Heading 1 Char"/>
    <w:basedOn w:val="DefaultParagraphFont"/>
    <w:link w:val="Heading1"/>
    <w:uiPriority w:val="9"/>
    <w:rsid w:val="00FB40A6"/>
    <w:rPr>
      <w:rFonts w:ascii="Times New Roman" w:hAnsi="Times New Roman" w:cs="Times New Roman"/>
      <w:b/>
      <w:lang w:val="sr-Cyrl-RS"/>
    </w:rPr>
  </w:style>
  <w:style w:type="paragraph" w:styleId="BodyText">
    <w:name w:val="Body Text"/>
    <w:basedOn w:val="Normal"/>
    <w:link w:val="BodyTextChar"/>
    <w:uiPriority w:val="99"/>
    <w:unhideWhenUsed/>
    <w:rsid w:val="00545103"/>
    <w:rPr>
      <w:rFonts w:ascii="Times New Roman" w:hAnsi="Times New Roman" w:cs="Times New Roman"/>
      <w:b/>
      <w:iCs/>
      <w:szCs w:val="16"/>
      <w:lang w:val="sr-Cyrl-RS"/>
    </w:rPr>
  </w:style>
  <w:style w:type="character" w:customStyle="1" w:styleId="BodyTextChar">
    <w:name w:val="Body Text Char"/>
    <w:basedOn w:val="DefaultParagraphFont"/>
    <w:link w:val="BodyText"/>
    <w:uiPriority w:val="99"/>
    <w:rsid w:val="00545103"/>
    <w:rPr>
      <w:rFonts w:ascii="Times New Roman" w:hAnsi="Times New Roman" w:cs="Times New Roman"/>
      <w:b/>
      <w:iCs/>
      <w:szCs w:val="16"/>
      <w:lang w:val="sr-Cyrl-RS"/>
    </w:rPr>
  </w:style>
  <w:style w:type="character" w:customStyle="1" w:styleId="Heading2Char">
    <w:name w:val="Heading 2 Char"/>
    <w:basedOn w:val="DefaultParagraphFont"/>
    <w:link w:val="Heading2"/>
    <w:uiPriority w:val="9"/>
    <w:rsid w:val="009C3475"/>
    <w:rPr>
      <w:rFonts w:ascii="Times New Roman" w:hAnsi="Times New Roman" w:cs="Times New Roman"/>
      <w:b/>
      <w:lang w:val="sr-Cyrl-RS"/>
    </w:rPr>
  </w:style>
  <w:style w:type="character" w:styleId="CommentReference">
    <w:name w:val="annotation reference"/>
    <w:basedOn w:val="DefaultParagraphFont"/>
    <w:uiPriority w:val="99"/>
    <w:semiHidden/>
    <w:unhideWhenUsed/>
    <w:rsid w:val="00E47DD5"/>
    <w:rPr>
      <w:sz w:val="16"/>
      <w:szCs w:val="16"/>
    </w:rPr>
  </w:style>
  <w:style w:type="paragraph" w:styleId="CommentText">
    <w:name w:val="annotation text"/>
    <w:basedOn w:val="Normal"/>
    <w:link w:val="CommentTextChar"/>
    <w:uiPriority w:val="99"/>
    <w:semiHidden/>
    <w:unhideWhenUsed/>
    <w:rsid w:val="00E47DD5"/>
    <w:rPr>
      <w:sz w:val="20"/>
      <w:szCs w:val="20"/>
    </w:rPr>
  </w:style>
  <w:style w:type="character" w:customStyle="1" w:styleId="CommentTextChar">
    <w:name w:val="Comment Text Char"/>
    <w:basedOn w:val="DefaultParagraphFont"/>
    <w:link w:val="CommentText"/>
    <w:uiPriority w:val="99"/>
    <w:semiHidden/>
    <w:rsid w:val="00E47DD5"/>
    <w:rPr>
      <w:sz w:val="20"/>
      <w:szCs w:val="20"/>
      <w:lang w:val="en-US"/>
    </w:rPr>
  </w:style>
  <w:style w:type="paragraph" w:styleId="CommentSubject">
    <w:name w:val="annotation subject"/>
    <w:basedOn w:val="CommentText"/>
    <w:next w:val="CommentText"/>
    <w:link w:val="CommentSubjectChar"/>
    <w:uiPriority w:val="99"/>
    <w:semiHidden/>
    <w:unhideWhenUsed/>
    <w:rsid w:val="00E47DD5"/>
    <w:rPr>
      <w:b/>
      <w:bCs/>
    </w:rPr>
  </w:style>
  <w:style w:type="character" w:customStyle="1" w:styleId="CommentSubjectChar">
    <w:name w:val="Comment Subject Char"/>
    <w:basedOn w:val="CommentTextChar"/>
    <w:link w:val="CommentSubject"/>
    <w:uiPriority w:val="99"/>
    <w:semiHidden/>
    <w:rsid w:val="00E47DD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3770">
      <w:bodyDiv w:val="1"/>
      <w:marLeft w:val="0"/>
      <w:marRight w:val="0"/>
      <w:marTop w:val="0"/>
      <w:marBottom w:val="0"/>
      <w:divBdr>
        <w:top w:val="none" w:sz="0" w:space="0" w:color="auto"/>
        <w:left w:val="none" w:sz="0" w:space="0" w:color="auto"/>
        <w:bottom w:val="none" w:sz="0" w:space="0" w:color="auto"/>
        <w:right w:val="none" w:sz="0" w:space="0" w:color="auto"/>
      </w:divBdr>
    </w:div>
    <w:div w:id="153104611">
      <w:bodyDiv w:val="1"/>
      <w:marLeft w:val="0"/>
      <w:marRight w:val="0"/>
      <w:marTop w:val="0"/>
      <w:marBottom w:val="0"/>
      <w:divBdr>
        <w:top w:val="none" w:sz="0" w:space="0" w:color="auto"/>
        <w:left w:val="none" w:sz="0" w:space="0" w:color="auto"/>
        <w:bottom w:val="none" w:sz="0" w:space="0" w:color="auto"/>
        <w:right w:val="none" w:sz="0" w:space="0" w:color="auto"/>
      </w:divBdr>
    </w:div>
    <w:div w:id="429468189">
      <w:bodyDiv w:val="1"/>
      <w:marLeft w:val="0"/>
      <w:marRight w:val="0"/>
      <w:marTop w:val="0"/>
      <w:marBottom w:val="0"/>
      <w:divBdr>
        <w:top w:val="none" w:sz="0" w:space="0" w:color="auto"/>
        <w:left w:val="none" w:sz="0" w:space="0" w:color="auto"/>
        <w:bottom w:val="none" w:sz="0" w:space="0" w:color="auto"/>
        <w:right w:val="none" w:sz="0" w:space="0" w:color="auto"/>
      </w:divBdr>
    </w:div>
    <w:div w:id="491988161">
      <w:bodyDiv w:val="1"/>
      <w:marLeft w:val="0"/>
      <w:marRight w:val="0"/>
      <w:marTop w:val="0"/>
      <w:marBottom w:val="0"/>
      <w:divBdr>
        <w:top w:val="none" w:sz="0" w:space="0" w:color="auto"/>
        <w:left w:val="none" w:sz="0" w:space="0" w:color="auto"/>
        <w:bottom w:val="none" w:sz="0" w:space="0" w:color="auto"/>
        <w:right w:val="none" w:sz="0" w:space="0" w:color="auto"/>
      </w:divBdr>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66913980">
      <w:bodyDiv w:val="1"/>
      <w:marLeft w:val="0"/>
      <w:marRight w:val="0"/>
      <w:marTop w:val="0"/>
      <w:marBottom w:val="0"/>
      <w:divBdr>
        <w:top w:val="none" w:sz="0" w:space="0" w:color="auto"/>
        <w:left w:val="none" w:sz="0" w:space="0" w:color="auto"/>
        <w:bottom w:val="none" w:sz="0" w:space="0" w:color="auto"/>
        <w:right w:val="none" w:sz="0" w:space="0" w:color="auto"/>
      </w:divBdr>
    </w:div>
    <w:div w:id="778061550">
      <w:bodyDiv w:val="1"/>
      <w:marLeft w:val="0"/>
      <w:marRight w:val="0"/>
      <w:marTop w:val="0"/>
      <w:marBottom w:val="0"/>
      <w:divBdr>
        <w:top w:val="none" w:sz="0" w:space="0" w:color="auto"/>
        <w:left w:val="none" w:sz="0" w:space="0" w:color="auto"/>
        <w:bottom w:val="none" w:sz="0" w:space="0" w:color="auto"/>
        <w:right w:val="none" w:sz="0" w:space="0" w:color="auto"/>
      </w:divBdr>
    </w:div>
    <w:div w:id="833296482">
      <w:bodyDiv w:val="1"/>
      <w:marLeft w:val="0"/>
      <w:marRight w:val="0"/>
      <w:marTop w:val="0"/>
      <w:marBottom w:val="0"/>
      <w:divBdr>
        <w:top w:val="none" w:sz="0" w:space="0" w:color="auto"/>
        <w:left w:val="none" w:sz="0" w:space="0" w:color="auto"/>
        <w:bottom w:val="none" w:sz="0" w:space="0" w:color="auto"/>
        <w:right w:val="none" w:sz="0" w:space="0" w:color="auto"/>
      </w:divBdr>
    </w:div>
    <w:div w:id="946892965">
      <w:bodyDiv w:val="1"/>
      <w:marLeft w:val="0"/>
      <w:marRight w:val="0"/>
      <w:marTop w:val="0"/>
      <w:marBottom w:val="0"/>
      <w:divBdr>
        <w:top w:val="none" w:sz="0" w:space="0" w:color="auto"/>
        <w:left w:val="none" w:sz="0" w:space="0" w:color="auto"/>
        <w:bottom w:val="none" w:sz="0" w:space="0" w:color="auto"/>
        <w:right w:val="none" w:sz="0" w:space="0" w:color="auto"/>
      </w:divBdr>
    </w:div>
    <w:div w:id="1116369908">
      <w:bodyDiv w:val="1"/>
      <w:marLeft w:val="0"/>
      <w:marRight w:val="0"/>
      <w:marTop w:val="0"/>
      <w:marBottom w:val="0"/>
      <w:divBdr>
        <w:top w:val="none" w:sz="0" w:space="0" w:color="auto"/>
        <w:left w:val="none" w:sz="0" w:space="0" w:color="auto"/>
        <w:bottom w:val="none" w:sz="0" w:space="0" w:color="auto"/>
        <w:right w:val="none" w:sz="0" w:space="0" w:color="auto"/>
      </w:divBdr>
    </w:div>
    <w:div w:id="1164779308">
      <w:bodyDiv w:val="1"/>
      <w:marLeft w:val="0"/>
      <w:marRight w:val="0"/>
      <w:marTop w:val="0"/>
      <w:marBottom w:val="0"/>
      <w:divBdr>
        <w:top w:val="none" w:sz="0" w:space="0" w:color="auto"/>
        <w:left w:val="none" w:sz="0" w:space="0" w:color="auto"/>
        <w:bottom w:val="none" w:sz="0" w:space="0" w:color="auto"/>
        <w:right w:val="none" w:sz="0" w:space="0" w:color="auto"/>
      </w:divBdr>
    </w:div>
    <w:div w:id="1331828419">
      <w:bodyDiv w:val="1"/>
      <w:marLeft w:val="0"/>
      <w:marRight w:val="0"/>
      <w:marTop w:val="0"/>
      <w:marBottom w:val="0"/>
      <w:divBdr>
        <w:top w:val="none" w:sz="0" w:space="0" w:color="auto"/>
        <w:left w:val="none" w:sz="0" w:space="0" w:color="auto"/>
        <w:bottom w:val="none" w:sz="0" w:space="0" w:color="auto"/>
        <w:right w:val="none" w:sz="0" w:space="0" w:color="auto"/>
      </w:divBdr>
    </w:div>
    <w:div w:id="1705328052">
      <w:bodyDiv w:val="1"/>
      <w:marLeft w:val="0"/>
      <w:marRight w:val="0"/>
      <w:marTop w:val="0"/>
      <w:marBottom w:val="0"/>
      <w:divBdr>
        <w:top w:val="none" w:sz="0" w:space="0" w:color="auto"/>
        <w:left w:val="none" w:sz="0" w:space="0" w:color="auto"/>
        <w:bottom w:val="none" w:sz="0" w:space="0" w:color="auto"/>
        <w:right w:val="none" w:sz="0" w:space="0" w:color="auto"/>
      </w:divBdr>
    </w:div>
    <w:div w:id="1933708297">
      <w:bodyDiv w:val="1"/>
      <w:marLeft w:val="0"/>
      <w:marRight w:val="0"/>
      <w:marTop w:val="0"/>
      <w:marBottom w:val="0"/>
      <w:divBdr>
        <w:top w:val="none" w:sz="0" w:space="0" w:color="auto"/>
        <w:left w:val="none" w:sz="0" w:space="0" w:color="auto"/>
        <w:bottom w:val="none" w:sz="0" w:space="0" w:color="auto"/>
        <w:right w:val="none" w:sz="0" w:space="0" w:color="auto"/>
      </w:divBdr>
    </w:div>
    <w:div w:id="20280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9EED5-863F-4A57-B8F8-098680FF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Momčilović</dc:creator>
  <cp:keywords/>
  <dc:description/>
  <cp:lastModifiedBy>Bojan Grgić</cp:lastModifiedBy>
  <cp:revision>2</cp:revision>
  <cp:lastPrinted>2021-09-03T08:24:00Z</cp:lastPrinted>
  <dcterms:created xsi:type="dcterms:W3CDTF">2021-10-28T13:05:00Z</dcterms:created>
  <dcterms:modified xsi:type="dcterms:W3CDTF">2021-10-28T13:05:00Z</dcterms:modified>
</cp:coreProperties>
</file>