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096" w:rsidRPr="00A15D09" w:rsidRDefault="00C37096" w:rsidP="002A3DED">
      <w:pPr>
        <w:pStyle w:val="Default"/>
        <w:jc w:val="center"/>
        <w:rPr>
          <w:rFonts w:ascii="Times New Roman" w:hAnsi="Times New Roman" w:cs="Times New Roman"/>
          <w:bCs/>
          <w:lang w:val="sr-Cyrl-RS"/>
        </w:rPr>
      </w:pPr>
      <w:r w:rsidRPr="00A15D09">
        <w:rPr>
          <w:rFonts w:ascii="Times New Roman" w:hAnsi="Times New Roman" w:cs="Times New Roman"/>
          <w:bCs/>
          <w:lang w:val="sr-Cyrl-RS"/>
        </w:rPr>
        <w:t>О Б Р А З Л О Ж Е Њ Е</w:t>
      </w:r>
    </w:p>
    <w:p w:rsidR="002A3DED" w:rsidRDefault="002A3DED" w:rsidP="002A3DED">
      <w:pPr>
        <w:pStyle w:val="Default"/>
        <w:jc w:val="center"/>
        <w:rPr>
          <w:rFonts w:ascii="Times New Roman" w:hAnsi="Times New Roman" w:cs="Times New Roman"/>
          <w:lang w:val="sr-Cyrl-RS"/>
        </w:rPr>
      </w:pPr>
    </w:p>
    <w:p w:rsidR="00495531" w:rsidRPr="00A15D09" w:rsidRDefault="00495531" w:rsidP="002A3DED">
      <w:pPr>
        <w:pStyle w:val="Default"/>
        <w:jc w:val="center"/>
        <w:rPr>
          <w:rFonts w:ascii="Times New Roman" w:hAnsi="Times New Roman" w:cs="Times New Roman"/>
          <w:lang w:val="sr-Cyrl-RS"/>
        </w:rPr>
      </w:pPr>
    </w:p>
    <w:p w:rsidR="00C37096" w:rsidRPr="00A15D09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 xml:space="preserve">I. </w:t>
      </w:r>
      <w:r w:rsidR="00C37096" w:rsidRPr="00A15D09">
        <w:rPr>
          <w:rFonts w:ascii="Times New Roman" w:hAnsi="Times New Roman" w:cs="Times New Roman"/>
          <w:lang w:val="sr-Cyrl-RS"/>
        </w:rPr>
        <w:t xml:space="preserve">УСТАВНИ ОСНОВ ЗА ДОНОШЕЊЕ ЗАКОНА </w:t>
      </w:r>
    </w:p>
    <w:p w:rsidR="002A3DED" w:rsidRPr="00A15D09" w:rsidRDefault="002A3DED" w:rsidP="002A3DED">
      <w:pPr>
        <w:pStyle w:val="Default"/>
        <w:jc w:val="both"/>
        <w:rPr>
          <w:rFonts w:ascii="Times New Roman" w:hAnsi="Times New Roman" w:cs="Times New Roman"/>
          <w:lang w:val="sr-Cyrl-RS"/>
        </w:rPr>
      </w:pPr>
    </w:p>
    <w:p w:rsidR="00C37096" w:rsidRPr="00A15D09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 xml:space="preserve"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 </w:t>
      </w:r>
    </w:p>
    <w:p w:rsidR="002A3DED" w:rsidRPr="00A15D09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</w:p>
    <w:p w:rsidR="002A3DED" w:rsidRPr="00A15D09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>II. РАЗЛОЗИ ЗА ПОТВРЂИВАЊЕ УГОВОРА</w:t>
      </w:r>
    </w:p>
    <w:p w:rsidR="00C37096" w:rsidRPr="00A15D09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A15D09">
        <w:rPr>
          <w:rFonts w:ascii="Times New Roman" w:hAnsi="Times New Roman" w:cs="Times New Roman"/>
          <w:lang w:val="sr-Cyrl-RS"/>
        </w:rPr>
        <w:t xml:space="preserve"> </w:t>
      </w:r>
    </w:p>
    <w:p w:rsidR="00FC1276" w:rsidRPr="00A15D09" w:rsidRDefault="00C3709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A15D09">
        <w:rPr>
          <w:lang w:val="sr-Cyrl-RS"/>
        </w:rPr>
        <w:t>Разлози за потврђивањe Уговора о гаранцији (</w:t>
      </w:r>
      <w:r w:rsidR="005B5B1D">
        <w:rPr>
          <w:lang w:val="sr-Cyrl-RS"/>
        </w:rPr>
        <w:t>Паметна бројила</w:t>
      </w:r>
      <w:r w:rsidR="002A3DED" w:rsidRPr="00A15D09">
        <w:rPr>
          <w:lang w:val="sr-Cyrl-RS"/>
        </w:rPr>
        <w:t>)</w:t>
      </w:r>
      <w:r w:rsidRPr="00A15D09">
        <w:rPr>
          <w:lang w:val="sr-Cyrl-RS"/>
        </w:rPr>
        <w:t xml:space="preserve"> између Републике Србије и Европске банке за обнову и развој, потписаног</w:t>
      </w:r>
      <w:r w:rsidR="00F163C6" w:rsidRPr="00A15D09">
        <w:rPr>
          <w:lang w:val="sr-Cyrl-RS"/>
        </w:rPr>
        <w:t xml:space="preserve"> </w:t>
      </w:r>
      <w:r w:rsidR="00402772" w:rsidRPr="00495531">
        <w:rPr>
          <w:lang w:val="sr-Cyrl-RS"/>
        </w:rPr>
        <w:t>1</w:t>
      </w:r>
      <w:r w:rsidR="005B5B1D" w:rsidRPr="00495531">
        <w:rPr>
          <w:lang w:val="sr-Cyrl-RS"/>
        </w:rPr>
        <w:t>4</w:t>
      </w:r>
      <w:r w:rsidRPr="00495531">
        <w:rPr>
          <w:lang w:val="sr-Cyrl-RS"/>
        </w:rPr>
        <w:t xml:space="preserve">. </w:t>
      </w:r>
      <w:r w:rsidR="005B5B1D" w:rsidRPr="00495531">
        <w:rPr>
          <w:lang w:val="sr-Cyrl-RS"/>
        </w:rPr>
        <w:t>септембра</w:t>
      </w:r>
      <w:r w:rsidRPr="00495531">
        <w:rPr>
          <w:lang w:val="sr-Cyrl-RS"/>
        </w:rPr>
        <w:t xml:space="preserve"> 20</w:t>
      </w:r>
      <w:r w:rsidR="005B5B1D" w:rsidRPr="00495531">
        <w:rPr>
          <w:lang w:val="sr-Cyrl-RS"/>
        </w:rPr>
        <w:t>21</w:t>
      </w:r>
      <w:r w:rsidRPr="00495531">
        <w:rPr>
          <w:lang w:val="sr-Cyrl-RS"/>
        </w:rPr>
        <w:t>. године у Београду (у даљем тексту: Уговор о гаранцији), садржани су у чињеници</w:t>
      </w:r>
      <w:r w:rsidRPr="00A15D09">
        <w:rPr>
          <w:lang w:val="sr-Cyrl-RS"/>
        </w:rPr>
        <w:t xml:space="preserve"> да је Европска банка за обнову и развој одобр</w:t>
      </w:r>
      <w:r w:rsidR="00402772" w:rsidRPr="00A15D09">
        <w:rPr>
          <w:lang w:val="sr-Cyrl-RS"/>
        </w:rPr>
        <w:t xml:space="preserve">ила </w:t>
      </w:r>
      <w:r w:rsidRPr="00A15D09">
        <w:rPr>
          <w:lang w:val="sr-Cyrl-RS"/>
        </w:rPr>
        <w:t xml:space="preserve">зајам од </w:t>
      </w:r>
      <w:r w:rsidR="005B5B1D">
        <w:rPr>
          <w:lang w:val="sr-Cyrl-RS"/>
        </w:rPr>
        <w:t>40</w:t>
      </w:r>
      <w:r w:rsidRPr="00A15D09">
        <w:rPr>
          <w:lang w:val="sr-Cyrl-RS"/>
        </w:rPr>
        <w:t xml:space="preserve"> милиона евра </w:t>
      </w:r>
      <w:r w:rsidR="005B5B1D" w:rsidRPr="005B5B1D">
        <w:rPr>
          <w:lang w:val="sr-Cyrl-RS"/>
        </w:rPr>
        <w:t xml:space="preserve">Електродистрибуцији Србије д.о.о. </w:t>
      </w:r>
      <w:r w:rsidR="005B5B1D" w:rsidRPr="00495531">
        <w:rPr>
          <w:lang w:val="sr-Cyrl-RS"/>
        </w:rPr>
        <w:t>Београд</w:t>
      </w:r>
      <w:r w:rsidR="00402772" w:rsidRPr="00495531">
        <w:rPr>
          <w:lang w:val="sr-Cyrl-RS"/>
        </w:rPr>
        <w:t>, као зајмопримцу, према Уговору о зајму (</w:t>
      </w:r>
      <w:r w:rsidR="005B5B1D" w:rsidRPr="00495531">
        <w:rPr>
          <w:lang w:val="sr-Latn-RS"/>
        </w:rPr>
        <w:t>Паметна бројила</w:t>
      </w:r>
      <w:r w:rsidR="00402772" w:rsidRPr="00495531">
        <w:rPr>
          <w:lang w:val="sr-Cyrl-RS"/>
        </w:rPr>
        <w:t>)</w:t>
      </w:r>
      <w:r w:rsidR="00FC1276" w:rsidRPr="00495531">
        <w:rPr>
          <w:lang w:val="sr-Cyrl-RS"/>
        </w:rPr>
        <w:t xml:space="preserve"> који је такође потписан </w:t>
      </w:r>
      <w:r w:rsidR="005B5B1D" w:rsidRPr="00495531">
        <w:rPr>
          <w:lang w:val="sr-Cyrl-RS"/>
        </w:rPr>
        <w:t>14. септембра 2021</w:t>
      </w:r>
      <w:r w:rsidR="00495531" w:rsidRPr="00495531">
        <w:rPr>
          <w:lang w:val="sr-Cyrl-RS"/>
        </w:rPr>
        <w:t>. године</w:t>
      </w:r>
      <w:r w:rsidR="005B5B1D" w:rsidRPr="00A15D09">
        <w:rPr>
          <w:lang w:val="sr-Cyrl-RS"/>
        </w:rPr>
        <w:t xml:space="preserve"> </w:t>
      </w:r>
      <w:r w:rsidR="00FC1276" w:rsidRPr="00A15D09">
        <w:rPr>
          <w:lang w:val="sr-Cyrl-RS"/>
        </w:rPr>
        <w:t>(у даљем тексту: Уговор о зајму), уз услов да Република Србија гарантује за обавезе зајмопримц</w:t>
      </w:r>
      <w:r w:rsidR="005C324C" w:rsidRPr="00A15D09">
        <w:rPr>
          <w:lang w:val="sr-Cyrl-RS"/>
        </w:rPr>
        <w:t>a</w:t>
      </w:r>
      <w:r w:rsidR="00FC1276" w:rsidRPr="00A15D09">
        <w:rPr>
          <w:lang w:val="sr-Cyrl-RS"/>
        </w:rPr>
        <w:t>.</w:t>
      </w:r>
    </w:p>
    <w:p w:rsidR="00FC1276" w:rsidRPr="00A15D09" w:rsidRDefault="00FC127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A15D09">
        <w:rPr>
          <w:lang w:val="sr-Cyrl-RS"/>
        </w:rPr>
        <w:t xml:space="preserve">Према одредби члана 5. став 2. Закона о јавном дугу („Службени гласник РС”, бр. </w:t>
      </w:r>
      <w:r w:rsidR="005B5B1D" w:rsidRPr="005B5B1D">
        <w:rPr>
          <w:lang w:val="sr-Cyrl-RS"/>
        </w:rPr>
        <w:t>61/05, 107/09, 78/1</w:t>
      </w:r>
      <w:r w:rsidR="005B5B1D">
        <w:rPr>
          <w:lang w:val="sr-Cyrl-RS"/>
        </w:rPr>
        <w:t>1, 68/15, 95/18, 91/19 и 149/20</w:t>
      </w:r>
      <w:r w:rsidRPr="00A15D09">
        <w:rPr>
          <w:lang w:val="sr-Cyrl-RS"/>
        </w:rPr>
        <w:t>) Народна скупштина, између осталог, одлучује о давању гаранција, као и непосредном преузимању обавеза у својству дужника по основу дате гаранције.</w:t>
      </w:r>
    </w:p>
    <w:p w:rsidR="008B35AE" w:rsidRDefault="00FC1276" w:rsidP="00402772">
      <w:pPr>
        <w:tabs>
          <w:tab w:val="left" w:pos="0"/>
        </w:tabs>
        <w:ind w:firstLine="720"/>
        <w:jc w:val="both"/>
        <w:rPr>
          <w:lang w:val="sr-Cyrl-RS"/>
        </w:rPr>
      </w:pPr>
      <w:r w:rsidRPr="00A15D09">
        <w:rPr>
          <w:lang w:val="sr-Cyrl-RS"/>
        </w:rPr>
        <w:t>Такође,</w:t>
      </w:r>
      <w:r w:rsidR="005C324C" w:rsidRPr="00A15D09">
        <w:rPr>
          <w:lang w:val="sr-Cyrl-RS"/>
        </w:rPr>
        <w:t xml:space="preserve"> </w:t>
      </w:r>
      <w:r w:rsidR="008B35AE" w:rsidRPr="00A15D09">
        <w:rPr>
          <w:lang w:val="sr-Cyrl-RS"/>
        </w:rPr>
        <w:t xml:space="preserve">Народна скупштина потврђује </w:t>
      </w:r>
      <w:r w:rsidRPr="00A15D09">
        <w:rPr>
          <w:lang w:val="sr-Cyrl-RS"/>
        </w:rPr>
        <w:t>Уговор о гаранцији, као међународни уговор</w:t>
      </w:r>
      <w:r w:rsidR="008B35AE" w:rsidRPr="00A15D09">
        <w:rPr>
          <w:lang w:val="sr-Cyrl-RS"/>
        </w:rPr>
        <w:t xml:space="preserve">, у складу са одредбама </w:t>
      </w:r>
      <w:r w:rsidRPr="00A15D09">
        <w:rPr>
          <w:lang w:val="sr-Cyrl-RS"/>
        </w:rPr>
        <w:t>члана 14. став 1. Закона о закључивању и извршавању међународних уговора („Службени гласник РС”, број 32/13)</w:t>
      </w:r>
      <w:r w:rsidR="008B35AE" w:rsidRPr="00A15D09">
        <w:rPr>
          <w:lang w:val="sr-Cyrl-RS"/>
        </w:rPr>
        <w:t>.</w:t>
      </w:r>
    </w:p>
    <w:p w:rsidR="008B35AE" w:rsidRDefault="005B5B1D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5B5B1D">
        <w:rPr>
          <w:lang w:val="sr-Cyrl-RS"/>
        </w:rPr>
        <w:t>Законом о буџету Републике Србије за 2021. год</w:t>
      </w:r>
      <w:r w:rsidR="0009373F">
        <w:rPr>
          <w:lang w:val="sr-Cyrl-RS"/>
        </w:rPr>
        <w:t>ину („Службени гласник РС”, бр.</w:t>
      </w:r>
      <w:r w:rsidRPr="005B5B1D">
        <w:rPr>
          <w:lang w:val="sr-Cyrl-RS"/>
        </w:rPr>
        <w:t xml:space="preserve"> 149/20 и 40/21) предвиђено је давање гаранције Републике Србије Европској банци за обнову и развој (у даљем тексту: Банка) у износу до 40.000.000 евра по основу задужења Електродистибуције Србије д.о.о. Београд, као зајмопримца за финансир</w:t>
      </w:r>
      <w:r w:rsidR="00275D1A">
        <w:rPr>
          <w:lang w:val="sr-Cyrl-RS"/>
        </w:rPr>
        <w:t>ање Пројекта за паметна бројила</w:t>
      </w:r>
      <w:r w:rsidR="008B35AE" w:rsidRPr="00A15D09">
        <w:rPr>
          <w:lang w:val="sr-Cyrl-RS"/>
        </w:rPr>
        <w:t>, што је био правни основ за закључивање кредитног аранжмана и давање државне гаранције у оквиру лимита утврђеног законом којим се уређује буџет Републике Србије.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 xml:space="preserve">Увођење паметних система мерења у енергетски сектор један је од најважнијих циљева енергетске политике Републике Србије. Побољшање мерне инфраструктуре и комуникације са купцима електричне енергије у циљу ефикаснијег коришћења исте, представља приоритетни задатак у модернизацији система преноса и дистрибуције електричне енергије. </w:t>
      </w:r>
    </w:p>
    <w:p w:rsid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 xml:space="preserve">У Републици Србији велики број домаћинстава има застарела бројила која дужи низ година нису замењена или баждарена, што за последицу има успоравање у раду дистрибутивног система и нетачан приказ стварно утрошене електричне енергије. Из тих разлога, потребно је извршити обнову и осавремењавање дистрибутивне мреже и побољшати функционалност бројила како би се успоставила ефикаснија потрошња електричне енергије. 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 xml:space="preserve">Стратегијом развоја енергетике Републике Србије до 2025. године са пројекцијама до 2030. године („Службени гласник РС”, број 101/15), Влада је дефинисала важност замене постојећих мерних уређаја савременим дигиталним мерним уређајима који ће омогућити </w:t>
      </w:r>
      <w:r w:rsidRPr="00275D1A">
        <w:rPr>
          <w:lang w:val="sr-Cyrl-RS"/>
        </w:rPr>
        <w:lastRenderedPageBreak/>
        <w:t>спровођење тзв. „smart metering”, што подразумева даљинско очитавање, даљинско и</w:t>
      </w:r>
      <w:r w:rsidR="003B30BF">
        <w:rPr>
          <w:lang w:val="sr-Cyrl-RS"/>
        </w:rPr>
        <w:t>скључивање, управљање потрошњом</w:t>
      </w:r>
      <w:r w:rsidRPr="00275D1A">
        <w:rPr>
          <w:lang w:val="sr-Cyrl-RS"/>
        </w:rPr>
        <w:t xml:space="preserve"> и др. Такође, потребно је предузети и остале кораке у вези са увођењем концепта паметне мреже („smart grid”), која користи дигитална (паметна) бројила за праћење потрошње електричне енергије у реалном времену. Поред тога што ће допринети смањењу губитака у дистрибутивном систему, увођење паметних система мерења омогућиће и прикључење нових произвођача електричне енергије из обновљивих извора енергије (ОИЕ) на дистрибутивну мрежу. То ће захтевати да дистрибуције постану активни учесници у управљању својим делом енергетског система. С тим у вези, технологија паметне мреже је неопходан услов за велике количине обновљиве електричне енергије на мрежи.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 xml:space="preserve">Ради модернизације мерне инфраструктуре и развоја напредних мерних система, Електродистибуција Србије д.о.о. Београд, као оператор дистрибутивног система, иницирала je стратешки Пројекат за паметна бројила (у даљем тексту: Пројекат) који подразумева набавку и замену класичних бројила савременим електронским бројилима која имају могућност комуникације (паметна бројила), као и набавку и успостављање система (софтвера и хардвера) за њихово очитавање, управљање и прикупљање података.  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 xml:space="preserve">Циљеви пројекта су: 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>унапређење ефикасности, управљања и контроле над дистрибутивним системом електричне енергије;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>смањивање нивоа губитака у дистрибутивној мрежи (комерцијални и технички губици);</w:t>
      </w:r>
    </w:p>
    <w:p w:rsidR="00275D1A" w:rsidRPr="00275D1A" w:rsidRDefault="009973F4" w:rsidP="00275D1A">
      <w:pPr>
        <w:tabs>
          <w:tab w:val="left" w:pos="0"/>
        </w:tabs>
        <w:ind w:firstLine="720"/>
        <w:jc w:val="both"/>
        <w:rPr>
          <w:lang w:val="sr-Cyrl-RS"/>
        </w:rPr>
      </w:pPr>
      <w:r>
        <w:rPr>
          <w:lang w:val="sr-Cyrl-RS"/>
        </w:rPr>
        <w:t>•</w:t>
      </w:r>
      <w:r>
        <w:rPr>
          <w:lang w:val="sr-Cyrl-RS"/>
        </w:rPr>
        <w:tab/>
        <w:t>смањење оперативних трошкова.</w:t>
      </w:r>
      <w:r w:rsidR="00275D1A" w:rsidRPr="00275D1A">
        <w:rPr>
          <w:lang w:val="sr-Cyrl-RS"/>
        </w:rPr>
        <w:t xml:space="preserve"> 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 xml:space="preserve">Процењена вредност Пројекта је 80.000.000 евра који ће се изводити у две секвенцијалне фазе (1А и 1Б). Планирано је да финансирање фазе 1А </w:t>
      </w:r>
      <w:r w:rsidR="00495531">
        <w:rPr>
          <w:lang w:val="sr-Cyrl-RS"/>
        </w:rPr>
        <w:t>П</w:t>
      </w:r>
      <w:r w:rsidRPr="00275D1A">
        <w:rPr>
          <w:lang w:val="sr-Cyrl-RS"/>
        </w:rPr>
        <w:t xml:space="preserve">ројекта буде обезбеђено кредитом Банке (40.000.000 евра), уз државну гаранцију, док би фаза 1Б била финансирана кредитом Европске инвестиционе банке (40.000.000 евра), такође уз државну гаранцију. 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Фазом 1А планирана је реализација следећих активности: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 xml:space="preserve">Избор консултанта са дефинисаним задацима: 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ab/>
        <w:t>Задатак 1: Анализа постојеће мерне инфраструктуре ради проналажења изводљивог решења са постојећим инсталираним системом и паметним бројилима;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ab/>
        <w:t>Задатак 2: Помоћ у припреми тендерске документације, спровођења поступка набавке, евалуације понуда и поступка уговарања набавке додатних паметних бројила и набавке надоградње или ажурирања система за даљинско мерење и управљање како би се достигао идентификовани изводљиви циљ;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ab/>
        <w:t>Задатак 3: Техничка помоћ приликом инсталације и пушта</w:t>
      </w:r>
      <w:r w:rsidR="0006742E">
        <w:rPr>
          <w:lang w:val="sr-Cyrl-RS"/>
        </w:rPr>
        <w:t>ња у рад свих компонети система,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>Набавка надоградње/ажурирања система за даљинско мерење и управљање потрошњом са паметних (дигиталних) бројила електричне енергије за подручје Ниша, Краљева и Чачка као и за све велике (индустријске) потрошаче у Републици Србији.</w:t>
      </w:r>
    </w:p>
    <w:p w:rsidR="00275D1A" w:rsidRPr="00275D1A" w:rsidRDefault="00275D1A" w:rsidP="0006742E">
      <w:pPr>
        <w:tabs>
          <w:tab w:val="left" w:pos="0"/>
          <w:tab w:val="left" w:pos="851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Реализацијом фазe 1А стварају се основни предуслови за смањење губитака у дистрибутивном систему тј. обезбеђује се софистицирани „алат</w:t>
      </w:r>
      <w:r w:rsidR="0006742E">
        <w:rPr>
          <w:lang w:val="sr-Cyrl-RS"/>
        </w:rPr>
        <w:t>”</w:t>
      </w:r>
      <w:r w:rsidRPr="00275D1A">
        <w:rPr>
          <w:lang w:val="sr-Cyrl-RS"/>
        </w:rPr>
        <w:t xml:space="preserve"> за идентификовање подручја са повећаним губицима, што омогућава даље циљане активности на њиховом свођењу на минимум, као и успостављање сталног надзора над паметним мерним уређајима у циљу брзе идентификације покушаја манипулација над њима. Поред наведеног, инсталирањем поменутог система стварају се и предуслови за развој тржишта електричне </w:t>
      </w:r>
      <w:r w:rsidRPr="00275D1A">
        <w:rPr>
          <w:lang w:val="sr-Cyrl-RS"/>
        </w:rPr>
        <w:lastRenderedPageBreak/>
        <w:t>енергије, као и правовремена достава информација произвођачу/купцу, а све у циљу рационалне и ефикасне производње/потрошње електричне енергије.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Планирано је да се кроз Фазу 1 изврши набавка и инсталација система, пратећег софтвера и приближно око 205.000 паметних (дигиталних) бројила. Инсталирањем система у фази 1А би се омогућила реализација фазе 1Б тј. набавка додатних 260.000 бројила за подручја са највећим губицима, а која ће бити дефинисана од стране консултанта у фази 1А.</w:t>
      </w:r>
    </w:p>
    <w:p w:rsid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Планирани временски рок реализације фазе 1А је од 2021. до 2025. године, док је за фазу 1Б, предвиђени рок од 2023. до 2027. године.</w:t>
      </w:r>
    </w:p>
    <w:p w:rsidR="004D4054" w:rsidRDefault="004D4054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4D4054">
        <w:rPr>
          <w:lang w:val="sr-Cyrl-RS"/>
        </w:rPr>
        <w:t>Влада је на седници 2. септембра 2021. године, Закључком 05 Број: 48-8016/2021 утврдила Oснову за вођење преговора са Европском банком за обнову и развој у вези са одобравањем зајма Електродистрибуцији Србије д.о.о. Београд, ради спровођења Пројекта за паметна бројила и давањем гаранције Републике Србије Европској банци за обнову и развој по задуживању Електродистрибуцијe Србије д.о.о. Београд, именовала представнике Републике Србије у делегацији за преговоре, прихватила Нацрт уговора о зајму (Паметна бројила), између Електродистрибуције Србије д.о.о. Београд и Европске банке за обнову и развој и усвојила Нацрт уговора о гаранцији (Паметна бројила), између Републике Србије и Европске банке за обнову и развој.</w:t>
      </w:r>
    </w:p>
    <w:p w:rsidR="00275D1A" w:rsidRPr="00275D1A" w:rsidRDefault="00275D1A" w:rsidP="00275D1A">
      <w:pPr>
        <w:ind w:firstLine="720"/>
        <w:jc w:val="both"/>
        <w:rPr>
          <w:bCs/>
          <w:lang w:val="sr-Cyrl-RS"/>
        </w:rPr>
      </w:pPr>
      <w:r w:rsidRPr="00275D1A">
        <w:rPr>
          <w:lang w:val="sr-Cyrl-RS"/>
        </w:rPr>
        <w:t xml:space="preserve">Према одредбама Стандардних услова Банке од 1. октобра 2018. године, које Банка примењује у својој пословној политици и пракси, односно приликом одобравања зајмова клијентима уз државну гаранцију, </w:t>
      </w:r>
      <w:r w:rsidR="004D4054">
        <w:rPr>
          <w:lang w:val="sr-Cyrl-RS"/>
        </w:rPr>
        <w:t>дефинисани</w:t>
      </w:r>
      <w:r w:rsidRPr="00275D1A">
        <w:rPr>
          <w:lang w:val="sr-Cyrl-RS"/>
        </w:rPr>
        <w:t xml:space="preserve"> су следећи финансијски услови за финансирање Пројекта:</w:t>
      </w:r>
      <w:r w:rsidRPr="00275D1A">
        <w:rPr>
          <w:bCs/>
          <w:lang w:val="sr-Cyrl-RS"/>
        </w:rPr>
        <w:t xml:space="preserve"> </w:t>
      </w:r>
    </w:p>
    <w:p w:rsidR="00275D1A" w:rsidRPr="00275D1A" w:rsidRDefault="00275D1A" w:rsidP="00275D1A">
      <w:pPr>
        <w:ind w:firstLine="720"/>
        <w:jc w:val="both"/>
        <w:rPr>
          <w:bCs/>
          <w:lang w:val="sr-Cyrl-RS"/>
        </w:rPr>
      </w:pPr>
    </w:p>
    <w:p w:rsidR="00275D1A" w:rsidRPr="00275D1A" w:rsidRDefault="00275D1A" w:rsidP="00275D1A">
      <w:pPr>
        <w:numPr>
          <w:ilvl w:val="0"/>
          <w:numId w:val="2"/>
        </w:numPr>
        <w:jc w:val="both"/>
        <w:rPr>
          <w:lang w:val="sr-Cyrl-RS"/>
        </w:rPr>
      </w:pPr>
      <w:r w:rsidRPr="00275D1A">
        <w:rPr>
          <w:lang w:val="sr-Cyrl-RS"/>
        </w:rPr>
        <w:t>износ задужења 40.000.000 евра;</w:t>
      </w:r>
    </w:p>
    <w:p w:rsidR="00275D1A" w:rsidRPr="00275D1A" w:rsidRDefault="00275D1A" w:rsidP="00275D1A">
      <w:pPr>
        <w:numPr>
          <w:ilvl w:val="0"/>
          <w:numId w:val="2"/>
        </w:numPr>
        <w:jc w:val="both"/>
        <w:rPr>
          <w:lang w:val="sr-Cyrl-RS"/>
        </w:rPr>
      </w:pPr>
      <w:r w:rsidRPr="00275D1A">
        <w:rPr>
          <w:lang w:val="sr-Cyrl-RS"/>
        </w:rPr>
        <w:t xml:space="preserve">период расположивости зајма у трајању од </w:t>
      </w:r>
      <w:r w:rsidR="0006742E">
        <w:rPr>
          <w:lang w:val="sr-Cyrl-RS"/>
        </w:rPr>
        <w:t>четири</w:t>
      </w:r>
      <w:r w:rsidRPr="00275D1A">
        <w:rPr>
          <w:lang w:val="sr-Cyrl-RS"/>
        </w:rPr>
        <w:t xml:space="preserve"> год</w:t>
      </w:r>
      <w:r w:rsidR="00411205">
        <w:rPr>
          <w:lang w:val="sr-Cyrl-RS"/>
        </w:rPr>
        <w:t>ине од датума ступања на снагу У</w:t>
      </w:r>
      <w:r w:rsidRPr="00275D1A">
        <w:rPr>
          <w:lang w:val="sr-Cyrl-RS"/>
        </w:rPr>
        <w:t xml:space="preserve">говора о зајму или неки каснији датум који Банка може да одреди и о томе обавести зајмопримца и гаранта; </w:t>
      </w:r>
    </w:p>
    <w:p w:rsidR="00275D1A" w:rsidRPr="00275D1A" w:rsidRDefault="00275D1A" w:rsidP="00275D1A">
      <w:pPr>
        <w:numPr>
          <w:ilvl w:val="0"/>
          <w:numId w:val="2"/>
        </w:numPr>
        <w:jc w:val="both"/>
        <w:rPr>
          <w:lang w:val="sr-Cyrl-RS"/>
        </w:rPr>
      </w:pPr>
      <w:r w:rsidRPr="00275D1A">
        <w:rPr>
          <w:lang w:val="sr-Cyrl-RS"/>
        </w:rPr>
        <w:t>датуми плаћања обавеза које доспевају по основу камате, провизије на неповучена средства и главнице су 1</w:t>
      </w:r>
      <w:r w:rsidRPr="00275D1A">
        <w:rPr>
          <w:lang w:val="sr-Latn-RS"/>
        </w:rPr>
        <w:t>0</w:t>
      </w:r>
      <w:r w:rsidRPr="00275D1A">
        <w:rPr>
          <w:lang w:val="sr-Cyrl-RS"/>
        </w:rPr>
        <w:t>. мај и 10. новембар сваке године;</w:t>
      </w:r>
    </w:p>
    <w:p w:rsidR="00275D1A" w:rsidRPr="00275D1A" w:rsidRDefault="00275D1A" w:rsidP="00275D1A">
      <w:pPr>
        <w:numPr>
          <w:ilvl w:val="0"/>
          <w:numId w:val="2"/>
        </w:numPr>
        <w:jc w:val="both"/>
        <w:rPr>
          <w:lang w:val="sr-Cyrl-RS"/>
        </w:rPr>
      </w:pPr>
      <w:r w:rsidRPr="00275D1A">
        <w:rPr>
          <w:lang w:val="sr-Cyrl-RS"/>
        </w:rPr>
        <w:t>очекивани рок за завршетак Пројекта је 31. децембар 2025. године;</w:t>
      </w:r>
    </w:p>
    <w:p w:rsidR="00275D1A" w:rsidRPr="00275D1A" w:rsidRDefault="00275D1A" w:rsidP="00275D1A">
      <w:pPr>
        <w:numPr>
          <w:ilvl w:val="0"/>
          <w:numId w:val="2"/>
        </w:numPr>
        <w:jc w:val="both"/>
        <w:rPr>
          <w:lang w:val="sr-Cyrl-RS"/>
        </w:rPr>
      </w:pPr>
      <w:r w:rsidRPr="00275D1A">
        <w:rPr>
          <w:lang w:val="sr-Cyrl-RS"/>
        </w:rPr>
        <w:t>исплата средстава зајма у траншама, чији је минимални износ 150.000 евра;</w:t>
      </w:r>
    </w:p>
    <w:p w:rsidR="00275D1A" w:rsidRPr="00275D1A" w:rsidRDefault="00275D1A" w:rsidP="00275D1A">
      <w:pPr>
        <w:numPr>
          <w:ilvl w:val="0"/>
          <w:numId w:val="2"/>
        </w:numPr>
        <w:jc w:val="both"/>
        <w:rPr>
          <w:lang w:val="sr-Cyrl-RS"/>
        </w:rPr>
      </w:pPr>
      <w:r w:rsidRPr="00275D1A">
        <w:rPr>
          <w:lang w:val="sr-Cyrl-RS"/>
        </w:rPr>
        <w:t xml:space="preserve">период доспећа зајма до </w:t>
      </w:r>
      <w:r w:rsidRPr="00275D1A">
        <w:rPr>
          <w:lang w:val="sr-Latn-RS"/>
        </w:rPr>
        <w:t>13</w:t>
      </w:r>
      <w:r w:rsidRPr="00275D1A">
        <w:rPr>
          <w:lang w:val="sr-Cyrl-RS"/>
        </w:rPr>
        <w:t xml:space="preserve"> година, укључујући период почека до </w:t>
      </w:r>
      <w:r w:rsidR="00D87D51">
        <w:rPr>
          <w:lang w:val="sr-Cyrl-RS"/>
        </w:rPr>
        <w:t>четири</w:t>
      </w:r>
      <w:r w:rsidRPr="00275D1A">
        <w:rPr>
          <w:lang w:val="sr-Cyrl-RS"/>
        </w:rPr>
        <w:t xml:space="preserve"> године;</w:t>
      </w:r>
    </w:p>
    <w:p w:rsidR="00275D1A" w:rsidRPr="00275D1A" w:rsidRDefault="00275D1A" w:rsidP="00275D1A">
      <w:pPr>
        <w:numPr>
          <w:ilvl w:val="0"/>
          <w:numId w:val="2"/>
        </w:numPr>
        <w:jc w:val="both"/>
        <w:rPr>
          <w:lang w:val="sr-Cyrl-RS"/>
        </w:rPr>
      </w:pPr>
      <w:r w:rsidRPr="00275D1A">
        <w:rPr>
          <w:lang w:val="sr-Cyrl-RS"/>
        </w:rPr>
        <w:t xml:space="preserve">зајмопримац зајам отплаћује у 18 полугодишњих рата, при чему је први датум отплате главнице 10. новембар 2025. године, а последњи 10. мај 2034. године; </w:t>
      </w:r>
    </w:p>
    <w:p w:rsidR="00275D1A" w:rsidRPr="00275D1A" w:rsidRDefault="00275D1A" w:rsidP="00275D1A">
      <w:pPr>
        <w:numPr>
          <w:ilvl w:val="0"/>
          <w:numId w:val="2"/>
        </w:numPr>
        <w:jc w:val="both"/>
        <w:rPr>
          <w:lang w:val="sr-Cyrl-RS"/>
        </w:rPr>
      </w:pPr>
      <w:r w:rsidRPr="00275D1A">
        <w:rPr>
          <w:bCs/>
          <w:lang w:val="sr-Cyrl-RS"/>
        </w:rPr>
        <w:t>примена варијабилне</w:t>
      </w:r>
      <w:r w:rsidRPr="00275D1A">
        <w:rPr>
          <w:bCs/>
          <w:noProof/>
          <w:lang w:val="sr-Cyrl-RS"/>
        </w:rPr>
        <w:t xml:space="preserve"> </w:t>
      </w:r>
      <w:r w:rsidRPr="00275D1A">
        <w:rPr>
          <w:noProof/>
          <w:lang w:val="sr-Cyrl-RS"/>
        </w:rPr>
        <w:t>каматне стопе;</w:t>
      </w:r>
    </w:p>
    <w:p w:rsidR="00275D1A" w:rsidRPr="00275D1A" w:rsidRDefault="00275D1A" w:rsidP="00275D1A">
      <w:pPr>
        <w:numPr>
          <w:ilvl w:val="0"/>
          <w:numId w:val="2"/>
        </w:numPr>
        <w:jc w:val="both"/>
        <w:rPr>
          <w:lang w:val="sr-Cyrl-RS"/>
        </w:rPr>
      </w:pPr>
      <w:r w:rsidRPr="00275D1A">
        <w:rPr>
          <w:lang w:val="sr-Cyrl-RS"/>
        </w:rPr>
        <w:t>предвиђена могућност превремене отплате, као и отказивања зајма у минималном износу од 1.000.000 евра;</w:t>
      </w:r>
    </w:p>
    <w:p w:rsidR="00275D1A" w:rsidRPr="00275D1A" w:rsidRDefault="00275D1A" w:rsidP="00275D1A">
      <w:pPr>
        <w:numPr>
          <w:ilvl w:val="0"/>
          <w:numId w:val="2"/>
        </w:numPr>
        <w:jc w:val="both"/>
        <w:rPr>
          <w:lang w:val="sr-Cyrl-RS"/>
        </w:rPr>
      </w:pPr>
      <w:r w:rsidRPr="00275D1A">
        <w:rPr>
          <w:bCs/>
          <w:lang w:val="sr-Cyrl-RS"/>
        </w:rPr>
        <w:t>провизија која се плаћа Банци за неискоришћени део зајма је 0,5% годишње</w:t>
      </w:r>
      <w:r w:rsidRPr="00275D1A">
        <w:rPr>
          <w:bCs/>
          <w:lang w:val="sr-Latn-RS"/>
        </w:rPr>
        <w:t>;</w:t>
      </w:r>
    </w:p>
    <w:p w:rsidR="00275D1A" w:rsidRPr="00275D1A" w:rsidRDefault="00275D1A" w:rsidP="00275D1A">
      <w:pPr>
        <w:numPr>
          <w:ilvl w:val="0"/>
          <w:numId w:val="2"/>
        </w:numPr>
        <w:jc w:val="both"/>
        <w:rPr>
          <w:lang w:val="sr-Cyrl-RS"/>
        </w:rPr>
      </w:pPr>
      <w:r w:rsidRPr="00275D1A">
        <w:rPr>
          <w:bCs/>
          <w:lang w:val="sr-Cyrl-RS"/>
        </w:rPr>
        <w:t>приступна накнада која се једнократно плаћа Банци из средстава зајма у износу од 1% (</w:t>
      </w:r>
      <w:r w:rsidRPr="00275D1A">
        <w:rPr>
          <w:bCs/>
          <w:lang w:val="sr-Latn-RS"/>
        </w:rPr>
        <w:t>400</w:t>
      </w:r>
      <w:r w:rsidRPr="00275D1A">
        <w:rPr>
          <w:bCs/>
          <w:lang w:val="sr-Cyrl-RS"/>
        </w:rPr>
        <w:t>.000 евра) од износа главнице зајма.</w:t>
      </w:r>
    </w:p>
    <w:p w:rsidR="00275D1A" w:rsidRPr="00275D1A" w:rsidRDefault="00275D1A" w:rsidP="00275D1A">
      <w:pPr>
        <w:ind w:left="1080"/>
        <w:jc w:val="both"/>
        <w:rPr>
          <w:lang w:val="sr-Cyrl-RS"/>
        </w:rPr>
      </w:pPr>
    </w:p>
    <w:p w:rsidR="005C389A" w:rsidRPr="005C389A" w:rsidRDefault="005C389A" w:rsidP="00411205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>Уговором о гаранцији предвиђено је да Република Србија безусловно гарантује, као примарни дужник, а не само као гарант, уредно и благовремено плаћање свих доспелих износа и извршавање преузетих обавеза зајмопримца у складу са Уговором о зајму.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CS"/>
        </w:rPr>
      </w:pPr>
      <w:r w:rsidRPr="00275D1A">
        <w:rPr>
          <w:lang w:val="sr-Cyrl-CS"/>
        </w:rPr>
        <w:t xml:space="preserve">Поред наведених средства зајма у износу од 40.000.000 евра, за финансирање фазе 1А, Република Србија је предложила Пројекат за паметна бојила за суфинансирање из бесповратних средстава Инвестиционог оквира за Западни Балкан (Western Balkan </w:t>
      </w:r>
      <w:r w:rsidRPr="00275D1A">
        <w:rPr>
          <w:lang w:val="sr-Cyrl-CS"/>
        </w:rPr>
        <w:lastRenderedPageBreak/>
        <w:t>Investment Framework – WBIF) у износу до 15.000.000 евра, која би била искоришћена за суфинансирање инвестиционих трошкова Пројекта.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Реализацијом Пројекта и увођењем паметних бројила омогућиће се унапређење енергетске ефикасности, управљање и контрола над дистрибутивним системом електричне енергије, смањење оперативних трошкова, као и комерцијалних и техничких губитака. Поред тачног и брзог очитавања бројила, могуће је купцима обезбедити свакодневни увид у тачну потрошњу електричне енергије на њиховим мерним местима што може да стимулише купце да рационалније троше електричну енергију.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Такође, бенефити који се очекују од коришћења паметних бројила и система за аутоматско даљинско очитавање и управљање потрошњом су: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>смањење неовлашћене потрошње електричне енергије,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>аутоматизација очитавања,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>смањење трошкова радне снаге,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>детекције нестанка напајања,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>повећање оперативне ефикасности предузећа,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>упозорења на ометање мерења,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>бољи инпути за планирање производње електричне енергије,</w:t>
      </w:r>
    </w:p>
    <w:p w:rsidR="00275D1A" w:rsidRP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•</w:t>
      </w:r>
      <w:r w:rsidRPr="00275D1A">
        <w:rPr>
          <w:lang w:val="sr-Cyrl-RS"/>
        </w:rPr>
        <w:tab/>
        <w:t>квалитетније планирање искључења код ремонта електроенергетских објеката итд.</w:t>
      </w:r>
    </w:p>
    <w:p w:rsidR="00275D1A" w:rsidRDefault="00275D1A" w:rsidP="00275D1A">
      <w:pPr>
        <w:tabs>
          <w:tab w:val="left" w:pos="0"/>
        </w:tabs>
        <w:ind w:firstLine="720"/>
        <w:jc w:val="both"/>
        <w:rPr>
          <w:lang w:val="sr-Cyrl-RS"/>
        </w:rPr>
      </w:pPr>
      <w:r w:rsidRPr="00275D1A">
        <w:rPr>
          <w:lang w:val="sr-Cyrl-RS"/>
        </w:rPr>
        <w:t>Наведеним погодностима успоставиће се квалитетније управљање потрошњом електричне енергије, што подразумева њену равномернију производњу која доноси веће уштеде.</w:t>
      </w:r>
    </w:p>
    <w:p w:rsidR="00C37096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:rsidR="00C37096" w:rsidRPr="005C389A" w:rsidRDefault="00C37096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 xml:space="preserve">III. ОБЈАШЊЕЊЕ ОСНОВНИХ ПРАВНИХ ИНСТИТУТА И ПОЈЕДИНАЧНИХ РЕШЕЊА </w:t>
      </w:r>
    </w:p>
    <w:p w:rsidR="00C4068A" w:rsidRPr="005C389A" w:rsidRDefault="00C4068A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</w:p>
    <w:p w:rsidR="00C4068A" w:rsidRPr="005C389A" w:rsidRDefault="00C37096" w:rsidP="00747569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 xml:space="preserve">Одредбом члана 1. </w:t>
      </w:r>
      <w:r w:rsidR="00855D46">
        <w:rPr>
          <w:rFonts w:ascii="Times New Roman" w:hAnsi="Times New Roman" w:cs="Times New Roman"/>
          <w:color w:val="auto"/>
          <w:lang w:val="sr-Cyrl-RS"/>
        </w:rPr>
        <w:t>Предлога</w:t>
      </w:r>
      <w:r w:rsidRPr="005C389A">
        <w:rPr>
          <w:rFonts w:ascii="Times New Roman" w:hAnsi="Times New Roman" w:cs="Times New Roman"/>
          <w:color w:val="auto"/>
          <w:lang w:val="sr-Cyrl-RS"/>
        </w:rPr>
        <w:t xml:space="preserve"> закона предвиђа се потврђивање Уговора о гаранцији (</w:t>
      </w:r>
      <w:r w:rsidR="005C389A">
        <w:rPr>
          <w:rFonts w:ascii="Times New Roman" w:hAnsi="Times New Roman" w:cs="Times New Roman"/>
          <w:color w:val="auto"/>
          <w:lang w:val="sr-Cyrl-RS"/>
        </w:rPr>
        <w:t>Паметна бројила</w:t>
      </w:r>
      <w:r w:rsidRPr="005C389A">
        <w:rPr>
          <w:rFonts w:ascii="Times New Roman" w:hAnsi="Times New Roman" w:cs="Times New Roman"/>
          <w:color w:val="auto"/>
          <w:lang w:val="sr-Cyrl-RS"/>
        </w:rPr>
        <w:t xml:space="preserve">) између Републике Србије и Европске банке за обнову и развој, потписаног </w:t>
      </w:r>
      <w:r w:rsidR="00472751" w:rsidRPr="005C389A">
        <w:rPr>
          <w:rFonts w:ascii="Times New Roman" w:hAnsi="Times New Roman" w:cs="Times New Roman"/>
          <w:color w:val="auto"/>
          <w:lang w:val="sr-Cyrl-RS"/>
        </w:rPr>
        <w:t xml:space="preserve">у Београду, </w:t>
      </w:r>
      <w:r w:rsidR="00704B57" w:rsidRPr="00411205">
        <w:rPr>
          <w:rFonts w:ascii="Times New Roman" w:hAnsi="Times New Roman" w:cs="Times New Roman"/>
          <w:color w:val="auto"/>
          <w:lang w:val="sr-Cyrl-RS"/>
        </w:rPr>
        <w:t>1</w:t>
      </w:r>
      <w:r w:rsidR="005C389A" w:rsidRPr="00411205">
        <w:rPr>
          <w:rFonts w:ascii="Times New Roman" w:hAnsi="Times New Roman" w:cs="Times New Roman"/>
          <w:color w:val="auto"/>
          <w:lang w:val="sr-Cyrl-RS"/>
        </w:rPr>
        <w:t>4</w:t>
      </w:r>
      <w:r w:rsidRPr="00411205">
        <w:rPr>
          <w:rFonts w:ascii="Times New Roman" w:hAnsi="Times New Roman" w:cs="Times New Roman"/>
          <w:color w:val="auto"/>
          <w:lang w:val="sr-Cyrl-RS"/>
        </w:rPr>
        <w:t xml:space="preserve">. </w:t>
      </w:r>
      <w:r w:rsidR="005C389A" w:rsidRPr="00411205">
        <w:rPr>
          <w:rFonts w:ascii="Times New Roman" w:hAnsi="Times New Roman" w:cs="Times New Roman"/>
          <w:color w:val="auto"/>
          <w:lang w:val="sr-Cyrl-RS"/>
        </w:rPr>
        <w:t>септембра</w:t>
      </w:r>
      <w:r w:rsidRPr="00411205">
        <w:rPr>
          <w:rFonts w:ascii="Times New Roman" w:hAnsi="Times New Roman" w:cs="Times New Roman"/>
          <w:color w:val="auto"/>
          <w:lang w:val="sr-Cyrl-RS"/>
        </w:rPr>
        <w:t xml:space="preserve"> 20</w:t>
      </w:r>
      <w:r w:rsidR="005C389A" w:rsidRPr="00411205">
        <w:rPr>
          <w:rFonts w:ascii="Times New Roman" w:hAnsi="Times New Roman" w:cs="Times New Roman"/>
          <w:color w:val="auto"/>
          <w:lang w:val="sr-Cyrl-RS"/>
        </w:rPr>
        <w:t>2</w:t>
      </w:r>
      <w:r w:rsidRPr="00411205">
        <w:rPr>
          <w:rFonts w:ascii="Times New Roman" w:hAnsi="Times New Roman" w:cs="Times New Roman"/>
          <w:color w:val="auto"/>
          <w:lang w:val="sr-Cyrl-RS"/>
        </w:rPr>
        <w:t xml:space="preserve">1. </w:t>
      </w:r>
      <w:r w:rsidR="00747569" w:rsidRPr="00411205">
        <w:rPr>
          <w:rFonts w:ascii="Times New Roman" w:hAnsi="Times New Roman" w:cs="Times New Roman"/>
          <w:color w:val="auto"/>
          <w:lang w:val="sr-Cyrl-RS"/>
        </w:rPr>
        <w:t>г</w:t>
      </w:r>
      <w:r w:rsidRPr="00411205">
        <w:rPr>
          <w:rFonts w:ascii="Times New Roman" w:hAnsi="Times New Roman" w:cs="Times New Roman"/>
          <w:color w:val="auto"/>
          <w:lang w:val="sr-Cyrl-RS"/>
        </w:rPr>
        <w:t>одине</w:t>
      </w:r>
      <w:r w:rsidR="00747569" w:rsidRPr="005C389A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747569" w:rsidRPr="005C389A">
        <w:rPr>
          <w:rFonts w:ascii="Times New Roman" w:hAnsi="Times New Roman" w:cs="Times New Roman"/>
          <w:lang w:val="sr-Cyrl-RS"/>
        </w:rPr>
        <w:t xml:space="preserve">у оригиналу на енглеском језику. </w:t>
      </w:r>
    </w:p>
    <w:p w:rsidR="00C37096" w:rsidRPr="005C389A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 xml:space="preserve"> Одредба члана 2. </w:t>
      </w:r>
      <w:r w:rsidR="00855D46">
        <w:rPr>
          <w:rFonts w:ascii="Times New Roman" w:hAnsi="Times New Roman" w:cs="Times New Roman"/>
          <w:color w:val="auto"/>
          <w:lang w:val="sr-Cyrl-RS"/>
        </w:rPr>
        <w:t>Предлога</w:t>
      </w:r>
      <w:r w:rsidRPr="005C389A">
        <w:rPr>
          <w:rFonts w:ascii="Times New Roman" w:hAnsi="Times New Roman" w:cs="Times New Roman"/>
          <w:color w:val="auto"/>
          <w:lang w:val="sr-Cyrl-RS"/>
        </w:rPr>
        <w:t xml:space="preserve"> закона садржи текст Уговора о гаранцији (</w:t>
      </w:r>
      <w:r w:rsidR="005C389A">
        <w:rPr>
          <w:rFonts w:ascii="Times New Roman" w:hAnsi="Times New Roman" w:cs="Times New Roman"/>
          <w:color w:val="auto"/>
          <w:lang w:val="sr-Cyrl-RS"/>
        </w:rPr>
        <w:t>Паметна бројила</w:t>
      </w:r>
      <w:r w:rsidRPr="005C389A">
        <w:rPr>
          <w:rFonts w:ascii="Times New Roman" w:hAnsi="Times New Roman" w:cs="Times New Roman"/>
          <w:color w:val="auto"/>
          <w:lang w:val="sr-Cyrl-RS"/>
        </w:rPr>
        <w:t xml:space="preserve">) између Републике Србије и Европске банке за обнову и развој, у оригиналу на енглеском и преводу на српски језик. </w:t>
      </w:r>
    </w:p>
    <w:p w:rsidR="00C37096" w:rsidRPr="005C389A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 xml:space="preserve">У одредби члана 3. </w:t>
      </w:r>
      <w:r w:rsidR="00855D46">
        <w:rPr>
          <w:rFonts w:ascii="Times New Roman" w:hAnsi="Times New Roman" w:cs="Times New Roman"/>
          <w:color w:val="auto"/>
          <w:lang w:val="sr-Cyrl-RS"/>
        </w:rPr>
        <w:t>Предлога</w:t>
      </w:r>
      <w:r w:rsidRPr="005C389A">
        <w:rPr>
          <w:rFonts w:ascii="Times New Roman" w:hAnsi="Times New Roman" w:cs="Times New Roman"/>
          <w:color w:val="auto"/>
          <w:lang w:val="sr-Cyrl-RS"/>
        </w:rPr>
        <w:t xml:space="preserve"> закона уређује се ступање на снагу овог закона. </w:t>
      </w:r>
    </w:p>
    <w:p w:rsidR="00C4068A" w:rsidRPr="005C389A" w:rsidRDefault="00C4068A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p w:rsidR="00C4068A" w:rsidRPr="005C389A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>IV. ФИНАНСИЈСКЕ ОБАВЕЗЕ И ПРОЦЕНА ФИНАНСИЈСКИХ СРЕДСТАВА КОЈА НАСТАЈУ ИЗВРШАВАЊЕМ ЗАКОНА</w:t>
      </w:r>
    </w:p>
    <w:p w:rsidR="00C37096" w:rsidRPr="005C389A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 xml:space="preserve"> </w:t>
      </w:r>
    </w:p>
    <w:p w:rsidR="00C37096" w:rsidRPr="00A15D09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  <w:lang w:val="sr-Cyrl-RS"/>
        </w:rPr>
      </w:pPr>
      <w:r w:rsidRPr="005C389A">
        <w:rPr>
          <w:rFonts w:ascii="Times New Roman" w:hAnsi="Times New Roman" w:cs="Times New Roman"/>
          <w:color w:val="auto"/>
          <w:lang w:val="sr-Cyrl-RS"/>
        </w:rPr>
        <w:t>За спровођење овог закона обезбеђиваће се средства у буџету Републике Србије.</w:t>
      </w:r>
      <w:r w:rsidRPr="00A15D09">
        <w:rPr>
          <w:rFonts w:ascii="Times New Roman" w:hAnsi="Times New Roman" w:cs="Times New Roman"/>
          <w:color w:val="auto"/>
          <w:lang w:val="sr-Cyrl-RS"/>
        </w:rPr>
        <w:t xml:space="preserve"> </w:t>
      </w:r>
    </w:p>
    <w:p w:rsidR="00C37096" w:rsidRPr="00A15D09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  <w:lang w:val="sr-Cyrl-RS"/>
        </w:rPr>
      </w:pPr>
    </w:p>
    <w:sectPr w:rsidR="00C37096" w:rsidRPr="00A15D09" w:rsidSect="001D2B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52C3" w:rsidRDefault="008B52C3" w:rsidP="00FB0673">
      <w:r>
        <w:separator/>
      </w:r>
    </w:p>
  </w:endnote>
  <w:endnote w:type="continuationSeparator" w:id="0">
    <w:p w:rsidR="008B52C3" w:rsidRDefault="008B52C3" w:rsidP="00FB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47D" w:rsidRDefault="007924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72BA" w:rsidRDefault="00DB72B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47D" w:rsidRDefault="007924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52C3" w:rsidRDefault="008B52C3" w:rsidP="00FB0673">
      <w:r>
        <w:separator/>
      </w:r>
    </w:p>
  </w:footnote>
  <w:footnote w:type="continuationSeparator" w:id="0">
    <w:p w:rsidR="008B52C3" w:rsidRDefault="008B52C3" w:rsidP="00FB06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47D" w:rsidRDefault="007924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47D" w:rsidRDefault="007924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47D" w:rsidRDefault="007924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30"/>
    <w:multiLevelType w:val="hybridMultilevel"/>
    <w:tmpl w:val="71A2E2D6"/>
    <w:lvl w:ilvl="0" w:tplc="623CF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96"/>
    <w:rsid w:val="00035F80"/>
    <w:rsid w:val="00065F25"/>
    <w:rsid w:val="0006742E"/>
    <w:rsid w:val="0009373F"/>
    <w:rsid w:val="000F35BD"/>
    <w:rsid w:val="001A272D"/>
    <w:rsid w:val="001A2833"/>
    <w:rsid w:val="001D2B24"/>
    <w:rsid w:val="001D3473"/>
    <w:rsid w:val="00264296"/>
    <w:rsid w:val="00275D1A"/>
    <w:rsid w:val="002A3DED"/>
    <w:rsid w:val="00333E37"/>
    <w:rsid w:val="0039315B"/>
    <w:rsid w:val="003B30BF"/>
    <w:rsid w:val="00402772"/>
    <w:rsid w:val="00411205"/>
    <w:rsid w:val="004216A4"/>
    <w:rsid w:val="00452F35"/>
    <w:rsid w:val="00472751"/>
    <w:rsid w:val="00495531"/>
    <w:rsid w:val="004D4054"/>
    <w:rsid w:val="005426CB"/>
    <w:rsid w:val="00551517"/>
    <w:rsid w:val="00553897"/>
    <w:rsid w:val="005B5B1D"/>
    <w:rsid w:val="005C3100"/>
    <w:rsid w:val="005C324C"/>
    <w:rsid w:val="005C389A"/>
    <w:rsid w:val="005D0DA6"/>
    <w:rsid w:val="00650B60"/>
    <w:rsid w:val="0066629E"/>
    <w:rsid w:val="00686705"/>
    <w:rsid w:val="006A4611"/>
    <w:rsid w:val="006C7DC7"/>
    <w:rsid w:val="006D530E"/>
    <w:rsid w:val="00704B57"/>
    <w:rsid w:val="00743AC2"/>
    <w:rsid w:val="00747569"/>
    <w:rsid w:val="0075062E"/>
    <w:rsid w:val="00767A5B"/>
    <w:rsid w:val="0079247D"/>
    <w:rsid w:val="007C53DB"/>
    <w:rsid w:val="008161DF"/>
    <w:rsid w:val="00855D46"/>
    <w:rsid w:val="00881FF6"/>
    <w:rsid w:val="008B1475"/>
    <w:rsid w:val="008B35AE"/>
    <w:rsid w:val="008B52C3"/>
    <w:rsid w:val="0092778D"/>
    <w:rsid w:val="009651E5"/>
    <w:rsid w:val="009973F4"/>
    <w:rsid w:val="009A1A16"/>
    <w:rsid w:val="009C0E55"/>
    <w:rsid w:val="00A15D09"/>
    <w:rsid w:val="00A2629B"/>
    <w:rsid w:val="00A7063E"/>
    <w:rsid w:val="00A86F50"/>
    <w:rsid w:val="00AE43B6"/>
    <w:rsid w:val="00B40258"/>
    <w:rsid w:val="00B667AC"/>
    <w:rsid w:val="00B770E3"/>
    <w:rsid w:val="00B95611"/>
    <w:rsid w:val="00BC3EF4"/>
    <w:rsid w:val="00C2281F"/>
    <w:rsid w:val="00C34405"/>
    <w:rsid w:val="00C37096"/>
    <w:rsid w:val="00C4068A"/>
    <w:rsid w:val="00C658C5"/>
    <w:rsid w:val="00CA72BD"/>
    <w:rsid w:val="00D35F36"/>
    <w:rsid w:val="00D44C60"/>
    <w:rsid w:val="00D53D06"/>
    <w:rsid w:val="00D74979"/>
    <w:rsid w:val="00D87D51"/>
    <w:rsid w:val="00DB72BA"/>
    <w:rsid w:val="00E235EC"/>
    <w:rsid w:val="00EF0027"/>
    <w:rsid w:val="00F163C6"/>
    <w:rsid w:val="00F25359"/>
    <w:rsid w:val="00F35ABC"/>
    <w:rsid w:val="00F54C89"/>
    <w:rsid w:val="00FB0673"/>
    <w:rsid w:val="00FC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CE4A1"/>
  <w15:docId w15:val="{FB0235CA-016B-43CC-B5BF-E32E2937D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63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locked/>
    <w:rsid w:val="008B35AE"/>
    <w:rPr>
      <w:rFonts w:ascii="Arial" w:hAnsi="Arial" w:cs="Arial"/>
      <w:sz w:val="16"/>
      <w:szCs w:val="16"/>
      <w:lang w:val="sr-Cyrl-CS" w:eastAsia="sr-Latn-CS"/>
    </w:rPr>
  </w:style>
  <w:style w:type="paragraph" w:styleId="BodyText3">
    <w:name w:val="Body Text 3"/>
    <w:basedOn w:val="Normal"/>
    <w:link w:val="BodyText3Char"/>
    <w:rsid w:val="008B35AE"/>
    <w:pPr>
      <w:spacing w:after="120"/>
    </w:pPr>
    <w:rPr>
      <w:rFonts w:ascii="Arial" w:eastAsiaTheme="minorHAnsi" w:hAnsi="Arial" w:cs="Arial"/>
      <w:sz w:val="16"/>
      <w:szCs w:val="16"/>
      <w:lang w:val="sr-Cyrl-CS" w:eastAsia="sr-Latn-CS"/>
    </w:rPr>
  </w:style>
  <w:style w:type="character" w:customStyle="1" w:styleId="BodyText3Char1">
    <w:name w:val="Body Text 3 Char1"/>
    <w:basedOn w:val="DefaultParagraphFont"/>
    <w:uiPriority w:val="99"/>
    <w:semiHidden/>
    <w:rsid w:val="008B35AE"/>
    <w:rPr>
      <w:rFonts w:ascii="Times New Roman" w:eastAsia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24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47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Ljubinka Stojkovic</cp:lastModifiedBy>
  <cp:revision>16</cp:revision>
  <cp:lastPrinted>2021-10-06T08:47:00Z</cp:lastPrinted>
  <dcterms:created xsi:type="dcterms:W3CDTF">2021-10-05T06:22:00Z</dcterms:created>
  <dcterms:modified xsi:type="dcterms:W3CDTF">2021-10-06T08:50:00Z</dcterms:modified>
</cp:coreProperties>
</file>