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4BCE" w:rsidRDefault="00834BCE" w:rsidP="005A2141">
      <w:pPr>
        <w:spacing w:after="0" w:line="240" w:lineRule="auto"/>
        <w:jc w:val="center"/>
        <w:rPr>
          <w:b/>
        </w:rPr>
      </w:pPr>
      <w:bookmarkStart w:id="0" w:name="_GoBack"/>
      <w:bookmarkEnd w:id="0"/>
    </w:p>
    <w:p w:rsidR="00834BCE" w:rsidRDefault="00834BCE" w:rsidP="005A2141">
      <w:pPr>
        <w:spacing w:after="0" w:line="240" w:lineRule="auto"/>
        <w:jc w:val="center"/>
        <w:rPr>
          <w:b/>
        </w:rPr>
      </w:pPr>
    </w:p>
    <w:p w:rsidR="00834BCE" w:rsidRDefault="00834BCE" w:rsidP="005A2141">
      <w:pPr>
        <w:spacing w:after="0" w:line="240" w:lineRule="auto"/>
        <w:jc w:val="center"/>
        <w:rPr>
          <w:b/>
        </w:rPr>
      </w:pPr>
    </w:p>
    <w:p w:rsidR="00834BCE" w:rsidRDefault="00834BCE" w:rsidP="005A2141">
      <w:pPr>
        <w:spacing w:after="0" w:line="240" w:lineRule="auto"/>
        <w:jc w:val="center"/>
        <w:rPr>
          <w:b/>
        </w:rPr>
      </w:pPr>
    </w:p>
    <w:p w:rsidR="00AD4332" w:rsidRDefault="00AD4332" w:rsidP="005A2141">
      <w:pPr>
        <w:spacing w:after="0" w:line="240" w:lineRule="auto"/>
        <w:jc w:val="center"/>
        <w:rPr>
          <w:b/>
        </w:rPr>
      </w:pPr>
      <w:r>
        <w:rPr>
          <w:b/>
          <w:lang w:val="sr-Cyrl-RS"/>
        </w:rPr>
        <w:t>ПРЕДЛОГ</w:t>
      </w:r>
      <w:r w:rsidR="005A2141" w:rsidRPr="005A2141">
        <w:rPr>
          <w:b/>
        </w:rPr>
        <w:t xml:space="preserve"> ЗАКОНА</w:t>
      </w:r>
    </w:p>
    <w:p w:rsidR="0000198F" w:rsidRDefault="007F7618" w:rsidP="005A2141">
      <w:pPr>
        <w:spacing w:after="0" w:line="240" w:lineRule="auto"/>
        <w:jc w:val="center"/>
        <w:rPr>
          <w:b/>
        </w:rPr>
      </w:pPr>
      <w:r>
        <w:rPr>
          <w:b/>
        </w:rPr>
        <w:t xml:space="preserve"> O</w:t>
      </w:r>
      <w:r w:rsidR="005A2141" w:rsidRPr="005A2141">
        <w:rPr>
          <w:b/>
        </w:rPr>
        <w:t xml:space="preserve"> </w:t>
      </w:r>
      <w:r w:rsidR="0096346A">
        <w:rPr>
          <w:b/>
        </w:rPr>
        <w:t>ИЗМЕНАМА И ДОПУНАМА</w:t>
      </w:r>
      <w:r w:rsidR="005A2141" w:rsidRPr="005A2141">
        <w:rPr>
          <w:b/>
        </w:rPr>
        <w:t xml:space="preserve"> ЗАКОНА О СУДИЈАМА</w:t>
      </w:r>
    </w:p>
    <w:p w:rsidR="00217072" w:rsidRDefault="00217072" w:rsidP="005A2141">
      <w:pPr>
        <w:spacing w:after="0" w:line="240" w:lineRule="auto"/>
        <w:jc w:val="center"/>
        <w:rPr>
          <w:b/>
        </w:rPr>
      </w:pPr>
    </w:p>
    <w:p w:rsidR="00217072" w:rsidRDefault="00217072" w:rsidP="00217072">
      <w:pPr>
        <w:spacing w:after="0" w:line="240" w:lineRule="auto"/>
        <w:jc w:val="center"/>
      </w:pPr>
      <w:r w:rsidRPr="00217072">
        <w:t>Члан 1.</w:t>
      </w:r>
    </w:p>
    <w:p w:rsidR="00217072" w:rsidRDefault="00217072" w:rsidP="00217072">
      <w:pPr>
        <w:spacing w:after="0" w:line="240" w:lineRule="auto"/>
        <w:jc w:val="both"/>
        <w:rPr>
          <w:rFonts w:cs="Times New Roman"/>
        </w:rPr>
      </w:pPr>
      <w:r>
        <w:tab/>
        <w:t>У Закону о судијама (</w:t>
      </w:r>
      <w:r>
        <w:rPr>
          <w:rFonts w:cs="Times New Roman"/>
        </w:rPr>
        <w:t>„Службени гласник РС”, бр. 116/08, 58/09 – УС, 104/09, 101/10, 8/12 – УС, 121/12, 124/12 – УС, 101/13, 111/14 – УС, 117/14, 40/15, 63/15 – УС, 106/15, 63/16 – УС и 47/17)</w:t>
      </w:r>
      <w:r w:rsidR="00A37B9D">
        <w:rPr>
          <w:rFonts w:cs="Times New Roman"/>
        </w:rPr>
        <w:t>,</w:t>
      </w:r>
      <w:r>
        <w:rPr>
          <w:rFonts w:cs="Times New Roman"/>
        </w:rPr>
        <w:t xml:space="preserve"> у члану 24. став 2. </w:t>
      </w:r>
      <w:r w:rsidR="005E7761">
        <w:rPr>
          <w:rFonts w:cs="Times New Roman"/>
        </w:rPr>
        <w:t>после речи: „суду” додају се речи: „водећи рачуна о сложености предмета”.</w:t>
      </w:r>
    </w:p>
    <w:p w:rsidR="005E7761" w:rsidRDefault="005E7761" w:rsidP="00217072">
      <w:pPr>
        <w:spacing w:after="0" w:line="240" w:lineRule="auto"/>
        <w:jc w:val="both"/>
        <w:rPr>
          <w:rFonts w:cs="Times New Roman"/>
        </w:rPr>
      </w:pPr>
    </w:p>
    <w:p w:rsidR="005E7761" w:rsidRDefault="005E7761" w:rsidP="005E7761">
      <w:pPr>
        <w:spacing w:after="0" w:line="240" w:lineRule="auto"/>
        <w:jc w:val="center"/>
        <w:rPr>
          <w:rFonts w:cs="Times New Roman"/>
        </w:rPr>
      </w:pPr>
      <w:r>
        <w:rPr>
          <w:rFonts w:cs="Times New Roman"/>
        </w:rPr>
        <w:t>Члан 2.</w:t>
      </w:r>
    </w:p>
    <w:p w:rsidR="0087426B" w:rsidRDefault="0087426B" w:rsidP="0087426B">
      <w:pPr>
        <w:spacing w:after="0" w:line="240" w:lineRule="auto"/>
        <w:ind w:firstLine="720"/>
        <w:jc w:val="both"/>
        <w:rPr>
          <w:rFonts w:cs="Times New Roman"/>
        </w:rPr>
      </w:pPr>
      <w:r>
        <w:rPr>
          <w:rFonts w:cs="Times New Roman"/>
        </w:rPr>
        <w:t xml:space="preserve">У члану 30. став 4. речи: „Високи савет судства” замењују се речима: „Етички одбор, као стално </w:t>
      </w:r>
      <w:r w:rsidR="00970055">
        <w:rPr>
          <w:rFonts w:cs="Times New Roman"/>
        </w:rPr>
        <w:t xml:space="preserve">радно </w:t>
      </w:r>
      <w:r>
        <w:rPr>
          <w:rFonts w:cs="Times New Roman"/>
        </w:rPr>
        <w:t>тело Високог савета судства,”.</w:t>
      </w:r>
    </w:p>
    <w:p w:rsidR="0087426B" w:rsidRDefault="00F5598B" w:rsidP="0087426B">
      <w:pPr>
        <w:spacing w:after="0" w:line="240" w:lineRule="auto"/>
        <w:ind w:firstLine="720"/>
        <w:jc w:val="both"/>
        <w:rPr>
          <w:rFonts w:cs="Times New Roman"/>
        </w:rPr>
      </w:pPr>
      <w:r>
        <w:rPr>
          <w:rFonts w:cs="Times New Roman"/>
        </w:rPr>
        <w:t>После става 4. додаје се нови став 5. који гласи:</w:t>
      </w:r>
    </w:p>
    <w:p w:rsidR="00F5598B" w:rsidRDefault="00F5598B" w:rsidP="0087426B">
      <w:pPr>
        <w:spacing w:after="0" w:line="240" w:lineRule="auto"/>
        <w:ind w:firstLine="720"/>
        <w:jc w:val="both"/>
        <w:rPr>
          <w:rFonts w:cs="Times New Roman"/>
        </w:rPr>
      </w:pPr>
      <w:r>
        <w:rPr>
          <w:rFonts w:cs="Times New Roman"/>
        </w:rPr>
        <w:t xml:space="preserve">„Етички одбор дужан је да најмање једном годишње доставља Високом савету судства </w:t>
      </w:r>
      <w:r w:rsidR="002D5E36">
        <w:rPr>
          <w:rFonts w:cs="Times New Roman"/>
        </w:rPr>
        <w:t>извештај о свом раду и примени Етичког кодекса.</w:t>
      </w:r>
      <w:r>
        <w:rPr>
          <w:rFonts w:cs="Times New Roman"/>
        </w:rPr>
        <w:t>”</w:t>
      </w:r>
    </w:p>
    <w:p w:rsidR="002D5E36" w:rsidRDefault="002D5E36" w:rsidP="0087426B">
      <w:pPr>
        <w:spacing w:after="0" w:line="240" w:lineRule="auto"/>
        <w:ind w:firstLine="720"/>
        <w:jc w:val="both"/>
        <w:rPr>
          <w:rFonts w:cs="Times New Roman"/>
        </w:rPr>
      </w:pPr>
      <w:r>
        <w:rPr>
          <w:rFonts w:cs="Times New Roman"/>
        </w:rPr>
        <w:t>Досадашњи ст. 5</w:t>
      </w:r>
      <w:r w:rsidR="00A37B9D">
        <w:rPr>
          <w:rFonts w:cs="Times New Roman"/>
        </w:rPr>
        <w:t>.</w:t>
      </w:r>
      <w:r>
        <w:rPr>
          <w:rFonts w:cs="Times New Roman"/>
        </w:rPr>
        <w:t xml:space="preserve"> </w:t>
      </w:r>
      <w:r w:rsidR="00A37B9D">
        <w:rPr>
          <w:rFonts w:cs="Times New Roman"/>
          <w:lang w:val="sr-Cyrl-RS"/>
        </w:rPr>
        <w:t>до</w:t>
      </w:r>
      <w:r>
        <w:rPr>
          <w:rFonts w:cs="Times New Roman"/>
        </w:rPr>
        <w:t xml:space="preserve"> 8. постају ст. 6</w:t>
      </w:r>
      <w:r w:rsidR="00A37B9D">
        <w:rPr>
          <w:rFonts w:cs="Times New Roman"/>
          <w:lang w:val="sr-Cyrl-RS"/>
        </w:rPr>
        <w:t>.</w:t>
      </w:r>
      <w:r>
        <w:rPr>
          <w:rFonts w:cs="Times New Roman"/>
        </w:rPr>
        <w:t xml:space="preserve"> </w:t>
      </w:r>
      <w:r w:rsidR="00A37B9D">
        <w:rPr>
          <w:rFonts w:cs="Times New Roman"/>
          <w:lang w:val="sr-Cyrl-RS"/>
        </w:rPr>
        <w:t xml:space="preserve">до </w:t>
      </w:r>
      <w:r>
        <w:rPr>
          <w:rFonts w:cs="Times New Roman"/>
        </w:rPr>
        <w:t>9.</w:t>
      </w:r>
    </w:p>
    <w:p w:rsidR="002D5E36" w:rsidRPr="002D5E36" w:rsidRDefault="002D5E36" w:rsidP="0087426B">
      <w:pPr>
        <w:spacing w:after="0" w:line="240" w:lineRule="auto"/>
        <w:ind w:firstLine="720"/>
        <w:jc w:val="both"/>
        <w:rPr>
          <w:rFonts w:cs="Times New Roman"/>
        </w:rPr>
      </w:pPr>
    </w:p>
    <w:p w:rsidR="0087426B" w:rsidRPr="0087426B" w:rsidRDefault="0087426B" w:rsidP="0087426B">
      <w:pPr>
        <w:spacing w:after="0" w:line="240" w:lineRule="auto"/>
        <w:jc w:val="center"/>
        <w:rPr>
          <w:rFonts w:cs="Times New Roman"/>
        </w:rPr>
      </w:pPr>
      <w:r w:rsidRPr="0087426B">
        <w:rPr>
          <w:rFonts w:cs="Times New Roman"/>
        </w:rPr>
        <w:t>Члан 3.</w:t>
      </w:r>
    </w:p>
    <w:p w:rsidR="005E7761" w:rsidRDefault="00A37B9D" w:rsidP="00217072">
      <w:pPr>
        <w:spacing w:after="0" w:line="240" w:lineRule="auto"/>
        <w:jc w:val="both"/>
        <w:rPr>
          <w:rFonts w:cs="Times New Roman"/>
        </w:rPr>
      </w:pPr>
      <w:r>
        <w:rPr>
          <w:rFonts w:cs="Times New Roman"/>
        </w:rPr>
        <w:tab/>
        <w:t>У члану 37. став</w:t>
      </w:r>
      <w:r w:rsidR="005E7761">
        <w:rPr>
          <w:rFonts w:cs="Times New Roman"/>
        </w:rPr>
        <w:t xml:space="preserve"> 5. реч: „пет” замењује се речју: „шест”.</w:t>
      </w:r>
    </w:p>
    <w:p w:rsidR="005E7761" w:rsidRDefault="005E7761" w:rsidP="00217072">
      <w:pPr>
        <w:spacing w:after="0" w:line="240" w:lineRule="auto"/>
        <w:jc w:val="both"/>
        <w:rPr>
          <w:rFonts w:cs="Times New Roman"/>
        </w:rPr>
      </w:pPr>
    </w:p>
    <w:p w:rsidR="005E7761" w:rsidRDefault="0087426B" w:rsidP="005E7761">
      <w:pPr>
        <w:spacing w:after="0" w:line="240" w:lineRule="auto"/>
        <w:jc w:val="center"/>
        <w:rPr>
          <w:rFonts w:cs="Times New Roman"/>
        </w:rPr>
      </w:pPr>
      <w:r>
        <w:rPr>
          <w:rFonts w:cs="Times New Roman"/>
        </w:rPr>
        <w:t>Члан 4</w:t>
      </w:r>
      <w:r w:rsidR="005E7761">
        <w:rPr>
          <w:rFonts w:cs="Times New Roman"/>
        </w:rPr>
        <w:t>.</w:t>
      </w:r>
    </w:p>
    <w:p w:rsidR="005E7761" w:rsidRPr="005E7761" w:rsidRDefault="005E7761" w:rsidP="005E7761">
      <w:pPr>
        <w:spacing w:after="0" w:line="240" w:lineRule="auto"/>
        <w:jc w:val="both"/>
      </w:pPr>
      <w:r>
        <w:rPr>
          <w:rFonts w:cs="Times New Roman"/>
        </w:rPr>
        <w:tab/>
        <w:t>Члан 63. брише се.</w:t>
      </w:r>
    </w:p>
    <w:p w:rsidR="00217072" w:rsidRDefault="00217072" w:rsidP="00217072">
      <w:pPr>
        <w:spacing w:after="0" w:line="240" w:lineRule="auto"/>
        <w:jc w:val="both"/>
        <w:rPr>
          <w:b/>
        </w:rPr>
      </w:pPr>
    </w:p>
    <w:p w:rsidR="00217072" w:rsidRPr="005E7761" w:rsidRDefault="0087426B" w:rsidP="005E7761">
      <w:pPr>
        <w:spacing w:after="0" w:line="240" w:lineRule="auto"/>
        <w:jc w:val="center"/>
      </w:pPr>
      <w:r>
        <w:t>Члан 5</w:t>
      </w:r>
      <w:r w:rsidR="005E7761" w:rsidRPr="005E7761">
        <w:t>.</w:t>
      </w:r>
    </w:p>
    <w:p w:rsidR="005E7761" w:rsidRPr="005E7761" w:rsidRDefault="005E7761" w:rsidP="00217072">
      <w:pPr>
        <w:spacing w:after="0" w:line="240" w:lineRule="auto"/>
        <w:jc w:val="both"/>
      </w:pPr>
      <w:r>
        <w:tab/>
      </w:r>
      <w:r w:rsidRPr="005E7761">
        <w:t xml:space="preserve">Овај закон ступа на снагу осмог дана од дана објављивања у </w:t>
      </w:r>
      <w:r w:rsidRPr="005E7761">
        <w:rPr>
          <w:rFonts w:cs="Times New Roman"/>
        </w:rPr>
        <w:t>„Службеном гласнику Републике Србије”.</w:t>
      </w:r>
    </w:p>
    <w:p w:rsidR="00217072" w:rsidRDefault="00217072" w:rsidP="00217072">
      <w:pPr>
        <w:spacing w:after="0" w:line="240" w:lineRule="auto"/>
        <w:jc w:val="both"/>
        <w:rPr>
          <w:b/>
        </w:rPr>
      </w:pPr>
    </w:p>
    <w:p w:rsidR="00217072" w:rsidRDefault="00217072" w:rsidP="00217072">
      <w:pPr>
        <w:spacing w:after="0" w:line="240" w:lineRule="auto"/>
        <w:jc w:val="both"/>
      </w:pPr>
    </w:p>
    <w:p w:rsidR="00CF2A3D" w:rsidRDefault="00CF2A3D" w:rsidP="00217072">
      <w:pPr>
        <w:spacing w:after="0" w:line="240" w:lineRule="auto"/>
        <w:jc w:val="both"/>
      </w:pPr>
    </w:p>
    <w:p w:rsidR="00CF2A3D" w:rsidRDefault="00CF2A3D" w:rsidP="00217072">
      <w:pPr>
        <w:spacing w:after="0" w:line="240" w:lineRule="auto"/>
        <w:jc w:val="both"/>
      </w:pPr>
    </w:p>
    <w:p w:rsidR="00CF2A3D" w:rsidRDefault="00CF2A3D" w:rsidP="00217072">
      <w:pPr>
        <w:spacing w:after="0" w:line="240" w:lineRule="auto"/>
        <w:jc w:val="both"/>
      </w:pPr>
    </w:p>
    <w:p w:rsidR="00CF2A3D" w:rsidRDefault="00CF2A3D" w:rsidP="00217072">
      <w:pPr>
        <w:spacing w:after="0" w:line="240" w:lineRule="auto"/>
        <w:jc w:val="both"/>
      </w:pPr>
    </w:p>
    <w:p w:rsidR="00CF2A3D" w:rsidRDefault="00CF2A3D" w:rsidP="00217072">
      <w:pPr>
        <w:spacing w:after="0" w:line="240" w:lineRule="auto"/>
        <w:jc w:val="both"/>
      </w:pPr>
    </w:p>
    <w:p w:rsidR="00CF2A3D" w:rsidRDefault="00CF2A3D" w:rsidP="00217072">
      <w:pPr>
        <w:spacing w:after="0" w:line="240" w:lineRule="auto"/>
        <w:jc w:val="both"/>
      </w:pPr>
    </w:p>
    <w:p w:rsidR="00CF2A3D" w:rsidRDefault="00CF2A3D" w:rsidP="00217072">
      <w:pPr>
        <w:spacing w:after="0" w:line="240" w:lineRule="auto"/>
        <w:jc w:val="both"/>
      </w:pPr>
    </w:p>
    <w:p w:rsidR="00CF2A3D" w:rsidRDefault="00CF2A3D" w:rsidP="00217072">
      <w:pPr>
        <w:spacing w:after="0" w:line="240" w:lineRule="auto"/>
        <w:jc w:val="both"/>
      </w:pPr>
    </w:p>
    <w:p w:rsidR="00CF2A3D" w:rsidRDefault="00CF2A3D" w:rsidP="00217072">
      <w:pPr>
        <w:spacing w:after="0" w:line="240" w:lineRule="auto"/>
        <w:jc w:val="both"/>
      </w:pPr>
    </w:p>
    <w:p w:rsidR="00CF2A3D" w:rsidRDefault="00CF2A3D" w:rsidP="00217072">
      <w:pPr>
        <w:spacing w:after="0" w:line="240" w:lineRule="auto"/>
        <w:jc w:val="both"/>
      </w:pPr>
    </w:p>
    <w:p w:rsidR="00CF2A3D" w:rsidRDefault="00CF2A3D" w:rsidP="00217072">
      <w:pPr>
        <w:spacing w:after="0" w:line="240" w:lineRule="auto"/>
        <w:jc w:val="both"/>
      </w:pPr>
    </w:p>
    <w:p w:rsidR="00CF2A3D" w:rsidRDefault="00CF2A3D" w:rsidP="00217072">
      <w:pPr>
        <w:spacing w:after="0" w:line="240" w:lineRule="auto"/>
        <w:jc w:val="both"/>
      </w:pPr>
    </w:p>
    <w:p w:rsidR="00CF2A3D" w:rsidRDefault="00CF2A3D" w:rsidP="00217072">
      <w:pPr>
        <w:spacing w:after="0" w:line="240" w:lineRule="auto"/>
        <w:jc w:val="both"/>
      </w:pPr>
    </w:p>
    <w:p w:rsidR="00CF2A3D" w:rsidRDefault="00CF2A3D" w:rsidP="00217072">
      <w:pPr>
        <w:spacing w:after="0" w:line="240" w:lineRule="auto"/>
        <w:jc w:val="both"/>
      </w:pPr>
    </w:p>
    <w:p w:rsidR="00CF2A3D" w:rsidRDefault="00CF2A3D" w:rsidP="00217072">
      <w:pPr>
        <w:spacing w:after="0" w:line="240" w:lineRule="auto"/>
        <w:jc w:val="both"/>
      </w:pPr>
    </w:p>
    <w:p w:rsidR="00CF2A3D" w:rsidRDefault="00CF2A3D" w:rsidP="00217072">
      <w:pPr>
        <w:spacing w:after="0" w:line="240" w:lineRule="auto"/>
        <w:jc w:val="both"/>
      </w:pPr>
    </w:p>
    <w:p w:rsidR="00CF2A3D" w:rsidRDefault="00CF2A3D" w:rsidP="00217072">
      <w:pPr>
        <w:spacing w:after="0" w:line="240" w:lineRule="auto"/>
        <w:jc w:val="both"/>
      </w:pPr>
    </w:p>
    <w:p w:rsidR="00CF2A3D" w:rsidRDefault="00CF2A3D" w:rsidP="00217072">
      <w:pPr>
        <w:spacing w:after="0" w:line="240" w:lineRule="auto"/>
        <w:jc w:val="both"/>
      </w:pPr>
    </w:p>
    <w:p w:rsidR="00CF2A3D" w:rsidRDefault="00CF2A3D" w:rsidP="00217072">
      <w:pPr>
        <w:spacing w:after="0" w:line="240" w:lineRule="auto"/>
        <w:jc w:val="both"/>
      </w:pPr>
    </w:p>
    <w:p w:rsidR="00CF2A3D" w:rsidRDefault="00CF2A3D" w:rsidP="00217072">
      <w:pPr>
        <w:spacing w:after="0" w:line="240" w:lineRule="auto"/>
        <w:jc w:val="both"/>
      </w:pPr>
    </w:p>
    <w:p w:rsidR="00CF2A3D" w:rsidRDefault="00CF2A3D" w:rsidP="00217072">
      <w:pPr>
        <w:spacing w:after="0" w:line="240" w:lineRule="auto"/>
        <w:jc w:val="both"/>
      </w:pPr>
    </w:p>
    <w:p w:rsidR="00AD4332" w:rsidRDefault="00AD4332" w:rsidP="00217072">
      <w:pPr>
        <w:spacing w:after="0" w:line="240" w:lineRule="auto"/>
        <w:jc w:val="both"/>
        <w:sectPr w:rsidR="00AD4332" w:rsidSect="00AD4332">
          <w:headerReference w:type="even" r:id="rId6"/>
          <w:headerReference w:type="default" r:id="rId7"/>
          <w:footerReference w:type="even" r:id="rId8"/>
          <w:footerReference w:type="default" r:id="rId9"/>
          <w:headerReference w:type="first" r:id="rId10"/>
          <w:footerReference w:type="first" r:id="rId11"/>
          <w:pgSz w:w="11907" w:h="16840" w:code="9"/>
          <w:pgMar w:top="630" w:right="1440" w:bottom="540" w:left="1440" w:header="720" w:footer="720" w:gutter="0"/>
          <w:pgNumType w:start="1"/>
          <w:cols w:space="720"/>
          <w:titlePg/>
          <w:docGrid w:linePitch="360"/>
        </w:sectPr>
      </w:pPr>
    </w:p>
    <w:p w:rsidR="00CF2A3D" w:rsidRDefault="00CF2A3D" w:rsidP="00217072">
      <w:pPr>
        <w:spacing w:after="0" w:line="240" w:lineRule="auto"/>
        <w:jc w:val="both"/>
      </w:pPr>
    </w:p>
    <w:p w:rsidR="00CF2A3D" w:rsidRDefault="00CF2A3D" w:rsidP="00217072">
      <w:pPr>
        <w:spacing w:after="0" w:line="240" w:lineRule="auto"/>
        <w:jc w:val="both"/>
      </w:pPr>
    </w:p>
    <w:p w:rsidR="00CF2A3D" w:rsidRDefault="00CF2A3D" w:rsidP="00217072">
      <w:pPr>
        <w:spacing w:after="0" w:line="240" w:lineRule="auto"/>
        <w:jc w:val="both"/>
      </w:pPr>
    </w:p>
    <w:p w:rsidR="0087426B" w:rsidRPr="002D5E36" w:rsidRDefault="0087426B" w:rsidP="00217072">
      <w:pPr>
        <w:spacing w:after="0" w:line="240" w:lineRule="auto"/>
        <w:jc w:val="both"/>
      </w:pPr>
    </w:p>
    <w:p w:rsidR="00935D47" w:rsidRDefault="00935D47" w:rsidP="00CF2A3D">
      <w:pPr>
        <w:spacing w:after="0" w:line="240" w:lineRule="auto"/>
        <w:jc w:val="center"/>
        <w:rPr>
          <w:b/>
        </w:rPr>
      </w:pPr>
      <w:r>
        <w:rPr>
          <w:b/>
        </w:rPr>
        <w:t xml:space="preserve">О Б Р А З Л О Ж Е Њ Е </w:t>
      </w:r>
    </w:p>
    <w:p w:rsidR="00F150AB" w:rsidRDefault="00F150AB" w:rsidP="00CF2A3D">
      <w:pPr>
        <w:spacing w:after="0" w:line="240" w:lineRule="auto"/>
        <w:jc w:val="center"/>
        <w:rPr>
          <w:b/>
        </w:rPr>
      </w:pPr>
    </w:p>
    <w:p w:rsidR="00F150AB" w:rsidRPr="00F150AB" w:rsidRDefault="00F150AB" w:rsidP="00F150AB">
      <w:pPr>
        <w:spacing w:after="0" w:line="240" w:lineRule="auto"/>
        <w:ind w:firstLine="720"/>
        <w:jc w:val="both"/>
        <w:rPr>
          <w:b/>
        </w:rPr>
      </w:pPr>
      <w:r w:rsidRPr="00F150AB">
        <w:rPr>
          <w:b/>
        </w:rPr>
        <w:t xml:space="preserve">I. УСТАВНИ ОСНОВ ЗА ДОНОШЕЊЕ ЗАКОНА </w:t>
      </w:r>
    </w:p>
    <w:p w:rsidR="00F150AB" w:rsidRPr="00F150AB" w:rsidRDefault="00F150AB" w:rsidP="00F150AB">
      <w:pPr>
        <w:spacing w:after="0" w:line="240" w:lineRule="auto"/>
        <w:ind w:firstLine="720"/>
        <w:jc w:val="both"/>
      </w:pPr>
    </w:p>
    <w:p w:rsidR="00F150AB" w:rsidRDefault="00CB3215" w:rsidP="00CB3215">
      <w:pPr>
        <w:spacing w:after="0" w:line="240" w:lineRule="auto"/>
        <w:ind w:firstLine="720"/>
        <w:jc w:val="both"/>
      </w:pPr>
      <w:r>
        <w:t>Уставни основ за дон</w:t>
      </w:r>
      <w:r w:rsidR="0096346A">
        <w:t>ошење Закона о изменама и допунама</w:t>
      </w:r>
      <w:r>
        <w:t xml:space="preserve"> Закона о судијама садржан је у члану 148. став 3. Устава којим је, између осталог, предвиђено да се поступак, основи и разлози за престанак судијске функције уређују законом.</w:t>
      </w:r>
    </w:p>
    <w:p w:rsidR="00CB3215" w:rsidRPr="00CB3215" w:rsidRDefault="00CB3215" w:rsidP="00CF2A3D">
      <w:pPr>
        <w:spacing w:after="0" w:line="240" w:lineRule="auto"/>
        <w:jc w:val="center"/>
      </w:pPr>
    </w:p>
    <w:p w:rsidR="00F150AB" w:rsidRDefault="00F150AB" w:rsidP="00F150AB">
      <w:pPr>
        <w:spacing w:after="0" w:line="240" w:lineRule="auto"/>
        <w:ind w:firstLine="720"/>
        <w:jc w:val="both"/>
        <w:rPr>
          <w:b/>
        </w:rPr>
      </w:pPr>
      <w:r w:rsidRPr="00F150AB">
        <w:rPr>
          <w:b/>
        </w:rPr>
        <w:t xml:space="preserve">II. РАЗЛОЗИ ЗА ДОНОШЕЊЕ ЗАКОНА </w:t>
      </w:r>
    </w:p>
    <w:p w:rsidR="00F572EF" w:rsidRPr="00F572EF" w:rsidRDefault="00F572EF" w:rsidP="00F150AB">
      <w:pPr>
        <w:spacing w:after="0" w:line="240" w:lineRule="auto"/>
        <w:ind w:firstLine="720"/>
        <w:jc w:val="both"/>
        <w:rPr>
          <w:b/>
        </w:rPr>
      </w:pPr>
    </w:p>
    <w:p w:rsidR="00CB3215" w:rsidRDefault="00CB3215" w:rsidP="00CB3215">
      <w:pPr>
        <w:spacing w:after="0" w:line="240" w:lineRule="auto"/>
        <w:ind w:firstLine="720"/>
        <w:jc w:val="both"/>
        <w:rPr>
          <w:b/>
        </w:rPr>
      </w:pPr>
      <w:r>
        <w:t>Предлагањем овог закона предузимају се неопходни кораци у испуњавању преузете обавезе из међународних аката препорука Групе држава Савета Европе за борбу против корупције (GRECO)</w:t>
      </w:r>
      <w:r w:rsidR="002D5E36">
        <w:t xml:space="preserve">, као и активности из Ревидираног акционог плана за Поглавље 23 </w:t>
      </w:r>
      <w:r w:rsidR="002D5E36">
        <w:rPr>
          <w:rFonts w:cs="Times New Roman"/>
        </w:rPr>
        <w:t>‒</w:t>
      </w:r>
      <w:r w:rsidR="002D5E36">
        <w:t xml:space="preserve"> Правосуђе и основна права</w:t>
      </w:r>
      <w:r>
        <w:t>.</w:t>
      </w:r>
    </w:p>
    <w:p w:rsidR="00F150AB" w:rsidRDefault="00CB3215" w:rsidP="00CB3215">
      <w:pPr>
        <w:spacing w:after="0" w:line="240" w:lineRule="auto"/>
        <w:ind w:firstLine="720"/>
        <w:jc w:val="both"/>
      </w:pPr>
      <w:r>
        <w:t xml:space="preserve">GRECO је препоручио </w:t>
      </w:r>
      <w:r w:rsidR="00D2416C">
        <w:t xml:space="preserve">у оквиру Четвртог евалуационог круга </w:t>
      </w:r>
      <w:r w:rsidR="00D94DA8">
        <w:t xml:space="preserve">у Препоруци VI </w:t>
      </w:r>
      <w:r>
        <w:t>да систем оцењивања</w:t>
      </w:r>
      <w:r w:rsidR="00F572EF">
        <w:t xml:space="preserve"> рада судија буде ревидиран:</w:t>
      </w:r>
      <w:r>
        <w:t xml:space="preserve"> увођењем </w:t>
      </w:r>
      <w:r w:rsidR="00F572EF">
        <w:t>квалитативних критеријума и</w:t>
      </w:r>
      <w:r>
        <w:t xml:space="preserve"> укидањем правила да незадовољавајући резултати вредновања систематски воде ка разрешењу дотичних судија.</w:t>
      </w:r>
    </w:p>
    <w:p w:rsidR="00F572EF" w:rsidRDefault="00D94DA8" w:rsidP="00CB3215">
      <w:pPr>
        <w:spacing w:after="0" w:line="240" w:lineRule="auto"/>
        <w:ind w:firstLine="720"/>
        <w:jc w:val="both"/>
      </w:pPr>
      <w:r>
        <w:t xml:space="preserve">Ревидираним акционим планом за Поглавље 23 </w:t>
      </w:r>
      <w:r>
        <w:rPr>
          <w:rFonts w:cs="Times New Roman"/>
        </w:rPr>
        <w:t>‒</w:t>
      </w:r>
      <w:r>
        <w:t xml:space="preserve"> Правосуђе и основна права </w:t>
      </w:r>
      <w:r>
        <w:rPr>
          <w:rFonts w:cs="Times New Roman"/>
        </w:rPr>
        <w:t xml:space="preserve">предвиђено је да се </w:t>
      </w:r>
      <w:r>
        <w:t>измени Закон о судијама и Закон о Високом савету судства у циљу прописивања Етичког одбора као сталног радног тела Високог савета судства, прописивања надлежности Високог савета судства за доношење Пословника о раду Етичког одбора и прописивања обавезе израђивања извештаја о раду Етичког одбора Високог савета судства о поштовању одредаба Етичког кодекса.</w:t>
      </w:r>
    </w:p>
    <w:p w:rsidR="00D94DA8" w:rsidRPr="00D94DA8" w:rsidRDefault="00D94DA8" w:rsidP="00CB3215">
      <w:pPr>
        <w:spacing w:after="0" w:line="240" w:lineRule="auto"/>
        <w:ind w:firstLine="720"/>
        <w:jc w:val="both"/>
        <w:rPr>
          <w:b/>
        </w:rPr>
      </w:pPr>
    </w:p>
    <w:p w:rsidR="00F150AB" w:rsidRDefault="00F150AB" w:rsidP="00CB3215">
      <w:pPr>
        <w:spacing w:after="0" w:line="240" w:lineRule="auto"/>
        <w:ind w:firstLine="720"/>
        <w:jc w:val="both"/>
        <w:rPr>
          <w:b/>
        </w:rPr>
      </w:pPr>
      <w:r w:rsidRPr="00CB3215">
        <w:rPr>
          <w:b/>
        </w:rPr>
        <w:t>III. ОБЈАШЊЕЊЕ ОСНОВНИХ ПРАВНИХ ИНСТИТУТА И ПОЈЕДИНАЧНИХ РЕШЕЊА</w:t>
      </w:r>
    </w:p>
    <w:p w:rsidR="00CB3215" w:rsidRPr="00CB3215" w:rsidRDefault="00CB3215" w:rsidP="00CB3215">
      <w:pPr>
        <w:spacing w:after="0" w:line="240" w:lineRule="auto"/>
        <w:ind w:firstLine="720"/>
        <w:jc w:val="both"/>
        <w:rPr>
          <w:b/>
        </w:rPr>
      </w:pPr>
    </w:p>
    <w:p w:rsidR="00935D47" w:rsidRDefault="002F211A" w:rsidP="002F211A">
      <w:pPr>
        <w:spacing w:after="0" w:line="240" w:lineRule="auto"/>
        <w:jc w:val="both"/>
      </w:pPr>
      <w:r>
        <w:rPr>
          <w:b/>
        </w:rPr>
        <w:tab/>
      </w:r>
      <w:r>
        <w:t>Чланом 1. Нацрта закона</w:t>
      </w:r>
      <w:r w:rsidR="00E218AD">
        <w:t xml:space="preserve"> предвиђено је да се поверавање предмета у рад судији заснива на сложености предмета која обухвата објективне критеријуме: број странака и осталих учесника у поступку (умеша</w:t>
      </w:r>
      <w:r w:rsidR="009614E3">
        <w:t>ча, сведока, вештака), поштовање</w:t>
      </w:r>
      <w:r w:rsidR="00E218AD">
        <w:t xml:space="preserve"> рокова за судске радње и др. </w:t>
      </w:r>
    </w:p>
    <w:p w:rsidR="00D2416C" w:rsidRDefault="002F211A" w:rsidP="002F211A">
      <w:pPr>
        <w:spacing w:after="0" w:line="240" w:lineRule="auto"/>
        <w:jc w:val="both"/>
      </w:pPr>
      <w:r>
        <w:rPr>
          <w:b/>
        </w:rPr>
        <w:tab/>
      </w:r>
      <w:r w:rsidRPr="002F211A">
        <w:t xml:space="preserve">Чланом 2. </w:t>
      </w:r>
      <w:r w:rsidR="0087426B">
        <w:t>Нацрта закона предвиђено је да Етички одбор</w:t>
      </w:r>
      <w:r w:rsidR="00D2416C">
        <w:t>,</w:t>
      </w:r>
      <w:r w:rsidR="0087426B">
        <w:t xml:space="preserve"> као</w:t>
      </w:r>
      <w:r w:rsidR="00D2416C">
        <w:t xml:space="preserve"> стално радно тело Високог савета судства, одлучује о томе који су поступци опречни достојанству и независности судије и штетни по углед суда на основу Етичког кодекса</w:t>
      </w:r>
      <w:r w:rsidR="002D5E36">
        <w:t xml:space="preserve">, као и </w:t>
      </w:r>
      <w:r w:rsidR="002D5E36">
        <w:rPr>
          <w:rFonts w:cs="Times New Roman"/>
        </w:rPr>
        <w:t>дужност Етичког одбора да најмање једном годишње доставља Високом савету судства извештај о свом раду и примени Етичког кодекса,</w:t>
      </w:r>
      <w:r w:rsidR="002D5E36">
        <w:t xml:space="preserve"> </w:t>
      </w:r>
      <w:r w:rsidR="00D2416C">
        <w:t xml:space="preserve">ради реализације активности 1.2.2.5. из Ревидираног акционог плана за Поглавље 23 </w:t>
      </w:r>
      <w:r w:rsidR="002D5E36">
        <w:rPr>
          <w:rFonts w:cs="Times New Roman"/>
        </w:rPr>
        <w:t>‒</w:t>
      </w:r>
      <w:r w:rsidR="00D2416C">
        <w:t xml:space="preserve"> Правосуђе и основна права </w:t>
      </w:r>
      <w:r w:rsidR="00D2416C">
        <w:rPr>
          <w:rFonts w:cs="Times New Roman"/>
        </w:rPr>
        <w:t>‒</w:t>
      </w:r>
      <w:r w:rsidR="00D2416C">
        <w:t xml:space="preserve"> Измена Закона о судијама и Закона о Високом савету судства у циљу прописивања Етичког одбора као сталног радног тела Високог савета судства, прописивања надлежности Високог савета судства за доношење Пословника о раду Етичког одбора и прописивања обавезе израђивања извештаја о раду Етичког одбора Високог савета судства о поштовању одредаба Етичког кодекса.</w:t>
      </w:r>
    </w:p>
    <w:p w:rsidR="00935D47" w:rsidRPr="002F211A" w:rsidRDefault="00D2416C" w:rsidP="00D2416C">
      <w:pPr>
        <w:spacing w:after="0" w:line="240" w:lineRule="auto"/>
        <w:ind w:firstLine="720"/>
        <w:jc w:val="both"/>
      </w:pPr>
      <w:r>
        <w:t xml:space="preserve">Чланом 3. </w:t>
      </w:r>
      <w:r w:rsidR="002F211A" w:rsidRPr="002F211A">
        <w:t>Нацрта закона измењен је члан 37. Закона о судијама</w:t>
      </w:r>
      <w:r w:rsidR="009614E3">
        <w:t xml:space="preserve"> </w:t>
      </w:r>
      <w:r w:rsidR="002F211A" w:rsidRPr="002F211A">
        <w:t>ради усклађивања са осталим одредбама Закон</w:t>
      </w:r>
      <w:r w:rsidR="009614E3">
        <w:t>а</w:t>
      </w:r>
      <w:r w:rsidR="002F211A" w:rsidRPr="002F211A">
        <w:t>.</w:t>
      </w:r>
    </w:p>
    <w:p w:rsidR="00935D47" w:rsidRPr="002F211A" w:rsidRDefault="00D2416C" w:rsidP="002F211A">
      <w:pPr>
        <w:spacing w:after="0" w:line="240" w:lineRule="auto"/>
        <w:ind w:firstLine="720"/>
        <w:jc w:val="both"/>
      </w:pPr>
      <w:r>
        <w:t>Чланом 4</w:t>
      </w:r>
      <w:r w:rsidR="002F211A">
        <w:t xml:space="preserve">. Нацрта закона усклађује </w:t>
      </w:r>
      <w:r w:rsidR="009614E3">
        <w:t xml:space="preserve">се Закон </w:t>
      </w:r>
      <w:r w:rsidR="002F211A">
        <w:t xml:space="preserve">са </w:t>
      </w:r>
      <w:r w:rsidR="002F211A" w:rsidRPr="002F211A">
        <w:t>Мишљење</w:t>
      </w:r>
      <w:r w:rsidR="002F211A">
        <w:t>м број</w:t>
      </w:r>
      <w:r w:rsidR="002F211A" w:rsidRPr="002F211A">
        <w:t xml:space="preserve"> 17 Консултативног већа </w:t>
      </w:r>
      <w:r w:rsidR="002F211A">
        <w:t xml:space="preserve">европских судија у којем се између осталог наводи: </w:t>
      </w:r>
      <w:r w:rsidR="002F211A" w:rsidRPr="002F211A">
        <w:t>„Начела сталности функције и</w:t>
      </w:r>
      <w:r w:rsidR="002F211A">
        <w:t xml:space="preserve"> </w:t>
      </w:r>
      <w:r w:rsidR="002F211A" w:rsidRPr="002F211A">
        <w:t>непреместивости представљају кључне елементе судске независности и морају се поштовати. Стога,</w:t>
      </w:r>
      <w:r w:rsidR="002F211A">
        <w:t xml:space="preserve"> </w:t>
      </w:r>
      <w:r w:rsidR="002F211A" w:rsidRPr="002F211A">
        <w:t xml:space="preserve">судија не би требало да се разрешава </w:t>
      </w:r>
      <w:r w:rsidR="002F211A" w:rsidRPr="002F211A">
        <w:lastRenderedPageBreak/>
        <w:t>функције само зато што је добио негативну оцену. До разрешења</w:t>
      </w:r>
      <w:r w:rsidR="002F211A">
        <w:t xml:space="preserve"> </w:t>
      </w:r>
      <w:r w:rsidR="002F211A" w:rsidRPr="002F211A">
        <w:t>треба да дође само у случају тешких дисциплинских или кривичних прекршаја или где је неизбежан закључак</w:t>
      </w:r>
      <w:r w:rsidR="002F211A">
        <w:t xml:space="preserve"> </w:t>
      </w:r>
      <w:r w:rsidR="002F211A" w:rsidRPr="002F211A">
        <w:t>поступка вредновања да је судија невољан или неспособан да обавља своје дужности у складу са</w:t>
      </w:r>
      <w:r w:rsidR="002F211A">
        <w:t xml:space="preserve"> </w:t>
      </w:r>
      <w:r w:rsidR="002F211A" w:rsidRPr="002F211A">
        <w:t>минимумом прихватљивих стандарда, на основу објективне процене.”</w:t>
      </w:r>
    </w:p>
    <w:p w:rsidR="00935D47" w:rsidRDefault="00D2416C" w:rsidP="002F211A">
      <w:pPr>
        <w:spacing w:after="0" w:line="240" w:lineRule="auto"/>
        <w:jc w:val="both"/>
      </w:pPr>
      <w:r>
        <w:tab/>
        <w:t>Чланом 5</w:t>
      </w:r>
      <w:r w:rsidR="002F211A" w:rsidRPr="002F211A">
        <w:t xml:space="preserve">. Нацрта закона </w:t>
      </w:r>
      <w:r w:rsidR="002F211A">
        <w:t>предвиђено је ступање на снагу Закона.</w:t>
      </w:r>
    </w:p>
    <w:p w:rsidR="002F211A" w:rsidRDefault="002F211A" w:rsidP="002F211A">
      <w:pPr>
        <w:spacing w:after="0" w:line="240" w:lineRule="auto"/>
        <w:jc w:val="both"/>
        <w:rPr>
          <w:b/>
        </w:rPr>
      </w:pPr>
    </w:p>
    <w:p w:rsidR="00CB3215" w:rsidRPr="00CB3215" w:rsidRDefault="00CB3215" w:rsidP="00CB3215">
      <w:pPr>
        <w:spacing w:after="0" w:line="240" w:lineRule="auto"/>
        <w:ind w:firstLine="720"/>
        <w:jc w:val="both"/>
        <w:rPr>
          <w:b/>
        </w:rPr>
      </w:pPr>
      <w:r w:rsidRPr="00CB3215">
        <w:rPr>
          <w:b/>
        </w:rPr>
        <w:t xml:space="preserve">IV. ФИНАНСИЈСКА СРЕДСТВА ПОТРЕБНА ЗА ПРИМЕНУ ЗАКОНА </w:t>
      </w:r>
    </w:p>
    <w:p w:rsidR="00CB3215" w:rsidRDefault="00CB3215" w:rsidP="002F211A">
      <w:pPr>
        <w:spacing w:after="0" w:line="240" w:lineRule="auto"/>
        <w:jc w:val="both"/>
      </w:pPr>
    </w:p>
    <w:p w:rsidR="00CB3215" w:rsidRDefault="00CB3215" w:rsidP="00CB3215">
      <w:pPr>
        <w:spacing w:after="0" w:line="240" w:lineRule="auto"/>
        <w:ind w:firstLine="720"/>
        <w:jc w:val="both"/>
      </w:pPr>
      <w:r>
        <w:t>За спровођење овог закона није потребно обезбедити финансијска средства у буџету Републике Србије.</w:t>
      </w:r>
    </w:p>
    <w:p w:rsidR="00AD4332" w:rsidRDefault="00AD4332" w:rsidP="00CB3215">
      <w:pPr>
        <w:spacing w:after="0" w:line="240" w:lineRule="auto"/>
        <w:ind w:firstLine="720"/>
        <w:jc w:val="both"/>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06146B" w:rsidRDefault="0006146B" w:rsidP="002F211A">
      <w:pPr>
        <w:spacing w:after="0" w:line="240" w:lineRule="auto"/>
        <w:jc w:val="both"/>
        <w:rPr>
          <w:b/>
        </w:rPr>
      </w:pPr>
    </w:p>
    <w:p w:rsidR="00AD4332" w:rsidRDefault="00AD4332" w:rsidP="002F211A">
      <w:pPr>
        <w:spacing w:after="0" w:line="240" w:lineRule="auto"/>
        <w:jc w:val="both"/>
        <w:rPr>
          <w:b/>
        </w:rPr>
        <w:sectPr w:rsidR="00AD4332" w:rsidSect="00AD4332">
          <w:pgSz w:w="11907" w:h="16840" w:code="9"/>
          <w:pgMar w:top="630" w:right="1440" w:bottom="540" w:left="1440" w:header="720" w:footer="720" w:gutter="0"/>
          <w:pgNumType w:start="1"/>
          <w:cols w:space="720"/>
          <w:titlePg/>
          <w:docGrid w:linePitch="360"/>
        </w:sectPr>
      </w:pPr>
    </w:p>
    <w:p w:rsidR="0006146B" w:rsidRDefault="0006146B" w:rsidP="002F211A">
      <w:pPr>
        <w:spacing w:after="0" w:line="240" w:lineRule="auto"/>
        <w:jc w:val="both"/>
        <w:rPr>
          <w:b/>
        </w:rPr>
      </w:pPr>
    </w:p>
    <w:p w:rsidR="00AD4332" w:rsidRDefault="00CF2A3D" w:rsidP="00CF2A3D">
      <w:pPr>
        <w:spacing w:after="0" w:line="240" w:lineRule="auto"/>
        <w:jc w:val="center"/>
        <w:rPr>
          <w:b/>
        </w:rPr>
      </w:pPr>
      <w:r w:rsidRPr="00CF2A3D">
        <w:rPr>
          <w:b/>
        </w:rPr>
        <w:t xml:space="preserve">ПРЕГЛЕД ОДРЕДАБА ЗАКОНА О СУДИЈАМА </w:t>
      </w:r>
      <w:r w:rsidR="00AC5119">
        <w:rPr>
          <w:b/>
        </w:rPr>
        <w:t xml:space="preserve">КОЈЕ СЕ МЕЊАЈУ, </w:t>
      </w:r>
    </w:p>
    <w:p w:rsidR="00CF2A3D" w:rsidRPr="00AC5119" w:rsidRDefault="00AC5119" w:rsidP="00CF2A3D">
      <w:pPr>
        <w:spacing w:after="0" w:line="240" w:lineRule="auto"/>
        <w:jc w:val="center"/>
        <w:rPr>
          <w:b/>
        </w:rPr>
      </w:pPr>
      <w:r>
        <w:rPr>
          <w:b/>
        </w:rPr>
        <w:t>ОДНОСНО ДОПУЊУЈУ</w:t>
      </w:r>
    </w:p>
    <w:p w:rsidR="00AC5119" w:rsidRPr="00AC5119" w:rsidRDefault="00AC5119" w:rsidP="00CF2A3D">
      <w:pPr>
        <w:spacing w:after="0" w:line="240" w:lineRule="auto"/>
        <w:jc w:val="center"/>
        <w:rPr>
          <w:b/>
        </w:rPr>
      </w:pPr>
    </w:p>
    <w:p w:rsidR="00AC5119" w:rsidRDefault="00AC5119" w:rsidP="00AC5119">
      <w:pPr>
        <w:spacing w:after="0" w:line="240" w:lineRule="auto"/>
        <w:jc w:val="center"/>
        <w:rPr>
          <w:i/>
          <w:iCs/>
        </w:rPr>
      </w:pPr>
      <w:r w:rsidRPr="00AC5119">
        <w:rPr>
          <w:i/>
          <w:iCs/>
        </w:rPr>
        <w:t>Расподела предмета случајем</w:t>
      </w:r>
    </w:p>
    <w:p w:rsidR="00AC5119" w:rsidRPr="00AC5119" w:rsidRDefault="00AC5119" w:rsidP="00AC5119">
      <w:pPr>
        <w:spacing w:after="0" w:line="240" w:lineRule="auto"/>
        <w:jc w:val="center"/>
      </w:pPr>
    </w:p>
    <w:p w:rsidR="00AC5119" w:rsidRPr="00AC5119" w:rsidRDefault="00AC5119" w:rsidP="00AC5119">
      <w:pPr>
        <w:spacing w:after="0" w:line="240" w:lineRule="auto"/>
        <w:jc w:val="center"/>
      </w:pPr>
      <w:r w:rsidRPr="00AC5119">
        <w:t>Члан 24.</w:t>
      </w:r>
    </w:p>
    <w:p w:rsidR="00AC5119" w:rsidRPr="00AC5119" w:rsidRDefault="00AC5119" w:rsidP="00AC5119">
      <w:pPr>
        <w:spacing w:after="0" w:line="240" w:lineRule="auto"/>
        <w:ind w:firstLine="720"/>
        <w:jc w:val="both"/>
      </w:pPr>
      <w:r w:rsidRPr="00AC5119">
        <w:t>Судија предмете прима према редоследу независном од личности странака и околности правне ствари.</w:t>
      </w:r>
    </w:p>
    <w:p w:rsidR="00AC5119" w:rsidRPr="00AC5119" w:rsidRDefault="00AC5119" w:rsidP="00AC5119">
      <w:pPr>
        <w:spacing w:after="0" w:line="240" w:lineRule="auto"/>
        <w:ind w:firstLine="720"/>
        <w:jc w:val="both"/>
      </w:pPr>
      <w:r w:rsidRPr="00AC5119">
        <w:t>Судији се предмети поверавају на основу распореда послова у суду</w:t>
      </w:r>
      <w:r w:rsidR="00E218AD" w:rsidRPr="00E218AD">
        <w:rPr>
          <w:rFonts w:cs="Times New Roman"/>
        </w:rPr>
        <w:t xml:space="preserve"> </w:t>
      </w:r>
      <w:r w:rsidR="00E218AD">
        <w:rPr>
          <w:rFonts w:cs="Times New Roman"/>
        </w:rPr>
        <w:t>ВОДЕЋИ РАЧУНА О СЛОЖЕНОСТИ ПРЕДМЕТА</w:t>
      </w:r>
      <w:r w:rsidRPr="00AC5119">
        <w:t>, у складу са Судским пословником, према редоследу унапред утврђеним за сваку календарску годину, искључиво на основу ознаке и броја предмета.</w:t>
      </w:r>
    </w:p>
    <w:p w:rsidR="00AC5119" w:rsidRDefault="00AC5119" w:rsidP="00AC5119">
      <w:pPr>
        <w:spacing w:after="0" w:line="240" w:lineRule="auto"/>
        <w:ind w:firstLine="720"/>
        <w:jc w:val="both"/>
      </w:pPr>
      <w:r w:rsidRPr="00AC5119">
        <w:t>Нико нема права да судска већа образује и предмете додељује мимо распореда послова и редоследа пријема предмета.</w:t>
      </w:r>
    </w:p>
    <w:p w:rsidR="004C2D3B" w:rsidRDefault="004C2D3B" w:rsidP="00AC5119">
      <w:pPr>
        <w:spacing w:after="0" w:line="240" w:lineRule="auto"/>
        <w:ind w:firstLine="720"/>
        <w:jc w:val="both"/>
      </w:pPr>
    </w:p>
    <w:p w:rsidR="00D2416C" w:rsidRPr="00D2416C" w:rsidRDefault="00D2416C" w:rsidP="00D2416C">
      <w:pPr>
        <w:spacing w:after="0" w:line="240" w:lineRule="auto"/>
        <w:jc w:val="center"/>
      </w:pPr>
      <w:r w:rsidRPr="00D2416C">
        <w:t>Члан 30.</w:t>
      </w:r>
    </w:p>
    <w:p w:rsidR="00D2416C" w:rsidRPr="00D2416C" w:rsidRDefault="00D2416C" w:rsidP="00D2416C">
      <w:pPr>
        <w:spacing w:after="0" w:line="240" w:lineRule="auto"/>
        <w:ind w:firstLine="720"/>
        <w:jc w:val="both"/>
      </w:pPr>
      <w:r w:rsidRPr="00D2416C">
        <w:t>Судија не може бити на функцијама у органима који доносе прописе и органима извршне власти, јавним службама и органима покрајинске аутономије и јединица локалне самоуправе. Судија не може бити члан политичке странке, нити политички деловати на други начин, бавити се било којим јавним или приватним плаћеним послом, нити пружати правне услуге ни давати правне савете уз накнаду.</w:t>
      </w:r>
    </w:p>
    <w:p w:rsidR="00D2416C" w:rsidRPr="00D2416C" w:rsidRDefault="00D2416C" w:rsidP="00D2416C">
      <w:pPr>
        <w:spacing w:after="0" w:line="240" w:lineRule="auto"/>
        <w:ind w:firstLine="720"/>
        <w:jc w:val="both"/>
      </w:pPr>
      <w:r w:rsidRPr="00D2416C">
        <w:t>Изузетно од става 1. овог члана, судија може бити члан органа управљања институције надлежне за обуку у правосуђу, на основу одлуке Високог савета судства, у складу са посебним законом.</w:t>
      </w:r>
    </w:p>
    <w:p w:rsidR="00D2416C" w:rsidRPr="00D2416C" w:rsidRDefault="00D2416C" w:rsidP="00D2416C">
      <w:pPr>
        <w:spacing w:after="0" w:line="240" w:lineRule="auto"/>
        <w:ind w:firstLine="720"/>
        <w:jc w:val="both"/>
      </w:pPr>
      <w:r w:rsidRPr="00D2416C">
        <w:t>Са судијском функцијом неспојиве су и друге службе, послови и поступци који су опречни достојанству и независности судије или штете угледу суда.</w:t>
      </w:r>
    </w:p>
    <w:p w:rsidR="00D2416C" w:rsidRDefault="00D2416C" w:rsidP="00D2416C">
      <w:pPr>
        <w:spacing w:after="0" w:line="240" w:lineRule="auto"/>
        <w:ind w:firstLine="720"/>
        <w:jc w:val="both"/>
      </w:pPr>
      <w:r w:rsidRPr="00D2416C">
        <w:rPr>
          <w:strike/>
        </w:rPr>
        <w:t>Високи савет судства</w:t>
      </w:r>
      <w:r w:rsidRPr="00D2416C">
        <w:t xml:space="preserve"> </w:t>
      </w:r>
      <w:r>
        <w:rPr>
          <w:rFonts w:cs="Times New Roman"/>
        </w:rPr>
        <w:t xml:space="preserve">ЕТИЧКИ ОДБОР, КАО СТАЛНО </w:t>
      </w:r>
      <w:r w:rsidR="00970055">
        <w:rPr>
          <w:rFonts w:cs="Times New Roman"/>
        </w:rPr>
        <w:t xml:space="preserve">РАДНО </w:t>
      </w:r>
      <w:r>
        <w:rPr>
          <w:rFonts w:cs="Times New Roman"/>
        </w:rPr>
        <w:t xml:space="preserve">ТЕЛО ВИСОКОГ САВЕТА СУДСТВА, </w:t>
      </w:r>
      <w:r w:rsidRPr="00D2416C">
        <w:t>одлучује који су поступци опречни достојанству и независности судије и штетни по углед суда, на основу Етичког кодекса.</w:t>
      </w:r>
    </w:p>
    <w:p w:rsidR="002D5E36" w:rsidRPr="002D5E36" w:rsidRDefault="002D5E36" w:rsidP="002D5E36">
      <w:pPr>
        <w:spacing w:after="0" w:line="240" w:lineRule="auto"/>
        <w:ind w:firstLine="720"/>
        <w:jc w:val="both"/>
        <w:rPr>
          <w:rFonts w:cs="Times New Roman"/>
        </w:rPr>
      </w:pPr>
      <w:r>
        <w:rPr>
          <w:rFonts w:cs="Times New Roman"/>
        </w:rPr>
        <w:t>ЕТИЧКИ ОДБОР ДУЖАН ЈЕ ДА НАЈМАЊЕ ЈЕДНОМ ГОДИШЊЕ ДОСТАВЉА ВИСОКОМ САВЕТУ СУДСТВА ИЗВЕШТАЈ О СВОМ РАДУ И ПРИМЕНИ ЕТИЧКОГ КОДЕКСА.</w:t>
      </w:r>
    </w:p>
    <w:p w:rsidR="00D2416C" w:rsidRPr="00D2416C" w:rsidRDefault="00D2416C" w:rsidP="00D2416C">
      <w:pPr>
        <w:spacing w:after="0" w:line="240" w:lineRule="auto"/>
        <w:ind w:firstLine="720"/>
        <w:jc w:val="both"/>
      </w:pPr>
      <w:r w:rsidRPr="00D2416C">
        <w:t>Судија може, ван радног времена, да се без посебног одобрења бави наставном и научном делатношћу, уз накнаду.</w:t>
      </w:r>
    </w:p>
    <w:p w:rsidR="00D2416C" w:rsidRPr="00D2416C" w:rsidRDefault="00D2416C" w:rsidP="00D2416C">
      <w:pPr>
        <w:spacing w:after="0" w:line="240" w:lineRule="auto"/>
        <w:ind w:firstLine="720"/>
        <w:jc w:val="both"/>
      </w:pPr>
      <w:r w:rsidRPr="00D2416C">
        <w:t>У случајевима одређеним законом, судија може, у току радног времена, да обавља наставну и научну делатност у институцији надлежној за обуку у правосуђу.</w:t>
      </w:r>
    </w:p>
    <w:p w:rsidR="00D2416C" w:rsidRPr="00D2416C" w:rsidRDefault="00D2416C" w:rsidP="00D2416C">
      <w:pPr>
        <w:spacing w:after="0" w:line="240" w:lineRule="auto"/>
        <w:ind w:firstLine="720"/>
        <w:jc w:val="both"/>
      </w:pPr>
      <w:r w:rsidRPr="00D2416C">
        <w:t>Судија може у току радног времена, по одобрењу председника суда, да учествује у раду стручних тела образованих у складу са посебним прописима и радних група за израду закона и других аката.</w:t>
      </w:r>
    </w:p>
    <w:p w:rsidR="00D2416C" w:rsidRPr="00D2416C" w:rsidRDefault="00D2416C" w:rsidP="00D2416C">
      <w:pPr>
        <w:spacing w:after="0" w:line="240" w:lineRule="auto"/>
        <w:ind w:firstLine="720"/>
        <w:jc w:val="both"/>
      </w:pPr>
      <w:r w:rsidRPr="00D2416C">
        <w:t>Судија може бити упућен на студијско, односно друго стручно путовање у иностранство, на основу одлуке Високог савета судства, уз прибављено мишљење председника суда, при чему се посебно узимају у обзир оцене о раду из личног листа судије, као и познавање страног језика.</w:t>
      </w:r>
    </w:p>
    <w:p w:rsidR="00D2416C" w:rsidRPr="00D2416C" w:rsidRDefault="00D2416C" w:rsidP="00D2416C">
      <w:pPr>
        <w:spacing w:after="0" w:line="240" w:lineRule="auto"/>
        <w:jc w:val="both"/>
      </w:pPr>
    </w:p>
    <w:p w:rsidR="004C2D3B" w:rsidRDefault="004C2D3B" w:rsidP="004C2D3B">
      <w:pPr>
        <w:spacing w:after="0" w:line="240" w:lineRule="auto"/>
        <w:jc w:val="center"/>
      </w:pPr>
      <w:r w:rsidRPr="004C2D3B">
        <w:t>Основна плата</w:t>
      </w:r>
    </w:p>
    <w:p w:rsidR="004C2D3B" w:rsidRPr="004C2D3B" w:rsidRDefault="004C2D3B" w:rsidP="004C2D3B">
      <w:pPr>
        <w:spacing w:after="0" w:line="240" w:lineRule="auto"/>
        <w:jc w:val="center"/>
      </w:pPr>
    </w:p>
    <w:p w:rsidR="004C2D3B" w:rsidRPr="004C2D3B" w:rsidRDefault="004C2D3B" w:rsidP="004C2D3B">
      <w:pPr>
        <w:spacing w:after="0" w:line="240" w:lineRule="auto"/>
        <w:jc w:val="center"/>
      </w:pPr>
      <w:r w:rsidRPr="004C2D3B">
        <w:t>Члан 37.</w:t>
      </w:r>
    </w:p>
    <w:p w:rsidR="004C2D3B" w:rsidRPr="004C2D3B" w:rsidRDefault="004C2D3B" w:rsidP="004C2D3B">
      <w:pPr>
        <w:spacing w:after="0" w:line="240" w:lineRule="auto"/>
        <w:ind w:firstLine="720"/>
        <w:jc w:val="both"/>
      </w:pPr>
      <w:r w:rsidRPr="004C2D3B">
        <w:t>Судија има право на плату судије суда за који је изабран.</w:t>
      </w:r>
    </w:p>
    <w:p w:rsidR="004C2D3B" w:rsidRPr="004C2D3B" w:rsidRDefault="004C2D3B" w:rsidP="004C2D3B">
      <w:pPr>
        <w:spacing w:after="0" w:line="240" w:lineRule="auto"/>
        <w:ind w:firstLine="720"/>
        <w:jc w:val="both"/>
      </w:pPr>
      <w:r w:rsidRPr="004C2D3B">
        <w:t>Плата судије одређује се на основу основне плате.</w:t>
      </w:r>
    </w:p>
    <w:p w:rsidR="004C2D3B" w:rsidRPr="004C2D3B" w:rsidRDefault="004C2D3B" w:rsidP="004C2D3B">
      <w:pPr>
        <w:spacing w:after="0" w:line="240" w:lineRule="auto"/>
        <w:ind w:firstLine="720"/>
        <w:jc w:val="both"/>
      </w:pPr>
      <w:r w:rsidRPr="004C2D3B">
        <w:t>Основна плата одређује се множењем коефицијената за обрачун и исплату плата са основицом за обрачун и исплату плата.</w:t>
      </w:r>
    </w:p>
    <w:p w:rsidR="004C2D3B" w:rsidRPr="004C2D3B" w:rsidRDefault="004C2D3B" w:rsidP="004C2D3B">
      <w:pPr>
        <w:spacing w:after="0" w:line="240" w:lineRule="auto"/>
        <w:ind w:firstLine="720"/>
        <w:jc w:val="both"/>
      </w:pPr>
      <w:r w:rsidRPr="004C2D3B">
        <w:t>Основица за обрачун и исплату плата судије утврђује се Законом о буџету.</w:t>
      </w:r>
    </w:p>
    <w:p w:rsidR="004C2D3B" w:rsidRPr="004C2D3B" w:rsidRDefault="004C2D3B" w:rsidP="004C2D3B">
      <w:pPr>
        <w:spacing w:after="0" w:line="240" w:lineRule="auto"/>
        <w:ind w:firstLine="720"/>
        <w:jc w:val="both"/>
      </w:pPr>
      <w:r w:rsidRPr="004C2D3B">
        <w:lastRenderedPageBreak/>
        <w:t xml:space="preserve">Коефицијент за обрачун и исплату плате одређује се тиме што се сваки судија разврстава у једну од </w:t>
      </w:r>
      <w:r w:rsidRPr="004C2D3B">
        <w:rPr>
          <w:strike/>
        </w:rPr>
        <w:t>пет</w:t>
      </w:r>
      <w:r w:rsidRPr="004C2D3B">
        <w:t xml:space="preserve"> </w:t>
      </w:r>
      <w:r>
        <w:t xml:space="preserve">ШЕСТ </w:t>
      </w:r>
      <w:r w:rsidRPr="004C2D3B">
        <w:t>платних група.</w:t>
      </w:r>
    </w:p>
    <w:p w:rsidR="004C2D3B" w:rsidRPr="004C2D3B" w:rsidRDefault="004C2D3B" w:rsidP="004C2D3B">
      <w:pPr>
        <w:spacing w:after="0" w:line="240" w:lineRule="auto"/>
        <w:ind w:firstLine="720"/>
        <w:jc w:val="both"/>
      </w:pPr>
      <w:r w:rsidRPr="004C2D3B">
        <w:t>Основна плата, према овом закону, јесте вредност у коју се не урачунава проценат за вредновање минулог рада.</w:t>
      </w:r>
    </w:p>
    <w:p w:rsidR="004C2D3B" w:rsidRDefault="004C2D3B" w:rsidP="004C2D3B">
      <w:pPr>
        <w:spacing w:after="0" w:line="240" w:lineRule="auto"/>
        <w:ind w:firstLine="720"/>
        <w:jc w:val="both"/>
      </w:pPr>
      <w:r w:rsidRPr="004C2D3B">
        <w:t>Судија не може да уз плату прима и пензију остварену у складу са посебним прописима.</w:t>
      </w:r>
    </w:p>
    <w:p w:rsidR="004C2D3B" w:rsidRDefault="004C2D3B" w:rsidP="004C2D3B">
      <w:pPr>
        <w:spacing w:after="0" w:line="240" w:lineRule="auto"/>
        <w:ind w:firstLine="720"/>
        <w:jc w:val="both"/>
      </w:pPr>
    </w:p>
    <w:p w:rsidR="004C2D3B" w:rsidRPr="004C2D3B" w:rsidRDefault="004C2D3B" w:rsidP="004C2D3B">
      <w:pPr>
        <w:spacing w:after="0" w:line="240" w:lineRule="auto"/>
        <w:jc w:val="center"/>
        <w:rPr>
          <w:i/>
          <w:strike/>
        </w:rPr>
      </w:pPr>
      <w:r w:rsidRPr="004C2D3B">
        <w:rPr>
          <w:i/>
          <w:strike/>
        </w:rPr>
        <w:t>Посебно о нестручном вршењу функције</w:t>
      </w:r>
    </w:p>
    <w:p w:rsidR="004C2D3B" w:rsidRPr="004C2D3B" w:rsidRDefault="004C2D3B" w:rsidP="004C2D3B">
      <w:pPr>
        <w:spacing w:after="0" w:line="240" w:lineRule="auto"/>
        <w:jc w:val="center"/>
        <w:rPr>
          <w:i/>
          <w:strike/>
        </w:rPr>
      </w:pPr>
    </w:p>
    <w:p w:rsidR="004C2D3B" w:rsidRPr="004C2D3B" w:rsidRDefault="004C2D3B" w:rsidP="004C2D3B">
      <w:pPr>
        <w:spacing w:after="0" w:line="240" w:lineRule="auto"/>
        <w:jc w:val="center"/>
        <w:rPr>
          <w:strike/>
        </w:rPr>
      </w:pPr>
      <w:r w:rsidRPr="004C2D3B">
        <w:rPr>
          <w:strike/>
        </w:rPr>
        <w:t>Члан 63.</w:t>
      </w:r>
    </w:p>
    <w:p w:rsidR="004C2D3B" w:rsidRPr="004C2D3B" w:rsidRDefault="004C2D3B" w:rsidP="004C2D3B">
      <w:pPr>
        <w:spacing w:after="0" w:line="240" w:lineRule="auto"/>
        <w:ind w:firstLine="720"/>
        <w:jc w:val="both"/>
        <w:rPr>
          <w:strike/>
        </w:rPr>
      </w:pPr>
      <w:r w:rsidRPr="004C2D3B">
        <w:rPr>
          <w:strike/>
        </w:rPr>
        <w:t>Нестручним се сматра недовољно успешно вршење судијске функције, ако судија добије оцену „не задовољава”, сходно критеријумима и мерилима за вредновање рада судија.</w:t>
      </w:r>
    </w:p>
    <w:p w:rsidR="004C2D3B" w:rsidRPr="004C2D3B" w:rsidRDefault="004C2D3B" w:rsidP="004C2D3B">
      <w:pPr>
        <w:spacing w:after="0" w:line="240" w:lineRule="auto"/>
        <w:ind w:firstLine="720"/>
        <w:jc w:val="both"/>
      </w:pPr>
    </w:p>
    <w:p w:rsidR="004C2D3B" w:rsidRPr="00AC5119" w:rsidRDefault="004C2D3B" w:rsidP="00AC5119">
      <w:pPr>
        <w:spacing w:after="0" w:line="240" w:lineRule="auto"/>
        <w:ind w:firstLine="720"/>
        <w:jc w:val="both"/>
      </w:pPr>
    </w:p>
    <w:p w:rsidR="00CF2A3D" w:rsidRDefault="00CF2A3D" w:rsidP="00217072">
      <w:pPr>
        <w:spacing w:after="0" w:line="240" w:lineRule="auto"/>
        <w:jc w:val="both"/>
      </w:pPr>
    </w:p>
    <w:p w:rsidR="00CF2A3D" w:rsidRDefault="00CF2A3D" w:rsidP="00217072">
      <w:pPr>
        <w:spacing w:after="0" w:line="240" w:lineRule="auto"/>
        <w:jc w:val="both"/>
      </w:pPr>
    </w:p>
    <w:p w:rsidR="00CF2A3D" w:rsidRDefault="00CF2A3D" w:rsidP="00217072">
      <w:pPr>
        <w:spacing w:after="0" w:line="240" w:lineRule="auto"/>
        <w:jc w:val="both"/>
      </w:pPr>
    </w:p>
    <w:p w:rsidR="00CF2A3D" w:rsidRDefault="00CF2A3D" w:rsidP="00217072">
      <w:pPr>
        <w:spacing w:after="0" w:line="240" w:lineRule="auto"/>
        <w:jc w:val="both"/>
      </w:pPr>
    </w:p>
    <w:p w:rsidR="00CF2A3D" w:rsidRDefault="00CF2A3D" w:rsidP="00217072">
      <w:pPr>
        <w:spacing w:after="0" w:line="240" w:lineRule="auto"/>
        <w:jc w:val="both"/>
      </w:pPr>
    </w:p>
    <w:p w:rsidR="00CF2A3D" w:rsidRPr="00F572EF" w:rsidRDefault="00CF2A3D" w:rsidP="00217072">
      <w:pPr>
        <w:spacing w:after="0" w:line="240" w:lineRule="auto"/>
        <w:jc w:val="both"/>
      </w:pPr>
    </w:p>
    <w:p w:rsidR="00CF2A3D" w:rsidRDefault="00CF2A3D" w:rsidP="00217072">
      <w:pPr>
        <w:spacing w:after="0" w:line="240" w:lineRule="auto"/>
        <w:jc w:val="both"/>
      </w:pPr>
    </w:p>
    <w:p w:rsidR="00CF2A3D" w:rsidRPr="00CF2A3D" w:rsidRDefault="00CF2A3D" w:rsidP="00217072">
      <w:pPr>
        <w:spacing w:after="0" w:line="240" w:lineRule="auto"/>
        <w:jc w:val="both"/>
        <w:rPr>
          <w:b/>
        </w:rPr>
      </w:pPr>
    </w:p>
    <w:sectPr w:rsidR="00CF2A3D" w:rsidRPr="00CF2A3D" w:rsidSect="00AD4332">
      <w:pgSz w:w="11907" w:h="16840" w:code="9"/>
      <w:pgMar w:top="630" w:right="1440" w:bottom="5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C3E" w:rsidRDefault="00064C3E" w:rsidP="00F572EF">
      <w:pPr>
        <w:spacing w:after="0" w:line="240" w:lineRule="auto"/>
      </w:pPr>
      <w:r>
        <w:separator/>
      </w:r>
    </w:p>
  </w:endnote>
  <w:endnote w:type="continuationSeparator" w:id="0">
    <w:p w:rsidR="00064C3E" w:rsidRDefault="00064C3E" w:rsidP="00F57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332" w:rsidRDefault="00AD43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332" w:rsidRDefault="00AD43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332" w:rsidRDefault="00AD4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C3E" w:rsidRDefault="00064C3E" w:rsidP="00F572EF">
      <w:pPr>
        <w:spacing w:after="0" w:line="240" w:lineRule="auto"/>
      </w:pPr>
      <w:r>
        <w:separator/>
      </w:r>
    </w:p>
  </w:footnote>
  <w:footnote w:type="continuationSeparator" w:id="0">
    <w:p w:rsidR="00064C3E" w:rsidRDefault="00064C3E" w:rsidP="00F572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332" w:rsidRDefault="00AD4332" w:rsidP="00D17F4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AD4332" w:rsidRDefault="00AD43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332" w:rsidRDefault="00AD4332" w:rsidP="00D17F4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790766">
      <w:rPr>
        <w:rStyle w:val="PageNumber"/>
        <w:noProof/>
      </w:rPr>
      <w:t>2</w:t>
    </w:r>
    <w:r>
      <w:rPr>
        <w:rStyle w:val="PageNumber"/>
      </w:rPr>
      <w:fldChar w:fldCharType="end"/>
    </w:r>
  </w:p>
  <w:p w:rsidR="00F572EF" w:rsidRDefault="00F572EF">
    <w:pPr>
      <w:pStyle w:val="Header"/>
      <w:jc w:val="center"/>
    </w:pPr>
  </w:p>
  <w:p w:rsidR="00F572EF" w:rsidRDefault="00F572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332" w:rsidRDefault="00AD433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141"/>
    <w:rsid w:val="0000198F"/>
    <w:rsid w:val="0006146B"/>
    <w:rsid w:val="00064C3E"/>
    <w:rsid w:val="000F110F"/>
    <w:rsid w:val="00217072"/>
    <w:rsid w:val="00282761"/>
    <w:rsid w:val="002B6D26"/>
    <w:rsid w:val="002D5E36"/>
    <w:rsid w:val="002F211A"/>
    <w:rsid w:val="00354324"/>
    <w:rsid w:val="003741ED"/>
    <w:rsid w:val="003A3826"/>
    <w:rsid w:val="004142C3"/>
    <w:rsid w:val="004B7957"/>
    <w:rsid w:val="004C2D3B"/>
    <w:rsid w:val="004E44A2"/>
    <w:rsid w:val="005A2141"/>
    <w:rsid w:val="005E7761"/>
    <w:rsid w:val="006924A1"/>
    <w:rsid w:val="006B0A34"/>
    <w:rsid w:val="007259EE"/>
    <w:rsid w:val="00790766"/>
    <w:rsid w:val="007F7618"/>
    <w:rsid w:val="00834BCE"/>
    <w:rsid w:val="0087426B"/>
    <w:rsid w:val="008D4245"/>
    <w:rsid w:val="00935D47"/>
    <w:rsid w:val="009614E3"/>
    <w:rsid w:val="0096346A"/>
    <w:rsid w:val="00970055"/>
    <w:rsid w:val="00A37B9D"/>
    <w:rsid w:val="00AC5119"/>
    <w:rsid w:val="00AD4332"/>
    <w:rsid w:val="00B401D0"/>
    <w:rsid w:val="00BD7526"/>
    <w:rsid w:val="00C178D2"/>
    <w:rsid w:val="00C31AD9"/>
    <w:rsid w:val="00CB3215"/>
    <w:rsid w:val="00CF2A3D"/>
    <w:rsid w:val="00D2416C"/>
    <w:rsid w:val="00D649D3"/>
    <w:rsid w:val="00D823B8"/>
    <w:rsid w:val="00D94DA8"/>
    <w:rsid w:val="00E218AD"/>
    <w:rsid w:val="00E6735D"/>
    <w:rsid w:val="00F150AB"/>
    <w:rsid w:val="00F5598B"/>
    <w:rsid w:val="00F572EF"/>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4A9703-2C2E-4EF8-8AC8-B7800B1A2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7761"/>
    <w:rPr>
      <w:color w:val="808080"/>
    </w:rPr>
  </w:style>
  <w:style w:type="paragraph" w:customStyle="1" w:styleId="clan">
    <w:name w:val="clan"/>
    <w:basedOn w:val="Normal"/>
    <w:rsid w:val="00AC5119"/>
    <w:pPr>
      <w:spacing w:before="100" w:beforeAutospacing="1" w:after="100" w:afterAutospacing="1" w:line="240" w:lineRule="auto"/>
    </w:pPr>
    <w:rPr>
      <w:rFonts w:eastAsia="Times New Roman" w:cs="Times New Roman"/>
      <w:szCs w:val="24"/>
      <w:lang w:val="sr-Cyrl-BA" w:eastAsia="sr-Cyrl-BA"/>
    </w:rPr>
  </w:style>
  <w:style w:type="character" w:styleId="Emphasis">
    <w:name w:val="Emphasis"/>
    <w:basedOn w:val="DefaultParagraphFont"/>
    <w:uiPriority w:val="20"/>
    <w:qFormat/>
    <w:rsid w:val="00AC5119"/>
    <w:rPr>
      <w:i/>
      <w:iCs/>
    </w:rPr>
  </w:style>
  <w:style w:type="paragraph" w:styleId="NormalWeb">
    <w:name w:val="Normal (Web)"/>
    <w:basedOn w:val="Normal"/>
    <w:uiPriority w:val="99"/>
    <w:semiHidden/>
    <w:unhideWhenUsed/>
    <w:rsid w:val="00AC5119"/>
    <w:pPr>
      <w:spacing w:before="100" w:beforeAutospacing="1" w:after="100" w:afterAutospacing="1" w:line="240" w:lineRule="auto"/>
    </w:pPr>
    <w:rPr>
      <w:rFonts w:eastAsia="Times New Roman" w:cs="Times New Roman"/>
      <w:szCs w:val="24"/>
      <w:lang w:val="sr-Cyrl-BA" w:eastAsia="sr-Cyrl-BA"/>
    </w:rPr>
  </w:style>
  <w:style w:type="paragraph" w:customStyle="1" w:styleId="naslov">
    <w:name w:val="naslov"/>
    <w:basedOn w:val="Normal"/>
    <w:rsid w:val="004C2D3B"/>
    <w:pPr>
      <w:spacing w:before="100" w:beforeAutospacing="1" w:after="100" w:afterAutospacing="1" w:line="240" w:lineRule="auto"/>
    </w:pPr>
    <w:rPr>
      <w:rFonts w:eastAsia="Times New Roman" w:cs="Times New Roman"/>
      <w:szCs w:val="24"/>
      <w:lang w:val="sr-Cyrl-BA" w:eastAsia="sr-Cyrl-BA"/>
    </w:rPr>
  </w:style>
  <w:style w:type="paragraph" w:customStyle="1" w:styleId="v2-clan-left-1">
    <w:name w:val="v2-clan-left-1"/>
    <w:basedOn w:val="Normal"/>
    <w:rsid w:val="004C2D3B"/>
    <w:pPr>
      <w:spacing w:before="100" w:beforeAutospacing="1" w:after="100" w:afterAutospacing="1" w:line="240" w:lineRule="auto"/>
    </w:pPr>
    <w:rPr>
      <w:rFonts w:eastAsia="Times New Roman" w:cs="Times New Roman"/>
      <w:szCs w:val="24"/>
      <w:lang w:val="sr-Cyrl-BA" w:eastAsia="sr-Cyrl-BA"/>
    </w:rPr>
  </w:style>
  <w:style w:type="paragraph" w:styleId="ListParagraph">
    <w:name w:val="List Paragraph"/>
    <w:basedOn w:val="Normal"/>
    <w:uiPriority w:val="34"/>
    <w:qFormat/>
    <w:rsid w:val="00F150AB"/>
    <w:pPr>
      <w:ind w:left="720"/>
      <w:contextualSpacing/>
    </w:pPr>
  </w:style>
  <w:style w:type="paragraph" w:styleId="Header">
    <w:name w:val="header"/>
    <w:basedOn w:val="Normal"/>
    <w:link w:val="HeaderChar"/>
    <w:uiPriority w:val="99"/>
    <w:unhideWhenUsed/>
    <w:rsid w:val="00F572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72EF"/>
  </w:style>
  <w:style w:type="paragraph" w:styleId="Footer">
    <w:name w:val="footer"/>
    <w:basedOn w:val="Normal"/>
    <w:link w:val="FooterChar"/>
    <w:uiPriority w:val="99"/>
    <w:unhideWhenUsed/>
    <w:rsid w:val="00F572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72EF"/>
  </w:style>
  <w:style w:type="character" w:customStyle="1" w:styleId="v2-clan-left-3">
    <w:name w:val="v2-clan-left-3"/>
    <w:basedOn w:val="DefaultParagraphFont"/>
    <w:rsid w:val="00D2416C"/>
  </w:style>
  <w:style w:type="paragraph" w:customStyle="1" w:styleId="v2-clan-left-2">
    <w:name w:val="v2-clan-left-2"/>
    <w:basedOn w:val="Normal"/>
    <w:rsid w:val="00D2416C"/>
    <w:pPr>
      <w:spacing w:before="100" w:beforeAutospacing="1" w:after="100" w:afterAutospacing="1" w:line="240" w:lineRule="auto"/>
    </w:pPr>
    <w:rPr>
      <w:rFonts w:eastAsia="Times New Roman" w:cs="Times New Roman"/>
      <w:szCs w:val="24"/>
      <w:lang w:val="sr-Cyrl-BA" w:eastAsia="sr-Cyrl-BA"/>
    </w:rPr>
  </w:style>
  <w:style w:type="paragraph" w:customStyle="1" w:styleId="v2-clan-left-31">
    <w:name w:val="v2-clan-left-31"/>
    <w:basedOn w:val="Normal"/>
    <w:rsid w:val="00D2416C"/>
    <w:pPr>
      <w:spacing w:before="100" w:beforeAutospacing="1" w:after="100" w:afterAutospacing="1" w:line="240" w:lineRule="auto"/>
    </w:pPr>
    <w:rPr>
      <w:rFonts w:eastAsia="Times New Roman" w:cs="Times New Roman"/>
      <w:szCs w:val="24"/>
      <w:lang w:val="sr-Cyrl-BA" w:eastAsia="sr-Cyrl-BA"/>
    </w:rPr>
  </w:style>
  <w:style w:type="character" w:styleId="PageNumber">
    <w:name w:val="page number"/>
    <w:basedOn w:val="DefaultParagraphFont"/>
    <w:uiPriority w:val="99"/>
    <w:semiHidden/>
    <w:unhideWhenUsed/>
    <w:rsid w:val="00AD4332"/>
  </w:style>
  <w:style w:type="paragraph" w:styleId="BalloonText">
    <w:name w:val="Balloon Text"/>
    <w:basedOn w:val="Normal"/>
    <w:link w:val="BalloonTextChar"/>
    <w:uiPriority w:val="99"/>
    <w:semiHidden/>
    <w:unhideWhenUsed/>
    <w:rsid w:val="00AD43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433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5102">
      <w:bodyDiv w:val="1"/>
      <w:marLeft w:val="0"/>
      <w:marRight w:val="0"/>
      <w:marTop w:val="0"/>
      <w:marBottom w:val="0"/>
      <w:divBdr>
        <w:top w:val="none" w:sz="0" w:space="0" w:color="auto"/>
        <w:left w:val="none" w:sz="0" w:space="0" w:color="auto"/>
        <w:bottom w:val="none" w:sz="0" w:space="0" w:color="auto"/>
        <w:right w:val="none" w:sz="0" w:space="0" w:color="auto"/>
      </w:divBdr>
    </w:div>
    <w:div w:id="474764196">
      <w:bodyDiv w:val="1"/>
      <w:marLeft w:val="0"/>
      <w:marRight w:val="0"/>
      <w:marTop w:val="0"/>
      <w:marBottom w:val="0"/>
      <w:divBdr>
        <w:top w:val="none" w:sz="0" w:space="0" w:color="auto"/>
        <w:left w:val="none" w:sz="0" w:space="0" w:color="auto"/>
        <w:bottom w:val="none" w:sz="0" w:space="0" w:color="auto"/>
        <w:right w:val="none" w:sz="0" w:space="0" w:color="auto"/>
      </w:divBdr>
    </w:div>
    <w:div w:id="711923047">
      <w:bodyDiv w:val="1"/>
      <w:marLeft w:val="0"/>
      <w:marRight w:val="0"/>
      <w:marTop w:val="0"/>
      <w:marBottom w:val="0"/>
      <w:divBdr>
        <w:top w:val="none" w:sz="0" w:space="0" w:color="auto"/>
        <w:left w:val="none" w:sz="0" w:space="0" w:color="auto"/>
        <w:bottom w:val="none" w:sz="0" w:space="0" w:color="auto"/>
        <w:right w:val="none" w:sz="0" w:space="0" w:color="auto"/>
      </w:divBdr>
    </w:div>
    <w:div w:id="1341617702">
      <w:bodyDiv w:val="1"/>
      <w:marLeft w:val="0"/>
      <w:marRight w:val="0"/>
      <w:marTop w:val="0"/>
      <w:marBottom w:val="0"/>
      <w:divBdr>
        <w:top w:val="none" w:sz="0" w:space="0" w:color="auto"/>
        <w:left w:val="none" w:sz="0" w:space="0" w:color="auto"/>
        <w:bottom w:val="none" w:sz="0" w:space="0" w:color="auto"/>
        <w:right w:val="none" w:sz="0" w:space="0" w:color="auto"/>
      </w:divBdr>
    </w:div>
    <w:div w:id="1524712653">
      <w:bodyDiv w:val="1"/>
      <w:marLeft w:val="0"/>
      <w:marRight w:val="0"/>
      <w:marTop w:val="0"/>
      <w:marBottom w:val="0"/>
      <w:divBdr>
        <w:top w:val="none" w:sz="0" w:space="0" w:color="auto"/>
        <w:left w:val="none" w:sz="0" w:space="0" w:color="auto"/>
        <w:bottom w:val="none" w:sz="0" w:space="0" w:color="auto"/>
        <w:right w:val="none" w:sz="0" w:space="0" w:color="auto"/>
      </w:divBdr>
    </w:div>
    <w:div w:id="2083680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1135</Words>
  <Characters>6470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 Vinš</dc:creator>
  <cp:lastModifiedBy>Bojan Grgic</cp:lastModifiedBy>
  <cp:revision>2</cp:revision>
  <cp:lastPrinted>2021-07-01T08:59:00Z</cp:lastPrinted>
  <dcterms:created xsi:type="dcterms:W3CDTF">2021-07-06T12:28:00Z</dcterms:created>
  <dcterms:modified xsi:type="dcterms:W3CDTF">2021-07-06T12:28:00Z</dcterms:modified>
</cp:coreProperties>
</file>