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370D" w:rsidRPr="00B07EA0" w:rsidRDefault="00EE370D" w:rsidP="00EE370D">
      <w:pPr>
        <w:pStyle w:val="BodyText"/>
        <w:rPr>
          <w:rFonts w:cs="Times New Roman"/>
          <w:sz w:val="24"/>
          <w:szCs w:val="24"/>
          <w:lang w:val="sr-Cyrl-RS"/>
        </w:rPr>
      </w:pPr>
    </w:p>
    <w:p w:rsidR="00EE370D" w:rsidRPr="00B07EA0" w:rsidRDefault="00EE370D" w:rsidP="00EE370D">
      <w:pPr>
        <w:spacing w:line="312" w:lineRule="exact"/>
        <w:jc w:val="center"/>
        <w:outlineLvl w:val="0"/>
        <w:rPr>
          <w:sz w:val="24"/>
          <w:szCs w:val="24"/>
          <w:lang w:eastAsia="de-DE"/>
        </w:rPr>
      </w:pPr>
      <w:r w:rsidRPr="00B07EA0">
        <w:rPr>
          <w:sz w:val="24"/>
          <w:szCs w:val="24"/>
          <w:lang w:eastAsia="de-DE"/>
        </w:rPr>
        <w:t>О Б Р А З Л О Ж Е Њ Е</w:t>
      </w:r>
    </w:p>
    <w:p w:rsidR="00EE370D" w:rsidRPr="00B07EA0" w:rsidRDefault="00EE370D" w:rsidP="00EE370D">
      <w:pPr>
        <w:spacing w:line="312" w:lineRule="exact"/>
        <w:ind w:firstLine="720"/>
        <w:jc w:val="center"/>
        <w:rPr>
          <w:sz w:val="24"/>
          <w:szCs w:val="24"/>
          <w:lang w:eastAsia="de-DE"/>
        </w:rPr>
      </w:pPr>
    </w:p>
    <w:p w:rsidR="00EE370D" w:rsidRPr="00B07EA0" w:rsidRDefault="00EE370D" w:rsidP="00EE370D">
      <w:pPr>
        <w:spacing w:line="312" w:lineRule="exact"/>
        <w:jc w:val="left"/>
        <w:rPr>
          <w:bCs/>
          <w:sz w:val="24"/>
          <w:szCs w:val="24"/>
          <w:lang w:eastAsia="de-DE"/>
        </w:rPr>
      </w:pPr>
      <w:r w:rsidRPr="00B07EA0">
        <w:rPr>
          <w:bCs/>
          <w:sz w:val="24"/>
          <w:szCs w:val="24"/>
          <w:lang w:eastAsia="de-DE"/>
        </w:rPr>
        <w:t xml:space="preserve">I. </w:t>
      </w:r>
      <w:r w:rsidRPr="00B07EA0">
        <w:rPr>
          <w:bCs/>
          <w:sz w:val="24"/>
          <w:szCs w:val="24"/>
          <w:lang w:eastAsia="de-DE"/>
        </w:rPr>
        <w:tab/>
        <w:t>УСТАВНИ ОСНОВ ЗА ДОНОШЕЊЕ ЗАКОНА</w:t>
      </w:r>
    </w:p>
    <w:p w:rsidR="00EE370D" w:rsidRPr="00B07EA0" w:rsidRDefault="00EE370D" w:rsidP="00EE370D">
      <w:pPr>
        <w:spacing w:line="312" w:lineRule="exact"/>
        <w:jc w:val="left"/>
        <w:rPr>
          <w:bCs/>
          <w:sz w:val="24"/>
          <w:szCs w:val="24"/>
          <w:lang w:eastAsia="de-DE"/>
        </w:rPr>
      </w:pPr>
    </w:p>
    <w:p w:rsidR="00EE370D" w:rsidRPr="00B07EA0" w:rsidRDefault="00EE370D" w:rsidP="00EE370D">
      <w:pPr>
        <w:rPr>
          <w:sz w:val="24"/>
          <w:szCs w:val="24"/>
          <w:lang w:eastAsia="de-DE"/>
        </w:rPr>
      </w:pPr>
      <w:r w:rsidRPr="00B07EA0">
        <w:rPr>
          <w:sz w:val="24"/>
          <w:szCs w:val="24"/>
          <w:lang w:eastAsia="de-DE"/>
        </w:rPr>
        <w:t xml:space="preserve"> </w:t>
      </w:r>
      <w:r w:rsidRPr="00B07EA0">
        <w:rPr>
          <w:sz w:val="24"/>
          <w:szCs w:val="24"/>
          <w:lang w:eastAsia="de-DE"/>
        </w:rPr>
        <w:tab/>
        <w:t>Уставни основ за доношење овог закона садржан је у члану 99. став 1. тачка 4. Устава Републике Србије према коме Народна скупштина потврђује међународне уговоре када је законом предвиђена обавеза њиховог потврђивања.</w:t>
      </w:r>
    </w:p>
    <w:p w:rsidR="00EE370D" w:rsidRPr="00B07EA0" w:rsidRDefault="00EE370D" w:rsidP="00EE370D">
      <w:pPr>
        <w:spacing w:line="312" w:lineRule="exact"/>
        <w:rPr>
          <w:sz w:val="24"/>
          <w:szCs w:val="24"/>
          <w:highlight w:val="yellow"/>
          <w:lang w:eastAsia="de-DE"/>
        </w:rPr>
      </w:pPr>
      <w:r w:rsidRPr="00B07EA0">
        <w:rPr>
          <w:sz w:val="24"/>
          <w:szCs w:val="24"/>
          <w:highlight w:val="yellow"/>
          <w:lang w:eastAsia="de-DE"/>
        </w:rPr>
        <w:t xml:space="preserve"> </w:t>
      </w:r>
    </w:p>
    <w:p w:rsidR="00EE370D" w:rsidRPr="00B07EA0" w:rsidRDefault="00EE370D" w:rsidP="00EE370D">
      <w:pPr>
        <w:pStyle w:val="Num3"/>
        <w:numPr>
          <w:ilvl w:val="0"/>
          <w:numId w:val="0"/>
        </w:numPr>
        <w:rPr>
          <w:lang w:val="sr-Cyrl-RS" w:eastAsia="de-DE"/>
        </w:rPr>
      </w:pPr>
      <w:r w:rsidRPr="00B07EA0">
        <w:rPr>
          <w:bCs/>
          <w:sz w:val="24"/>
          <w:szCs w:val="24"/>
          <w:lang w:val="sr-Cyrl-RS" w:eastAsia="de-DE"/>
        </w:rPr>
        <w:t>I I.</w:t>
      </w:r>
      <w:r w:rsidRPr="00B07EA0">
        <w:rPr>
          <w:bCs/>
          <w:sz w:val="24"/>
          <w:szCs w:val="24"/>
          <w:lang w:val="sr-Cyrl-RS" w:eastAsia="de-DE"/>
        </w:rPr>
        <w:tab/>
      </w:r>
      <w:r w:rsidRPr="00B07EA0">
        <w:rPr>
          <w:lang w:val="sr-Cyrl-RS"/>
        </w:rPr>
        <w:t xml:space="preserve"> РАЗЛОЗИ ЗА ПОТВРЂИВАЊЕ</w:t>
      </w:r>
      <w:r w:rsidRPr="00B07EA0">
        <w:rPr>
          <w:lang w:val="sr-Cyrl-RS" w:eastAsia="de-DE"/>
        </w:rPr>
        <w:t xml:space="preserve"> СПОРАЗУМА</w:t>
      </w:r>
    </w:p>
    <w:p w:rsidR="00EE370D" w:rsidRPr="00B07EA0" w:rsidRDefault="00EE370D" w:rsidP="00EE370D">
      <w:pPr>
        <w:ind w:firstLine="720"/>
        <w:rPr>
          <w:bCs/>
          <w:sz w:val="24"/>
          <w:szCs w:val="24"/>
          <w:lang w:eastAsia="en-US"/>
        </w:rPr>
      </w:pPr>
      <w:r w:rsidRPr="00B07EA0">
        <w:rPr>
          <w:bCs/>
          <w:sz w:val="24"/>
          <w:szCs w:val="24"/>
          <w:lang w:eastAsia="en-US"/>
        </w:rPr>
        <w:t xml:space="preserve">Република Србија је усмерена на унапређење законских реформи за решавање питања у погледу транспарентности у јавном сектору и настојaња да се повећа отпорност на будуће шокове и ризике повезане са климатским променама, као и да се реши питање загађења ваздуха. </w:t>
      </w:r>
    </w:p>
    <w:p w:rsidR="00EE370D" w:rsidRPr="00B07EA0" w:rsidRDefault="00EE370D" w:rsidP="00EE370D">
      <w:pPr>
        <w:ind w:firstLine="720"/>
        <w:rPr>
          <w:bCs/>
          <w:color w:val="000000"/>
          <w:sz w:val="24"/>
          <w:szCs w:val="24"/>
          <w:lang w:eastAsia="en-US"/>
        </w:rPr>
      </w:pPr>
      <w:r w:rsidRPr="00B07EA0">
        <w:rPr>
          <w:bCs/>
          <w:color w:val="000000"/>
          <w:sz w:val="24"/>
          <w:szCs w:val="24"/>
          <w:lang w:eastAsia="en-US"/>
        </w:rPr>
        <w:t>Светска банка има на располагању различите модалитете финансијске подршке структурним реформама и економском развоју земље зајмопримца, између осталог, и у виду зајмова за развојну политику (Development Policy Lending – ДПЛ). На тај начин се зајмопримцу обезбеђује непосредна буџетска подршка за спровођење реформи усмерених на остваривање скупа конкретних развојних резултата, што је у овом случају понуђено Републици Србији за финансирање напред наведеног програма две кључне области политике: унапређење ефикасности и транспарентности јавног сектора и покретање зеленог опоравка.</w:t>
      </w:r>
    </w:p>
    <w:p w:rsidR="00EE370D" w:rsidRPr="00B07EA0" w:rsidRDefault="00EE370D" w:rsidP="00EE370D">
      <w:pPr>
        <w:ind w:firstLine="720"/>
        <w:rPr>
          <w:bCs/>
          <w:color w:val="000000"/>
          <w:sz w:val="24"/>
          <w:szCs w:val="24"/>
          <w:lang w:eastAsia="en-US"/>
        </w:rPr>
      </w:pPr>
      <w:r w:rsidRPr="00B07EA0">
        <w:rPr>
          <w:bCs/>
          <w:color w:val="000000"/>
          <w:sz w:val="24"/>
          <w:szCs w:val="24"/>
          <w:lang w:eastAsia="en-US"/>
        </w:rPr>
        <w:t xml:space="preserve">Законом о буџету Републике Србије за 2021. годину </w:t>
      </w:r>
      <w:r w:rsidRPr="00B07EA0">
        <w:rPr>
          <w:bCs/>
          <w:sz w:val="24"/>
          <w:szCs w:val="24"/>
          <w:lang w:eastAsia="en-US"/>
        </w:rPr>
        <w:t xml:space="preserve">(„Службени гласник РС”, бр. 149/20 и 40/21) </w:t>
      </w:r>
      <w:r w:rsidRPr="00B07EA0">
        <w:rPr>
          <w:bCs/>
          <w:color w:val="000000"/>
          <w:sz w:val="24"/>
          <w:szCs w:val="24"/>
          <w:lang w:eastAsia="en-US"/>
        </w:rPr>
        <w:t xml:space="preserve"> у члану 3.Б предвиђено је задуживање код Међународне банке за обнову и развој до износа од 100.000.000 УСД за ДПЛ зајам за ефикасност јавног сектора и зелени опоравак, а које се односи на Програмски зајам за развојне политике за ефикасност јавног сектора и зелени опоравак (у даљем тексту: Програм).</w:t>
      </w:r>
    </w:p>
    <w:p w:rsidR="00EE370D" w:rsidRPr="00B07EA0" w:rsidRDefault="00EE370D" w:rsidP="00EE370D">
      <w:pPr>
        <w:ind w:firstLine="720"/>
        <w:rPr>
          <w:sz w:val="24"/>
          <w:szCs w:val="24"/>
          <w:lang w:eastAsia="en-US"/>
        </w:rPr>
      </w:pPr>
      <w:r w:rsidRPr="00B07EA0">
        <w:rPr>
          <w:sz w:val="24"/>
          <w:szCs w:val="24"/>
          <w:lang w:eastAsia="en-US"/>
        </w:rPr>
        <w:t xml:space="preserve">Овај зајам ће се спроводити кроз активности које су подељене у два Стуба: </w:t>
      </w:r>
    </w:p>
    <w:p w:rsidR="00EE370D" w:rsidRPr="00B07EA0" w:rsidRDefault="00EE370D" w:rsidP="00EE370D">
      <w:pPr>
        <w:ind w:firstLine="720"/>
        <w:rPr>
          <w:sz w:val="24"/>
          <w:szCs w:val="24"/>
          <w:lang w:eastAsia="en-US"/>
        </w:rPr>
      </w:pPr>
      <w:r w:rsidRPr="00B07EA0">
        <w:rPr>
          <w:sz w:val="24"/>
          <w:szCs w:val="24"/>
          <w:lang w:eastAsia="en-US"/>
        </w:rPr>
        <w:t xml:space="preserve">Стуб 1: Унапређење ефикасности и транспарентности јавног сектора; </w:t>
      </w:r>
    </w:p>
    <w:p w:rsidR="00EE370D" w:rsidRPr="00B07EA0" w:rsidRDefault="00EE370D" w:rsidP="00EE370D">
      <w:pPr>
        <w:ind w:firstLine="720"/>
        <w:rPr>
          <w:sz w:val="24"/>
          <w:szCs w:val="24"/>
          <w:lang w:eastAsia="en-US"/>
        </w:rPr>
      </w:pPr>
      <w:r w:rsidRPr="00B07EA0">
        <w:rPr>
          <w:sz w:val="24"/>
          <w:szCs w:val="24"/>
          <w:lang w:eastAsia="en-US"/>
        </w:rPr>
        <w:t xml:space="preserve">Стуб 2: Покретање зеленог опоравка.  </w:t>
      </w:r>
    </w:p>
    <w:p w:rsidR="00EE370D" w:rsidRPr="00B07EA0" w:rsidRDefault="00EE370D" w:rsidP="00EE370D">
      <w:pPr>
        <w:ind w:firstLine="720"/>
        <w:rPr>
          <w:sz w:val="24"/>
          <w:szCs w:val="24"/>
          <w:lang w:eastAsia="en-US"/>
        </w:rPr>
      </w:pPr>
      <w:r w:rsidRPr="00B07EA0">
        <w:rPr>
          <w:sz w:val="24"/>
          <w:szCs w:val="24"/>
          <w:lang w:eastAsia="en-US"/>
        </w:rPr>
        <w:t>Активности које ће се спроводити у оквиру Стуба 1 овог програма састоје се од пет претходних акција, а које се односе на модернизацију јавних набавки, одређивање приоритета и контролу запошљавања у јавном сектору, ефикасније управљање социјалном помоћи у виду формирања тзв. Регистра социјалних карата, контролу државне помоћи и транспарентније девизно пословање. Наведене акције ће помоћи Републици Србији да унапреди управљање јавним ресурсима и повећа ефикасност у функционисању јавног сектора, са циљем успостављања одрживости јавних финансија. Поред тога, ове акције (посебно у области контроле државне помоћи и међународних финансијских трансакција) ће промовисати економски раст вођен приватним сектором, у виду веће заступљености српских предузећа на међународном тржишту и побољшати контролу државне помоћи. Како би активности биле успешно спроведене, потребно је да је:</w:t>
      </w:r>
    </w:p>
    <w:p w:rsidR="00EE370D" w:rsidRPr="00B07EA0" w:rsidRDefault="00EE370D" w:rsidP="00EE370D">
      <w:pPr>
        <w:ind w:firstLine="720"/>
        <w:rPr>
          <w:sz w:val="24"/>
          <w:szCs w:val="24"/>
          <w:lang w:eastAsia="en-US"/>
        </w:rPr>
      </w:pPr>
      <w:r w:rsidRPr="00B07EA0">
        <w:rPr>
          <w:sz w:val="24"/>
          <w:szCs w:val="24"/>
          <w:lang w:eastAsia="en-US"/>
        </w:rPr>
        <w:t>1. Зајмопримац прописао успостављање и имплементацију портала за е-набавке ради подстицања транспарентности и ефикасности у јавним набавкама;</w:t>
      </w:r>
    </w:p>
    <w:p w:rsidR="00EE370D" w:rsidRPr="00B07EA0" w:rsidRDefault="00EE370D" w:rsidP="00EE370D">
      <w:pPr>
        <w:ind w:firstLine="720"/>
        <w:rPr>
          <w:sz w:val="24"/>
          <w:szCs w:val="24"/>
          <w:lang w:eastAsia="en-US"/>
        </w:rPr>
      </w:pPr>
      <w:r w:rsidRPr="00B07EA0">
        <w:rPr>
          <w:sz w:val="24"/>
          <w:szCs w:val="24"/>
          <w:lang w:eastAsia="en-US"/>
        </w:rPr>
        <w:lastRenderedPageBreak/>
        <w:t>2. Зајмопримац увео нови поступак за утврђивање приоритета и контролу запошљавања у јавном сектору;</w:t>
      </w:r>
    </w:p>
    <w:p w:rsidR="00EE370D" w:rsidRPr="00B07EA0" w:rsidRDefault="00EE370D" w:rsidP="00EE370D">
      <w:pPr>
        <w:ind w:firstLine="720"/>
        <w:rPr>
          <w:sz w:val="24"/>
          <w:szCs w:val="24"/>
          <w:lang w:eastAsia="en-US"/>
        </w:rPr>
      </w:pPr>
      <w:r w:rsidRPr="00B07EA0">
        <w:rPr>
          <w:sz w:val="24"/>
          <w:szCs w:val="24"/>
          <w:lang w:eastAsia="en-US"/>
        </w:rPr>
        <w:t xml:space="preserve">3. Зајмопримац прописао успостављање Регистра социјалне карте; </w:t>
      </w:r>
    </w:p>
    <w:p w:rsidR="00EE370D" w:rsidRPr="00B07EA0" w:rsidRDefault="00EE370D" w:rsidP="00EE370D">
      <w:pPr>
        <w:ind w:firstLine="720"/>
        <w:rPr>
          <w:sz w:val="24"/>
          <w:szCs w:val="24"/>
          <w:lang w:eastAsia="en-US"/>
        </w:rPr>
      </w:pPr>
      <w:r w:rsidRPr="00B07EA0">
        <w:rPr>
          <w:sz w:val="24"/>
          <w:szCs w:val="24"/>
          <w:lang w:eastAsia="en-US"/>
        </w:rPr>
        <w:t xml:space="preserve">4. Зајмопримац успоставио независност Комисије за контролу државне помоћи (у даљем тексту: Комисија) и обезбедио њен оперативан рад; </w:t>
      </w:r>
    </w:p>
    <w:p w:rsidR="00EE370D" w:rsidRPr="00B07EA0" w:rsidRDefault="00EE370D" w:rsidP="00EE370D">
      <w:pPr>
        <w:spacing w:after="120"/>
        <w:ind w:firstLine="720"/>
        <w:rPr>
          <w:sz w:val="24"/>
          <w:szCs w:val="24"/>
          <w:lang w:eastAsia="en-US"/>
        </w:rPr>
      </w:pPr>
      <w:r w:rsidRPr="00B07EA0">
        <w:rPr>
          <w:sz w:val="24"/>
          <w:szCs w:val="24"/>
          <w:lang w:eastAsia="en-US"/>
        </w:rPr>
        <w:t>5. Народна банка Србије (НБС) на свом интернет порталу објавила све подзаконске акте, одлуке, правилнике и преглед свих званичних мишљења у вези са спровођењем Закона о девизном пословању.</w:t>
      </w:r>
    </w:p>
    <w:p w:rsidR="00EE370D" w:rsidRPr="00B07EA0" w:rsidRDefault="00EE370D" w:rsidP="00EE370D">
      <w:pPr>
        <w:ind w:firstLine="720"/>
        <w:rPr>
          <w:sz w:val="24"/>
          <w:szCs w:val="24"/>
          <w:lang w:eastAsia="en-US"/>
        </w:rPr>
      </w:pPr>
      <w:r w:rsidRPr="00B07EA0">
        <w:rPr>
          <w:sz w:val="24"/>
          <w:szCs w:val="24"/>
          <w:lang w:eastAsia="en-US"/>
        </w:rPr>
        <w:t xml:space="preserve">Акције у оквиру Стуба 2 односе се на усвајање закона о климатским променама и на смањење загађења ваздуха, чијом ће се реализацијом покренути одрживи и зелени економски раст. Поменуте акције ће пружити правни основ за раст ниске емисије једињења угљеника и обезбедиће већу отпорност на климатске промене, кроз следеће претходне активности: </w:t>
      </w:r>
    </w:p>
    <w:p w:rsidR="00EE370D" w:rsidRPr="00B07EA0" w:rsidRDefault="00EE370D" w:rsidP="00EE370D">
      <w:pPr>
        <w:ind w:firstLine="720"/>
        <w:rPr>
          <w:sz w:val="24"/>
          <w:szCs w:val="24"/>
          <w:lang w:eastAsia="en-US"/>
        </w:rPr>
      </w:pPr>
      <w:r w:rsidRPr="00B07EA0">
        <w:rPr>
          <w:sz w:val="24"/>
          <w:szCs w:val="24"/>
          <w:lang w:eastAsia="en-US"/>
        </w:rPr>
        <w:t xml:space="preserve">6. Зајмопримац је прописао рок 1. јануар 2021. године за ступање на снагу прописа о ограничавању садржаја сумпора у уљима за ложење; </w:t>
      </w:r>
    </w:p>
    <w:p w:rsidR="00EE370D" w:rsidRPr="00B07EA0" w:rsidRDefault="00EE370D" w:rsidP="00EE370D">
      <w:pPr>
        <w:ind w:firstLine="720"/>
        <w:rPr>
          <w:sz w:val="24"/>
          <w:szCs w:val="24"/>
          <w:lang w:eastAsia="en-US"/>
        </w:rPr>
      </w:pPr>
      <w:r w:rsidRPr="00B07EA0">
        <w:rPr>
          <w:sz w:val="24"/>
          <w:szCs w:val="24"/>
          <w:lang w:eastAsia="en-US"/>
        </w:rPr>
        <w:t xml:space="preserve">7. Зајмопримац је усвојио Национални план за смањење емисије главних загађивача из старих великих постројења са сагоревањем;  </w:t>
      </w:r>
    </w:p>
    <w:p w:rsidR="00EE370D" w:rsidRPr="00B07EA0" w:rsidRDefault="00EE370D" w:rsidP="00EE370D">
      <w:pPr>
        <w:ind w:firstLine="720"/>
        <w:rPr>
          <w:sz w:val="24"/>
          <w:szCs w:val="24"/>
          <w:lang w:eastAsia="en-US"/>
        </w:rPr>
      </w:pPr>
      <w:r w:rsidRPr="00B07EA0">
        <w:rPr>
          <w:sz w:val="24"/>
          <w:szCs w:val="24"/>
          <w:lang w:eastAsia="en-US"/>
        </w:rPr>
        <w:t xml:space="preserve">8. Зајмопримац је донео Закон о климатским променама којим се прописује: 1) израда и усвајање Стратегије развоја са ниским емисијама једињења угљеника и њеног Акционог плана и Програма прилагођавања климатским променама; и 2) усклађивање секторских стратегија Зајмопримца са Стратегијом развоја са ниским емисијама једињења угљеника и Програмом прилагођавања климатским променама. </w:t>
      </w:r>
    </w:p>
    <w:p w:rsidR="00EE370D" w:rsidRPr="00B07EA0" w:rsidRDefault="00EE370D" w:rsidP="00EE370D">
      <w:pPr>
        <w:ind w:firstLine="720"/>
        <w:rPr>
          <w:bCs/>
          <w:color w:val="000000"/>
          <w:sz w:val="24"/>
          <w:szCs w:val="24"/>
          <w:lang w:eastAsia="en-US"/>
        </w:rPr>
      </w:pPr>
      <w:r w:rsidRPr="00B07EA0">
        <w:rPr>
          <w:bCs/>
          <w:color w:val="000000"/>
          <w:sz w:val="24"/>
          <w:szCs w:val="24"/>
          <w:lang w:eastAsia="en-US"/>
        </w:rPr>
        <w:t xml:space="preserve">Наведени Програм подржава спровођење стратешких циљева у контексту процеса приступања Србије ЕУ као и усклађивање са новим европским зеленим споразумом ЕУ и обезбеђује синергију са иницијативама различитих развојних партнера. Реформе јавног сектора, стварање одрживе економије засноване на тржишту и зелени опоравак су важна средства за убрзање интеграције у ЕУ и подршку успешном затварању недавног програма Инструмента за координацију политика ММФ-а. </w:t>
      </w:r>
    </w:p>
    <w:p w:rsidR="00EE370D" w:rsidRPr="00B07EA0" w:rsidRDefault="00EE370D" w:rsidP="00EE370D">
      <w:pPr>
        <w:ind w:firstLine="720"/>
        <w:rPr>
          <w:bCs/>
          <w:color w:val="000000"/>
          <w:sz w:val="24"/>
          <w:szCs w:val="24"/>
          <w:lang w:eastAsia="en-US"/>
        </w:rPr>
      </w:pPr>
      <w:r w:rsidRPr="00B07EA0">
        <w:rPr>
          <w:bCs/>
          <w:color w:val="000000"/>
          <w:sz w:val="24"/>
          <w:szCs w:val="24"/>
          <w:lang w:eastAsia="en-US"/>
        </w:rPr>
        <w:t xml:space="preserve">Такође, очекује се да ће </w:t>
      </w:r>
      <w:r w:rsidRPr="00B07EA0">
        <w:rPr>
          <w:sz w:val="24"/>
          <w:szCs w:val="24"/>
          <w:lang w:eastAsia="en-US"/>
        </w:rPr>
        <w:t xml:space="preserve">наведени Програм </w:t>
      </w:r>
      <w:r w:rsidRPr="00B07EA0">
        <w:rPr>
          <w:bCs/>
          <w:color w:val="000000"/>
          <w:sz w:val="24"/>
          <w:szCs w:val="24"/>
          <w:lang w:eastAsia="en-US"/>
        </w:rPr>
        <w:t>буџетске подршке</w:t>
      </w:r>
      <w:r w:rsidRPr="00B07EA0">
        <w:rPr>
          <w:sz w:val="24"/>
          <w:szCs w:val="24"/>
          <w:lang w:eastAsia="en-US"/>
        </w:rPr>
        <w:t xml:space="preserve"> бити један од низа </w:t>
      </w:r>
      <w:r w:rsidRPr="00B07EA0">
        <w:rPr>
          <w:bCs/>
          <w:color w:val="000000"/>
          <w:sz w:val="24"/>
          <w:szCs w:val="24"/>
          <w:lang w:eastAsia="en-US"/>
        </w:rPr>
        <w:t xml:space="preserve">нових операција за подршку програму зеленог раста. </w:t>
      </w:r>
    </w:p>
    <w:p w:rsidR="00EE370D" w:rsidRPr="00B07EA0" w:rsidRDefault="00EE370D" w:rsidP="00EE370D">
      <w:pPr>
        <w:ind w:firstLine="720"/>
        <w:rPr>
          <w:sz w:val="24"/>
          <w:szCs w:val="24"/>
          <w:lang w:eastAsia="en-US"/>
        </w:rPr>
      </w:pPr>
      <w:r w:rsidRPr="00B07EA0">
        <w:rPr>
          <w:bCs/>
          <w:sz w:val="24"/>
          <w:szCs w:val="24"/>
          <w:lang w:eastAsia="en-US"/>
        </w:rPr>
        <w:t>Финансијске карактеристике, услови за повлачење</w:t>
      </w:r>
      <w:r w:rsidRPr="00B07EA0">
        <w:rPr>
          <w:bCs/>
          <w:color w:val="000000"/>
          <w:sz w:val="24"/>
          <w:szCs w:val="24"/>
          <w:lang w:eastAsia="en-US"/>
        </w:rPr>
        <w:t xml:space="preserve"> средстава зајма, дефинисани су одредбама Споразума о зајму, који је резултат преговора</w:t>
      </w:r>
      <w:r w:rsidRPr="00B07EA0">
        <w:rPr>
          <w:sz w:val="24"/>
          <w:szCs w:val="24"/>
          <w:lang w:eastAsia="en-US"/>
        </w:rPr>
        <w:t xml:space="preserve"> делегације Републике Србије са Међународном банком за обнову и развој, одржаним 22. и 23. марта 2021. године, у складу са Основом за преговоре, утврђеном Закључком Владе 05 Број: 48-2333/2021-1 од 18. марта 2021. године.</w:t>
      </w:r>
    </w:p>
    <w:p w:rsidR="00EE370D" w:rsidRPr="00B07EA0" w:rsidRDefault="00EE370D" w:rsidP="00EE370D">
      <w:pPr>
        <w:ind w:right="-34" w:firstLine="720"/>
        <w:rPr>
          <w:bCs/>
          <w:color w:val="000000"/>
          <w:sz w:val="24"/>
          <w:szCs w:val="24"/>
          <w:lang w:eastAsia="en-US"/>
        </w:rPr>
      </w:pPr>
      <w:r w:rsidRPr="00B07EA0">
        <w:rPr>
          <w:bCs/>
          <w:color w:val="000000"/>
          <w:sz w:val="24"/>
          <w:szCs w:val="24"/>
          <w:lang w:eastAsia="en-US"/>
        </w:rPr>
        <w:t>Зајам је конципиран у виду зајмова за развојну политику (Development Policy Lending – ДПЛ). На тај начин се зајмопримцу обезбеђује непосредна буџетска подршка за спровођење реформи усмерених на остваривање скупа конкретних развојних резултата.</w:t>
      </w:r>
    </w:p>
    <w:p w:rsidR="00EE370D" w:rsidRPr="00B07EA0" w:rsidRDefault="00EE370D" w:rsidP="00EE370D">
      <w:pPr>
        <w:ind w:right="-46" w:firstLine="709"/>
        <w:rPr>
          <w:sz w:val="24"/>
          <w:szCs w:val="24"/>
          <w:lang w:eastAsia="en-US"/>
        </w:rPr>
      </w:pPr>
      <w:r w:rsidRPr="00B07EA0">
        <w:rPr>
          <w:bCs/>
          <w:sz w:val="24"/>
          <w:szCs w:val="24"/>
          <w:lang w:eastAsia="en-US"/>
        </w:rPr>
        <w:t>Свeтскa бaнкa ћe,</w:t>
      </w:r>
      <w:r w:rsidRPr="00B07EA0">
        <w:rPr>
          <w:sz w:val="24"/>
          <w:szCs w:val="24"/>
          <w:lang w:eastAsia="en-US"/>
        </w:rPr>
        <w:t xml:space="preserve"> </w:t>
      </w:r>
      <w:r w:rsidRPr="00B07EA0">
        <w:rPr>
          <w:bCs/>
          <w:sz w:val="24"/>
          <w:szCs w:val="24"/>
          <w:lang w:eastAsia="en-US"/>
        </w:rPr>
        <w:t xml:space="preserve">кроз полазне показатеље и пoкaзaтeље остварених рeзултaтa, прaтити стaтус имплeмeнтaциje Прoграмског зајма за развојне политике за ефикасност јавног сектора и зелени опоравак и </w:t>
      </w:r>
      <w:r w:rsidRPr="00B07EA0">
        <w:rPr>
          <w:sz w:val="24"/>
          <w:szCs w:val="24"/>
          <w:lang w:eastAsia="en-US"/>
        </w:rPr>
        <w:t>напредак у испуњењу постављених циљева</w:t>
      </w:r>
      <w:r w:rsidRPr="00B07EA0">
        <w:rPr>
          <w:bCs/>
          <w:sz w:val="24"/>
          <w:szCs w:val="24"/>
          <w:lang w:eastAsia="en-US"/>
        </w:rPr>
        <w:t>.</w:t>
      </w:r>
      <w:r w:rsidRPr="00B07EA0">
        <w:rPr>
          <w:sz w:val="24"/>
          <w:szCs w:val="24"/>
          <w:lang w:eastAsia="en-US"/>
        </w:rPr>
        <w:t xml:space="preserve"> </w:t>
      </w:r>
    </w:p>
    <w:p w:rsidR="00EE370D" w:rsidRPr="00B07EA0" w:rsidRDefault="00EE370D" w:rsidP="00EE370D">
      <w:pPr>
        <w:ind w:firstLine="720"/>
        <w:rPr>
          <w:bCs/>
          <w:color w:val="000000"/>
          <w:sz w:val="24"/>
          <w:szCs w:val="24"/>
          <w:lang w:eastAsia="en-US"/>
        </w:rPr>
      </w:pPr>
      <w:r w:rsidRPr="00B07EA0">
        <w:rPr>
          <w:bCs/>
          <w:color w:val="000000"/>
          <w:sz w:val="24"/>
          <w:szCs w:val="24"/>
          <w:lang w:eastAsia="en-US"/>
        </w:rPr>
        <w:t xml:space="preserve">Договорено је да ће Министарство финансија бити надлежно за свеукупни надзор над спровођењем Програма и оцену имплементације предложене реформске агенде, као и координацију активности с другим надлежним министарствима и институцијама. Поред Министарства финансија, Министарства рударства и енергетике, Министарства за рад, запошљавање, борачка и социјална питања и Министарства заштите животне средине, </w:t>
      </w:r>
      <w:r w:rsidRPr="00B07EA0">
        <w:rPr>
          <w:bCs/>
          <w:color w:val="000000"/>
          <w:sz w:val="24"/>
          <w:szCs w:val="24"/>
          <w:lang w:eastAsia="en-US"/>
        </w:rPr>
        <w:lastRenderedPageBreak/>
        <w:t>кључне институције су и Канцеларија за јавне набавке, Комисија за контролу државне помоћи и Народна банка Србије.</w:t>
      </w:r>
    </w:p>
    <w:p w:rsidR="00EE370D" w:rsidRPr="00B07EA0" w:rsidRDefault="00EE370D" w:rsidP="00EE370D">
      <w:pPr>
        <w:ind w:firstLine="720"/>
        <w:rPr>
          <w:bCs/>
          <w:color w:val="000000"/>
          <w:sz w:val="24"/>
          <w:szCs w:val="24"/>
          <w:lang w:eastAsia="en-US"/>
        </w:rPr>
      </w:pPr>
      <w:r w:rsidRPr="00B07EA0">
        <w:rPr>
          <w:bCs/>
          <w:color w:val="000000"/>
          <w:sz w:val="24"/>
          <w:szCs w:val="24"/>
          <w:lang w:eastAsia="en-US"/>
        </w:rPr>
        <w:t>Период расположивости је до 31. децембра 2022. године до када ће средства зајма бити искоришћена у једној транши.</w:t>
      </w:r>
    </w:p>
    <w:p w:rsidR="00EE370D" w:rsidRPr="00B07EA0" w:rsidRDefault="00EE370D" w:rsidP="00EE370D">
      <w:pPr>
        <w:autoSpaceDE w:val="0"/>
        <w:autoSpaceDN w:val="0"/>
        <w:adjustRightInd w:val="0"/>
        <w:ind w:firstLine="720"/>
        <w:rPr>
          <w:bCs/>
          <w:sz w:val="24"/>
          <w:szCs w:val="24"/>
          <w:lang w:eastAsia="en-US"/>
        </w:rPr>
      </w:pPr>
      <w:r w:rsidRPr="00B07EA0">
        <w:rPr>
          <w:bCs/>
          <w:sz w:val="24"/>
          <w:szCs w:val="24"/>
          <w:lang w:eastAsia="en-US"/>
        </w:rPr>
        <w:t>На преговорима је утврђен коначан износ првобитно предвиђеног зајма од 100.000.000 УСД, изражен у евро противвредности од 82.600.000 ЕУР, тако што је примењен курс евра према америчком долару (ЕУР 1 = УСД 0,82596845) на крају месеца (28. фебруара 2021. године) који је претходио месецу марту када су званично одржани преговори, а који одређује Банка у складу са Општим условима Међународне банке за обнову и развој за финансирање ИБРД и финансирање развојних политика, од 14. децембра 2018. године (измењен 1. августа 2020. године и 21. децембра 2020. године) и политикама Банке.</w:t>
      </w:r>
    </w:p>
    <w:p w:rsidR="00EE370D" w:rsidRPr="00B07EA0" w:rsidRDefault="00EE370D" w:rsidP="00EE370D">
      <w:pPr>
        <w:ind w:firstLine="720"/>
        <w:rPr>
          <w:sz w:val="24"/>
          <w:szCs w:val="24"/>
          <w:lang w:eastAsia="en-US"/>
        </w:rPr>
      </w:pPr>
      <w:r w:rsidRPr="00B07EA0">
        <w:rPr>
          <w:sz w:val="24"/>
          <w:szCs w:val="24"/>
          <w:lang w:eastAsia="en-US"/>
        </w:rPr>
        <w:t xml:space="preserve">Поред предуслова које је потребно испунити да би зајам постао оперативан, током преговора су дефинисани и следећи финансијски услови: </w:t>
      </w:r>
    </w:p>
    <w:p w:rsidR="00EE370D" w:rsidRPr="00B07EA0" w:rsidRDefault="00EE370D" w:rsidP="00EE370D">
      <w:pPr>
        <w:tabs>
          <w:tab w:val="left" w:pos="709"/>
          <w:tab w:val="left" w:pos="1350"/>
        </w:tabs>
        <w:ind w:firstLine="720"/>
        <w:rPr>
          <w:sz w:val="24"/>
          <w:szCs w:val="24"/>
          <w:lang w:eastAsia="en-US"/>
        </w:rPr>
      </w:pPr>
      <w:r w:rsidRPr="00B07EA0">
        <w:rPr>
          <w:sz w:val="24"/>
          <w:szCs w:val="24"/>
          <w:lang w:eastAsia="en-US"/>
        </w:rPr>
        <w:t>-</w:t>
      </w:r>
      <w:r w:rsidRPr="00B07EA0">
        <w:rPr>
          <w:sz w:val="24"/>
          <w:szCs w:val="24"/>
          <w:lang w:eastAsia="en-US"/>
        </w:rPr>
        <w:tab/>
        <w:t>износ задужења: 82.600.000 евра;</w:t>
      </w:r>
    </w:p>
    <w:p w:rsidR="00EE370D" w:rsidRPr="00B07EA0" w:rsidRDefault="00EE370D" w:rsidP="00EE370D">
      <w:pPr>
        <w:tabs>
          <w:tab w:val="left" w:pos="709"/>
        </w:tabs>
        <w:ind w:left="1350" w:hanging="630"/>
        <w:rPr>
          <w:sz w:val="24"/>
          <w:szCs w:val="24"/>
          <w:lang w:eastAsia="en-US"/>
        </w:rPr>
      </w:pPr>
      <w:r w:rsidRPr="00B07EA0">
        <w:rPr>
          <w:sz w:val="24"/>
          <w:szCs w:val="24"/>
          <w:lang w:eastAsia="en-US"/>
        </w:rPr>
        <w:t>-</w:t>
      </w:r>
      <w:r w:rsidRPr="00B07EA0">
        <w:rPr>
          <w:sz w:val="24"/>
          <w:szCs w:val="24"/>
          <w:lang w:eastAsia="en-US"/>
        </w:rPr>
        <w:tab/>
        <w:t xml:space="preserve">рок доспећа: 15 година са укљученим периодом почека од 5 година, тако да је период отплате главнице зајма 10 година; </w:t>
      </w:r>
    </w:p>
    <w:p w:rsidR="00EE370D" w:rsidRPr="00B07EA0" w:rsidRDefault="00EE370D" w:rsidP="00EE370D">
      <w:pPr>
        <w:ind w:left="1350" w:hanging="630"/>
        <w:rPr>
          <w:sz w:val="24"/>
          <w:szCs w:val="24"/>
          <w:lang w:eastAsia="en-US"/>
        </w:rPr>
      </w:pPr>
      <w:r w:rsidRPr="00B07EA0">
        <w:rPr>
          <w:sz w:val="24"/>
          <w:szCs w:val="24"/>
          <w:lang w:eastAsia="en-US"/>
        </w:rPr>
        <w:t>-</w:t>
      </w:r>
      <w:r w:rsidRPr="00B07EA0">
        <w:rPr>
          <w:sz w:val="24"/>
          <w:szCs w:val="24"/>
          <w:lang w:eastAsia="en-US"/>
        </w:rPr>
        <w:tab/>
        <w:t>приступна накнада: 0,25% на износ зајма (206.500 евра), платиће се једнократно из средстава зајма;</w:t>
      </w:r>
    </w:p>
    <w:p w:rsidR="00EE370D" w:rsidRPr="00B07EA0" w:rsidRDefault="00EE370D" w:rsidP="00EE370D">
      <w:pPr>
        <w:tabs>
          <w:tab w:val="left" w:pos="1350"/>
        </w:tabs>
        <w:ind w:firstLine="720"/>
        <w:rPr>
          <w:sz w:val="24"/>
          <w:szCs w:val="24"/>
          <w:highlight w:val="yellow"/>
          <w:lang w:eastAsia="en-US"/>
        </w:rPr>
      </w:pPr>
      <w:r w:rsidRPr="00B07EA0">
        <w:rPr>
          <w:sz w:val="24"/>
          <w:szCs w:val="24"/>
          <w:lang w:eastAsia="en-US"/>
        </w:rPr>
        <w:t>-</w:t>
      </w:r>
      <w:r w:rsidRPr="00B07EA0">
        <w:rPr>
          <w:sz w:val="24"/>
          <w:szCs w:val="24"/>
          <w:lang w:eastAsia="en-US"/>
        </w:rPr>
        <w:tab/>
        <w:t>повлачење зајма у једној транши до 31. децембар 2022. године;</w:t>
      </w:r>
    </w:p>
    <w:p w:rsidR="00EE370D" w:rsidRPr="00B07EA0" w:rsidRDefault="00EE370D" w:rsidP="00EE370D">
      <w:pPr>
        <w:ind w:left="1350" w:hanging="641"/>
        <w:rPr>
          <w:sz w:val="24"/>
          <w:szCs w:val="24"/>
          <w:lang w:eastAsia="en-US"/>
        </w:rPr>
      </w:pPr>
      <w:r w:rsidRPr="00B07EA0">
        <w:rPr>
          <w:sz w:val="24"/>
          <w:szCs w:val="24"/>
          <w:lang w:eastAsia="en-US"/>
        </w:rPr>
        <w:t>-</w:t>
      </w:r>
      <w:r w:rsidRPr="00B07EA0">
        <w:rPr>
          <w:sz w:val="24"/>
          <w:szCs w:val="24"/>
          <w:lang w:eastAsia="en-US"/>
        </w:rPr>
        <w:tab/>
        <w:t xml:space="preserve">накнада за ангажовање средстава: 0,25% на годишњем нивоу на неповучени износ главнице; </w:t>
      </w:r>
    </w:p>
    <w:p w:rsidR="00EE370D" w:rsidRPr="00B07EA0" w:rsidRDefault="00EE370D" w:rsidP="00EE370D">
      <w:pPr>
        <w:tabs>
          <w:tab w:val="left" w:pos="709"/>
        </w:tabs>
        <w:ind w:left="1350" w:hanging="1170"/>
        <w:rPr>
          <w:sz w:val="24"/>
          <w:szCs w:val="24"/>
          <w:lang w:eastAsia="en-US"/>
        </w:rPr>
      </w:pPr>
      <w:r w:rsidRPr="00B07EA0">
        <w:rPr>
          <w:sz w:val="24"/>
          <w:szCs w:val="24"/>
          <w:lang w:eastAsia="en-US"/>
        </w:rPr>
        <w:t xml:space="preserve">         -</w:t>
      </w:r>
      <w:r w:rsidRPr="00B07EA0">
        <w:rPr>
          <w:sz w:val="24"/>
          <w:szCs w:val="24"/>
          <w:lang w:eastAsia="en-US"/>
        </w:rPr>
        <w:tab/>
        <w:t>каматна стопа: зајмопримац плаћа камату полугодишње (15. јуна и 15. децембра сваке године), за сваки каматни пeриод по Рeфeрeнтноj стопи за валуту заjма (</w:t>
      </w:r>
      <w:r w:rsidRPr="00B07EA0">
        <w:rPr>
          <w:bCs/>
          <w:sz w:val="24"/>
          <w:szCs w:val="24"/>
          <w:lang w:eastAsia="en-US"/>
        </w:rPr>
        <w:t>шестомесечни EURIBOR)</w:t>
      </w:r>
      <w:r w:rsidRPr="00B07EA0">
        <w:rPr>
          <w:sz w:val="24"/>
          <w:szCs w:val="24"/>
          <w:lang w:eastAsia="en-US"/>
        </w:rPr>
        <w:t xml:space="preserve"> увeћаној за вариjабилну маржу, која тренутно износи 0,62%, а чији ће износ бити дефинисан као применљив пре сваког датума плаћања. </w:t>
      </w:r>
    </w:p>
    <w:p w:rsidR="00EE370D" w:rsidRPr="00B07EA0" w:rsidRDefault="00EE370D" w:rsidP="00EE370D">
      <w:pPr>
        <w:tabs>
          <w:tab w:val="left" w:pos="709"/>
        </w:tabs>
        <w:ind w:left="1350" w:hanging="1170"/>
        <w:rPr>
          <w:sz w:val="24"/>
          <w:szCs w:val="24"/>
          <w:lang w:eastAsia="en-US"/>
        </w:rPr>
      </w:pPr>
    </w:p>
    <w:p w:rsidR="00EE370D" w:rsidRPr="00B07EA0" w:rsidRDefault="00EE370D" w:rsidP="00EE370D">
      <w:pPr>
        <w:spacing w:line="312" w:lineRule="exact"/>
        <w:ind w:firstLine="630"/>
        <w:rPr>
          <w:sz w:val="24"/>
          <w:szCs w:val="24"/>
          <w:lang w:eastAsia="en-US"/>
        </w:rPr>
      </w:pPr>
      <w:r w:rsidRPr="00B07EA0">
        <w:rPr>
          <w:sz w:val="24"/>
          <w:szCs w:val="24"/>
          <w:lang w:eastAsia="en-US"/>
        </w:rPr>
        <w:tab/>
        <w:t>Напомињемо да је у складу са обавештењем Банке од 28. јануара 2021. године, Борд директора Банке 26. јануара 2021. године донео одлуку којом се укида могућност давања зајмова са фиксном маржом, односно да је на располагању задуживање само са каматном стопом уз варијабилну маржу. У складу са политикама Банке, промене у висини варијабилне марже вршиће се на кварталном нивоу.</w:t>
      </w:r>
    </w:p>
    <w:p w:rsidR="00EE370D" w:rsidRPr="00B07EA0" w:rsidRDefault="00EE370D" w:rsidP="00EE370D">
      <w:pPr>
        <w:spacing w:line="312" w:lineRule="exact"/>
        <w:ind w:firstLine="630"/>
        <w:rPr>
          <w:sz w:val="24"/>
          <w:szCs w:val="24"/>
          <w:lang w:eastAsia="en-US"/>
        </w:rPr>
      </w:pPr>
    </w:p>
    <w:p w:rsidR="00EE370D" w:rsidRPr="00B07EA0" w:rsidRDefault="00EE370D" w:rsidP="00EE370D">
      <w:pPr>
        <w:tabs>
          <w:tab w:val="left" w:pos="1134"/>
        </w:tabs>
        <w:rPr>
          <w:sz w:val="24"/>
          <w:szCs w:val="24"/>
          <w:lang w:eastAsia="de-DE"/>
        </w:rPr>
      </w:pPr>
      <w:r w:rsidRPr="00B07EA0">
        <w:rPr>
          <w:bCs/>
          <w:sz w:val="24"/>
          <w:szCs w:val="24"/>
          <w:lang w:eastAsia="de-DE"/>
        </w:rPr>
        <w:t xml:space="preserve">III. </w:t>
      </w:r>
      <w:r w:rsidRPr="00B07EA0">
        <w:rPr>
          <w:bCs/>
          <w:sz w:val="24"/>
          <w:szCs w:val="24"/>
          <w:lang w:eastAsia="de-DE"/>
        </w:rPr>
        <w:tab/>
        <w:t>ОБЈАШЊЕЊЕ ОСНОВНИХ ПРАВНИХ ИНСТИТУТА И ПОЈЕДИНАЧНИХ РЕШЕЊА</w:t>
      </w:r>
    </w:p>
    <w:p w:rsidR="00EE370D" w:rsidRPr="00B07EA0" w:rsidRDefault="00EE370D" w:rsidP="00EE370D">
      <w:pPr>
        <w:spacing w:line="312" w:lineRule="exact"/>
        <w:rPr>
          <w:sz w:val="24"/>
          <w:szCs w:val="24"/>
          <w:highlight w:val="yellow"/>
          <w:lang w:eastAsia="de-DE"/>
        </w:rPr>
      </w:pPr>
    </w:p>
    <w:p w:rsidR="00EE370D" w:rsidRPr="00B07EA0" w:rsidRDefault="00EE370D" w:rsidP="00EE370D">
      <w:pPr>
        <w:ind w:firstLine="720"/>
        <w:rPr>
          <w:sz w:val="24"/>
          <w:szCs w:val="24"/>
          <w:highlight w:val="yellow"/>
          <w:lang w:eastAsia="de-DE"/>
        </w:rPr>
      </w:pPr>
      <w:r w:rsidRPr="00B07EA0">
        <w:rPr>
          <w:sz w:val="24"/>
          <w:szCs w:val="24"/>
          <w:lang w:eastAsia="de-DE"/>
        </w:rPr>
        <w:t xml:space="preserve">Одредбом члана 1. овог закона предвиђа се потврђивање </w:t>
      </w:r>
      <w:r w:rsidRPr="00B07EA0">
        <w:rPr>
          <w:sz w:val="24"/>
          <w:szCs w:val="24"/>
          <w:lang w:eastAsia="en-US"/>
        </w:rPr>
        <w:t>Споразума о зајму (Програмски зајам за развојне политике за ефикасност јавног сектора и зелени опоравак) између Републике Србије и Међународне банке за обнову и развој, који је потписан у Београду 10. маја 2021. године,</w:t>
      </w:r>
      <w:r w:rsidRPr="00B07EA0">
        <w:rPr>
          <w:sz w:val="24"/>
          <w:lang w:eastAsia="en-US"/>
        </w:rPr>
        <w:t xml:space="preserve"> (у даљем тексту:</w:t>
      </w:r>
      <w:r w:rsidRPr="00B07EA0">
        <w:rPr>
          <w:sz w:val="24"/>
          <w:szCs w:val="24"/>
          <w:lang w:eastAsia="en-US"/>
        </w:rPr>
        <w:t xml:space="preserve"> Споразум о зајму)</w:t>
      </w:r>
      <w:r w:rsidRPr="00B07EA0">
        <w:rPr>
          <w:sz w:val="24"/>
          <w:szCs w:val="24"/>
          <w:lang w:eastAsia="de-DE"/>
        </w:rPr>
        <w:t xml:space="preserve">.    </w:t>
      </w:r>
    </w:p>
    <w:p w:rsidR="00EE370D" w:rsidRPr="00B07EA0" w:rsidRDefault="00EE370D" w:rsidP="00EE370D">
      <w:pPr>
        <w:ind w:firstLine="720"/>
        <w:rPr>
          <w:sz w:val="24"/>
          <w:szCs w:val="24"/>
          <w:lang w:eastAsia="de-DE"/>
        </w:rPr>
      </w:pPr>
      <w:r w:rsidRPr="00B07EA0">
        <w:rPr>
          <w:sz w:val="24"/>
          <w:szCs w:val="24"/>
          <w:lang w:eastAsia="de-DE"/>
        </w:rPr>
        <w:t xml:space="preserve">Одредба члана 2. овог закона садржи текст </w:t>
      </w:r>
      <w:r w:rsidRPr="00B07EA0">
        <w:rPr>
          <w:sz w:val="24"/>
          <w:szCs w:val="24"/>
          <w:lang w:eastAsia="en-US"/>
        </w:rPr>
        <w:t>Споразума о зајму</w:t>
      </w:r>
      <w:r w:rsidRPr="00B07EA0">
        <w:rPr>
          <w:sz w:val="24"/>
          <w:szCs w:val="24"/>
          <w:lang w:eastAsia="de-DE"/>
        </w:rPr>
        <w:t xml:space="preserve"> у оригиналу на енглеском језику и у преводу на српски језик. </w:t>
      </w:r>
    </w:p>
    <w:p w:rsidR="00EE370D" w:rsidRPr="00B07EA0" w:rsidRDefault="00EE370D" w:rsidP="00EE370D">
      <w:pPr>
        <w:ind w:firstLine="720"/>
        <w:rPr>
          <w:sz w:val="24"/>
          <w:szCs w:val="24"/>
          <w:lang w:eastAsia="de-DE"/>
        </w:rPr>
      </w:pPr>
      <w:r w:rsidRPr="00B07EA0">
        <w:rPr>
          <w:sz w:val="24"/>
          <w:szCs w:val="24"/>
          <w:lang w:eastAsia="de-DE"/>
        </w:rPr>
        <w:t xml:space="preserve">Одредбом члана 3. уређује се ступање на снагу овог закона.  </w:t>
      </w:r>
    </w:p>
    <w:p w:rsidR="00EE370D" w:rsidRPr="00B07EA0" w:rsidRDefault="00EE370D" w:rsidP="00EE370D">
      <w:pPr>
        <w:spacing w:line="312" w:lineRule="exact"/>
        <w:ind w:firstLine="708"/>
        <w:rPr>
          <w:sz w:val="24"/>
          <w:szCs w:val="24"/>
          <w:lang w:eastAsia="de-DE"/>
        </w:rPr>
      </w:pPr>
    </w:p>
    <w:p w:rsidR="00EE370D" w:rsidRPr="00B07EA0" w:rsidRDefault="00EE370D" w:rsidP="00EE370D">
      <w:pPr>
        <w:tabs>
          <w:tab w:val="left" w:pos="0"/>
          <w:tab w:val="left" w:pos="570"/>
          <w:tab w:val="left" w:pos="851"/>
          <w:tab w:val="left" w:pos="1150"/>
          <w:tab w:val="left" w:pos="4890"/>
          <w:tab w:val="left" w:pos="6330"/>
        </w:tabs>
        <w:rPr>
          <w:sz w:val="24"/>
          <w:szCs w:val="24"/>
          <w:lang w:eastAsia="de-DE"/>
        </w:rPr>
      </w:pPr>
      <w:r w:rsidRPr="00B07EA0">
        <w:rPr>
          <w:bCs/>
          <w:sz w:val="24"/>
          <w:szCs w:val="24"/>
          <w:lang w:eastAsia="de-DE"/>
        </w:rPr>
        <w:lastRenderedPageBreak/>
        <w:t>IV.</w:t>
      </w:r>
      <w:r w:rsidRPr="00B07EA0">
        <w:rPr>
          <w:bCs/>
          <w:sz w:val="24"/>
          <w:szCs w:val="24"/>
          <w:lang w:eastAsia="de-DE"/>
        </w:rPr>
        <w:tab/>
        <w:t xml:space="preserve"> </w:t>
      </w:r>
      <w:r w:rsidRPr="00B07EA0">
        <w:rPr>
          <w:sz w:val="24"/>
          <w:szCs w:val="24"/>
          <w:lang w:eastAsia="de-DE"/>
        </w:rPr>
        <w:t xml:space="preserve">ФИНАНСИЈСКЕ ОБАВЕЗЕ И ПРОЦЕНА ФИНАНСИЈСКИХ СРЕДСТАВА КОЈА НАСТАЈУ ИЗВРШАВАЊЕМ ЗАКОНА    </w:t>
      </w:r>
      <w:r w:rsidRPr="00B07EA0">
        <w:rPr>
          <w:sz w:val="24"/>
          <w:szCs w:val="24"/>
          <w:lang w:eastAsia="de-DE"/>
        </w:rPr>
        <w:tab/>
        <w:t xml:space="preserve"> </w:t>
      </w:r>
    </w:p>
    <w:p w:rsidR="00EE370D" w:rsidRPr="00B07EA0" w:rsidRDefault="00EE370D" w:rsidP="00EE370D">
      <w:pPr>
        <w:spacing w:line="312" w:lineRule="exact"/>
        <w:ind w:firstLine="720"/>
        <w:rPr>
          <w:b/>
          <w:bCs/>
          <w:sz w:val="24"/>
          <w:szCs w:val="24"/>
          <w:lang w:eastAsia="de-DE"/>
        </w:rPr>
      </w:pPr>
    </w:p>
    <w:p w:rsidR="00EE370D" w:rsidRPr="00B07EA0" w:rsidRDefault="00EE370D" w:rsidP="00EE370D">
      <w:pPr>
        <w:spacing w:line="312" w:lineRule="exact"/>
        <w:rPr>
          <w:sz w:val="24"/>
          <w:szCs w:val="24"/>
          <w:lang w:eastAsia="de-DE"/>
        </w:rPr>
      </w:pPr>
      <w:r w:rsidRPr="00B07EA0">
        <w:rPr>
          <w:sz w:val="24"/>
          <w:szCs w:val="24"/>
          <w:lang w:eastAsia="de-DE"/>
        </w:rPr>
        <w:t xml:space="preserve"> </w:t>
      </w:r>
      <w:r w:rsidRPr="00B07EA0">
        <w:rPr>
          <w:sz w:val="24"/>
          <w:szCs w:val="24"/>
          <w:lang w:eastAsia="de-DE"/>
        </w:rPr>
        <w:tab/>
        <w:t xml:space="preserve">За спровођење овог закона обезбеђиваће се средства у буџету Републике Србије. </w:t>
      </w:r>
    </w:p>
    <w:p w:rsidR="00EE370D" w:rsidRPr="00B07EA0" w:rsidRDefault="00EE370D" w:rsidP="00EE370D">
      <w:pPr>
        <w:pStyle w:val="BodyText"/>
        <w:rPr>
          <w:rFonts w:cs="Times New Roman"/>
          <w:sz w:val="24"/>
          <w:szCs w:val="24"/>
          <w:lang w:val="sr-Cyrl-RS"/>
        </w:rPr>
      </w:pPr>
    </w:p>
    <w:p w:rsidR="009C63F9" w:rsidRPr="009C63F9" w:rsidRDefault="009C63F9" w:rsidP="009C63F9">
      <w:pPr>
        <w:shd w:val="clear" w:color="auto" w:fill="FFFFFF"/>
        <w:tabs>
          <w:tab w:val="left" w:pos="293"/>
        </w:tabs>
        <w:spacing w:before="312"/>
        <w:ind w:left="24"/>
        <w:rPr>
          <w:sz w:val="24"/>
          <w:szCs w:val="24"/>
        </w:rPr>
      </w:pPr>
      <w:r w:rsidRPr="009C63F9">
        <w:rPr>
          <w:color w:val="000000"/>
          <w:spacing w:val="-18"/>
          <w:sz w:val="24"/>
          <w:szCs w:val="24"/>
        </w:rPr>
        <w:t>V.</w:t>
      </w:r>
      <w:r w:rsidRPr="009C63F9">
        <w:rPr>
          <w:color w:val="000000"/>
          <w:sz w:val="24"/>
          <w:szCs w:val="24"/>
        </w:rPr>
        <w:tab/>
      </w:r>
      <w:r w:rsidRPr="009C63F9">
        <w:rPr>
          <w:color w:val="000000"/>
          <w:spacing w:val="-5"/>
          <w:sz w:val="24"/>
          <w:szCs w:val="24"/>
          <w:lang w:val="sr-Cyrl-CS"/>
        </w:rPr>
        <w:t>РАЗЛОЗИ ЗА ДОНОШЕЊЕ ЗАКОНА ПО ХИТНОМ ПОСТУПКУ</w:t>
      </w:r>
    </w:p>
    <w:p w:rsidR="009C63F9" w:rsidRPr="009C63F9" w:rsidRDefault="009C63F9" w:rsidP="009C63F9">
      <w:pPr>
        <w:shd w:val="clear" w:color="auto" w:fill="FFFFFF"/>
        <w:spacing w:before="264" w:line="269" w:lineRule="exact"/>
        <w:ind w:right="10" w:firstLine="701"/>
        <w:rPr>
          <w:sz w:val="24"/>
          <w:szCs w:val="24"/>
        </w:rPr>
      </w:pPr>
      <w:r w:rsidRPr="009C63F9">
        <w:rPr>
          <w:color w:val="000000"/>
          <w:spacing w:val="1"/>
          <w:sz w:val="24"/>
          <w:szCs w:val="24"/>
          <w:lang w:val="sr-Cyrl-CS"/>
        </w:rPr>
        <w:t xml:space="preserve">Разлози за доношење овог закона по хитном поступку, сагласно члану </w:t>
      </w:r>
      <w:r w:rsidRPr="009C63F9">
        <w:rPr>
          <w:color w:val="000000"/>
          <w:spacing w:val="1"/>
          <w:sz w:val="24"/>
          <w:szCs w:val="24"/>
          <w:lang w:val="sr-Latn-CS"/>
        </w:rPr>
        <w:t>167.</w:t>
      </w:r>
      <w:r w:rsidRPr="009C63F9">
        <w:rPr>
          <w:color w:val="000000"/>
          <w:spacing w:val="1"/>
          <w:sz w:val="24"/>
          <w:szCs w:val="24"/>
          <w:lang w:val="sr-Latn-CS"/>
        </w:rPr>
        <w:br/>
      </w:r>
      <w:r w:rsidRPr="009C63F9">
        <w:rPr>
          <w:color w:val="000000"/>
          <w:spacing w:val="-4"/>
          <w:sz w:val="24"/>
          <w:szCs w:val="24"/>
          <w:lang w:val="sr-Cyrl-CS"/>
        </w:rPr>
        <w:t>Пословника Народне скупштине („Службени гласник РС</w:t>
      </w:r>
      <w:r w:rsidRPr="009C63F9">
        <w:rPr>
          <w:bCs/>
          <w:sz w:val="24"/>
          <w:szCs w:val="24"/>
          <w:lang w:eastAsia="en-US"/>
        </w:rPr>
        <w:t>”</w:t>
      </w:r>
      <w:r w:rsidRPr="009C63F9">
        <w:rPr>
          <w:color w:val="000000"/>
          <w:spacing w:val="-4"/>
          <w:sz w:val="24"/>
          <w:szCs w:val="24"/>
          <w:lang w:val="sr-Cyrl-CS"/>
        </w:rPr>
        <w:t>, број 20/12</w:t>
      </w:r>
      <w:r w:rsidRPr="009C63F9">
        <w:rPr>
          <w:color w:val="000000"/>
          <w:spacing w:val="-4"/>
          <w:sz w:val="24"/>
          <w:szCs w:val="24"/>
          <w:lang w:val="en-US"/>
        </w:rPr>
        <w:t xml:space="preserve"> – </w:t>
      </w:r>
      <w:r w:rsidRPr="009C63F9">
        <w:rPr>
          <w:color w:val="000000"/>
          <w:spacing w:val="-4"/>
          <w:sz w:val="24"/>
          <w:szCs w:val="24"/>
          <w:lang w:val="sr-Cyrl-CS"/>
        </w:rPr>
        <w:t>пречишћен текст)</w:t>
      </w:r>
      <w:r w:rsidR="00DA17A3">
        <w:rPr>
          <w:color w:val="000000"/>
          <w:spacing w:val="-4"/>
          <w:sz w:val="24"/>
          <w:szCs w:val="24"/>
          <w:lang w:val="en-US"/>
        </w:rPr>
        <w:t>,</w:t>
      </w:r>
      <w:r w:rsidRPr="009C63F9">
        <w:rPr>
          <w:color w:val="000000"/>
          <w:spacing w:val="-4"/>
          <w:sz w:val="24"/>
          <w:szCs w:val="24"/>
          <w:lang w:val="sr-Cyrl-CS"/>
        </w:rPr>
        <w:br/>
        <w:t>произлазе из чињенице да је потребно обезбедити да средства зајма буду благовремено на</w:t>
      </w:r>
      <w:r w:rsidRPr="009C63F9">
        <w:rPr>
          <w:color w:val="000000"/>
          <w:spacing w:val="-4"/>
          <w:sz w:val="24"/>
          <w:szCs w:val="24"/>
          <w:lang w:val="sr-Cyrl-CS"/>
        </w:rPr>
        <w:br/>
        <w:t>располагању Републици Србији.</w:t>
      </w:r>
    </w:p>
    <w:p w:rsidR="00A21ECF" w:rsidRPr="00B07EA0" w:rsidRDefault="00A21ECF"/>
    <w:sectPr w:rsidR="00A21ECF" w:rsidRPr="00B07EA0" w:rsidSect="009C63F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02E4" w:rsidRDefault="00F502E4" w:rsidP="00EE370D">
      <w:r>
        <w:separator/>
      </w:r>
    </w:p>
  </w:endnote>
  <w:endnote w:type="continuationSeparator" w:id="0">
    <w:p w:rsidR="00F502E4" w:rsidRDefault="00F502E4" w:rsidP="00EE37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0DC" w:rsidRDefault="00BF3AD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39</w:t>
    </w:r>
    <w:r>
      <w:rPr>
        <w:rStyle w:val="PageNumber"/>
      </w:rPr>
      <w:fldChar w:fldCharType="end"/>
    </w:r>
  </w:p>
  <w:p w:rsidR="005740DC" w:rsidRDefault="00F502E4">
    <w:pPr>
      <w:pStyle w:val="Footer"/>
      <w:ind w:right="360"/>
    </w:pPr>
  </w:p>
  <w:p w:rsidR="005740DC" w:rsidRDefault="00F502E4"/>
  <w:p w:rsidR="005740DC" w:rsidRDefault="00F502E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6361159"/>
      <w:docPartObj>
        <w:docPartGallery w:val="Page Numbers (Bottom of Page)"/>
        <w:docPartUnique/>
      </w:docPartObj>
    </w:sdtPr>
    <w:sdtEndPr>
      <w:rPr>
        <w:noProof/>
      </w:rPr>
    </w:sdtEndPr>
    <w:sdtContent>
      <w:p w:rsidR="009C63F9" w:rsidRDefault="009C63F9">
        <w:pPr>
          <w:pStyle w:val="Footer"/>
          <w:jc w:val="right"/>
        </w:pPr>
        <w:r>
          <w:fldChar w:fldCharType="begin"/>
        </w:r>
        <w:r>
          <w:instrText xml:space="preserve"> PAGE   \* MERGEFORMAT </w:instrText>
        </w:r>
        <w:r>
          <w:fldChar w:fldCharType="separate"/>
        </w:r>
        <w:r w:rsidR="00797351">
          <w:rPr>
            <w:noProof/>
          </w:rPr>
          <w:t>4</w:t>
        </w:r>
        <w:r>
          <w:rPr>
            <w:noProof/>
          </w:rPr>
          <w:fldChar w:fldCharType="end"/>
        </w:r>
      </w:p>
    </w:sdtContent>
  </w:sdt>
  <w:p w:rsidR="005740DC" w:rsidRDefault="00F502E4"/>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0DC" w:rsidRDefault="00BF3ADE">
    <w:pPr>
      <w:pStyle w:val="Footer"/>
      <w:spacing w:line="200" w:lineRule="exact"/>
      <w:jc w:val="left"/>
      <w:rPr>
        <w:rFonts w:ascii="Arial" w:hAnsi="Arial" w:cs="Arial"/>
        <w:sz w:val="16"/>
        <w:szCs w:val="16"/>
      </w:rPr>
    </w:pPr>
    <w:r>
      <w:rPr>
        <w:rFonts w:ascii="Arial" w:hAnsi="Arial" w:cs="Arial"/>
        <w:sz w:val="16"/>
        <w:szCs w:val="16"/>
      </w:rPr>
      <w:tab/>
    </w:r>
    <w:bookmarkStart w:id="0" w:name="_GoBack"/>
    <w:bookmarkEnd w:id="0"/>
  </w:p>
  <w:p w:rsidR="005740DC" w:rsidRDefault="00F502E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02E4" w:rsidRDefault="00F502E4" w:rsidP="00EE370D">
      <w:r>
        <w:separator/>
      </w:r>
    </w:p>
  </w:footnote>
  <w:footnote w:type="continuationSeparator" w:id="0">
    <w:p w:rsidR="00F502E4" w:rsidRDefault="00F502E4" w:rsidP="00EE37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0DC" w:rsidRDefault="00F502E4">
    <w:pPr>
      <w:pStyle w:val="Header"/>
    </w:pPr>
  </w:p>
  <w:p w:rsidR="005740DC" w:rsidRDefault="00F502E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0DC" w:rsidRDefault="00F502E4"/>
  <w:p w:rsidR="005740DC" w:rsidRDefault="00F502E4"/>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0DC" w:rsidRDefault="00F502E4">
    <w:pPr>
      <w:pStyle w:val="Header"/>
    </w:pPr>
  </w:p>
  <w:p w:rsidR="005740DC" w:rsidRDefault="00F502E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2051D6"/>
    <w:multiLevelType w:val="multilevel"/>
    <w:tmpl w:val="0B6817F4"/>
    <w:name w:val="num"/>
    <w:lvl w:ilvl="0">
      <w:start w:val="1"/>
      <w:numFmt w:val="decimal"/>
      <w:pStyle w:val="Num1"/>
      <w:lvlText w:val="%1."/>
      <w:lvlJc w:val="left"/>
      <w:pPr>
        <w:tabs>
          <w:tab w:val="num" w:pos="720"/>
        </w:tabs>
        <w:ind w:left="720" w:hanging="720"/>
      </w:pPr>
      <w:rPr>
        <w:rFonts w:hint="default"/>
      </w:rPr>
    </w:lvl>
    <w:lvl w:ilvl="1">
      <w:start w:val="1"/>
      <w:numFmt w:val="decimal"/>
      <w:pStyle w:val="Num2"/>
      <w:lvlText w:val="%1.%2-"/>
      <w:lvlJc w:val="left"/>
      <w:pPr>
        <w:tabs>
          <w:tab w:val="num" w:pos="720"/>
        </w:tabs>
        <w:ind w:left="720" w:hanging="720"/>
      </w:pPr>
      <w:rPr>
        <w:rFonts w:hint="default"/>
      </w:rPr>
    </w:lvl>
    <w:lvl w:ilvl="2">
      <w:start w:val="1"/>
      <w:numFmt w:val="upperRoman"/>
      <w:pStyle w:val="Num3"/>
      <w:lvlText w:val="%3."/>
      <w:lvlJc w:val="left"/>
      <w:pPr>
        <w:ind w:left="0" w:firstLine="0"/>
      </w:pPr>
      <w:rPr>
        <w:rFonts w:hint="default"/>
      </w:rPr>
    </w:lvl>
    <w:lvl w:ilvl="3">
      <w:start w:val="1"/>
      <w:numFmt w:val="lowerLetter"/>
      <w:pStyle w:val="Num4"/>
      <w:lvlText w:val="(%4)"/>
      <w:lvlJc w:val="left"/>
      <w:pPr>
        <w:tabs>
          <w:tab w:val="num" w:pos="720"/>
        </w:tabs>
        <w:ind w:left="720" w:hanging="720"/>
      </w:pPr>
      <w:rPr>
        <w:rFonts w:hint="default"/>
      </w:rPr>
    </w:lvl>
    <w:lvl w:ilvl="4">
      <w:start w:val="10"/>
      <w:numFmt w:val="lowerRoman"/>
      <w:pStyle w:val="Num5"/>
      <w:lvlText w:val="(%5)"/>
      <w:lvlJc w:val="left"/>
      <w:pPr>
        <w:tabs>
          <w:tab w:val="num" w:pos="1440"/>
        </w:tabs>
        <w:ind w:left="1440" w:hanging="720"/>
      </w:pPr>
      <w:rPr>
        <w:rFonts w:ascii="Times New Roman" w:hAnsi="Times New Roman" w:hint="default"/>
        <w:sz w:val="22"/>
      </w:rPr>
    </w:lvl>
    <w:lvl w:ilvl="5">
      <w:start w:val="1"/>
      <w:numFmt w:val="none"/>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num w:numId="1">
    <w:abstractNumId w:val="0"/>
    <w:lvlOverride w:ilvl="0">
      <w:startOverride w:val="50"/>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7C4F"/>
    <w:rsid w:val="001A38A5"/>
    <w:rsid w:val="00242639"/>
    <w:rsid w:val="00734030"/>
    <w:rsid w:val="00767C4F"/>
    <w:rsid w:val="00797351"/>
    <w:rsid w:val="009C63F9"/>
    <w:rsid w:val="00A21ECF"/>
    <w:rsid w:val="00A77199"/>
    <w:rsid w:val="00B07EA0"/>
    <w:rsid w:val="00BF3ADE"/>
    <w:rsid w:val="00D46D29"/>
    <w:rsid w:val="00DA17A3"/>
    <w:rsid w:val="00E8064C"/>
    <w:rsid w:val="00E96CF4"/>
    <w:rsid w:val="00EE370D"/>
    <w:rsid w:val="00F502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370D"/>
    <w:pPr>
      <w:spacing w:after="0" w:line="240" w:lineRule="auto"/>
      <w:jc w:val="both"/>
    </w:pPr>
    <w:rPr>
      <w:rFonts w:ascii="Times New Roman" w:eastAsia="Times New Roman" w:hAnsi="Times New Roman" w:cs="Times New Roman"/>
      <w:szCs w:val="20"/>
      <w:lang w:val="sr-Cyrl-RS"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 Char Char Char Char Char,Body Text Char Char Char,Body Text Char Char Char Char,Corps de texte Car,Body Text Char Car,Body Text Char Char Char Char Char Car,Body Text Char Char Char Car,Main text,Main text Car,CT"/>
    <w:link w:val="BodyTextChar"/>
    <w:rsid w:val="00EE370D"/>
    <w:pPr>
      <w:spacing w:after="240" w:line="240" w:lineRule="auto"/>
      <w:jc w:val="both"/>
    </w:pPr>
    <w:rPr>
      <w:rFonts w:ascii="Times New Roman" w:eastAsia="Times New Roman" w:hAnsi="Times New Roman" w:cs="Arial"/>
      <w:bCs/>
      <w:szCs w:val="20"/>
      <w:lang w:val="en-GB" w:eastAsia="fr-FR"/>
    </w:rPr>
  </w:style>
  <w:style w:type="character" w:customStyle="1" w:styleId="BodyTextChar">
    <w:name w:val="Body Text Char"/>
    <w:aliases w:val="Body Text Char Char Char Char Char Char,Body Text Char Char Char Char1,Body Text Char Char Char Char Char1,Corps de texte Car Char,Body Text Char Car Char,Body Text Char Char Char Char Char Car Char,Body Text Char Char Char Car Char"/>
    <w:basedOn w:val="DefaultParagraphFont"/>
    <w:link w:val="BodyText"/>
    <w:rsid w:val="00EE370D"/>
    <w:rPr>
      <w:rFonts w:ascii="Times New Roman" w:eastAsia="Times New Roman" w:hAnsi="Times New Roman" w:cs="Arial"/>
      <w:bCs/>
      <w:szCs w:val="20"/>
      <w:lang w:val="en-GB" w:eastAsia="fr-FR"/>
    </w:rPr>
  </w:style>
  <w:style w:type="paragraph" w:styleId="Footer">
    <w:name w:val="footer"/>
    <w:basedOn w:val="Normal"/>
    <w:link w:val="FooterChar"/>
    <w:uiPriority w:val="99"/>
    <w:rsid w:val="00EE370D"/>
    <w:pPr>
      <w:tabs>
        <w:tab w:val="center" w:pos="4536"/>
        <w:tab w:val="right" w:pos="9072"/>
      </w:tabs>
    </w:pPr>
  </w:style>
  <w:style w:type="character" w:customStyle="1" w:styleId="FooterChar">
    <w:name w:val="Footer Char"/>
    <w:basedOn w:val="DefaultParagraphFont"/>
    <w:link w:val="Footer"/>
    <w:uiPriority w:val="99"/>
    <w:rsid w:val="00EE370D"/>
    <w:rPr>
      <w:rFonts w:ascii="Times New Roman" w:eastAsia="Times New Roman" w:hAnsi="Times New Roman" w:cs="Times New Roman"/>
      <w:szCs w:val="20"/>
      <w:lang w:val="sr-Cyrl-RS" w:eastAsia="fr-FR"/>
    </w:rPr>
  </w:style>
  <w:style w:type="character" w:styleId="PageNumber">
    <w:name w:val="page number"/>
    <w:basedOn w:val="DefaultParagraphFont"/>
    <w:rsid w:val="00EE370D"/>
  </w:style>
  <w:style w:type="paragraph" w:styleId="Header">
    <w:name w:val="header"/>
    <w:basedOn w:val="Normal"/>
    <w:link w:val="HeaderChar"/>
    <w:uiPriority w:val="99"/>
    <w:rsid w:val="00EE370D"/>
    <w:pPr>
      <w:tabs>
        <w:tab w:val="center" w:pos="4536"/>
        <w:tab w:val="right" w:pos="9072"/>
      </w:tabs>
    </w:pPr>
  </w:style>
  <w:style w:type="character" w:customStyle="1" w:styleId="HeaderChar">
    <w:name w:val="Header Char"/>
    <w:basedOn w:val="DefaultParagraphFont"/>
    <w:link w:val="Header"/>
    <w:uiPriority w:val="99"/>
    <w:rsid w:val="00EE370D"/>
    <w:rPr>
      <w:rFonts w:ascii="Times New Roman" w:eastAsia="Times New Roman" w:hAnsi="Times New Roman" w:cs="Times New Roman"/>
      <w:szCs w:val="20"/>
      <w:lang w:val="sr-Cyrl-RS" w:eastAsia="fr-FR"/>
    </w:rPr>
  </w:style>
  <w:style w:type="paragraph" w:customStyle="1" w:styleId="Num1">
    <w:name w:val="Num1"/>
    <w:rsid w:val="00EE370D"/>
    <w:pPr>
      <w:numPr>
        <w:numId w:val="1"/>
      </w:numPr>
      <w:spacing w:before="120" w:after="240" w:line="260" w:lineRule="atLeast"/>
      <w:jc w:val="both"/>
    </w:pPr>
    <w:rPr>
      <w:rFonts w:ascii="Times New Roman" w:eastAsia="Calibri" w:hAnsi="Times New Roman" w:cs="Times New Roman"/>
      <w:lang w:val="fr"/>
    </w:rPr>
  </w:style>
  <w:style w:type="paragraph" w:customStyle="1" w:styleId="Num2">
    <w:name w:val="Num2"/>
    <w:rsid w:val="00EE370D"/>
    <w:pPr>
      <w:numPr>
        <w:ilvl w:val="1"/>
        <w:numId w:val="1"/>
      </w:numPr>
      <w:spacing w:after="240" w:line="240" w:lineRule="auto"/>
      <w:jc w:val="both"/>
    </w:pPr>
    <w:rPr>
      <w:rFonts w:ascii="Times New Roman" w:eastAsia="Calibri" w:hAnsi="Times New Roman" w:cs="Times New Roman"/>
      <w:lang w:val="fr"/>
    </w:rPr>
  </w:style>
  <w:style w:type="paragraph" w:customStyle="1" w:styleId="Num3">
    <w:name w:val="Num3"/>
    <w:rsid w:val="00EE370D"/>
    <w:pPr>
      <w:numPr>
        <w:ilvl w:val="2"/>
        <w:numId w:val="1"/>
      </w:numPr>
      <w:spacing w:after="240" w:line="240" w:lineRule="auto"/>
      <w:jc w:val="both"/>
    </w:pPr>
    <w:rPr>
      <w:rFonts w:ascii="Times New Roman" w:eastAsia="Calibri" w:hAnsi="Times New Roman" w:cs="Times New Roman"/>
      <w:lang w:val="fr"/>
    </w:rPr>
  </w:style>
  <w:style w:type="paragraph" w:customStyle="1" w:styleId="Num4">
    <w:name w:val="Num4"/>
    <w:rsid w:val="00EE370D"/>
    <w:pPr>
      <w:numPr>
        <w:ilvl w:val="3"/>
        <w:numId w:val="1"/>
      </w:numPr>
      <w:spacing w:after="240" w:line="240" w:lineRule="auto"/>
      <w:jc w:val="both"/>
    </w:pPr>
    <w:rPr>
      <w:rFonts w:ascii="Times New Roman" w:eastAsia="Calibri" w:hAnsi="Times New Roman" w:cs="Times New Roman"/>
      <w:lang w:val="fr"/>
    </w:rPr>
  </w:style>
  <w:style w:type="paragraph" w:customStyle="1" w:styleId="Num5">
    <w:name w:val="Num5"/>
    <w:rsid w:val="00EE370D"/>
    <w:pPr>
      <w:numPr>
        <w:ilvl w:val="4"/>
        <w:numId w:val="1"/>
      </w:numPr>
      <w:spacing w:after="240" w:line="240" w:lineRule="auto"/>
      <w:jc w:val="both"/>
    </w:pPr>
    <w:rPr>
      <w:rFonts w:ascii="Times New Roman" w:eastAsia="Calibri" w:hAnsi="Times New Roman" w:cs="Times New Roman"/>
      <w:lang w:val="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370D"/>
    <w:pPr>
      <w:spacing w:after="0" w:line="240" w:lineRule="auto"/>
      <w:jc w:val="both"/>
    </w:pPr>
    <w:rPr>
      <w:rFonts w:ascii="Times New Roman" w:eastAsia="Times New Roman" w:hAnsi="Times New Roman" w:cs="Times New Roman"/>
      <w:szCs w:val="20"/>
      <w:lang w:val="sr-Cyrl-RS"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 Char Char Char Char Char,Body Text Char Char Char,Body Text Char Char Char Char,Corps de texte Car,Body Text Char Car,Body Text Char Char Char Char Char Car,Body Text Char Char Char Car,Main text,Main text Car,CT"/>
    <w:link w:val="BodyTextChar"/>
    <w:rsid w:val="00EE370D"/>
    <w:pPr>
      <w:spacing w:after="240" w:line="240" w:lineRule="auto"/>
      <w:jc w:val="both"/>
    </w:pPr>
    <w:rPr>
      <w:rFonts w:ascii="Times New Roman" w:eastAsia="Times New Roman" w:hAnsi="Times New Roman" w:cs="Arial"/>
      <w:bCs/>
      <w:szCs w:val="20"/>
      <w:lang w:val="en-GB" w:eastAsia="fr-FR"/>
    </w:rPr>
  </w:style>
  <w:style w:type="character" w:customStyle="1" w:styleId="BodyTextChar">
    <w:name w:val="Body Text Char"/>
    <w:aliases w:val="Body Text Char Char Char Char Char Char,Body Text Char Char Char Char1,Body Text Char Char Char Char Char1,Corps de texte Car Char,Body Text Char Car Char,Body Text Char Char Char Char Char Car Char,Body Text Char Char Char Car Char"/>
    <w:basedOn w:val="DefaultParagraphFont"/>
    <w:link w:val="BodyText"/>
    <w:rsid w:val="00EE370D"/>
    <w:rPr>
      <w:rFonts w:ascii="Times New Roman" w:eastAsia="Times New Roman" w:hAnsi="Times New Roman" w:cs="Arial"/>
      <w:bCs/>
      <w:szCs w:val="20"/>
      <w:lang w:val="en-GB" w:eastAsia="fr-FR"/>
    </w:rPr>
  </w:style>
  <w:style w:type="paragraph" w:styleId="Footer">
    <w:name w:val="footer"/>
    <w:basedOn w:val="Normal"/>
    <w:link w:val="FooterChar"/>
    <w:uiPriority w:val="99"/>
    <w:rsid w:val="00EE370D"/>
    <w:pPr>
      <w:tabs>
        <w:tab w:val="center" w:pos="4536"/>
        <w:tab w:val="right" w:pos="9072"/>
      </w:tabs>
    </w:pPr>
  </w:style>
  <w:style w:type="character" w:customStyle="1" w:styleId="FooterChar">
    <w:name w:val="Footer Char"/>
    <w:basedOn w:val="DefaultParagraphFont"/>
    <w:link w:val="Footer"/>
    <w:uiPriority w:val="99"/>
    <w:rsid w:val="00EE370D"/>
    <w:rPr>
      <w:rFonts w:ascii="Times New Roman" w:eastAsia="Times New Roman" w:hAnsi="Times New Roman" w:cs="Times New Roman"/>
      <w:szCs w:val="20"/>
      <w:lang w:val="sr-Cyrl-RS" w:eastAsia="fr-FR"/>
    </w:rPr>
  </w:style>
  <w:style w:type="character" w:styleId="PageNumber">
    <w:name w:val="page number"/>
    <w:basedOn w:val="DefaultParagraphFont"/>
    <w:rsid w:val="00EE370D"/>
  </w:style>
  <w:style w:type="paragraph" w:styleId="Header">
    <w:name w:val="header"/>
    <w:basedOn w:val="Normal"/>
    <w:link w:val="HeaderChar"/>
    <w:uiPriority w:val="99"/>
    <w:rsid w:val="00EE370D"/>
    <w:pPr>
      <w:tabs>
        <w:tab w:val="center" w:pos="4536"/>
        <w:tab w:val="right" w:pos="9072"/>
      </w:tabs>
    </w:pPr>
  </w:style>
  <w:style w:type="character" w:customStyle="1" w:styleId="HeaderChar">
    <w:name w:val="Header Char"/>
    <w:basedOn w:val="DefaultParagraphFont"/>
    <w:link w:val="Header"/>
    <w:uiPriority w:val="99"/>
    <w:rsid w:val="00EE370D"/>
    <w:rPr>
      <w:rFonts w:ascii="Times New Roman" w:eastAsia="Times New Roman" w:hAnsi="Times New Roman" w:cs="Times New Roman"/>
      <w:szCs w:val="20"/>
      <w:lang w:val="sr-Cyrl-RS" w:eastAsia="fr-FR"/>
    </w:rPr>
  </w:style>
  <w:style w:type="paragraph" w:customStyle="1" w:styleId="Num1">
    <w:name w:val="Num1"/>
    <w:rsid w:val="00EE370D"/>
    <w:pPr>
      <w:numPr>
        <w:numId w:val="1"/>
      </w:numPr>
      <w:spacing w:before="120" w:after="240" w:line="260" w:lineRule="atLeast"/>
      <w:jc w:val="both"/>
    </w:pPr>
    <w:rPr>
      <w:rFonts w:ascii="Times New Roman" w:eastAsia="Calibri" w:hAnsi="Times New Roman" w:cs="Times New Roman"/>
      <w:lang w:val="fr"/>
    </w:rPr>
  </w:style>
  <w:style w:type="paragraph" w:customStyle="1" w:styleId="Num2">
    <w:name w:val="Num2"/>
    <w:rsid w:val="00EE370D"/>
    <w:pPr>
      <w:numPr>
        <w:ilvl w:val="1"/>
        <w:numId w:val="1"/>
      </w:numPr>
      <w:spacing w:after="240" w:line="240" w:lineRule="auto"/>
      <w:jc w:val="both"/>
    </w:pPr>
    <w:rPr>
      <w:rFonts w:ascii="Times New Roman" w:eastAsia="Calibri" w:hAnsi="Times New Roman" w:cs="Times New Roman"/>
      <w:lang w:val="fr"/>
    </w:rPr>
  </w:style>
  <w:style w:type="paragraph" w:customStyle="1" w:styleId="Num3">
    <w:name w:val="Num3"/>
    <w:rsid w:val="00EE370D"/>
    <w:pPr>
      <w:numPr>
        <w:ilvl w:val="2"/>
        <w:numId w:val="1"/>
      </w:numPr>
      <w:spacing w:after="240" w:line="240" w:lineRule="auto"/>
      <w:jc w:val="both"/>
    </w:pPr>
    <w:rPr>
      <w:rFonts w:ascii="Times New Roman" w:eastAsia="Calibri" w:hAnsi="Times New Roman" w:cs="Times New Roman"/>
      <w:lang w:val="fr"/>
    </w:rPr>
  </w:style>
  <w:style w:type="paragraph" w:customStyle="1" w:styleId="Num4">
    <w:name w:val="Num4"/>
    <w:rsid w:val="00EE370D"/>
    <w:pPr>
      <w:numPr>
        <w:ilvl w:val="3"/>
        <w:numId w:val="1"/>
      </w:numPr>
      <w:spacing w:after="240" w:line="240" w:lineRule="auto"/>
      <w:jc w:val="both"/>
    </w:pPr>
    <w:rPr>
      <w:rFonts w:ascii="Times New Roman" w:eastAsia="Calibri" w:hAnsi="Times New Roman" w:cs="Times New Roman"/>
      <w:lang w:val="fr"/>
    </w:rPr>
  </w:style>
  <w:style w:type="paragraph" w:customStyle="1" w:styleId="Num5">
    <w:name w:val="Num5"/>
    <w:rsid w:val="00EE370D"/>
    <w:pPr>
      <w:numPr>
        <w:ilvl w:val="4"/>
        <w:numId w:val="1"/>
      </w:numPr>
      <w:spacing w:after="240" w:line="240" w:lineRule="auto"/>
      <w:jc w:val="both"/>
    </w:pPr>
    <w:rPr>
      <w:rFonts w:ascii="Times New Roman" w:eastAsia="Calibri" w:hAnsi="Times New Roman" w:cs="Times New Roman"/>
      <w:lang w:val="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8696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1369</Words>
  <Characters>7806</Characters>
  <Application>Microsoft Office Word</Application>
  <DocSecurity>0</DocSecurity>
  <Lines>65</Lines>
  <Paragraphs>18</Paragraphs>
  <ScaleCrop>false</ScaleCrop>
  <Company/>
  <LinksUpToDate>false</LinksUpToDate>
  <CharactersWithSpaces>9157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Ljubinka Stojkovic</dc:creator>
  <cp:keywords/>
  <dc:description/>
  <cp:lastModifiedBy>Strahinja Vujicic</cp:lastModifiedBy>
  <cp:revision>8</cp:revision>
  <dcterms:created xsi:type="dcterms:W3CDTF">2021-06-10T08:04:00Z</dcterms:created>
  <dcterms:modified xsi:type="dcterms:W3CDTF">2021-06-11T06:58:00Z</dcterms:modified>
</cp:coreProperties>
</file>