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5E5" w:rsidRPr="00DF5973" w:rsidRDefault="006075E5" w:rsidP="006075E5">
      <w:pPr>
        <w:pStyle w:val="BodyText"/>
        <w:rPr>
          <w:rFonts w:cs="Times New Roman"/>
          <w:sz w:val="24"/>
          <w:szCs w:val="24"/>
          <w:lang w:val="sr-Cyrl-CS"/>
        </w:rPr>
      </w:pPr>
    </w:p>
    <w:p w:rsidR="006075E5" w:rsidRPr="00DF5973" w:rsidRDefault="006075E5" w:rsidP="006075E5">
      <w:pPr>
        <w:spacing w:line="312" w:lineRule="exact"/>
        <w:jc w:val="center"/>
        <w:outlineLvl w:val="0"/>
        <w:rPr>
          <w:sz w:val="24"/>
          <w:szCs w:val="24"/>
          <w:lang w:val="sr-Cyrl-CS" w:eastAsia="de-DE"/>
        </w:rPr>
      </w:pPr>
      <w:bookmarkStart w:id="0" w:name="_GoBack"/>
      <w:bookmarkEnd w:id="0"/>
      <w:r w:rsidRPr="00DF5973">
        <w:rPr>
          <w:sz w:val="24"/>
          <w:szCs w:val="24"/>
          <w:lang w:val="sr-Cyrl-CS" w:eastAsia="de-DE"/>
        </w:rPr>
        <w:t>О Б Р А З Л О Ж Е Њ Е</w:t>
      </w:r>
    </w:p>
    <w:p w:rsidR="006075E5" w:rsidRPr="00DF5973" w:rsidRDefault="006075E5" w:rsidP="006075E5">
      <w:pPr>
        <w:spacing w:line="312" w:lineRule="exact"/>
        <w:ind w:firstLine="720"/>
        <w:jc w:val="center"/>
        <w:rPr>
          <w:sz w:val="24"/>
          <w:szCs w:val="24"/>
          <w:lang w:val="sr-Cyrl-CS" w:eastAsia="de-DE"/>
        </w:rPr>
      </w:pPr>
    </w:p>
    <w:p w:rsidR="006075E5" w:rsidRPr="00DF5973" w:rsidRDefault="006075E5" w:rsidP="006075E5">
      <w:pPr>
        <w:spacing w:line="312" w:lineRule="exact"/>
        <w:jc w:val="left"/>
        <w:rPr>
          <w:bCs/>
          <w:sz w:val="24"/>
          <w:szCs w:val="24"/>
          <w:lang w:val="sr-Cyrl-CS" w:eastAsia="de-DE"/>
        </w:rPr>
      </w:pPr>
      <w:r w:rsidRPr="00DF5973">
        <w:rPr>
          <w:bCs/>
          <w:sz w:val="24"/>
          <w:szCs w:val="24"/>
          <w:lang w:val="sr-Cyrl-CS" w:eastAsia="de-DE"/>
        </w:rPr>
        <w:t xml:space="preserve">I. </w:t>
      </w:r>
      <w:r w:rsidRPr="00DF5973">
        <w:rPr>
          <w:bCs/>
          <w:sz w:val="24"/>
          <w:szCs w:val="24"/>
          <w:lang w:val="sr-Cyrl-CS" w:eastAsia="de-DE"/>
        </w:rPr>
        <w:tab/>
        <w:t>УСТАВНИ ОСНОВ ЗА ДОНОШЕЊЕ ЗАКОНА</w:t>
      </w:r>
    </w:p>
    <w:p w:rsidR="006075E5" w:rsidRPr="00DF5973" w:rsidRDefault="006075E5" w:rsidP="006075E5">
      <w:pPr>
        <w:spacing w:line="312" w:lineRule="exact"/>
        <w:jc w:val="left"/>
        <w:rPr>
          <w:bCs/>
          <w:sz w:val="24"/>
          <w:szCs w:val="24"/>
          <w:lang w:val="sr-Cyrl-CS" w:eastAsia="de-DE"/>
        </w:rPr>
      </w:pPr>
    </w:p>
    <w:p w:rsidR="006075E5" w:rsidRPr="00DF5973" w:rsidRDefault="006075E5" w:rsidP="006075E5">
      <w:pPr>
        <w:rPr>
          <w:sz w:val="24"/>
          <w:szCs w:val="24"/>
          <w:lang w:val="sr-Cyrl-CS" w:eastAsia="de-DE"/>
        </w:rPr>
      </w:pPr>
      <w:r w:rsidRPr="00DF5973">
        <w:rPr>
          <w:sz w:val="24"/>
          <w:szCs w:val="24"/>
          <w:lang w:val="sr-Cyrl-CS" w:eastAsia="de-DE"/>
        </w:rPr>
        <w:t xml:space="preserve"> </w:t>
      </w:r>
      <w:r w:rsidRPr="00DF5973">
        <w:rPr>
          <w:sz w:val="24"/>
          <w:szCs w:val="24"/>
          <w:lang w:val="sr-Cyrl-CS" w:eastAsia="de-DE"/>
        </w:rPr>
        <w:tab/>
        <w:t>Уставни основ за доношење овог закона садржан је у члану 99. став 1. тачка 4. Устава Републике Србије према коме Народна скупштина потврђује међународне уговоре када је законом предвиђена обавеза њиховог потврђивања.</w:t>
      </w:r>
    </w:p>
    <w:p w:rsidR="006075E5" w:rsidRPr="00DF5973" w:rsidRDefault="006075E5" w:rsidP="006075E5">
      <w:pPr>
        <w:spacing w:line="312" w:lineRule="exact"/>
        <w:rPr>
          <w:sz w:val="24"/>
          <w:szCs w:val="24"/>
          <w:highlight w:val="yellow"/>
          <w:lang w:val="sr-Cyrl-CS" w:eastAsia="de-DE"/>
        </w:rPr>
      </w:pPr>
      <w:r w:rsidRPr="00DF5973">
        <w:rPr>
          <w:sz w:val="24"/>
          <w:szCs w:val="24"/>
          <w:highlight w:val="yellow"/>
          <w:lang w:val="sr-Cyrl-CS" w:eastAsia="de-DE"/>
        </w:rPr>
        <w:t xml:space="preserve"> </w:t>
      </w:r>
    </w:p>
    <w:p w:rsidR="006075E5" w:rsidRPr="00DF5973" w:rsidRDefault="006075E5" w:rsidP="006075E5">
      <w:pPr>
        <w:pStyle w:val="Num3"/>
        <w:numPr>
          <w:ilvl w:val="0"/>
          <w:numId w:val="0"/>
        </w:numPr>
        <w:rPr>
          <w:lang w:val="sr-Cyrl-CS" w:eastAsia="de-DE"/>
        </w:rPr>
      </w:pPr>
      <w:r w:rsidRPr="00DF5973">
        <w:rPr>
          <w:bCs/>
          <w:sz w:val="24"/>
          <w:szCs w:val="24"/>
          <w:lang w:val="sr-Cyrl-CS" w:eastAsia="de-DE"/>
        </w:rPr>
        <w:t>I I.</w:t>
      </w:r>
      <w:r w:rsidRPr="00DF5973">
        <w:rPr>
          <w:bCs/>
          <w:sz w:val="24"/>
          <w:szCs w:val="24"/>
          <w:lang w:val="sr-Cyrl-CS" w:eastAsia="de-DE"/>
        </w:rPr>
        <w:tab/>
      </w:r>
      <w:r w:rsidRPr="00DF5973">
        <w:rPr>
          <w:lang w:val="sr-Cyrl-CS"/>
        </w:rPr>
        <w:t xml:space="preserve"> РАЗЛОЗИ ЗА ПОТВРЂИВАЊЕ</w:t>
      </w:r>
      <w:r w:rsidRPr="00DF5973">
        <w:rPr>
          <w:lang w:val="sr-Cyrl-CS" w:eastAsia="de-DE"/>
        </w:rPr>
        <w:t xml:space="preserve"> СПОРАЗУМА</w:t>
      </w:r>
    </w:p>
    <w:p w:rsidR="006075E5" w:rsidRPr="00DF5973" w:rsidRDefault="006075E5" w:rsidP="006075E5">
      <w:pPr>
        <w:ind w:firstLine="720"/>
        <w:rPr>
          <w:bCs/>
          <w:lang w:val="sr-Cyrl-CS"/>
        </w:rPr>
      </w:pPr>
      <w:r w:rsidRPr="00DF5973">
        <w:rPr>
          <w:bCs/>
          <w:lang w:val="sr-Cyrl-CS"/>
        </w:rPr>
        <w:t xml:space="preserve">Реализација Пројекта </w:t>
      </w:r>
      <w:r w:rsidRPr="00DF5973">
        <w:rPr>
          <w:lang w:val="sr-Cyrl-CS"/>
        </w:rPr>
        <w:t>модернизације железничког сектора у Србији - прва фаза</w:t>
      </w:r>
      <w:r w:rsidRPr="00DF5973">
        <w:rPr>
          <w:bCs/>
          <w:lang w:val="sr-Cyrl-CS"/>
        </w:rPr>
        <w:t xml:space="preserve"> (у даљем тексту: Пројекат), који ће финансијски подржати Светска банка и Француска агенција за развој, треба да допринесе модернизацији сектора железнице у Србији и усмерен је на побољшање ефикасности и безбедности железничке мреже Србије и побољшање еколошке одрживости транспортног система Србије. </w:t>
      </w:r>
    </w:p>
    <w:p w:rsidR="006075E5" w:rsidRPr="00DF5973" w:rsidRDefault="006075E5" w:rsidP="006075E5">
      <w:pPr>
        <w:ind w:firstLine="720"/>
        <w:rPr>
          <w:bCs/>
          <w:lang w:val="sr-Cyrl-CS"/>
        </w:rPr>
      </w:pPr>
      <w:r w:rsidRPr="00DF5973">
        <w:rPr>
          <w:bCs/>
          <w:lang w:val="sr-Cyrl-CS"/>
        </w:rPr>
        <w:t>Оперативни циљ Пројекта прве фазе је: Повећање ефикасности и сигурности постојеће железничке имовине и унапређење управљања и институционалних капацитета сектора железница. Укупна вредност Пројекта прве фазе износи 102.000.000 евра.</w:t>
      </w:r>
    </w:p>
    <w:p w:rsidR="006075E5" w:rsidRPr="00DF5973" w:rsidRDefault="006075E5" w:rsidP="006075E5">
      <w:pPr>
        <w:ind w:firstLine="720"/>
        <w:rPr>
          <w:bCs/>
          <w:lang w:val="sr-Cyrl-CS"/>
        </w:rPr>
      </w:pPr>
      <w:r w:rsidRPr="00DF5973">
        <w:rPr>
          <w:bCs/>
          <w:lang w:val="sr-Cyrl-CS"/>
        </w:rPr>
        <w:t>Оперативни циљ овакве врсте зајма за инвестиционо пројектно финансирање (Investment Project Financing-IPF) јесте побољшање ефикасности и безбедности железничке мреже Србије и побољшање еколошке одрживости српског транспортног система (у даљем тексту: Програм). Овај циљ биће спроведен кроз вишефазни програмски приступ (Multiphase Programmatic Approach - MPA). Вишефазни програмски приступ је нови модалитет финансирања Банке који одговара дугорочним, великим или комплексним ангажманима, као скуп мањих повезаних операција или фаза, у оквиру једног програма.</w:t>
      </w:r>
    </w:p>
    <w:p w:rsidR="006075E5" w:rsidRPr="00DF5973" w:rsidRDefault="006075E5" w:rsidP="006075E5">
      <w:pPr>
        <w:ind w:firstLine="720"/>
        <w:rPr>
          <w:lang w:val="sr-Cyrl-CS"/>
        </w:rPr>
      </w:pPr>
      <w:r w:rsidRPr="00DF5973">
        <w:rPr>
          <w:lang w:val="sr-Cyrl-CS"/>
        </w:rPr>
        <w:t xml:space="preserve">Законом о буџету Републике Србије за 2021. годину („Службени гласник РС”, бр. </w:t>
      </w:r>
      <w:r w:rsidRPr="00DF5973">
        <w:rPr>
          <w:bCs/>
          <w:szCs w:val="24"/>
          <w:lang w:val="sr-Cyrl-CS" w:eastAsia="en-US"/>
        </w:rPr>
        <w:t>149/20 и 40/21</w:t>
      </w:r>
      <w:r w:rsidRPr="00DF5973">
        <w:rPr>
          <w:lang w:val="sr-Cyrl-CS"/>
        </w:rPr>
        <w:t xml:space="preserve">) у члану 3.Б. предвиђено је задуживање код Међународне банке за обнову и развој до износа од 51.000.000 евра као и задуживање код Француске агенције за развој до износа од 51.000.000 евра за Пројекат модернизације железничког сектора у Србији – прва фаза. </w:t>
      </w:r>
    </w:p>
    <w:p w:rsidR="006075E5" w:rsidRPr="00DF5973" w:rsidRDefault="006075E5" w:rsidP="006075E5">
      <w:pPr>
        <w:ind w:firstLine="720"/>
        <w:rPr>
          <w:lang w:val="sr-Cyrl-CS"/>
        </w:rPr>
      </w:pPr>
      <w:r w:rsidRPr="00DF5973">
        <w:rPr>
          <w:lang w:val="sr-Cyrl-CS"/>
        </w:rPr>
        <w:t xml:space="preserve">Закључком Владе 05 Број: 48-214/2021 од 14. јануара 2021. године, утврђена је Основа за преговоре са Међународном банком за обнову и развој и Француском агенцијом за развој у вези са одобравањем зајма за Пројекат модернизације железничког сектора у Србији - прва фаза и одређен преговарачки тим Републике Србије. </w:t>
      </w:r>
    </w:p>
    <w:p w:rsidR="006075E5" w:rsidRPr="00DF5973" w:rsidRDefault="006075E5" w:rsidP="006075E5">
      <w:pPr>
        <w:ind w:firstLine="720"/>
        <w:rPr>
          <w:lang w:val="sr-Cyrl-CS"/>
        </w:rPr>
      </w:pPr>
      <w:r w:rsidRPr="00DF5973">
        <w:rPr>
          <w:lang w:val="sr-Cyrl-CS"/>
        </w:rPr>
        <w:t xml:space="preserve"> На преговорима, вођеним 18. и 21. јануара  2021. године, стране су путем аудио-видео комуникације са Дирекцијом банке у Вашингтону, договориле услове и начин коришћења зајма у износу од 51.000.000 евра и усагласиле одредбе Споразума о зајму. </w:t>
      </w:r>
    </w:p>
    <w:p w:rsidR="006075E5" w:rsidRPr="00DF5973" w:rsidRDefault="006075E5" w:rsidP="006075E5">
      <w:pPr>
        <w:ind w:firstLine="720"/>
        <w:rPr>
          <w:bCs/>
          <w:color w:val="000000"/>
          <w:lang w:val="sr-Cyrl-CS"/>
        </w:rPr>
      </w:pPr>
      <w:r w:rsidRPr="00DF5973">
        <w:rPr>
          <w:bCs/>
          <w:color w:val="000000"/>
          <w:lang w:val="sr-Cyrl-CS"/>
        </w:rPr>
        <w:t>Циљ Пројекта јесте повећање ефикасности и безбедности постојеће железничке инфраструктуре и унапређење управљања и институционалних капацитета у сектору железнице.</w:t>
      </w:r>
    </w:p>
    <w:p w:rsidR="006075E5" w:rsidRPr="00DF5973" w:rsidRDefault="006075E5" w:rsidP="006075E5">
      <w:pPr>
        <w:ind w:firstLine="720"/>
        <w:rPr>
          <w:bCs/>
          <w:color w:val="000000"/>
          <w:lang w:val="sr-Cyrl-CS"/>
        </w:rPr>
      </w:pPr>
      <w:r w:rsidRPr="00DF5973">
        <w:rPr>
          <w:bCs/>
          <w:color w:val="000000"/>
          <w:lang w:val="sr-Cyrl-CS"/>
        </w:rPr>
        <w:t>Пројекат је структу</w:t>
      </w:r>
      <w:r w:rsidR="00DF5973">
        <w:rPr>
          <w:bCs/>
          <w:color w:val="000000"/>
          <w:lang w:val="sr-Cyrl-CS"/>
        </w:rPr>
        <w:t>р</w:t>
      </w:r>
      <w:r w:rsidRPr="00DF5973">
        <w:rPr>
          <w:bCs/>
          <w:color w:val="000000"/>
          <w:lang w:val="sr-Cyrl-CS"/>
        </w:rPr>
        <w:t>иран кроз спровођење активности подељених у три основне компоненте:</w:t>
      </w:r>
    </w:p>
    <w:p w:rsidR="006075E5" w:rsidRPr="00DF5973" w:rsidRDefault="006075E5" w:rsidP="006075E5">
      <w:pPr>
        <w:ind w:firstLine="720"/>
        <w:rPr>
          <w:b/>
          <w:bCs/>
          <w:color w:val="000000"/>
          <w:lang w:val="sr-Cyrl-CS"/>
        </w:rPr>
      </w:pPr>
      <w:r w:rsidRPr="00DF5973">
        <w:rPr>
          <w:b/>
          <w:bCs/>
          <w:color w:val="000000"/>
          <w:lang w:val="sr-Cyrl-CS"/>
        </w:rPr>
        <w:t xml:space="preserve">Компонента 1: Улагања у инфраструктуру и управљање имовином </w:t>
      </w:r>
    </w:p>
    <w:p w:rsidR="006075E5" w:rsidRPr="00DF5973" w:rsidRDefault="006075E5" w:rsidP="006075E5">
      <w:pPr>
        <w:ind w:firstLine="720"/>
        <w:rPr>
          <w:bCs/>
          <w:color w:val="000000"/>
          <w:lang w:val="sr-Cyrl-CS"/>
        </w:rPr>
      </w:pPr>
      <w:r w:rsidRPr="00DF5973">
        <w:rPr>
          <w:bCs/>
          <w:color w:val="000000"/>
          <w:lang w:val="sr-Cyrl-CS"/>
        </w:rPr>
        <w:t xml:space="preserve">Ова компонента се фокусира на побољшање квалитета и сигурности железничке инфраструктуре и унапређење праксе управљања железничком имовином. Квалитет железничке мреже биће побољшан циљаним интервенцијама обнове и припремом техничке документације за улагања у наредним фазама Програма. Безбедност на железници ће бити побољшана обнављањем пруга, као и унапређењем пружних прелаза широм Србије. Да би се осигурала дугорочна одрживост амбициозног плана инвестиција Владе у железницу и да би се обезбедило систематско, </w:t>
      </w:r>
      <w:r w:rsidRPr="00DF5973">
        <w:rPr>
          <w:bCs/>
          <w:color w:val="000000"/>
          <w:lang w:val="sr-Cyrl-CS"/>
        </w:rPr>
        <w:lastRenderedPageBreak/>
        <w:t>транспарентно и објективно планирање инвестиција у одржавање и обнову инфраструктуре, ова компонента ће финансирати увођење Система за управљање имовином (укључујући способност спровођења Анализе трошкова животног циклуса). Компонента ће, сходно томе, бити спроведена кроз следеће поткомпоненте: (1) Поуздана и безбедна железничка инфраструктура, (2) Техничка документација и (3) Управљање имовином.</w:t>
      </w:r>
    </w:p>
    <w:p w:rsidR="006075E5" w:rsidRPr="00DF5973" w:rsidRDefault="006075E5" w:rsidP="006075E5">
      <w:pPr>
        <w:ind w:firstLine="720"/>
        <w:rPr>
          <w:b/>
          <w:bCs/>
          <w:color w:val="000000"/>
          <w:lang w:val="sr-Cyrl-CS"/>
        </w:rPr>
      </w:pPr>
      <w:r w:rsidRPr="00DF5973">
        <w:rPr>
          <w:b/>
          <w:bCs/>
          <w:color w:val="000000"/>
          <w:lang w:val="sr-Cyrl-CS"/>
        </w:rPr>
        <w:t>Компонента 2: Јачање институција и управљање пројектом:</w:t>
      </w:r>
    </w:p>
    <w:p w:rsidR="006075E5" w:rsidRPr="00DF5973" w:rsidRDefault="006075E5" w:rsidP="006075E5">
      <w:pPr>
        <w:ind w:firstLine="720"/>
        <w:rPr>
          <w:bCs/>
          <w:color w:val="000000"/>
          <w:lang w:val="sr-Cyrl-CS"/>
        </w:rPr>
      </w:pPr>
      <w:r w:rsidRPr="00DF5973">
        <w:rPr>
          <w:bCs/>
          <w:color w:val="000000"/>
          <w:lang w:val="sr-Cyrl-CS"/>
        </w:rPr>
        <w:t>Компонента се фокусира на јачање железничке политике и институција са циљем продубљивања и одржавања недавно спроведених реформи. Ове активности ће подржати напоре Владе у наставку спровођења секторских реформи кроз изградњу институционалних капацитета и увођење савремених система управљања и приступа, нарочито оних који ће промовисати ефикасније, транспарентније, оријентисане ка клијенту и комерцијално оријентисане начине пословања. У ту сврху, компонента ће финансирати следеће поткомпоненте: (1) Секторско управљање, (2) Људски капитал и (3) Управљање пројектом и укључивање грађана.</w:t>
      </w:r>
    </w:p>
    <w:p w:rsidR="006075E5" w:rsidRPr="00DF5973" w:rsidRDefault="006075E5" w:rsidP="006075E5">
      <w:pPr>
        <w:ind w:firstLine="720"/>
        <w:rPr>
          <w:b/>
          <w:bCs/>
          <w:color w:val="000000"/>
          <w:lang w:val="sr-Cyrl-CS"/>
        </w:rPr>
      </w:pPr>
      <w:r w:rsidRPr="00DF5973">
        <w:rPr>
          <w:b/>
          <w:bCs/>
          <w:color w:val="000000"/>
          <w:lang w:val="sr-Cyrl-CS"/>
        </w:rPr>
        <w:t xml:space="preserve">Компонента 3: Успостављање окружења за даљу модернизацију железнице </w:t>
      </w:r>
    </w:p>
    <w:p w:rsidR="006075E5" w:rsidRPr="00DF5973" w:rsidRDefault="006075E5" w:rsidP="006075E5">
      <w:pPr>
        <w:ind w:firstLine="720"/>
        <w:rPr>
          <w:bCs/>
          <w:color w:val="000000"/>
          <w:lang w:val="sr-Cyrl-CS"/>
        </w:rPr>
      </w:pPr>
      <w:r w:rsidRPr="00DF5973">
        <w:rPr>
          <w:bCs/>
          <w:color w:val="000000"/>
          <w:lang w:val="sr-Cyrl-CS"/>
        </w:rPr>
        <w:t>Ова компонента ће финансирати мере за заштиту осетљивих и сиромашних и јачање секторских могућности за одрживи развој и отварање радних места. Фокус ће бити на коришћењу информационих технологија у железничком саобраћају, које је још у повоју, и на продубљивању знања о тржишним потенцијалима и развоју стратегија за привлачење неконвенционалних корисника. Комбинацијом техничке помоћи и пилот улагања, следећа три покретачка елемента ће бити подржана: (i) интелигентни систем управљања железницом и безбедношћу ; (ii) интеграција са другим видовима транспорта и урбаним подручјима; и (iii) оптимизација потенцијала тржишта у железничком сектору.</w:t>
      </w:r>
    </w:p>
    <w:p w:rsidR="006075E5" w:rsidRPr="00DF5973" w:rsidRDefault="006075E5" w:rsidP="006075E5">
      <w:pPr>
        <w:ind w:firstLine="720"/>
        <w:rPr>
          <w:bCs/>
          <w:iCs/>
          <w:lang w:val="sr-Cyrl-CS"/>
        </w:rPr>
      </w:pPr>
      <w:r w:rsidRPr="00DF5973">
        <w:rPr>
          <w:bCs/>
          <w:iCs/>
          <w:lang w:val="sr-Cyrl-CS"/>
        </w:rPr>
        <w:t>Фазом 1 МПА ће управљати Министарство грађевинарства, саобраћаја и инфрастр</w:t>
      </w:r>
      <w:r w:rsidR="00DF5973">
        <w:rPr>
          <w:bCs/>
          <w:iCs/>
          <w:lang w:val="sr-Cyrl-CS"/>
        </w:rPr>
        <w:t>у</w:t>
      </w:r>
      <w:r w:rsidRPr="00DF5973">
        <w:rPr>
          <w:bCs/>
          <w:iCs/>
          <w:lang w:val="sr-Cyrl-CS"/>
        </w:rPr>
        <w:t xml:space="preserve">ктуре (МГСИ) кроз Јединицу за имплементацију пројекта (ЈИП), уз подршку Тимова за имплементацију пројекта (ТИП) у Дирекцији за железнице, и железничким предузећима „Инфраструктура железнице Србије” а.д., „Србија Карго” а.д. и „Србија Воз” а.д. ЈИП ће имати примарну одговорност за спровођење Пројекта. ЈИП у оквиру МГСИ је већ успостављена за потребе управљања Пројектом унапређења трговине и саобраћаја Западног Балкана уз примену вишефазног програмског приступа, а нова радна места ће бити успостављена како би се омогућило спровођење овог МПА Програма. ЈИП ће бити ојачана одговарајућим управљачким и техничким капацитетима како би се обезбедило да (1) управља и прати напредак целокупног пројекта, (2) спроводи свакодневну примену пројектних активности и извештавање о напретку, (3) надгледа све пројектне активности које спроводе компаније; (4) припрема техничку документацију за активности које ће се финансирати у оквиру пројекта; и (5) учествује у припреми и оцењивању тендера. </w:t>
      </w:r>
    </w:p>
    <w:p w:rsidR="006075E5" w:rsidRPr="00DF5973" w:rsidRDefault="006075E5" w:rsidP="006075E5">
      <w:pPr>
        <w:ind w:firstLine="720"/>
        <w:rPr>
          <w:bCs/>
          <w:iCs/>
          <w:lang w:val="sr-Cyrl-CS"/>
        </w:rPr>
      </w:pPr>
      <w:r w:rsidRPr="00DF5973">
        <w:rPr>
          <w:bCs/>
          <w:iCs/>
          <w:lang w:val="sr-Cyrl-CS"/>
        </w:rPr>
        <w:t>МГСИ ће преко ЈИП бити задужено за имплементацију свих компоненти. Тимови за имплементацију Пројекта (ТИП) ће деловати као подређене јединице за спровођење како би пружили техничку подршку одређеним поткомпонентама или активностима МПА који се односе на њихове функције. МГСИ ће бити наручилац свих активности финансираних Пројектом. Такође, МГСИ ће потписати споразуме о имплементацији са сваком од наведених железничких предузећа и Дирекцијом за железнице, утврђујући њихове специфичне одговорности у оквиру Пројекта, укључујући успостављање и рад ТИП до тренутка ступања на снагу Пројекта.</w:t>
      </w:r>
    </w:p>
    <w:p w:rsidR="006075E5" w:rsidRPr="00DF5973" w:rsidRDefault="006075E5" w:rsidP="006075E5">
      <w:pPr>
        <w:ind w:firstLine="720"/>
        <w:rPr>
          <w:bCs/>
          <w:lang w:val="sr-Cyrl-CS"/>
        </w:rPr>
      </w:pPr>
      <w:r w:rsidRPr="00DF5973">
        <w:rPr>
          <w:bCs/>
          <w:lang w:val="sr-Cyrl-CS"/>
        </w:rPr>
        <w:t>Централна фидуцијарна јединица (ЦФЈ), формирана у Министарству финансија у октобру 2017. године, као подршка у области финансијског управљања и спровођења набавки за све пројекте у Републици Србији које финансира Светска банка, биће укључена и у овај пројекат. Пројектни оперативни приручник (ПОМ) ће детаљно разјаснити аранжмане за имплементацију, укључујући конкретну поделу одговорности између МГСИ, железничких предузећа и ЦФЈ.</w:t>
      </w:r>
    </w:p>
    <w:p w:rsidR="006075E5" w:rsidRPr="00DF5973" w:rsidRDefault="006075E5" w:rsidP="006075E5">
      <w:pPr>
        <w:ind w:firstLine="720"/>
        <w:rPr>
          <w:lang w:val="sr-Cyrl-CS"/>
        </w:rPr>
      </w:pPr>
      <w:r w:rsidRPr="00DF5973">
        <w:rPr>
          <w:lang w:val="sr-Cyrl-CS"/>
        </w:rPr>
        <w:t xml:space="preserve">На преговорима су констатовани тренутни финансијски услови, у складу са Општим условима Међународне банке за обнову и развој од 14. децембра 2018. године и стандардном политиком, коју Банка примењује код одобравања зајмова за финансирање инвестиционих пројеката. </w:t>
      </w:r>
    </w:p>
    <w:p w:rsidR="006075E5" w:rsidRPr="00DF5973" w:rsidRDefault="006075E5" w:rsidP="006075E5">
      <w:pPr>
        <w:ind w:firstLine="720"/>
        <w:rPr>
          <w:bCs/>
          <w:lang w:val="sr-Cyrl-CS"/>
        </w:rPr>
      </w:pPr>
      <w:r w:rsidRPr="00DF5973">
        <w:rPr>
          <w:bCs/>
          <w:lang w:val="sr-Cyrl-CS"/>
        </w:rPr>
        <w:lastRenderedPageBreak/>
        <w:t>На преговорима је дефинисано да Споразум о зајму предвиђа коришћење механизма ретроактивног финансирања, који подразумева рефундацију трошкова из средстава зајма Светске банке у максималном износу до 1.000.000 евра, у циљу надокнаде за сва плаћања извршена по основу насталих квалификованих трошкова у вези са Пројектом, пре датума потписивања Споразума о зајму, а почевши од 1. јануара 2021. године, укључујући и тај датум.</w:t>
      </w:r>
    </w:p>
    <w:p w:rsidR="006075E5" w:rsidRPr="00DF5973" w:rsidRDefault="006075E5" w:rsidP="006075E5">
      <w:pPr>
        <w:ind w:firstLine="720"/>
        <w:rPr>
          <w:lang w:val="sr-Cyrl-CS"/>
        </w:rPr>
      </w:pPr>
      <w:r w:rsidRPr="00DF5973">
        <w:rPr>
          <w:lang w:val="sr-Cyrl-CS"/>
        </w:rPr>
        <w:t>Договорено је да Зајморимац из средстава зајма плати и приступну накнаду, која се обрачунава по стопи од 0,25% на укупну главницу и плаћа се из средстава зајма једнократно, што износи 127.500 евра.</w:t>
      </w:r>
    </w:p>
    <w:p w:rsidR="006075E5" w:rsidRPr="00DF5973" w:rsidRDefault="006075E5" w:rsidP="006075E5">
      <w:pPr>
        <w:ind w:firstLine="720"/>
        <w:rPr>
          <w:bCs/>
          <w:lang w:val="sr-Cyrl-CS"/>
        </w:rPr>
      </w:pPr>
      <w:r w:rsidRPr="00DF5973">
        <w:rPr>
          <w:bCs/>
          <w:lang w:val="sr-Cyrl-CS"/>
        </w:rPr>
        <w:t xml:space="preserve">Свeтскa бaнкa ћe прaтити стaтус Прoјекта и спровођење договорених активности, кроз полугодишње мисије за подршку имплементацији. </w:t>
      </w:r>
    </w:p>
    <w:p w:rsidR="006075E5" w:rsidRPr="00DF5973" w:rsidRDefault="006075E5" w:rsidP="006075E5">
      <w:pPr>
        <w:ind w:firstLine="720"/>
        <w:rPr>
          <w:lang w:val="sr-Cyrl-CS"/>
        </w:rPr>
      </w:pPr>
      <w:r w:rsidRPr="00DF5973">
        <w:rPr>
          <w:lang w:val="sr-Cyrl-CS"/>
        </w:rPr>
        <w:t xml:space="preserve">Закључком Владе 05 Број: 48-1228/2021 од 11. фебруара 2021. године, прихваћен је Извештај са преговора са Међународном банком за обнову у вези са одобравањем зајма за Пројекат модернизације железничког сектора у Србији применом вишефазног програмског приступа и усвојен је Нацрт споразума о зајму (Пројекат модернизације железничког сектора у Србији применом вишефазног програмског приступа) између Републике Србије и Међународне банке за обнову и развој . Током преговора су дефинисани финансијски услови и начин на који ће се средства овог зајма користити и отплаћивати: </w:t>
      </w:r>
    </w:p>
    <w:p w:rsidR="006075E5" w:rsidRPr="00DF5973" w:rsidRDefault="006075E5" w:rsidP="006075E5">
      <w:pPr>
        <w:ind w:firstLine="720"/>
        <w:rPr>
          <w:lang w:val="sr-Cyrl-CS"/>
        </w:rPr>
      </w:pPr>
      <w:r w:rsidRPr="00DF5973">
        <w:rPr>
          <w:lang w:val="sr-Cyrl-CS"/>
        </w:rPr>
        <w:t>-</w:t>
      </w:r>
      <w:r w:rsidRPr="00DF5973">
        <w:rPr>
          <w:lang w:val="sr-Cyrl-CS"/>
        </w:rPr>
        <w:tab/>
        <w:t>директно задужење Републике Србије: 51.000.000 евра, што представља планирани износ одобрен од стране Банке од 62.500.000 америчких долара прерачунат у евре, применом курса 0,81466395 USD:1 ЕUR на дан 31. децембар 2020. године;</w:t>
      </w:r>
    </w:p>
    <w:p w:rsidR="006075E5" w:rsidRPr="00DF5973" w:rsidRDefault="006075E5" w:rsidP="006075E5">
      <w:pPr>
        <w:ind w:firstLine="720"/>
        <w:rPr>
          <w:lang w:val="sr-Cyrl-CS"/>
        </w:rPr>
      </w:pPr>
      <w:r w:rsidRPr="00DF5973">
        <w:rPr>
          <w:lang w:val="sr-Cyrl-CS"/>
        </w:rPr>
        <w:t>-</w:t>
      </w:r>
      <w:r w:rsidRPr="00DF5973">
        <w:rPr>
          <w:lang w:val="sr-Cyrl-CS"/>
        </w:rPr>
        <w:tab/>
        <w:t>полугодишња отплата зајма, 15. јуна и 15. децембра сваке године;</w:t>
      </w:r>
    </w:p>
    <w:p w:rsidR="006075E5" w:rsidRPr="00DF5973" w:rsidRDefault="006075E5" w:rsidP="006075E5">
      <w:pPr>
        <w:ind w:firstLine="720"/>
        <w:rPr>
          <w:lang w:val="sr-Cyrl-CS"/>
        </w:rPr>
      </w:pPr>
      <w:r w:rsidRPr="00DF5973">
        <w:rPr>
          <w:lang w:val="sr-Cyrl-CS"/>
        </w:rPr>
        <w:t>-</w:t>
      </w:r>
      <w:r w:rsidRPr="00DF5973">
        <w:rPr>
          <w:lang w:val="sr-Cyrl-CS"/>
        </w:rPr>
        <w:tab/>
        <w:t>рок доспећа: 12 година, укључујући период почека од три године, уз отплату главнице у једнаким ратама, од којих прва доспева 15. јуна 2024. године, а последња 15. децембра 2032. године;</w:t>
      </w:r>
    </w:p>
    <w:p w:rsidR="006075E5" w:rsidRPr="00DF5973" w:rsidRDefault="006075E5" w:rsidP="006075E5">
      <w:pPr>
        <w:ind w:firstLine="720"/>
        <w:rPr>
          <w:lang w:val="sr-Cyrl-CS"/>
        </w:rPr>
      </w:pPr>
      <w:r w:rsidRPr="00DF5973">
        <w:rPr>
          <w:lang w:val="sr-Cyrl-CS"/>
        </w:rPr>
        <w:t>-</w:t>
      </w:r>
      <w:r w:rsidRPr="00DF5973">
        <w:rPr>
          <w:lang w:val="sr-Cyrl-CS"/>
        </w:rPr>
        <w:tab/>
        <w:t>приступна накнада: 0,25% на укупну главницу (127.500 евра) и плаћа се из средстава зајма једнократно;</w:t>
      </w:r>
    </w:p>
    <w:p w:rsidR="006075E5" w:rsidRPr="00DF5973" w:rsidRDefault="006075E5" w:rsidP="006075E5">
      <w:pPr>
        <w:ind w:firstLine="720"/>
        <w:rPr>
          <w:lang w:val="sr-Cyrl-CS"/>
        </w:rPr>
      </w:pPr>
      <w:r w:rsidRPr="00DF5973">
        <w:rPr>
          <w:lang w:val="sr-Cyrl-CS"/>
        </w:rPr>
        <w:t>-</w:t>
      </w:r>
      <w:r w:rsidRPr="00DF5973">
        <w:rPr>
          <w:lang w:val="sr-Cyrl-CS"/>
        </w:rPr>
        <w:tab/>
        <w:t>накнада на неповучена средства износи 0,25% на годишњем нивоу;</w:t>
      </w:r>
    </w:p>
    <w:p w:rsidR="006075E5" w:rsidRPr="00DF5973" w:rsidRDefault="006075E5" w:rsidP="006075E5">
      <w:pPr>
        <w:ind w:firstLine="720"/>
        <w:rPr>
          <w:lang w:val="sr-Cyrl-CS"/>
        </w:rPr>
      </w:pPr>
      <w:r w:rsidRPr="00DF5973">
        <w:rPr>
          <w:lang w:val="sr-Cyrl-CS"/>
        </w:rPr>
        <w:t>-</w:t>
      </w:r>
      <w:r w:rsidRPr="00DF5973">
        <w:rPr>
          <w:lang w:val="sr-Cyrl-CS"/>
        </w:rPr>
        <w:tab/>
        <w:t>каматна стопа: шестомесечни EURIBOR + фиксна маржа која тренутно износи 0,65% за зајмове ове рочности у евро валути, уз могућност различитих врста конверзије, ако се процени да је повољније са становишта управљања јавним дугом;</w:t>
      </w:r>
    </w:p>
    <w:p w:rsidR="006075E5" w:rsidRPr="00DF5973" w:rsidRDefault="006075E5" w:rsidP="006075E5">
      <w:pPr>
        <w:ind w:firstLine="720"/>
        <w:rPr>
          <w:lang w:val="sr-Cyrl-CS"/>
        </w:rPr>
      </w:pPr>
      <w:r w:rsidRPr="00DF5973">
        <w:rPr>
          <w:lang w:val="sr-Cyrl-CS"/>
        </w:rPr>
        <w:t>-</w:t>
      </w:r>
      <w:r w:rsidRPr="00DF5973">
        <w:rPr>
          <w:lang w:val="sr-Cyrl-CS"/>
        </w:rPr>
        <w:tab/>
        <w:t>рок расположивости зајма: средства зајма се могу повлачити још четири месеца након 31. децембра 2026. године, што је рок за завршетак Пројекта.</w:t>
      </w:r>
    </w:p>
    <w:p w:rsidR="006075E5" w:rsidRPr="00DF5973" w:rsidRDefault="006075E5" w:rsidP="006075E5">
      <w:pPr>
        <w:ind w:firstLine="720"/>
        <w:rPr>
          <w:lang w:val="sr-Cyrl-CS"/>
        </w:rPr>
      </w:pPr>
    </w:p>
    <w:p w:rsidR="006075E5" w:rsidRPr="00DF5973" w:rsidRDefault="006075E5" w:rsidP="006075E5">
      <w:pPr>
        <w:ind w:firstLine="720"/>
        <w:rPr>
          <w:lang w:val="sr-Cyrl-CS"/>
        </w:rPr>
      </w:pPr>
      <w:r w:rsidRPr="00DF5973">
        <w:rPr>
          <w:lang w:val="sr-Cyrl-CS"/>
        </w:rPr>
        <w:t>Укупна вредност Пројекта модернизације железничког сектора у Србији - прва фаза износиће 102.000.000 евра, и биће кофинансирано средствима зајма одобреног од стране Француске агенције за развој, у преосталом износу од 51.000.000 евра. Потписивање и ступање на снагу Споразума о зајму са Француском агенцијом за развој представља додатни услов за ступање на снагу предметног зајма.</w:t>
      </w:r>
    </w:p>
    <w:p w:rsidR="006075E5" w:rsidRPr="00DF5973" w:rsidRDefault="006075E5" w:rsidP="006075E5">
      <w:pPr>
        <w:spacing w:line="312" w:lineRule="exact"/>
        <w:ind w:firstLine="630"/>
        <w:rPr>
          <w:sz w:val="24"/>
          <w:szCs w:val="24"/>
          <w:lang w:val="sr-Cyrl-CS" w:eastAsia="en-US"/>
        </w:rPr>
      </w:pPr>
    </w:p>
    <w:p w:rsidR="006075E5" w:rsidRPr="00DF5973" w:rsidRDefault="006075E5" w:rsidP="006075E5">
      <w:pPr>
        <w:tabs>
          <w:tab w:val="left" w:pos="1134"/>
        </w:tabs>
        <w:rPr>
          <w:sz w:val="24"/>
          <w:szCs w:val="24"/>
          <w:lang w:val="sr-Cyrl-CS" w:eastAsia="de-DE"/>
        </w:rPr>
      </w:pPr>
      <w:r w:rsidRPr="00DF5973">
        <w:rPr>
          <w:bCs/>
          <w:sz w:val="24"/>
          <w:szCs w:val="24"/>
          <w:lang w:val="sr-Cyrl-CS" w:eastAsia="de-DE"/>
        </w:rPr>
        <w:t xml:space="preserve">III. </w:t>
      </w:r>
      <w:r w:rsidRPr="00DF5973">
        <w:rPr>
          <w:bCs/>
          <w:sz w:val="24"/>
          <w:szCs w:val="24"/>
          <w:lang w:val="sr-Cyrl-CS" w:eastAsia="de-DE"/>
        </w:rPr>
        <w:tab/>
        <w:t>ОБЈАШЊЕЊЕ ОСНОВНИХ ПРАВНИХ ИНСТИТУТА И ПОЈЕДИНАЧНИХ РЕШЕЊА</w:t>
      </w:r>
    </w:p>
    <w:p w:rsidR="006075E5" w:rsidRPr="00DF5973" w:rsidRDefault="006075E5" w:rsidP="006075E5">
      <w:pPr>
        <w:spacing w:line="312" w:lineRule="exact"/>
        <w:rPr>
          <w:sz w:val="24"/>
          <w:szCs w:val="24"/>
          <w:highlight w:val="yellow"/>
          <w:lang w:val="sr-Cyrl-CS" w:eastAsia="de-DE"/>
        </w:rPr>
      </w:pPr>
    </w:p>
    <w:p w:rsidR="006075E5" w:rsidRPr="00DF5973" w:rsidRDefault="006075E5" w:rsidP="006075E5">
      <w:pPr>
        <w:ind w:firstLine="720"/>
        <w:rPr>
          <w:sz w:val="24"/>
          <w:szCs w:val="24"/>
          <w:highlight w:val="yellow"/>
          <w:lang w:val="sr-Cyrl-CS" w:eastAsia="de-DE"/>
        </w:rPr>
      </w:pPr>
      <w:r w:rsidRPr="00DF5973">
        <w:rPr>
          <w:sz w:val="24"/>
          <w:szCs w:val="24"/>
          <w:lang w:val="sr-Cyrl-CS" w:eastAsia="de-DE"/>
        </w:rPr>
        <w:t xml:space="preserve">Одредбом члана 1. овог закона предвиђа се потврђивање </w:t>
      </w:r>
      <w:r w:rsidRPr="00DF5973">
        <w:rPr>
          <w:sz w:val="24"/>
          <w:szCs w:val="24"/>
          <w:lang w:val="sr-Cyrl-CS"/>
        </w:rPr>
        <w:t xml:space="preserve">Споразума о зајму (Пројекат модернизације железничког сектора у Србији применом вишефазног програмског приступа) </w:t>
      </w:r>
      <w:r w:rsidRPr="00DF5973">
        <w:rPr>
          <w:sz w:val="24"/>
          <w:szCs w:val="24"/>
          <w:lang w:val="sr-Cyrl-CS" w:eastAsia="en-US"/>
        </w:rPr>
        <w:t>између Републике Србије и Међународне банке за обнову и развој, који је потписан у Београду 10. маја 2021. године,</w:t>
      </w:r>
      <w:r w:rsidRPr="00DF5973">
        <w:rPr>
          <w:sz w:val="24"/>
          <w:lang w:val="sr-Cyrl-CS" w:eastAsia="en-US"/>
        </w:rPr>
        <w:t xml:space="preserve"> (у даљем тексту:</w:t>
      </w:r>
      <w:r w:rsidRPr="00DF5973">
        <w:rPr>
          <w:sz w:val="24"/>
          <w:szCs w:val="24"/>
          <w:lang w:val="sr-Cyrl-CS" w:eastAsia="en-US"/>
        </w:rPr>
        <w:t xml:space="preserve"> Споразум о зајму)</w:t>
      </w:r>
      <w:r w:rsidRPr="00DF5973">
        <w:rPr>
          <w:sz w:val="24"/>
          <w:lang w:val="sr-Cyrl-CS" w:eastAsia="en-US"/>
        </w:rPr>
        <w:t xml:space="preserve"> </w:t>
      </w:r>
      <w:r w:rsidRPr="00DF5973">
        <w:rPr>
          <w:sz w:val="24"/>
          <w:szCs w:val="24"/>
          <w:lang w:val="sr-Cyrl-CS" w:eastAsia="de-DE"/>
        </w:rPr>
        <w:t xml:space="preserve">.    </w:t>
      </w:r>
    </w:p>
    <w:p w:rsidR="006075E5" w:rsidRPr="00DF5973" w:rsidRDefault="006075E5" w:rsidP="006075E5">
      <w:pPr>
        <w:ind w:firstLine="720"/>
        <w:rPr>
          <w:sz w:val="24"/>
          <w:szCs w:val="24"/>
          <w:lang w:val="sr-Cyrl-CS" w:eastAsia="de-DE"/>
        </w:rPr>
      </w:pPr>
      <w:r w:rsidRPr="00DF5973">
        <w:rPr>
          <w:sz w:val="24"/>
          <w:szCs w:val="24"/>
          <w:lang w:val="sr-Cyrl-CS" w:eastAsia="de-DE"/>
        </w:rPr>
        <w:t xml:space="preserve">Одредба члана 2. овог закона садржи текст </w:t>
      </w:r>
      <w:r w:rsidRPr="00DF5973">
        <w:rPr>
          <w:sz w:val="24"/>
          <w:szCs w:val="24"/>
          <w:lang w:val="sr-Cyrl-CS" w:eastAsia="en-US"/>
        </w:rPr>
        <w:t>Споразума о зајму</w:t>
      </w:r>
      <w:r w:rsidRPr="00DF5973">
        <w:rPr>
          <w:sz w:val="24"/>
          <w:szCs w:val="24"/>
          <w:lang w:val="sr-Cyrl-CS" w:eastAsia="de-DE"/>
        </w:rPr>
        <w:t xml:space="preserve"> у оригиналу на енглеском језику и у преводу на српски језик. </w:t>
      </w:r>
    </w:p>
    <w:p w:rsidR="006075E5" w:rsidRPr="00DF5973" w:rsidRDefault="006075E5" w:rsidP="006075E5">
      <w:pPr>
        <w:ind w:firstLine="720"/>
        <w:rPr>
          <w:sz w:val="24"/>
          <w:szCs w:val="24"/>
          <w:lang w:val="sr-Cyrl-CS" w:eastAsia="de-DE"/>
        </w:rPr>
      </w:pPr>
      <w:r w:rsidRPr="00DF5973">
        <w:rPr>
          <w:sz w:val="24"/>
          <w:szCs w:val="24"/>
          <w:lang w:val="sr-Cyrl-CS" w:eastAsia="de-DE"/>
        </w:rPr>
        <w:t xml:space="preserve">Одредбом члана 3. уређује се ступање на снагу овог закона.  </w:t>
      </w:r>
    </w:p>
    <w:p w:rsidR="006075E5" w:rsidRPr="00DF5973" w:rsidRDefault="006075E5" w:rsidP="006075E5">
      <w:pPr>
        <w:spacing w:line="312" w:lineRule="exact"/>
        <w:ind w:firstLine="708"/>
        <w:rPr>
          <w:sz w:val="24"/>
          <w:szCs w:val="24"/>
          <w:lang w:val="sr-Cyrl-CS" w:eastAsia="de-DE"/>
        </w:rPr>
      </w:pPr>
    </w:p>
    <w:p w:rsidR="006075E5" w:rsidRPr="00DF5973" w:rsidRDefault="006075E5" w:rsidP="006075E5">
      <w:pPr>
        <w:spacing w:line="312" w:lineRule="exact"/>
        <w:ind w:firstLine="708"/>
        <w:rPr>
          <w:sz w:val="24"/>
          <w:szCs w:val="24"/>
          <w:lang w:val="sr-Cyrl-CS" w:eastAsia="de-DE"/>
        </w:rPr>
      </w:pPr>
    </w:p>
    <w:p w:rsidR="006075E5" w:rsidRPr="00DF5973" w:rsidRDefault="006075E5" w:rsidP="006075E5">
      <w:pPr>
        <w:tabs>
          <w:tab w:val="left" w:pos="0"/>
          <w:tab w:val="left" w:pos="570"/>
          <w:tab w:val="left" w:pos="851"/>
          <w:tab w:val="left" w:pos="1150"/>
          <w:tab w:val="left" w:pos="4890"/>
          <w:tab w:val="left" w:pos="6330"/>
        </w:tabs>
        <w:rPr>
          <w:sz w:val="24"/>
          <w:szCs w:val="24"/>
          <w:lang w:val="sr-Cyrl-CS" w:eastAsia="de-DE"/>
        </w:rPr>
      </w:pPr>
      <w:r w:rsidRPr="00DF5973">
        <w:rPr>
          <w:bCs/>
          <w:sz w:val="24"/>
          <w:szCs w:val="24"/>
          <w:lang w:val="sr-Cyrl-CS" w:eastAsia="de-DE"/>
        </w:rPr>
        <w:t>IV.</w:t>
      </w:r>
      <w:r w:rsidRPr="00DF5973">
        <w:rPr>
          <w:bCs/>
          <w:sz w:val="24"/>
          <w:szCs w:val="24"/>
          <w:lang w:val="sr-Cyrl-CS" w:eastAsia="de-DE"/>
        </w:rPr>
        <w:tab/>
        <w:t xml:space="preserve"> </w:t>
      </w:r>
      <w:r w:rsidRPr="00DF5973">
        <w:rPr>
          <w:sz w:val="24"/>
          <w:szCs w:val="24"/>
          <w:lang w:val="sr-Cyrl-CS" w:eastAsia="de-DE"/>
        </w:rPr>
        <w:t xml:space="preserve">ФИНАНСИЈСКЕ ОБАВЕЗЕ И ПРОЦЕНА ФИНАНСИЈСКИХ СРЕДСТАВА КОЈА НАСТАЈУ ИЗВРШАВАЊЕМ ЗАКОНА    </w:t>
      </w:r>
      <w:r w:rsidRPr="00DF5973">
        <w:rPr>
          <w:sz w:val="24"/>
          <w:szCs w:val="24"/>
          <w:lang w:val="sr-Cyrl-CS" w:eastAsia="de-DE"/>
        </w:rPr>
        <w:tab/>
        <w:t xml:space="preserve"> </w:t>
      </w:r>
    </w:p>
    <w:p w:rsidR="006075E5" w:rsidRPr="00DF5973" w:rsidRDefault="006075E5" w:rsidP="006075E5">
      <w:pPr>
        <w:spacing w:line="312" w:lineRule="exact"/>
        <w:ind w:firstLine="720"/>
        <w:rPr>
          <w:b/>
          <w:bCs/>
          <w:sz w:val="24"/>
          <w:szCs w:val="24"/>
          <w:lang w:val="sr-Cyrl-CS" w:eastAsia="de-DE"/>
        </w:rPr>
      </w:pPr>
    </w:p>
    <w:p w:rsidR="006075E5" w:rsidRPr="00DF5973" w:rsidRDefault="006075E5" w:rsidP="006075E5">
      <w:pPr>
        <w:spacing w:line="312" w:lineRule="exact"/>
        <w:rPr>
          <w:sz w:val="24"/>
          <w:szCs w:val="24"/>
          <w:lang w:val="sr-Cyrl-CS" w:eastAsia="de-DE"/>
        </w:rPr>
      </w:pPr>
      <w:r w:rsidRPr="00DF5973">
        <w:rPr>
          <w:sz w:val="24"/>
          <w:szCs w:val="24"/>
          <w:lang w:val="sr-Cyrl-CS" w:eastAsia="de-DE"/>
        </w:rPr>
        <w:t xml:space="preserve"> </w:t>
      </w:r>
      <w:r w:rsidRPr="00DF5973">
        <w:rPr>
          <w:sz w:val="24"/>
          <w:szCs w:val="24"/>
          <w:lang w:val="sr-Cyrl-CS" w:eastAsia="de-DE"/>
        </w:rPr>
        <w:tab/>
        <w:t xml:space="preserve">За спровођење овог закона обезбеђиваће се средства у буџету Републике Србије. </w:t>
      </w:r>
    </w:p>
    <w:p w:rsidR="00E92362" w:rsidRPr="00DF5973" w:rsidRDefault="00E92362" w:rsidP="006075E5">
      <w:pPr>
        <w:spacing w:line="312" w:lineRule="exact"/>
        <w:rPr>
          <w:sz w:val="24"/>
          <w:szCs w:val="24"/>
          <w:lang w:val="sr-Cyrl-CS" w:eastAsia="de-DE"/>
        </w:rPr>
      </w:pPr>
    </w:p>
    <w:p w:rsidR="00E92362" w:rsidRPr="00DF5973" w:rsidRDefault="00E92362" w:rsidP="006075E5">
      <w:pPr>
        <w:spacing w:line="312" w:lineRule="exact"/>
        <w:rPr>
          <w:sz w:val="24"/>
          <w:szCs w:val="24"/>
          <w:lang w:val="sr-Cyrl-CS" w:eastAsia="de-DE"/>
        </w:rPr>
      </w:pPr>
      <w:r w:rsidRPr="00DF5973">
        <w:rPr>
          <w:sz w:val="24"/>
          <w:szCs w:val="24"/>
          <w:lang w:val="sr-Cyrl-CS" w:eastAsia="de-DE"/>
        </w:rPr>
        <w:t>V. РАЗЛОЗИ ЗА ДОНОШЕЊЕ ЗАКОНА ПО ХИТНОМ ПОСТУПКУ</w:t>
      </w:r>
    </w:p>
    <w:p w:rsidR="00E92362" w:rsidRPr="00DF5973" w:rsidRDefault="00E92362" w:rsidP="006075E5">
      <w:pPr>
        <w:spacing w:line="312" w:lineRule="exact"/>
        <w:rPr>
          <w:sz w:val="24"/>
          <w:szCs w:val="24"/>
          <w:lang w:val="sr-Cyrl-CS" w:eastAsia="de-DE"/>
        </w:rPr>
      </w:pPr>
    </w:p>
    <w:p w:rsidR="00E92362" w:rsidRPr="00DF5973" w:rsidRDefault="00E92362" w:rsidP="006075E5">
      <w:pPr>
        <w:spacing w:line="312" w:lineRule="exact"/>
        <w:rPr>
          <w:sz w:val="24"/>
          <w:szCs w:val="24"/>
          <w:lang w:val="sr-Cyrl-CS" w:eastAsia="de-DE"/>
        </w:rPr>
      </w:pPr>
      <w:r w:rsidRPr="00DF5973">
        <w:rPr>
          <w:sz w:val="24"/>
          <w:szCs w:val="24"/>
          <w:lang w:val="sr-Cyrl-CS" w:eastAsia="de-DE"/>
        </w:rPr>
        <w:tab/>
        <w:t xml:space="preserve">Разлози за доношење овог закона по хитном поступку, сагласно члану 167. Пословника Народне скупштине </w:t>
      </w:r>
      <w:r w:rsidRPr="00DF5973">
        <w:rPr>
          <w:color w:val="000000"/>
          <w:spacing w:val="-5"/>
          <w:sz w:val="24"/>
          <w:szCs w:val="24"/>
          <w:lang w:val="sr-Cyrl-CS" w:eastAsia="de-DE"/>
        </w:rPr>
        <w:t>(„Службени гласник РС”, бр</w:t>
      </w:r>
      <w:r w:rsidRPr="00DF5973">
        <w:rPr>
          <w:sz w:val="24"/>
          <w:szCs w:val="24"/>
          <w:lang w:val="sr-Cyrl-CS" w:eastAsia="de-DE"/>
        </w:rPr>
        <w:t>ој 20/12- пречишћен текст) произлазе из чињенице да је потребно обезбедити да средства зајма буду благовремено на располагању Републици Србији како би се омогућила несметана реализација Пројекта модернизације железничког сектора у Србији Фаза 1.</w:t>
      </w:r>
    </w:p>
    <w:p w:rsidR="001759C3" w:rsidRPr="00DF5973" w:rsidRDefault="001759C3">
      <w:pPr>
        <w:rPr>
          <w:lang w:val="sr-Cyrl-CS"/>
        </w:rPr>
      </w:pPr>
    </w:p>
    <w:sectPr w:rsidR="001759C3" w:rsidRPr="00DF5973" w:rsidSect="00E9236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6A7" w:rsidRDefault="006576A7" w:rsidP="006075E5">
      <w:r>
        <w:separator/>
      </w:r>
    </w:p>
  </w:endnote>
  <w:endnote w:type="continuationSeparator" w:id="0">
    <w:p w:rsidR="006576A7" w:rsidRDefault="006576A7" w:rsidP="00607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E72" w:rsidRDefault="00387C8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39</w:t>
    </w:r>
    <w:r>
      <w:rPr>
        <w:rStyle w:val="PageNumber"/>
      </w:rPr>
      <w:fldChar w:fldCharType="end"/>
    </w:r>
  </w:p>
  <w:p w:rsidR="00742E72" w:rsidRDefault="006576A7">
    <w:pPr>
      <w:pStyle w:val="Footer"/>
      <w:ind w:right="360"/>
    </w:pPr>
  </w:p>
  <w:p w:rsidR="00742E72" w:rsidRDefault="006576A7"/>
  <w:p w:rsidR="00742E72" w:rsidRDefault="006576A7"/>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5658841"/>
      <w:docPartObj>
        <w:docPartGallery w:val="Page Numbers (Bottom of Page)"/>
        <w:docPartUnique/>
      </w:docPartObj>
    </w:sdtPr>
    <w:sdtEndPr>
      <w:rPr>
        <w:noProof/>
      </w:rPr>
    </w:sdtEndPr>
    <w:sdtContent>
      <w:p w:rsidR="00E92362" w:rsidRDefault="00E92362">
        <w:pPr>
          <w:pStyle w:val="Footer"/>
          <w:jc w:val="center"/>
        </w:pPr>
        <w:r>
          <w:fldChar w:fldCharType="begin"/>
        </w:r>
        <w:r>
          <w:instrText xml:space="preserve"> PAGE   \* MERGEFORMAT </w:instrText>
        </w:r>
        <w:r>
          <w:fldChar w:fldCharType="separate"/>
        </w:r>
        <w:r w:rsidR="00DF5973">
          <w:rPr>
            <w:noProof/>
          </w:rPr>
          <w:t>4</w:t>
        </w:r>
        <w:r>
          <w:rPr>
            <w:noProof/>
          </w:rPr>
          <w:fldChar w:fldCharType="end"/>
        </w:r>
      </w:p>
    </w:sdtContent>
  </w:sdt>
  <w:p w:rsidR="00E92362" w:rsidRDefault="00E92362">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E72" w:rsidRDefault="00387C83">
    <w:pPr>
      <w:pStyle w:val="Footer"/>
      <w:spacing w:line="200" w:lineRule="exact"/>
      <w:jc w:val="left"/>
      <w:rPr>
        <w:rFonts w:ascii="Arial" w:hAnsi="Arial" w:cs="Arial"/>
        <w:sz w:val="16"/>
        <w:szCs w:val="16"/>
      </w:rPr>
    </w:pPr>
    <w:r>
      <w:rPr>
        <w:rFonts w:ascii="Arial" w:hAnsi="Arial" w:cs="Arial"/>
        <w:sz w:val="16"/>
        <w:szCs w:val="16"/>
      </w:rPr>
      <w:tab/>
    </w:r>
  </w:p>
  <w:p w:rsidR="00742E72" w:rsidRDefault="006576A7"/>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6A7" w:rsidRDefault="006576A7" w:rsidP="006075E5">
      <w:r>
        <w:separator/>
      </w:r>
    </w:p>
  </w:footnote>
  <w:footnote w:type="continuationSeparator" w:id="0">
    <w:p w:rsidR="006576A7" w:rsidRDefault="006576A7" w:rsidP="006075E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E72" w:rsidRDefault="006576A7">
    <w:pPr>
      <w:pStyle w:val="Header"/>
    </w:pPr>
  </w:p>
  <w:p w:rsidR="00742E72" w:rsidRDefault="006576A7"/>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E72" w:rsidRDefault="006576A7"/>
  <w:p w:rsidR="00742E72" w:rsidRDefault="006576A7"/>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2E72" w:rsidRDefault="006576A7">
    <w:pPr>
      <w:pStyle w:val="Header"/>
    </w:pPr>
  </w:p>
  <w:p w:rsidR="00742E72" w:rsidRDefault="006576A7"/>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2051D6"/>
    <w:multiLevelType w:val="multilevel"/>
    <w:tmpl w:val="0B6817F4"/>
    <w:name w:val="num"/>
    <w:lvl w:ilvl="0">
      <w:start w:val="1"/>
      <w:numFmt w:val="decimal"/>
      <w:pStyle w:val="Num1"/>
      <w:lvlText w:val="%1."/>
      <w:lvlJc w:val="left"/>
      <w:pPr>
        <w:tabs>
          <w:tab w:val="num" w:pos="720"/>
        </w:tabs>
        <w:ind w:left="720" w:hanging="720"/>
      </w:pPr>
      <w:rPr>
        <w:rFonts w:hint="default"/>
      </w:rPr>
    </w:lvl>
    <w:lvl w:ilvl="1">
      <w:start w:val="1"/>
      <w:numFmt w:val="decimal"/>
      <w:pStyle w:val="Num2"/>
      <w:lvlText w:val="%1.%2-"/>
      <w:lvlJc w:val="left"/>
      <w:pPr>
        <w:tabs>
          <w:tab w:val="num" w:pos="720"/>
        </w:tabs>
        <w:ind w:left="720" w:hanging="720"/>
      </w:pPr>
      <w:rPr>
        <w:rFonts w:hint="default"/>
      </w:rPr>
    </w:lvl>
    <w:lvl w:ilvl="2">
      <w:start w:val="1"/>
      <w:numFmt w:val="upperRoman"/>
      <w:pStyle w:val="Num3"/>
      <w:lvlText w:val="%3."/>
      <w:lvlJc w:val="left"/>
      <w:pPr>
        <w:ind w:left="0" w:firstLine="0"/>
      </w:pPr>
      <w:rPr>
        <w:rFonts w:hint="default"/>
      </w:rPr>
    </w:lvl>
    <w:lvl w:ilvl="3">
      <w:start w:val="1"/>
      <w:numFmt w:val="lowerLetter"/>
      <w:pStyle w:val="Num4"/>
      <w:lvlText w:val="(%4)"/>
      <w:lvlJc w:val="left"/>
      <w:pPr>
        <w:tabs>
          <w:tab w:val="num" w:pos="720"/>
        </w:tabs>
        <w:ind w:left="720" w:hanging="720"/>
      </w:pPr>
      <w:rPr>
        <w:rFonts w:hint="default"/>
      </w:rPr>
    </w:lvl>
    <w:lvl w:ilvl="4">
      <w:start w:val="10"/>
      <w:numFmt w:val="lowerRoman"/>
      <w:pStyle w:val="Num5"/>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num w:numId="1">
    <w:abstractNumId w:val="0"/>
    <w:lvlOverride w:ilvl="0">
      <w:startOverride w:val="50"/>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41B2"/>
    <w:rsid w:val="001759C3"/>
    <w:rsid w:val="00387C83"/>
    <w:rsid w:val="006075E5"/>
    <w:rsid w:val="006576A7"/>
    <w:rsid w:val="008D096E"/>
    <w:rsid w:val="00DF5973"/>
    <w:rsid w:val="00E041B2"/>
    <w:rsid w:val="00E923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7B3E8"/>
  <w15:chartTrackingRefBased/>
  <w15:docId w15:val="{6CF50E42-0EA3-4A6F-A7AD-D654F805F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75E5"/>
    <w:pPr>
      <w:spacing w:after="0" w:line="240" w:lineRule="auto"/>
      <w:jc w:val="both"/>
    </w:pPr>
    <w:rPr>
      <w:rFonts w:ascii="Times New Roman" w:eastAsia="Times New Roman" w:hAnsi="Times New Roman" w:cs="Times New Roman"/>
      <w:szCs w:val="20"/>
      <w:lang w:val="sr-Cyrl-RS"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CT"/>
    <w:link w:val="BodyTextChar"/>
    <w:rsid w:val="006075E5"/>
    <w:pPr>
      <w:spacing w:after="240" w:line="240" w:lineRule="auto"/>
      <w:jc w:val="both"/>
    </w:pPr>
    <w:rPr>
      <w:rFonts w:ascii="Times New Roman" w:eastAsia="Times New Roman" w:hAnsi="Times New Roman" w:cs="Arial"/>
      <w:bCs/>
      <w:szCs w:val="20"/>
      <w:lang w:val="en-GB" w:eastAsia="fr-FR"/>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6075E5"/>
    <w:rPr>
      <w:rFonts w:ascii="Times New Roman" w:eastAsia="Times New Roman" w:hAnsi="Times New Roman" w:cs="Arial"/>
      <w:bCs/>
      <w:szCs w:val="20"/>
      <w:lang w:val="en-GB" w:eastAsia="fr-FR"/>
    </w:rPr>
  </w:style>
  <w:style w:type="paragraph" w:styleId="Footer">
    <w:name w:val="footer"/>
    <w:basedOn w:val="Normal"/>
    <w:link w:val="FooterChar"/>
    <w:uiPriority w:val="99"/>
    <w:rsid w:val="006075E5"/>
    <w:pPr>
      <w:tabs>
        <w:tab w:val="center" w:pos="4536"/>
        <w:tab w:val="right" w:pos="9072"/>
      </w:tabs>
    </w:pPr>
  </w:style>
  <w:style w:type="character" w:customStyle="1" w:styleId="FooterChar">
    <w:name w:val="Footer Char"/>
    <w:basedOn w:val="DefaultParagraphFont"/>
    <w:link w:val="Footer"/>
    <w:uiPriority w:val="99"/>
    <w:rsid w:val="006075E5"/>
    <w:rPr>
      <w:rFonts w:ascii="Times New Roman" w:eastAsia="Times New Roman" w:hAnsi="Times New Roman" w:cs="Times New Roman"/>
      <w:szCs w:val="20"/>
      <w:lang w:val="sr-Cyrl-RS" w:eastAsia="fr-FR"/>
    </w:rPr>
  </w:style>
  <w:style w:type="character" w:styleId="PageNumber">
    <w:name w:val="page number"/>
    <w:basedOn w:val="DefaultParagraphFont"/>
    <w:rsid w:val="006075E5"/>
  </w:style>
  <w:style w:type="paragraph" w:styleId="Header">
    <w:name w:val="header"/>
    <w:basedOn w:val="Normal"/>
    <w:link w:val="HeaderChar"/>
    <w:uiPriority w:val="99"/>
    <w:rsid w:val="006075E5"/>
    <w:pPr>
      <w:tabs>
        <w:tab w:val="center" w:pos="4536"/>
        <w:tab w:val="right" w:pos="9072"/>
      </w:tabs>
    </w:pPr>
  </w:style>
  <w:style w:type="character" w:customStyle="1" w:styleId="HeaderChar">
    <w:name w:val="Header Char"/>
    <w:basedOn w:val="DefaultParagraphFont"/>
    <w:link w:val="Header"/>
    <w:uiPriority w:val="99"/>
    <w:rsid w:val="006075E5"/>
    <w:rPr>
      <w:rFonts w:ascii="Times New Roman" w:eastAsia="Times New Roman" w:hAnsi="Times New Roman" w:cs="Times New Roman"/>
      <w:szCs w:val="20"/>
      <w:lang w:val="sr-Cyrl-RS" w:eastAsia="fr-FR"/>
    </w:rPr>
  </w:style>
  <w:style w:type="paragraph" w:customStyle="1" w:styleId="Num1">
    <w:name w:val="Num1"/>
    <w:rsid w:val="006075E5"/>
    <w:pPr>
      <w:numPr>
        <w:numId w:val="1"/>
      </w:numPr>
      <w:spacing w:before="120" w:after="240" w:line="260" w:lineRule="atLeast"/>
      <w:jc w:val="both"/>
    </w:pPr>
    <w:rPr>
      <w:rFonts w:ascii="Times New Roman" w:eastAsia="Calibri" w:hAnsi="Times New Roman" w:cs="Times New Roman"/>
      <w:lang w:val="fr"/>
    </w:rPr>
  </w:style>
  <w:style w:type="paragraph" w:customStyle="1" w:styleId="Num2">
    <w:name w:val="Num2"/>
    <w:rsid w:val="006075E5"/>
    <w:pPr>
      <w:numPr>
        <w:ilvl w:val="1"/>
        <w:numId w:val="1"/>
      </w:numPr>
      <w:spacing w:after="240" w:line="240" w:lineRule="auto"/>
      <w:jc w:val="both"/>
    </w:pPr>
    <w:rPr>
      <w:rFonts w:ascii="Times New Roman" w:eastAsia="Calibri" w:hAnsi="Times New Roman" w:cs="Times New Roman"/>
      <w:lang w:val="fr"/>
    </w:rPr>
  </w:style>
  <w:style w:type="paragraph" w:customStyle="1" w:styleId="Num3">
    <w:name w:val="Num3"/>
    <w:rsid w:val="006075E5"/>
    <w:pPr>
      <w:numPr>
        <w:ilvl w:val="2"/>
        <w:numId w:val="1"/>
      </w:numPr>
      <w:spacing w:after="240" w:line="240" w:lineRule="auto"/>
      <w:jc w:val="both"/>
    </w:pPr>
    <w:rPr>
      <w:rFonts w:ascii="Times New Roman" w:eastAsia="Calibri" w:hAnsi="Times New Roman" w:cs="Times New Roman"/>
      <w:lang w:val="fr"/>
    </w:rPr>
  </w:style>
  <w:style w:type="paragraph" w:customStyle="1" w:styleId="Num4">
    <w:name w:val="Num4"/>
    <w:rsid w:val="006075E5"/>
    <w:pPr>
      <w:numPr>
        <w:ilvl w:val="3"/>
        <w:numId w:val="1"/>
      </w:numPr>
      <w:spacing w:after="240" w:line="240" w:lineRule="auto"/>
      <w:jc w:val="both"/>
    </w:pPr>
    <w:rPr>
      <w:rFonts w:ascii="Times New Roman" w:eastAsia="Calibri" w:hAnsi="Times New Roman" w:cs="Times New Roman"/>
      <w:lang w:val="fr"/>
    </w:rPr>
  </w:style>
  <w:style w:type="paragraph" w:customStyle="1" w:styleId="Num5">
    <w:name w:val="Num5"/>
    <w:rsid w:val="006075E5"/>
    <w:pPr>
      <w:numPr>
        <w:ilvl w:val="4"/>
        <w:numId w:val="1"/>
      </w:numPr>
      <w:spacing w:after="240" w:line="240" w:lineRule="auto"/>
      <w:jc w:val="both"/>
    </w:pPr>
    <w:rPr>
      <w:rFonts w:ascii="Times New Roman" w:eastAsia="Calibri" w:hAnsi="Times New Roman" w:cs="Times New Roman"/>
      <w:lang w:val="fr"/>
    </w:rPr>
  </w:style>
  <w:style w:type="paragraph" w:styleId="BalloonText">
    <w:name w:val="Balloon Text"/>
    <w:basedOn w:val="Normal"/>
    <w:link w:val="BalloonTextChar"/>
    <w:uiPriority w:val="99"/>
    <w:semiHidden/>
    <w:unhideWhenUsed/>
    <w:rsid w:val="00DF597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5973"/>
    <w:rPr>
      <w:rFonts w:ascii="Segoe UI" w:eastAsia="Times New Roman" w:hAnsi="Segoe UI" w:cs="Segoe UI"/>
      <w:sz w:val="18"/>
      <w:szCs w:val="18"/>
      <w:lang w:val="sr-Cyrl-R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1680</Words>
  <Characters>9581</Characters>
  <Application>Microsoft Office Word</Application>
  <DocSecurity>0</DocSecurity>
  <Lines>79</Lines>
  <Paragraphs>22</Paragraphs>
  <ScaleCrop>false</ScaleCrop>
  <Company/>
  <LinksUpToDate>false</LinksUpToDate>
  <CharactersWithSpaces>11239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Ljubinka Stojkovic</dc:creator>
  <cp:keywords/>
  <dc:description/>
  <cp:lastModifiedBy>Snezana Marinovic</cp:lastModifiedBy>
  <cp:revision>4</cp:revision>
  <cp:lastPrinted>2021-06-11T05:26:00Z</cp:lastPrinted>
  <dcterms:created xsi:type="dcterms:W3CDTF">2021-06-10T07:25:00Z</dcterms:created>
  <dcterms:modified xsi:type="dcterms:W3CDTF">2021-06-11T05:26:00Z</dcterms:modified>
</cp:coreProperties>
</file>