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470" w:rsidRPr="00FC600E" w:rsidRDefault="002C4A95" w:rsidP="00E46A9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 основу члана </w:t>
      </w:r>
      <w:r w:rsidR="007D6470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123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="007D6470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тачка 3. Устава Републике Србије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 члана 42. став 1. Закон</w:t>
      </w:r>
      <w:r w:rsidR="00FB59F9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 о Влади („Службени гласник РС</w:t>
      </w:r>
      <w:r w:rsidR="00E46A9C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ˮ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бр. 55/05, 71/05 – исправка, 101/07, 65/08, 16/11, 68/12 – УС, 72/12, 7/14 – УС, 44/14 и 30/18 – др. закон),</w:t>
      </w:r>
      <w:r w:rsidR="007D6470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а у вези са чланом 8. За</w:t>
      </w:r>
      <w:r w:rsidR="00E46A9C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кона о буџету Републике Србије </w:t>
      </w:r>
      <w:r w:rsidR="007D6470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 2021. годину („Службени гласник РС</w:t>
      </w:r>
      <w:r w:rsidR="00E46A9C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ˮ</w:t>
      </w:r>
      <w:r w:rsidR="007D6470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бр. 149/2</w:t>
      </w:r>
      <w:r w:rsidR="005C3D17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0</w:t>
      </w:r>
      <w:r w:rsidR="007D6470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40/21)</w:t>
      </w:r>
      <w:r w:rsidR="00E46A9C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</w:p>
    <w:p w:rsidR="00E46A9C" w:rsidRPr="00FC600E" w:rsidRDefault="00E46A9C" w:rsidP="00E46A9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DF7315" w:rsidRPr="00FC600E" w:rsidRDefault="002C4A95" w:rsidP="007D647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Влада доноси</w:t>
      </w:r>
    </w:p>
    <w:p w:rsidR="00B26545" w:rsidRPr="00FC600E" w:rsidRDefault="00B26545" w:rsidP="00B26545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304CEF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УРЕДБУ</w:t>
      </w:r>
    </w:p>
    <w:p w:rsidR="00DF7315" w:rsidRPr="00FC600E" w:rsidRDefault="00304CEF" w:rsidP="00B26545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 УСЛОВИМА И НАЧИНУ ДОДЕЛЕ И КОРИШЋЕЊА СРЕДСТАВА ЗА ПОДСТИЦАЊЕ УНАПРЕЂЕЊА ОРГАНИЗОВАНОГ ТУРИСТИЧКОГ ПРОМЕТА НА ТЕРИТОРИЈИ РЕПУБЛИКЕ СРБИЈЕ</w:t>
      </w:r>
    </w:p>
    <w:p w:rsidR="00304CEF" w:rsidRPr="00FC600E" w:rsidRDefault="00304CEF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1.</w:t>
      </w:r>
    </w:p>
    <w:p w:rsidR="00DF7315" w:rsidRPr="00FC600E" w:rsidRDefault="002C4A95" w:rsidP="005C3D1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Овом уредбом утврђују се услови и начин доделе и коришћења средстава за подстицање унапређења организованог туристичког промета на територији Републике Србије (у даљем тексту: субвенције).</w:t>
      </w:r>
    </w:p>
    <w:p w:rsidR="00304CEF" w:rsidRPr="00FC600E" w:rsidRDefault="00304CEF" w:rsidP="00B26545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2.</w:t>
      </w:r>
    </w:p>
    <w:p w:rsidR="00DF7315" w:rsidRPr="00FC600E" w:rsidRDefault="002C4A95" w:rsidP="00E46A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Право на доделу субвенција могу да остваре туристичке агенције организатори туристичког путовања, регистроване на територији Републике Србије, које поседују прописану лиценцу (у даљем тексту: корисник субвенције).</w:t>
      </w:r>
    </w:p>
    <w:p w:rsidR="000F12EE" w:rsidRPr="00FC600E" w:rsidRDefault="00373230" w:rsidP="00E46A9C">
      <w:pPr>
        <w:tabs>
          <w:tab w:val="left" w:pos="4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2C4A95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Субвенције се додељују као државна помоћ мале вредности (de minimis државна помоћ), у складу са </w:t>
      </w:r>
      <w:r w:rsidR="000F12EE" w:rsidRPr="00FC600E">
        <w:rPr>
          <w:rFonts w:ascii="Times New Roman" w:hAnsi="Times New Roman" w:cs="Times New Roman"/>
          <w:sz w:val="24"/>
          <w:szCs w:val="24"/>
          <w:lang w:val="sr-Cyrl-RS"/>
        </w:rPr>
        <w:t>Уредбом о правилима и условима за  доделу  помоћи мале вредности (de minimis помоћи)</w:t>
      </w:r>
      <w:r w:rsidR="00E46A9C" w:rsidRPr="00FC600E">
        <w:rPr>
          <w:rFonts w:ascii="Times New Roman" w:hAnsi="Times New Roman" w:cs="Times New Roman"/>
          <w:sz w:val="24"/>
          <w:szCs w:val="24"/>
          <w:lang w:val="sr-Cyrl-RS"/>
        </w:rPr>
        <w:t xml:space="preserve"> („Службени гласник РСˮ,</w:t>
      </w:r>
      <w:r w:rsidR="000F12E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број </w:t>
      </w:r>
      <w:r w:rsidR="005C3D17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23/21</w:t>
      </w:r>
      <w:r w:rsidR="000F12EE" w:rsidRPr="00FC600E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:rsidR="00DF7315" w:rsidRPr="00FC600E" w:rsidRDefault="000F12EE" w:rsidP="00E46A9C">
      <w:pPr>
        <w:tabs>
          <w:tab w:val="left" w:pos="4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lang w:val="sr-Cyrl-RS"/>
        </w:rPr>
        <w:tab/>
      </w:r>
      <w:r w:rsidR="002C4A95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Предложени модел субвенција спроводи се кроз доделу средстава подстицаја кориснику субвенција као начин подршке за промотивне и маркетиншке активности које су неопходне за достизање потребног нивоа </w:t>
      </w:r>
      <w:r w:rsidR="00D855F7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туристичког промета</w:t>
      </w:r>
      <w:r w:rsidR="002C4A95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DF7315" w:rsidRPr="00FC600E" w:rsidRDefault="002C4A95" w:rsidP="00E46A9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Мере подстицаја спроводи Министарство трговине, туризма и телекомуникација (у даљем тексту: Mинистарство).</w:t>
      </w:r>
    </w:p>
    <w:p w:rsidR="00304CEF" w:rsidRPr="00FC600E" w:rsidRDefault="00304CEF" w:rsidP="00B26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3.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Корисник субвенције остварује право на доделу средстава субвенција по реализацији: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1) организованог довођења туристичких група</w:t>
      </w:r>
      <w:r w:rsidR="006847F4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D32EC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домаћих или</w:t>
      </w:r>
      <w:r w:rsidR="002E7ADD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страних туриста од стране корисника субвенција</w:t>
      </w:r>
      <w:r w:rsidR="00CE66DB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E7ADD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(у даљем тексту: организовано туристичко путовање)</w:t>
      </w:r>
      <w:r w:rsidR="006847F4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2) организованог довођења туристичких група </w:t>
      </w:r>
      <w:r w:rsidRPr="00FC600E">
        <w:rPr>
          <w:rFonts w:ascii="Times New Roman" w:hAnsi="Times New Roman" w:cs="Times New Roman"/>
          <w:sz w:val="24"/>
          <w:szCs w:val="24"/>
          <w:lang w:val="sr-Cyrl-RS"/>
        </w:rPr>
        <w:t>страних</w:t>
      </w:r>
      <w:r w:rsidRPr="00FC600E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туриста од стране организатора или посредника међународног конгреса/међународног корпоративног догађаја у чијој реализацији корисник субвенције наступа као локални агент и организује услугу смештаја и још најмање две услуге (у даљем тексту: међународни конгрес/међународни корпоративни догађај);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3) организованог довођења туристичких група страних туриста од стране туристичке агенције из иностранства, у чијој реализацији корисник субвенције наступа као локални агент (у даљем тексту: организовање дела туристичког путовања);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>4) организованог довођења туристичких група страних туриста од стране организатора или посредника међународног конгреса/међународног корпоративног догађаја у чијој реализацији корисник субвенције наступа као локални агент и не организује услугу смештаја (у даљем тексту: део међународног конгреса/међународног корпоративног догађаја)</w:t>
      </w:r>
      <w:r w:rsidR="0013537F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D32ECE" w:rsidRPr="00FC600E" w:rsidRDefault="009A2C0A" w:rsidP="00D32ECE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Услуга смештаја може да се р</w:t>
      </w:r>
      <w:r w:rsidR="00D32EC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еализује само у у</w:t>
      </w:r>
      <w:r w:rsidR="00463FCF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гоститељском објекту за смештај</w:t>
      </w:r>
      <w:r w:rsidR="00D32EC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који је евидентиран у централном информационом систему у об</w:t>
      </w:r>
      <w:r w:rsidR="00463FCF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ласти угоститељства и туризма (у даљем тексту: </w:t>
      </w:r>
      <w:r w:rsidR="005C3D17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е-</w:t>
      </w:r>
      <w:r w:rsidR="00D32EC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туриста)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6847F4" w:rsidRPr="00FC600E" w:rsidRDefault="006847F4" w:rsidP="001353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4.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Корисник субвенција је, у случају организовања туристичког путовања из члана 3. </w:t>
      </w:r>
      <w:r w:rsidR="006847F4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2E7ADD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чка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1) </w:t>
      </w:r>
      <w:r w:rsidR="002E7ADD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ове уредбе, у обавези да реализацију тог путовања спроведе на основу унапред утврђеног програма путовања, на начин прописан законом којим се уређује туризам.</w:t>
      </w:r>
    </w:p>
    <w:p w:rsidR="0013537F" w:rsidRPr="00FC600E" w:rsidRDefault="0013537F" w:rsidP="0013537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Организованим туристичким путовањем из члана 3. </w:t>
      </w:r>
      <w:r w:rsidR="005C3D17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став 1.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тачка 1) ове уредбе сматра се довођење, од стране корисника субвенција, најмање:</w:t>
      </w:r>
    </w:p>
    <w:p w:rsidR="0013537F" w:rsidRPr="00FC600E" w:rsidRDefault="0013537F" w:rsidP="0013537F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15 страних туриста са боравком у категорисаним угоститељским објектима </w:t>
      </w:r>
    </w:p>
    <w:p w:rsidR="0013537F" w:rsidRPr="00FC600E" w:rsidRDefault="0013537F" w:rsidP="001353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 смештај, у периоду од најмање три ноћења, на територији Републике Србије, као и пружање најмање још две туристичке услуге;</w:t>
      </w:r>
    </w:p>
    <w:p w:rsidR="00D32ECE" w:rsidRPr="00FC600E" w:rsidRDefault="0013537F" w:rsidP="00463FCF">
      <w:pPr>
        <w:pStyle w:val="ListParagraph"/>
        <w:numPr>
          <w:ilvl w:val="0"/>
          <w:numId w:val="2"/>
        </w:numPr>
        <w:tabs>
          <w:tab w:val="left" w:pos="993"/>
        </w:tabs>
        <w:spacing w:after="0"/>
        <w:ind w:left="0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15</w:t>
      </w:r>
      <w:r w:rsidR="00D32EC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домаћих туриста са боравком у  угоститељским објектима за смештај, у периоду од најмање два ноћења, на територији Републике Србије, као и пружање најмање још две туристичке услуге.</w:t>
      </w:r>
    </w:p>
    <w:p w:rsidR="00C7144C" w:rsidRPr="00FC600E" w:rsidRDefault="002C4A95" w:rsidP="00D32EC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Корисник субвенција је, у случају међународног конгреса/међународног корпоративног догађаја из члана 3. </w:t>
      </w:r>
      <w:r w:rsidR="00DD743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став 1.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тачка 2) ове уредбе, у обавези да реализацију тог путовања спроведе по унапред утврђеном програму међународног конгреса/међународног корпоративног догађаја.</w:t>
      </w:r>
    </w:p>
    <w:p w:rsidR="00DF7315" w:rsidRPr="00FC600E" w:rsidRDefault="002C4A95" w:rsidP="00D32EC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Међународни</w:t>
      </w:r>
      <w:r w:rsidR="00463FCF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конгрес</w:t>
      </w:r>
      <w:r w:rsidR="00463FCF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ом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/међународни</w:t>
      </w:r>
      <w:r w:rsidR="00463FCF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корпоративни</w:t>
      </w:r>
      <w:r w:rsidR="00463FCF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догађај</w:t>
      </w:r>
      <w:r w:rsidR="00463FCF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ем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у смислу ове уредбе, сматра се организовано довођење најмање 15</w:t>
      </w:r>
      <w:r w:rsidRPr="00FC600E">
        <w:rPr>
          <w:rFonts w:ascii="Times New Roman" w:hAnsi="Times New Roman" w:cs="Times New Roman"/>
          <w:sz w:val="24"/>
          <w:szCs w:val="24"/>
          <w:lang w:val="sr-Cyrl-RS"/>
        </w:rPr>
        <w:t xml:space="preserve"> страних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туриста, од стране организатора или посредника међународног конгреса/међународног корпоративног догађаја у чијој реализацији корисник субвенције наступа као локални агент и организује услугу смештаја, са боравком у категорисаним угоститељским објектима за смештај, у периоду од најмање два ноћења, на територији Републике Србије, као и пружање најмање још две туристичке услуге.</w:t>
      </w:r>
    </w:p>
    <w:p w:rsidR="00DF7315" w:rsidRPr="00FC600E" w:rsidRDefault="002C4A95" w:rsidP="00463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sz w:val="24"/>
          <w:szCs w:val="24"/>
          <w:lang w:val="sr-Cyrl-RS"/>
        </w:rPr>
        <w:t xml:space="preserve">Туристичким услугама из </w:t>
      </w:r>
      <w:r w:rsidR="000466DC" w:rsidRPr="00FC600E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ст. </w:t>
      </w:r>
      <w:r w:rsidR="00BB5921" w:rsidRPr="00FC600E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2</w:t>
      </w:r>
      <w:r w:rsidR="000466DC" w:rsidRPr="00FC600E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. и 4. овог </w:t>
      </w:r>
      <w:r w:rsidRPr="00FC600E">
        <w:rPr>
          <w:rFonts w:ascii="Times New Roman" w:hAnsi="Times New Roman" w:cs="Times New Roman"/>
          <w:sz w:val="24"/>
          <w:szCs w:val="24"/>
          <w:lang w:val="sr-Cyrl-RS"/>
        </w:rPr>
        <w:t xml:space="preserve">члана сматра се организовање излета, услуге туристичких професија и сл. или пружање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неке друге услуге које су у функцији обогаћења туристичке понуде (организоване посете музејима, утакмицама, манифестацијама, угоститељским објектима са понудом националних специјалитета и сл.).</w:t>
      </w:r>
    </w:p>
    <w:p w:rsidR="00DF7315" w:rsidRPr="00FC600E" w:rsidRDefault="002C4A95" w:rsidP="00463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случају  </w:t>
      </w:r>
      <w:r w:rsidR="004A4FA5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организованог туристичког путовања из члана 3. </w:t>
      </w:r>
      <w:r w:rsidR="00DD743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став 1. </w:t>
      </w:r>
      <w:r w:rsidR="004A4FA5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тач</w:t>
      </w:r>
      <w:r w:rsidR="00463FCF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ка</w:t>
      </w:r>
      <w:r w:rsidR="004A4FA5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1) </w:t>
      </w:r>
      <w:r w:rsidR="002E7ADD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4A4FA5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ове уредбе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од стране корисника субвенција, корисник субвенција је дужан да код реализације програма путовања, за све време трајања путовања обезбеди туристичког пратиоца или туристичког водича са положеним стручним испитом и хронолошким редом евидентира редни број програма путовања, као и битне елементе тог програма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>путовања (место/а боравка, датум и место поласка и повратка групе, дужина трајања, са укупним бројем ноћења).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случају да туристичке услуге из става </w:t>
      </w:r>
      <w:r w:rsidR="000466DC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5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 овог члана чине факултативну понуду програма међународног конгреса/међународног корпоративног догађаја, корисник субвенција организује и реализује наведене услуге у непосредном уговарању, односно договору са страним туристом из туристичке групе.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Услуге које су саставни део излета (пратилац или водич, ручак, посета музеју и сл.) неће се сматрати пруженом другом услугом у смислу става </w:t>
      </w:r>
      <w:r w:rsidR="000466DC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5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 овог члана.</w:t>
      </w:r>
    </w:p>
    <w:p w:rsidR="000326E0" w:rsidRPr="00FC600E" w:rsidRDefault="000326E0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5.</w:t>
      </w:r>
    </w:p>
    <w:p w:rsidR="00DF7315" w:rsidRPr="00FC600E" w:rsidRDefault="002C4A95" w:rsidP="00B26545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Корисник субвенција може да продаје организовано туристичко путовање: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1) непосредно </w:t>
      </w:r>
      <w:r w:rsidR="00C10225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домаћим или</w:t>
      </w:r>
      <w:r w:rsidR="006D4DC6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страним туристима;</w:t>
      </w:r>
    </w:p>
    <w:p w:rsidR="00DF7315" w:rsidRPr="00FC600E" w:rsidRDefault="00463FCF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2) преко туристичке агенције</w:t>
      </w:r>
      <w:r w:rsidR="002C4A95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из иностранства која то путовање даље продаје страним држављанима, као крајњим корисницима;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3) другом субјекту са седиштем у иностранству, који за сопствене потребе (за познате кориснике – за своје запослене, чланове удружења или асоцијација, спортисте који организовано долазе на припреме и сл.), купује то туристичко путовање.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Корисник субвенција, у случају из става 1. тачка 1) овог члана</w:t>
      </w:r>
      <w:r w:rsidR="00463FCF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организовано туристичко путовање продаје уз закључење уговора о путовању са туристом, на начин прописан законом којим се уређује туризам.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Корисник субвенција, у случају из става 1. тач. 2) и 3) овог члана</w:t>
      </w:r>
      <w:r w:rsidR="00463FCF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организовано туристичко путовање продаје на основу закљученог уговора.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Корисник субвенције реали</w:t>
      </w:r>
      <w:r w:rsidR="00463FCF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зацију програма путовања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врши на основу уговора или понуде и прихвата понуде, односно потврде резервације (у даљем тексту: Потврда о уговореној услузи).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Потврда о уговореној услузи дата је у Прилогу 1, који је одштампан уз ову уредбу и чини њен саставни део.</w:t>
      </w:r>
    </w:p>
    <w:p w:rsidR="00304CEF" w:rsidRPr="00FC600E" w:rsidRDefault="00304CEF" w:rsidP="00B26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6.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Корисник субвенције, у случају из члана 3. тачка 2) ове уредбе, услугу смештаја и још најмање две туристичке услуге, спроводи по унапред утврђеном програму међународног конгреса/међународног корпоративног догађаја, на основу уговора са организатором или посредником међународног конгреса/међународног корпоративног догађаја.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Корисник субвенције реализацију програма међународног конгреса/међународног корпоративног догађаја, врши на основу уговора, односно Потврде о уговореној услузи.</w:t>
      </w:r>
    </w:p>
    <w:p w:rsidR="00304CEF" w:rsidRPr="00FC600E" w:rsidRDefault="00304CEF" w:rsidP="00B26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7.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Износ средстава субвенција, које може да оствари корисник субвенција, за остваренa три до четири ноћења, за организовано туристичко путовање, односно за остваренa два до четири ноћења за међународни конгрес/међународни корпоративни догађај, по страном туристи износи 15 евра, а износ средстава субвенција за остварених пет и више ноћења, за организовано туристичко путовање, односно за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>међународни конгрес/међународни корпоративни догађај, по страном туристи износи 20 евра, утврђена програмом путовања, односно програмом међународног конгреса/међународног корпоративног догађаја.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случају да су страни туристи из става 1. овог члана, за остваренa три до четири ноћења, односно за остваренa два до четири ноћења за учеснике међународног конгреса/међународног корпоративног догађаја, допутовали авионом из Руске Федерације, Републике Турске, Народне Републике Кине (укључујући Хонг Конг и Макао), Јужне Кореје, Јапана или САД, а којима је долазни и полазни аеродром Никола Тесла, Београд и Константин Велики, Ниш, износ средстава субвенција</w:t>
      </w:r>
      <w:r w:rsidR="00637CA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се исплаћује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 зависности од земље из које су допутовали: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1) Руска Федерација, Република Турска – 20 евра;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2) Народна Република Кина </w:t>
      </w:r>
      <w:r w:rsidR="00C10225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(укључујући Хонг Конг и Макао),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Јужна Кореја, Јапан, САД – 30 евра.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случају да су страни туристи из става 1. овог члана, за остварених пет и више ноћења, допутовали авионом из Руске Федерације, Републике Турске, Народне Републике Кине </w:t>
      </w:r>
      <w:r w:rsidR="00C10225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(укључујући Хонг Конг и Макао),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Јужне Кореје, Јапана или САД, а којима је долазни и полазни аеродром Никола Тесла, Београд и Константин Велики, Ниш, износ ср</w:t>
      </w:r>
      <w:r w:rsidR="00637CA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едстава субвенција се исплаћује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 зависности од земље из које су допутовали: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1) Руска Федерација, Република Турска – 30 евра;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2) Народна Република Кина </w:t>
      </w:r>
      <w:r w:rsidR="00637CA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(укључујући Хонг Конг и Макао)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Јужна Кореја, Јапан, САД – 50 евра.</w:t>
      </w:r>
    </w:p>
    <w:p w:rsidR="00784D0B" w:rsidRPr="00FC600E" w:rsidRDefault="00637CAE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Износ средстава субвенција</w:t>
      </w:r>
      <w:r w:rsidR="00C10225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које може да оствари корисник субвенција, за остварена два ноћења, за организовано туристичко путовање из члана 3. став 1</w:t>
      </w:r>
      <w:r w:rsidR="00463FCF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="00C10225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тачка 1) ове уредбе, за домаће туристе износи 7 евра, а износ средстава субвенција за остварених три и више ноће</w:t>
      </w:r>
      <w:r w:rsidR="00463FCF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ња</w:t>
      </w:r>
      <w:r w:rsidR="00C10225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по домаћем туристи износи 10 евра.</w:t>
      </w:r>
      <w:r w:rsidR="005076BC" w:rsidRPr="00FC600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0005D6" w:rsidRPr="00FC600E" w:rsidRDefault="000005D6" w:rsidP="00B26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sz w:val="24"/>
          <w:szCs w:val="24"/>
          <w:lang w:val="sr-Cyrl-RS"/>
        </w:rPr>
        <w:t>Члан 8.</w:t>
      </w:r>
    </w:p>
    <w:p w:rsidR="00304CEF" w:rsidRPr="00FC600E" w:rsidRDefault="00701D2A" w:rsidP="00701D2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FC600E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По завршетку реализације програма путовања, корисник субвенције доставља Министарству попуњен захтев за организовано туристичко путовање дат у Прилогу 2, који је одштампан уз ову уредбу и чини њен саставни део, као и прописану документацију.</w:t>
      </w:r>
    </w:p>
    <w:p w:rsidR="00701D2A" w:rsidRPr="00FC600E" w:rsidRDefault="00701D2A" w:rsidP="00701D2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9.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 завршетку међународног конгреса/међународног корпоративног догађаја, корисник субвенције, који је организовао смештај, доставља захтев за међународни конгрес/међународни корпоративни догађај дат у Прилогу 3, који је одштампан уз ову уредбу и чини њен саставни део, као и прописану документацију.</w:t>
      </w:r>
    </w:p>
    <w:p w:rsidR="00304CEF" w:rsidRPr="00FC600E" w:rsidRDefault="00304CEF" w:rsidP="00B26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10.</w:t>
      </w:r>
    </w:p>
    <w:p w:rsidR="00675C1F" w:rsidRPr="00FC600E" w:rsidRDefault="00675C1F" w:rsidP="00675C1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 остваривање права на доделу субвенције</w:t>
      </w:r>
      <w:r w:rsidR="00C02D3F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корисник субвенције за организовано туристичко путовање уз захтев за организовано туристичко путовање доставља следећу документацију:</w:t>
      </w:r>
    </w:p>
    <w:p w:rsidR="00675C1F" w:rsidRPr="00FC600E" w:rsidRDefault="00675C1F" w:rsidP="00675C1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1) опште услове путовања корисника субвенције;</w:t>
      </w:r>
    </w:p>
    <w:p w:rsidR="00675C1F" w:rsidRPr="00FC600E" w:rsidRDefault="00675C1F" w:rsidP="00675C1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>2) програм путовања корисника субвенције;</w:t>
      </w:r>
    </w:p>
    <w:p w:rsidR="005038FA" w:rsidRPr="00FC600E" w:rsidRDefault="005038FA" w:rsidP="005038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3) </w:t>
      </w:r>
      <w:r w:rsidR="00C10225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један од уговора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из члана 5. ст. 2. и 3. ове уредбе закључене са:</w:t>
      </w:r>
    </w:p>
    <w:p w:rsidR="00675C1F" w:rsidRPr="00FC600E" w:rsidRDefault="00C02D3F" w:rsidP="00C02D3F">
      <w:pPr>
        <w:pStyle w:val="ListParagraph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туристом као купцем;</w:t>
      </w:r>
    </w:p>
    <w:p w:rsidR="00675C1F" w:rsidRPr="00FC600E" w:rsidRDefault="00C02D3F" w:rsidP="00C02D3F">
      <w:pPr>
        <w:pStyle w:val="ListParagraph"/>
        <w:numPr>
          <w:ilvl w:val="0"/>
          <w:numId w:val="4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75C1F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страном туристичком агенцијом, која туристичко путовање продаје страним држављанима, као крајњим корисницима, односно са организатором или посредником међународног конгреса/међу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народног корпоративног догађаја;</w:t>
      </w:r>
    </w:p>
    <w:p w:rsidR="00675C1F" w:rsidRPr="00FC600E" w:rsidRDefault="00C02D3F" w:rsidP="00C02D3F">
      <w:pPr>
        <w:pStyle w:val="ListParagraph"/>
        <w:numPr>
          <w:ilvl w:val="0"/>
          <w:numId w:val="4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75C1F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другим страним субјектом, који за сопствене потребе (за познате кориснике – за своје запослене, чланове удружења или асоцијације, спортисте који организовано долазе на припреме и сл.) купује туристичко путовање;</w:t>
      </w:r>
    </w:p>
    <w:p w:rsidR="00675C1F" w:rsidRPr="00FC600E" w:rsidRDefault="00675C1F" w:rsidP="00675C1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4) уговор о закупу смештајних капацитета, односно Потврда о уговореној услузи, између корисника субвенције и угоститеља;</w:t>
      </w:r>
    </w:p>
    <w:p w:rsidR="00675C1F" w:rsidRPr="00FC600E" w:rsidRDefault="00675C1F" w:rsidP="00675C1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5) друге уговоре, односно Потврде о уговореној услузи у вези са реализацијом организованог туристичког путовања (превозник на територији Републике Србије, пратилац, водич, аниматор);</w:t>
      </w:r>
    </w:p>
    <w:p w:rsidR="00675C1F" w:rsidRPr="00FC600E" w:rsidRDefault="00675C1F" w:rsidP="00675C1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6) копије фактура/рачуна по основу закључених уговора или Потврде о уговореној услузи, са доказом о уплати, односно о трансферисању средстава;</w:t>
      </w:r>
    </w:p>
    <w:p w:rsidR="00B07CA6" w:rsidRPr="00FC600E" w:rsidRDefault="00675C1F" w:rsidP="00B07CA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7) </w:t>
      </w:r>
      <w:r w:rsidR="00C10225" w:rsidRPr="00FC600E">
        <w:rPr>
          <w:rFonts w:ascii="Times New Roman" w:hAnsi="Times New Roman" w:cs="Times New Roman"/>
          <w:sz w:val="24"/>
          <w:szCs w:val="24"/>
          <w:lang w:val="sr-Cyrl-RS"/>
        </w:rPr>
        <w:t>списак путника из туристичке групе,</w:t>
      </w:r>
      <w:r w:rsidR="00C10225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односно списак туриста, корисника услуге смештаја, који су уведени у е-туристу</w:t>
      </w:r>
      <w:r w:rsidR="00C10225" w:rsidRPr="00FC600E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675C1F" w:rsidRPr="00FC600E" w:rsidRDefault="00675C1F" w:rsidP="00675C1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8) извод из књиге евиденције продатих туристичких путовања, са бројем фискалног рачуна/фактура;</w:t>
      </w:r>
    </w:p>
    <w:p w:rsidR="00675C1F" w:rsidRPr="00FC600E" w:rsidRDefault="00675C1F" w:rsidP="00675C1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9) извештај банке о приливу уплаћених средстава (динарских, односно девизних), из којег се види да се прилив средстава односи на реализовано туристичко путовање;</w:t>
      </w:r>
    </w:p>
    <w:p w:rsidR="00675C1F" w:rsidRPr="00FC600E" w:rsidRDefault="00675C1F" w:rsidP="00675C1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10) посебну изјаву о додељеној државној помоћи.</w:t>
      </w:r>
    </w:p>
    <w:p w:rsidR="00675C1F" w:rsidRPr="00FC600E" w:rsidRDefault="00675C1F" w:rsidP="00637CA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Изузетно од става 1. тачка 5) овог члана, за туристичке водиче или туристичке пратиоце који су запослени код корисника субвенције доставља се уговор о раду са прописаним МА обрасцем и потврда којом послодавац потврђује да је наведено лице било у радном односу у време када је услуга пружена.</w:t>
      </w:r>
    </w:p>
    <w:p w:rsidR="00675C1F" w:rsidRPr="00FC600E" w:rsidRDefault="00675C1F" w:rsidP="00637CA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случају да су страни туристи из </w:t>
      </w:r>
      <w:r w:rsidR="00C02D3F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члана 7. ст. 2. и 3. ове уредбе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допутовали авионом, a којима је долазни и полазни аеродром Никола Тесла, Београд и Константин Велики, Ниш, корисник субвенције уз наведену документацију, доставља и </w:t>
      </w:r>
      <w:r w:rsidR="00C02D3F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потврду авио компаније и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потврду субјекта из члана 5. став 1. тач. 2) и 3) ове уредбе, којом се потврђује да је путницима долазни и полазни аеродром Никола Тесла, Београд и Ко</w:t>
      </w:r>
      <w:r w:rsidR="00C02D3F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нстантин Велики, Ниш, или копију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авио карте, односно „boarding pass” (</w:t>
      </w:r>
      <w:r w:rsidR="00C02D3F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даљем тексту:</w:t>
      </w:r>
      <w:r w:rsidR="00084766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„бординг пасˮ).</w:t>
      </w:r>
    </w:p>
    <w:p w:rsidR="00304CEF" w:rsidRPr="00FC600E" w:rsidRDefault="00304CEF" w:rsidP="00B26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11.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Корисник средстава, за остваривање права на доделу субвенције за међународни конгрес/међународни корпоративни догађај, уз захтев за међународни конгрес/међународни корпоративни догађај, доставља следећу документацију: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1) уговор са организатором или посредником међународног конгреса/међународног корпоративног догађаја;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2) уговор о закупу смештајних капацитета, односно Потврду о уговореној услузи, између корисника субвенције и угоститеља;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>3) друге уговоре, односно Потврде о уговореној услузи у вези са реализацијом међународног конгреса/међународног корпоративног догађаја (превозник на територији Републике Србије, пратилац, водич, аниматор);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4) копије фактура/рачуна по основу закључених уговора или Потврде о уговореној услузи, са доказом о уплати, односно о трансферисању средстава;</w:t>
      </w:r>
    </w:p>
    <w:p w:rsidR="00DF7315" w:rsidRPr="00FC600E" w:rsidRDefault="002C4A95" w:rsidP="00A3332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5</w:t>
      </w:r>
      <w:r w:rsidR="000C1592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)</w:t>
      </w:r>
      <w:r w:rsidR="00C10225" w:rsidRPr="00FC600E">
        <w:rPr>
          <w:lang w:val="sr-Cyrl-RS"/>
        </w:rPr>
        <w:t xml:space="preserve"> </w:t>
      </w:r>
      <w:r w:rsidR="00C10225" w:rsidRPr="00FC600E">
        <w:rPr>
          <w:rFonts w:ascii="Times New Roman" w:hAnsi="Times New Roman" w:cs="Times New Roman"/>
          <w:sz w:val="24"/>
          <w:szCs w:val="24"/>
          <w:lang w:val="sr-Cyrl-RS"/>
        </w:rPr>
        <w:t>списак путника из туристичке групе,</w:t>
      </w:r>
      <w:r w:rsidR="00C10225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односно списак туриста, корисника услуге смештаја, који су уведени у е-туристу</w:t>
      </w:r>
      <w:r w:rsidR="00C10225" w:rsidRPr="00FC600E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6) извештај банке о приливу уплаћених средстава (динарских, односно девизних), из којег се види да се прилив односи на реализовани међународни конгрес/међународни корпоративни догађај;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7) посебну изјаву о додељеној државној помоћи.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Изузетно од става 1. тачка 3) овог члана, за туристичке водиче или туристичке пратиоце који су запослени код корисника субвенције доставља се уговор о раду, са прописаним МА обрасцем и потврда којом послодавац потврђује да је наведено лице било у радном односу у време када је услуга пружена.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случају да су страни туристи учесници међународног конгреса, корисник субвенције уз документацију наведену у ставу 1. овог члана, доставља и: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1) програм конгреса са јасно означеним називом, местом дешавања и датумима;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2) листу пријављених делегата;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3) потврду Конгресног бироа Србије да конгрес испуњава светске ICCA стандарде уз извод из ICCA базе: а) </w:t>
      </w:r>
      <w:r w:rsidR="00781A3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минимум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50 делегата, б) организован на редовној основи, в) ротира се између најмање три земље.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случају да су страни туристи учесници међународног корпоративног догађаја</w:t>
      </w:r>
      <w:r w:rsidR="00781A3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корисник субвенције, уз документацију наведену у ставу 1. овог члана, доставља и: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1) програм корпоративног догађаја са јасно означеним називом, местом дешавања и датумима;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2) потврду Конгресног бироа Србије да догађај има карактер међународног корпоративног догађаја.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случају да су страни туристи из члана 7. ст. 2. и 3. ове уредбе, допутовали авионом, а којима је долазни и полазни аеродром Никола Тесла, Београд и Константин Велики, Ниш, корисник субвенције уз наведену документацију, доставља и потврду авио компаније </w:t>
      </w:r>
      <w:r w:rsidR="00781A3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потврду организатора или посредника међународног конгреса/међународног корпоративног догађаја, којом се потврђује да је путницима долазни и полазни аеродром Никола Тесла, Београд и Константин Велики, Ниш или </w:t>
      </w:r>
      <w:r w:rsidR="00781A3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копију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авио карте, односно „бординг пасˮ.</w:t>
      </w:r>
    </w:p>
    <w:p w:rsidR="00304CEF" w:rsidRPr="00FC600E" w:rsidRDefault="00304CEF" w:rsidP="00B26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12.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Корисник субвенција је у случају из члана 3. </w:t>
      </w:r>
      <w:r w:rsidR="009F49E6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став 1.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тачка 3) ове уредбе у обавези да у организовању дела туристичког путовања наступа као локални агент туристичке агенције из иностранства, на основу закљученог уговора.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Туристичка агенција из иностранства, као организатор путовања на основу сопственог програма путовања, организовано доводи туристичку групу, од најмање 15 страних туриста, са боравком у категорисаним угоститељским објектима за смештај, у периоду од најмање три ноћења, на територији Републике Србије.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>Програм путовања из става 2. овог члана мора да садржи најмање две туристичке услуге (организовање излета, услуге туристичких професија, трансфер и сл.) или неке друге услуге које су у функцији обогаћења туристичке понуде (организоване посете музејима, утакмицама, манифестацијама, угоститељским објектима са понудом националних специјалитета и сл.).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Туристичка агенција из иностранства, на основу закљученог уговора, кориснику субвенције поверава организацију и реализацију најмање две услуге из става 3. овог члана, као организовање дела туристичког путовања, по ком основу корисник субвенције остварује право.</w:t>
      </w:r>
    </w:p>
    <w:p w:rsidR="00304CEF" w:rsidRPr="00FC600E" w:rsidRDefault="00304CEF" w:rsidP="00B26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13.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Корисник субвенција је у случају из члана 3. </w:t>
      </w:r>
      <w:r w:rsidR="009F49E6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став 1.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тачка 4) ове уредбе у обавези да у организовању дела међународног конгреса/међународног корпоративног догађаја наступа као локални партнер организатора или посредника међународног конгреса/међународног корпоративног догађаја, на основу закљученог уговора.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Организатор или посредник међународног конгреса/међународног корпоративног догађаја, на основу програма међународног конгреса/међународног корпоративног догађаја, организовано доводи туристичку групу од најмање 15 страних туриста, са боравком у категорисаним угоститељским објектима за смештај, у периоду од најмање два ноћења, на територији Републике Србије.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Програм међународног конгреса/међународног корпоративног догађаја из става 2. овог члана мора да садржи најмање две туристичке услуге (организовање излета, услуге туристичких професија, трансфер и сл.) или неке друге услуге које су у функцији обогаћења туристичке понуде (организоване посете музејима, утакмицама, манифестацијама, угоститељским објектима са понудом националних специјалитета и сл.).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Организатор или посредник међународног конгреса/међународног корпоративног догађаја, на основу закљученог уговора, кориснику субвенције поверава организацију и реализацију најмање две услуге из става 3. овог члана, као организовање дела међународног конгреса/међународног корпоративног догађаја, по ком основу корисник субвенције остварује право.</w:t>
      </w:r>
    </w:p>
    <w:p w:rsidR="007322C7" w:rsidRPr="00FC600E" w:rsidRDefault="007322C7" w:rsidP="00B26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14.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случају да услуге из чл. 12. и 13. ове уредбе чине факултативну понуду програма путовања, односно програма међународног конгреса/међународног корпоративног догађаја, корисник субвенција организује и реализује наведене услуге у непосредном уговарању, односно договору са страним туристом из туристичке групе.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случају да је једна од факултативних услуга организовање излета</w:t>
      </w:r>
      <w:r w:rsidR="00781A3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корисник субвенције, у непосредном уговарању са страним туристом, излет реализује на основу утврђеног програма, на начин прописан законом којим се уређује туризам.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Услуге које су саставни део излета (пратилац или водич, ручак, посета музеју и сл.) неће се сматрати пруженом другом услугом у смислу члана 12. став 3. и члана 13. став 3. ове уредбе.</w:t>
      </w:r>
    </w:p>
    <w:p w:rsidR="007322C7" w:rsidRPr="00FC600E" w:rsidRDefault="007322C7" w:rsidP="00B26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>Члан 15.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Износ средстава субвенција, које може да оствари корисник субвенција за организовање дела туристичког путовања, односно дела међународног конгреса/међународног корпоративног догађаја, по једном страном туристи, у случају из члана 3. </w:t>
      </w:r>
      <w:r w:rsidR="009F49E6" w:rsidRPr="00FC600E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став 1.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тач. 3) и 4) ове уредбе, на начин наведен у чл. 12. и 13. ове уредбе, износи седам евра.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случају да су страни туристи из става 1. овог члана, допутовали авионом из Руске Федерације, Републике Турске, Народне Републике Кине (укључујући Хонг Конг и Макао), Јужне Кореје, Јапана или САД, односно којима је долазни и полазни аеродром Никола Тесла, Београд и Константин Велики, Ниш, износ средстава субвенција се исплаћује, у зависности од земље из које су допутовали: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1) Руска Федерација, Република Турска – 15 евра;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2) Народна Република Кина (укључујући Хонг Конг и Макао), Јужна Кореја, Јапан, САД – 20 евра.</w:t>
      </w:r>
    </w:p>
    <w:p w:rsidR="007322C7" w:rsidRPr="00FC600E" w:rsidRDefault="007322C7" w:rsidP="00B26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16.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 завршетку реализације туристичког путовања туристичке агенције из иностранства, корисник субвенције доставља Министарству попуњен захтев за организовање дела туристичког путовања, дат у Прилогу 4, који је одштампан уз ову уредбу и чини њен саставни део, као и прописану документацију.</w:t>
      </w:r>
    </w:p>
    <w:p w:rsidR="007322C7" w:rsidRPr="00FC600E" w:rsidRDefault="007322C7" w:rsidP="00B26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17.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 завршетку међународног конгреса/међународног корпоративног догађаја, корисник субвенције, који није организовао смештај, доставља Министарству попуњен захтев за организовање дела међународног конгреса/међународног корпоративног догађаја дат у Прилогу 5, који је одштампан уз ову уредбу и чини њен саставни део, као и прописану документацију.</w:t>
      </w:r>
    </w:p>
    <w:p w:rsidR="007322C7" w:rsidRPr="00FC600E" w:rsidRDefault="007322C7" w:rsidP="00B26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18.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 остваривање права на доделу субвенције корисник субвенције уз захтев за организовање дела туристичког путовања, доставља следећу документацију: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1) уговор са туристичком агенцијом из иностранства, са програмом путовања туристичке агенције из иностранства;</w:t>
      </w:r>
    </w:p>
    <w:p w:rsidR="0072035D" w:rsidRPr="00FC600E" w:rsidRDefault="002C4A95" w:rsidP="0072035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2) </w:t>
      </w:r>
      <w:r w:rsidR="0072035D" w:rsidRPr="00FC600E">
        <w:rPr>
          <w:rFonts w:ascii="Times New Roman" w:hAnsi="Times New Roman" w:cs="Times New Roman"/>
          <w:sz w:val="24"/>
          <w:szCs w:val="24"/>
          <w:lang w:val="sr-Cyrl-RS"/>
        </w:rPr>
        <w:t>списак путника из туристичке групе,</w:t>
      </w:r>
      <w:r w:rsidR="0072035D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односно списак туриста, корисника услуге смештаја, који су уведени у е-туристу</w:t>
      </w:r>
      <w:r w:rsidR="0072035D" w:rsidRPr="00FC600E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3) копије фактура/рачуна по основу закључених уговора или Потврде о уговореној услузи, са доказом о уплати, односно о трансферисању средстава;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4) извод издатих фискалних рачуна/фактура из књиге евиденције продатих излета, као и уговоре у вези са реализацијом излета (уколико је корисник субвенције организовао излет);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5) извештај банке о приливу уплаћених средстава (динарских или девизних), из којег се види да се прилив средстава односи на реализовање дела туристичког </w:t>
      </w:r>
      <w:r w:rsidR="00781A3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путовања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6) посебну изјаву о додељеној државној помоћи.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 xml:space="preserve">Изузетно од става 1. тачка 3) овог члана, за туристичке водиче или туристичке пратиоце који су запослени код корисника субвенције доставља се уговор о раду, са прописаним МА обрасцем и потврда којом послодавац потврђује да је наведено лице било у радном односу у </w:t>
      </w:r>
      <w:r w:rsidR="00781A3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време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када је услуга пружена.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случају да услуге из програма путовања, из члана 15. став 1. ове уредбе</w:t>
      </w:r>
      <w:r w:rsidR="00781A3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чине неодвојив део туристичког путовања које је страни туриста у целости платио туристичкој агенцији из иностранства, а корисник субвенције је организовао и реализовао те услуге, уз плаћање и пренос средстава од стране туристичке агенције из иностранства, корисник субвенције, поред документације из става 1. тач. 1), 2), 5) и 6) овог члана доставља и доказ о реализацији туристичких услуга уз оверену потврду од стране пружаоца тих туристичких услуга.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случају да су страни туристи из члана 15. став</w:t>
      </w:r>
      <w:r w:rsidR="00046FEF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2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 ове уредбе, допутовали авионом, а којима је долазни и полазни аеродром Никола Тесла, Београд и Константин Велики, Ниш, корисник субвенције уз наведену документацију, доставља и потврду авио компаније</w:t>
      </w:r>
      <w:r w:rsidR="00781A3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потврду туристичке агенције из иностранства, којом се потврђује да је путницима долазни и полазни аеродром Никола Тесла, Београд и Константин Велики, Ниш или копију авио карте, односно „бординг пасˮ.</w:t>
      </w:r>
    </w:p>
    <w:p w:rsidR="007322C7" w:rsidRPr="00FC600E" w:rsidRDefault="007322C7" w:rsidP="00B26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19.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 остваривање права на доделу субвенције, корисник субвенције уз захтев за организовање дела међународног конгреса/међународног корпоративног догађаја, доставља следећу документацију: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1) уговор са организатором или посредником међународног конгреса/међународног корпоративног догађаја;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2) списак путника из туристичке групе</w:t>
      </w:r>
      <w:r w:rsidR="00D32EC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т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уриста</w:t>
      </w:r>
      <w:r w:rsidR="00A3332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="00D32EC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корисника услуге смештаја, који су уведени у е-туристу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3) копије фактура/рачуна по основу закључених уговора или Потврде о уговореној услузи, са доказом о уплати, односно о трансферисању средстава;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4) извод издатих фискалних рачуна/фактура из књиге евиденције продатих излета, као и уговоре у вези са реализацијом излета (уколико је корисник субвенције организовао излет);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5) извештај банке о приливу уплаћених средстава (динарских или девизних), из којег се види да се прилив средстава односи на реализовање дела реализованог међународног конгреса/међународног корпоративног догађаја;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6) посебну изјаву о додељеној државној помоћи.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Изузетно од става 1. тачка 3) овог члана, за туристичке водиче или туристичке пратиоце који су запослени код корисника субвенције доставља се уговор о раду, са прописаним МА обрасцем и потврда којом послодавац потврђује да је наведено лице било у радном односу у </w:t>
      </w:r>
      <w:r w:rsidR="00781A3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време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када је услуга пружена.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случају да су страни туристи учесници конгреса, корисник субвенције, уз документацију наведену у ставу 1. овог члана, доставља и: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1) програм међународног конгреса са јасно означеним називом, местом дешавања и датумима;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2) листу пријављених делегата;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>3) потврду Конгресног бироа Србије да конгрес испуњава светске ICCA стандарде уз извод из ICCA базе: а) минимум 50 делегата, б) организован на редовној основи, в) ротира се између најмање три земље.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случају да су страни туристи учесници међународног корпоративног догађаја</w:t>
      </w:r>
      <w:r w:rsidR="00F4219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корисник субвенције, уз документацију наведену у ставу 1. овог члана, доставља и: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1) програм међународног корпоративног догађаја са јасно означеним називом, местом дешавања и датумима;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2) потврду Конгресног бироа Србије да догађај има карактер међународног корпоративног догађаја</w:t>
      </w:r>
      <w:r w:rsidR="00F4219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случају да су страни туристи из члана 15. став 2. ове уредбе, допутовали авионом, а којима је долазни и полазни аеродром Никола Тесла, Београд и Константин Велики, Ниш, корисник субвенције уз наведену документацију, доставља </w:t>
      </w:r>
      <w:r w:rsidR="00F4219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отврду авио компаније</w:t>
      </w:r>
      <w:r w:rsidR="00F4219E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потврду организатора или посредника за учеснике међународног конгреса/међународног корпоративног догађаја којом се потврђује да је путницима долазни и полазни аеродром Никола Тесла, Београд и Константин Велики, Ниш или копију авио карте, односно „бординг пасˮ.</w:t>
      </w:r>
    </w:p>
    <w:p w:rsidR="007322C7" w:rsidRPr="00FC600E" w:rsidRDefault="007322C7" w:rsidP="00B26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20.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Документација коју корисник субвенције доставља уз прописане захтеве мора бити на српском језику.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Потврда о уговореној услузи се потписује од стране корисника субвенције.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Документација коју корисник субвенције доставља уз прописане захтеве мора да садржи истините податке.</w:t>
      </w:r>
    </w:p>
    <w:p w:rsidR="007322C7" w:rsidRPr="00FC600E" w:rsidRDefault="007322C7" w:rsidP="00B26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21.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Корисник субвенција доставља Министарству прописан захтев са комплетном документацијом по оствареној реализацији из члана 3. ове уредбе, најкасније у року од 90 дана, од дана реализације организованог туристичког путовања, међународног конгреса/међународног корпоративног догађаја, односно дела туристичког путовања.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Крајњи рок за доставу захтева и документације из чл</w:t>
      </w:r>
      <w:r w:rsidR="000F048B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 10. и 11. и чл.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18. и 19. ове уредбе је 20. новембар 202</w:t>
      </w:r>
      <w:r w:rsidR="00B46AA5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 године.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Захтев са комплетном документацијом предаје се на писарници Министарства или путем поште са уписом датума и тачног времена предаје.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 основу уредно попуњеног захтева и достављене комплетне документације врши се рефундација средстава.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Коначан износ средстава за рефундацију врши се у динарској противвредности по средњем курсу Народне банке Србије, на дан обрачуна.</w:t>
      </w:r>
    </w:p>
    <w:p w:rsidR="007322C7" w:rsidRPr="00FC600E" w:rsidRDefault="007322C7" w:rsidP="00B26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22.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Додела субвенција ограничена је расположивим буџетским средствима и рангирање захтева за рефундацију ће се вршити на основу датума и времена пријема.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Неблаговремени и неуредни захтеви, као и захтеви који не садрже комплетну документацију</w:t>
      </w:r>
      <w:r w:rsidR="00BC76E5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неће бити узети у разматрање.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Приликом разматрања поднетог захтева, одлучиваће се о захтеву у целости.</w:t>
      </w:r>
    </w:p>
    <w:p w:rsidR="007322C7" w:rsidRPr="00FC600E" w:rsidRDefault="007322C7" w:rsidP="00B26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23.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Министар надлежан за послове туризма решењем формира комисију, са задатком да врши увид у све поднете захтеве и прописану документацију и да министру надлежном за послове туризма припреми извештај о броју корисника субвенција, висини тражених средстава и динамици реализације доделе подстицајних средстава, са циљем транспарентности и доступности свих података.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Комисију из става 1. овог члана могу да чине, поред запослених у Министарству</w:t>
      </w:r>
      <w:r w:rsidR="00540925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представници струковних, односно пословних удружења туристичких агенција организатора туристичких путовања.</w:t>
      </w:r>
    </w:p>
    <w:p w:rsidR="00DF7315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Чланови комисије из става 1. овог члана немају право на накнаду за рад.</w:t>
      </w:r>
    </w:p>
    <w:p w:rsidR="007322C7" w:rsidRPr="00FC600E" w:rsidRDefault="007322C7" w:rsidP="00B265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24.</w:t>
      </w:r>
    </w:p>
    <w:p w:rsidR="00B76D09" w:rsidRPr="00FC600E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Даном ступања на снагу ове уредбе престаје да важи Уредба о условима и начину доделе и коришћења средстава за подстицање унапређења организованог туристичког промета страних туриста на територији Републике Србије („Службени гласник РС”, број </w:t>
      </w:r>
      <w:r w:rsidR="00B76D09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21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/</w:t>
      </w:r>
      <w:r w:rsidR="00B76D09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20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).</w:t>
      </w:r>
    </w:p>
    <w:p w:rsidR="007322C7" w:rsidRPr="00FC600E" w:rsidRDefault="007322C7" w:rsidP="00B2654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25.</w:t>
      </w:r>
    </w:p>
    <w:p w:rsidR="00DF7315" w:rsidRPr="00FC600E" w:rsidRDefault="002C4A95" w:rsidP="00B26545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Ова уредба ступа на снагу наредног дана од дана објављивања у „Службеном гласнику Републике Србије</w:t>
      </w:r>
      <w:r w:rsidR="00A323E5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ˮ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7322C7" w:rsidRPr="00FC600E" w:rsidRDefault="007322C7" w:rsidP="00B26545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2C4A95" w:rsidP="00B26545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05 </w:t>
      </w:r>
      <w:r w:rsidR="00831737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Број: 110-5520/2021-1 </w:t>
      </w:r>
    </w:p>
    <w:p w:rsidR="00DF7315" w:rsidRPr="00FC600E" w:rsidRDefault="002C4A95" w:rsidP="00B26545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Београду, </w:t>
      </w:r>
      <w:r w:rsidR="00831737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11.</w:t>
      </w:r>
      <w:r w:rsidR="00B76D09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955024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јун</w:t>
      </w:r>
      <w:r w:rsidR="00831737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202</w:t>
      </w:r>
      <w:r w:rsidR="00B76D09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 године</w:t>
      </w:r>
    </w:p>
    <w:p w:rsidR="00831737" w:rsidRPr="00FC600E" w:rsidRDefault="00831737" w:rsidP="00B26545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7315" w:rsidRPr="00FC600E" w:rsidRDefault="00A323E5" w:rsidP="00A323E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</w:t>
      </w:r>
      <w:r w:rsidR="00831737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Л</w:t>
      </w:r>
      <w:r w:rsidR="00831737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831737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</w:t>
      </w:r>
      <w:r w:rsidR="00831737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</w:p>
    <w:p w:rsidR="00DF7315" w:rsidRPr="00FC600E" w:rsidRDefault="00831737" w:rsidP="0083173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                                                                                                             </w:t>
      </w:r>
      <w:r w:rsidR="00A323E5"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ПРЕДСЕДНИК</w:t>
      </w:r>
    </w:p>
    <w:p w:rsidR="00831737" w:rsidRPr="00AB4396" w:rsidRDefault="00831737" w:rsidP="00AB439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831737" w:rsidRPr="00FC600E" w:rsidRDefault="00831737" w:rsidP="00B26545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Ана Брнабић, </w:t>
      </w:r>
      <w:proofErr w:type="spellStart"/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с.р</w:t>
      </w:r>
      <w:proofErr w:type="spellEnd"/>
      <w:r w:rsidRPr="00FC600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DF7315" w:rsidRPr="00FC600E" w:rsidRDefault="007322C7" w:rsidP="00B26545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FC600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</w:t>
      </w:r>
    </w:p>
    <w:p w:rsidR="00DF7315" w:rsidRPr="00FC600E" w:rsidRDefault="00DF7315" w:rsidP="00B26545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DF7315" w:rsidRPr="00FC600E" w:rsidSect="00463FCF">
      <w:footerReference w:type="default" r:id="rId9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3EA" w:rsidRDefault="00D503EA" w:rsidP="00B851E5">
      <w:pPr>
        <w:spacing w:after="0" w:line="240" w:lineRule="auto"/>
      </w:pPr>
      <w:r>
        <w:separator/>
      </w:r>
    </w:p>
  </w:endnote>
  <w:endnote w:type="continuationSeparator" w:id="0">
    <w:p w:rsidR="00D503EA" w:rsidRDefault="00D503EA" w:rsidP="00B85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58289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63FCF" w:rsidRDefault="00463FC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4396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B851E5" w:rsidRDefault="00B851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3EA" w:rsidRDefault="00D503EA" w:rsidP="00B851E5">
      <w:pPr>
        <w:spacing w:after="0" w:line="240" w:lineRule="auto"/>
      </w:pPr>
      <w:r>
        <w:separator/>
      </w:r>
    </w:p>
  </w:footnote>
  <w:footnote w:type="continuationSeparator" w:id="0">
    <w:p w:rsidR="00D503EA" w:rsidRDefault="00D503EA" w:rsidP="00B85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C3511"/>
    <w:multiLevelType w:val="hybridMultilevel"/>
    <w:tmpl w:val="8BB63588"/>
    <w:lvl w:ilvl="0" w:tplc="34C0120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5D47D9"/>
    <w:multiLevelType w:val="hybridMultilevel"/>
    <w:tmpl w:val="0682F4B8"/>
    <w:lvl w:ilvl="0" w:tplc="EE3E6A02">
      <w:start w:val="1"/>
      <w:numFmt w:val="decimal"/>
      <w:lvlText w:val="(%1)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E317870"/>
    <w:multiLevelType w:val="hybridMultilevel"/>
    <w:tmpl w:val="EE6A212C"/>
    <w:lvl w:ilvl="0" w:tplc="C2084224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4F7145C"/>
    <w:multiLevelType w:val="hybridMultilevel"/>
    <w:tmpl w:val="D3004868"/>
    <w:lvl w:ilvl="0" w:tplc="34C0120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5A3476F"/>
    <w:multiLevelType w:val="hybridMultilevel"/>
    <w:tmpl w:val="61A0BD0C"/>
    <w:lvl w:ilvl="0" w:tplc="91342406">
      <w:numFmt w:val="bullet"/>
      <w:lvlText w:val="–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315"/>
    <w:rsid w:val="000005D6"/>
    <w:rsid w:val="000326E0"/>
    <w:rsid w:val="00034917"/>
    <w:rsid w:val="000466DC"/>
    <w:rsid w:val="00046FEF"/>
    <w:rsid w:val="0005450A"/>
    <w:rsid w:val="00084766"/>
    <w:rsid w:val="000A5476"/>
    <w:rsid w:val="000B3508"/>
    <w:rsid w:val="000B6456"/>
    <w:rsid w:val="000C1592"/>
    <w:rsid w:val="000F048B"/>
    <w:rsid w:val="000F12EE"/>
    <w:rsid w:val="00114690"/>
    <w:rsid w:val="0013537F"/>
    <w:rsid w:val="0017676C"/>
    <w:rsid w:val="00193470"/>
    <w:rsid w:val="00267A43"/>
    <w:rsid w:val="002C4A95"/>
    <w:rsid w:val="002E7ADD"/>
    <w:rsid w:val="002F2499"/>
    <w:rsid w:val="00304CEF"/>
    <w:rsid w:val="00373230"/>
    <w:rsid w:val="00463FCF"/>
    <w:rsid w:val="0046481A"/>
    <w:rsid w:val="004A4FA5"/>
    <w:rsid w:val="004F62E7"/>
    <w:rsid w:val="005038FA"/>
    <w:rsid w:val="005076BC"/>
    <w:rsid w:val="00540925"/>
    <w:rsid w:val="005B589A"/>
    <w:rsid w:val="005C3D17"/>
    <w:rsid w:val="0060197B"/>
    <w:rsid w:val="00637B13"/>
    <w:rsid w:val="00637CAE"/>
    <w:rsid w:val="00653C1E"/>
    <w:rsid w:val="00675C1F"/>
    <w:rsid w:val="006847F4"/>
    <w:rsid w:val="006D4DC6"/>
    <w:rsid w:val="00701D2A"/>
    <w:rsid w:val="0072035D"/>
    <w:rsid w:val="007306D6"/>
    <w:rsid w:val="007322C7"/>
    <w:rsid w:val="00781A3E"/>
    <w:rsid w:val="00784D0B"/>
    <w:rsid w:val="00796809"/>
    <w:rsid w:val="007B6A4B"/>
    <w:rsid w:val="007C5D94"/>
    <w:rsid w:val="007D6470"/>
    <w:rsid w:val="00831737"/>
    <w:rsid w:val="008A4AE1"/>
    <w:rsid w:val="008B1AB0"/>
    <w:rsid w:val="0095353A"/>
    <w:rsid w:val="00955024"/>
    <w:rsid w:val="00967E98"/>
    <w:rsid w:val="00973A0C"/>
    <w:rsid w:val="009A2C0A"/>
    <w:rsid w:val="009C24AE"/>
    <w:rsid w:val="009D0ED0"/>
    <w:rsid w:val="009F49E6"/>
    <w:rsid w:val="00A323E5"/>
    <w:rsid w:val="00A3332E"/>
    <w:rsid w:val="00A92DAA"/>
    <w:rsid w:val="00AA5A45"/>
    <w:rsid w:val="00AB4396"/>
    <w:rsid w:val="00B07382"/>
    <w:rsid w:val="00B07CA6"/>
    <w:rsid w:val="00B26545"/>
    <w:rsid w:val="00B46AA5"/>
    <w:rsid w:val="00B76D09"/>
    <w:rsid w:val="00B851E5"/>
    <w:rsid w:val="00B96B79"/>
    <w:rsid w:val="00BB5921"/>
    <w:rsid w:val="00BC76E5"/>
    <w:rsid w:val="00C02D3F"/>
    <w:rsid w:val="00C10225"/>
    <w:rsid w:val="00C7144C"/>
    <w:rsid w:val="00C947B3"/>
    <w:rsid w:val="00CB1101"/>
    <w:rsid w:val="00CE66DB"/>
    <w:rsid w:val="00D24A31"/>
    <w:rsid w:val="00D32ECE"/>
    <w:rsid w:val="00D503EA"/>
    <w:rsid w:val="00D752AD"/>
    <w:rsid w:val="00D855F7"/>
    <w:rsid w:val="00D902BA"/>
    <w:rsid w:val="00DD4E97"/>
    <w:rsid w:val="00DD6064"/>
    <w:rsid w:val="00DD7007"/>
    <w:rsid w:val="00DD743E"/>
    <w:rsid w:val="00DF7315"/>
    <w:rsid w:val="00E46A9C"/>
    <w:rsid w:val="00E472CF"/>
    <w:rsid w:val="00EB1599"/>
    <w:rsid w:val="00EC4A7C"/>
    <w:rsid w:val="00EC71C3"/>
    <w:rsid w:val="00F4219E"/>
    <w:rsid w:val="00F6726B"/>
    <w:rsid w:val="00FB59F9"/>
    <w:rsid w:val="00FC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ListParagraph">
    <w:name w:val="List Paragraph"/>
    <w:basedOn w:val="Normal"/>
    <w:uiPriority w:val="99"/>
    <w:rsid w:val="00267A43"/>
    <w:pPr>
      <w:ind w:left="720"/>
      <w:contextualSpacing/>
    </w:pPr>
  </w:style>
  <w:style w:type="paragraph" w:customStyle="1" w:styleId="clan">
    <w:name w:val="clan"/>
    <w:basedOn w:val="Normal"/>
    <w:rsid w:val="00E47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basic-paragraph">
    <w:name w:val="basic-paragraph"/>
    <w:basedOn w:val="Normal"/>
    <w:rsid w:val="00E47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Footer">
    <w:name w:val="footer"/>
    <w:basedOn w:val="Normal"/>
    <w:link w:val="FooterChar"/>
    <w:uiPriority w:val="99"/>
    <w:unhideWhenUsed/>
    <w:rsid w:val="00B85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1E5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47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ListParagraph">
    <w:name w:val="List Paragraph"/>
    <w:basedOn w:val="Normal"/>
    <w:uiPriority w:val="99"/>
    <w:rsid w:val="00267A43"/>
    <w:pPr>
      <w:ind w:left="720"/>
      <w:contextualSpacing/>
    </w:pPr>
  </w:style>
  <w:style w:type="paragraph" w:customStyle="1" w:styleId="clan">
    <w:name w:val="clan"/>
    <w:basedOn w:val="Normal"/>
    <w:rsid w:val="00E47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basic-paragraph">
    <w:name w:val="basic-paragraph"/>
    <w:basedOn w:val="Normal"/>
    <w:rsid w:val="00E47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Footer">
    <w:name w:val="footer"/>
    <w:basedOn w:val="Normal"/>
    <w:link w:val="FooterChar"/>
    <w:uiPriority w:val="99"/>
    <w:unhideWhenUsed/>
    <w:rsid w:val="00B85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1E5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4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20E33-87E7-4199-A7B3-84B5E8E4E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4088</Words>
  <Characters>23304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v.rovcanin v.rovcanin</dc:creator>
  <cp:lastModifiedBy>Strahinja Vujicic</cp:lastModifiedBy>
  <cp:revision>32</cp:revision>
  <cp:lastPrinted>2021-06-11T10:48:00Z</cp:lastPrinted>
  <dcterms:created xsi:type="dcterms:W3CDTF">2021-06-09T12:28:00Z</dcterms:created>
  <dcterms:modified xsi:type="dcterms:W3CDTF">2021-06-11T12:27:00Z</dcterms:modified>
</cp:coreProperties>
</file>