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52A" w:rsidRPr="004E4AF6" w:rsidRDefault="009A14E0" w:rsidP="0002223B">
      <w:pPr>
        <w:tabs>
          <w:tab w:val="left" w:pos="1418"/>
          <w:tab w:val="left" w:pos="7995"/>
        </w:tabs>
        <w:spacing w:after="150"/>
        <w:jc w:val="right"/>
        <w:rPr>
          <w:rFonts w:ascii="Times New Roman" w:hAnsi="Times New Roman" w:cs="Times New Roman"/>
          <w:b/>
          <w:color w:val="000000"/>
          <w:sz w:val="24"/>
          <w:szCs w:val="24"/>
          <w:lang w:val="sr-Cyrl-RS"/>
        </w:rPr>
      </w:pPr>
      <w:bookmarkStart w:id="0" w:name="_GoBack"/>
      <w:bookmarkEnd w:id="0"/>
      <w:r>
        <w:rPr>
          <w:rFonts w:ascii="Times New Roman" w:hAnsi="Times New Roman" w:cs="Times New Roman"/>
          <w:b/>
          <w:color w:val="000000"/>
          <w:sz w:val="24"/>
          <w:szCs w:val="24"/>
        </w:rPr>
        <w:t xml:space="preserve">            </w:t>
      </w:r>
    </w:p>
    <w:p w:rsidR="0013352A" w:rsidRPr="00416F68" w:rsidRDefault="002725DE" w:rsidP="0002223B">
      <w:pPr>
        <w:tabs>
          <w:tab w:val="left" w:pos="1418"/>
        </w:tabs>
        <w:spacing w:after="150"/>
        <w:jc w:val="both"/>
        <w:rPr>
          <w:rFonts w:ascii="Times New Roman" w:hAnsi="Times New Roman" w:cs="Times New Roman"/>
          <w:sz w:val="24"/>
          <w:szCs w:val="24"/>
        </w:rPr>
      </w:pPr>
      <w:r>
        <w:rPr>
          <w:rFonts w:ascii="Times New Roman" w:hAnsi="Times New Roman" w:cs="Times New Roman"/>
          <w:color w:val="000000"/>
          <w:sz w:val="24"/>
          <w:szCs w:val="24"/>
          <w:lang w:val="sr-Cyrl-RS"/>
        </w:rPr>
        <w:tab/>
      </w:r>
      <w:r w:rsidR="0013352A" w:rsidRPr="00416F68">
        <w:rPr>
          <w:rFonts w:ascii="Times New Roman" w:hAnsi="Times New Roman" w:cs="Times New Roman"/>
          <w:color w:val="000000"/>
          <w:sz w:val="24"/>
          <w:szCs w:val="24"/>
        </w:rPr>
        <w:t xml:space="preserve">На основу члана 207. став 2. Закона о социјалној заштити („Службени гласник РС”, брoj 24/11) и члана 42. став 1. </w:t>
      </w:r>
      <w:r w:rsidR="00F037D9" w:rsidRPr="00F037D9">
        <w:rPr>
          <w:rFonts w:ascii="Times New Roman" w:hAnsi="Times New Roman" w:cs="Times New Roman"/>
          <w:color w:val="000000"/>
          <w:sz w:val="24"/>
          <w:szCs w:val="24"/>
          <w:lang w:val="sr-Cyrl-RS"/>
        </w:rPr>
        <w:t xml:space="preserve">Закона о Влади </w:t>
      </w:r>
      <w:r w:rsidR="00F037D9" w:rsidRPr="00F037D9">
        <w:rPr>
          <w:rFonts w:ascii="Times New Roman" w:hAnsi="Times New Roman" w:cs="Times New Roman"/>
          <w:color w:val="000000"/>
          <w:sz w:val="24"/>
          <w:szCs w:val="24"/>
          <w:lang w:val="sr-Cyrl-CS" w:eastAsia="sr-Latn-CS"/>
        </w:rPr>
        <w:t>(„Службени гласник РС</w:t>
      </w:r>
      <w:r w:rsidR="00F037D9" w:rsidRPr="00F037D9">
        <w:rPr>
          <w:rFonts w:ascii="Times New Roman" w:hAnsi="Times New Roman" w:cs="Times New Roman"/>
          <w:bCs/>
          <w:color w:val="000000"/>
          <w:sz w:val="24"/>
          <w:szCs w:val="24"/>
          <w:lang w:val="sr-Cyrl-CS" w:eastAsia="sr-Latn-CS"/>
        </w:rPr>
        <w:t>”</w:t>
      </w:r>
      <w:r w:rsidR="00F037D9" w:rsidRPr="00F037D9">
        <w:rPr>
          <w:rFonts w:ascii="Times New Roman" w:hAnsi="Times New Roman" w:cs="Times New Roman"/>
          <w:color w:val="000000"/>
          <w:sz w:val="24"/>
          <w:szCs w:val="24"/>
          <w:lang w:val="sr-Cyrl-CS" w:eastAsia="sr-Latn-CS"/>
        </w:rPr>
        <w:t>, бр. 55/05, 71/05 – исправка, 101/07, 65/08, 16/11, 68/12 – УС, 72/12, 7/14 – УС, 44/14 и 30/18 – др. закон)</w:t>
      </w:r>
      <w:r w:rsidR="0013352A" w:rsidRPr="00416F68">
        <w:rPr>
          <w:rFonts w:ascii="Times New Roman" w:hAnsi="Times New Roman" w:cs="Times New Roman"/>
          <w:color w:val="000000"/>
          <w:sz w:val="24"/>
          <w:szCs w:val="24"/>
        </w:rPr>
        <w:t>,</w:t>
      </w:r>
    </w:p>
    <w:p w:rsidR="0013352A" w:rsidRPr="00416F68" w:rsidRDefault="002725DE" w:rsidP="0002223B">
      <w:pPr>
        <w:tabs>
          <w:tab w:val="left" w:pos="1418"/>
        </w:tabs>
        <w:spacing w:after="150"/>
        <w:rPr>
          <w:rFonts w:ascii="Times New Roman" w:hAnsi="Times New Roman" w:cs="Times New Roman"/>
          <w:sz w:val="24"/>
          <w:szCs w:val="24"/>
          <w:lang w:val="sr-Cyrl-RS"/>
        </w:rPr>
      </w:pPr>
      <w:r>
        <w:rPr>
          <w:rFonts w:ascii="Times New Roman" w:hAnsi="Times New Roman" w:cs="Times New Roman"/>
          <w:color w:val="000000"/>
          <w:sz w:val="24"/>
          <w:szCs w:val="24"/>
        </w:rPr>
        <w:tab/>
      </w:r>
      <w:r w:rsidR="00B93A7D">
        <w:rPr>
          <w:rFonts w:ascii="Times New Roman" w:hAnsi="Times New Roman" w:cs="Times New Roman"/>
          <w:color w:val="000000"/>
          <w:sz w:val="24"/>
          <w:szCs w:val="24"/>
          <w:lang w:val="sr-Cyrl-RS"/>
        </w:rPr>
        <w:t>Влада</w:t>
      </w:r>
      <w:r w:rsidR="0013352A" w:rsidRPr="00416F68">
        <w:rPr>
          <w:rFonts w:ascii="Times New Roman" w:hAnsi="Times New Roman" w:cs="Times New Roman"/>
          <w:color w:val="000000"/>
          <w:sz w:val="24"/>
          <w:szCs w:val="24"/>
          <w:lang w:val="sr-Cyrl-RS"/>
        </w:rPr>
        <w:t xml:space="preserve"> доноси</w:t>
      </w:r>
    </w:p>
    <w:p w:rsidR="00F037D9" w:rsidRPr="008843D0" w:rsidRDefault="0013352A" w:rsidP="00F037D9">
      <w:pPr>
        <w:tabs>
          <w:tab w:val="left" w:pos="1418"/>
        </w:tabs>
        <w:spacing w:after="0"/>
        <w:jc w:val="center"/>
        <w:rPr>
          <w:rFonts w:ascii="Times New Roman" w:hAnsi="Times New Roman" w:cs="Times New Roman"/>
          <w:color w:val="000000"/>
          <w:sz w:val="24"/>
          <w:szCs w:val="24"/>
          <w:lang w:val="sr-Cyrl-RS"/>
        </w:rPr>
      </w:pPr>
      <w:r w:rsidRPr="008843D0">
        <w:rPr>
          <w:rFonts w:ascii="Times New Roman" w:hAnsi="Times New Roman" w:cs="Times New Roman"/>
          <w:color w:val="000000"/>
          <w:sz w:val="24"/>
          <w:szCs w:val="24"/>
        </w:rPr>
        <w:t>УРЕДБУ</w:t>
      </w:r>
      <w:r w:rsidRPr="008843D0">
        <w:rPr>
          <w:rFonts w:ascii="Times New Roman" w:hAnsi="Times New Roman" w:cs="Times New Roman"/>
          <w:color w:val="000000"/>
          <w:sz w:val="24"/>
          <w:szCs w:val="24"/>
          <w:lang w:val="sr-Cyrl-RS"/>
        </w:rPr>
        <w:t xml:space="preserve"> О ИЗМЕНАМА УРЕДБЕ О </w:t>
      </w:r>
    </w:p>
    <w:p w:rsidR="0013352A" w:rsidRPr="008843D0" w:rsidRDefault="0013352A" w:rsidP="00F037D9">
      <w:pPr>
        <w:tabs>
          <w:tab w:val="left" w:pos="1418"/>
        </w:tabs>
        <w:spacing w:after="0"/>
        <w:jc w:val="center"/>
        <w:rPr>
          <w:rFonts w:ascii="Times New Roman" w:hAnsi="Times New Roman" w:cs="Times New Roman"/>
          <w:color w:val="000000"/>
          <w:sz w:val="24"/>
          <w:szCs w:val="24"/>
          <w:lang w:val="sr-Cyrl-RS"/>
        </w:rPr>
      </w:pPr>
      <w:r w:rsidRPr="008843D0">
        <w:rPr>
          <w:rFonts w:ascii="Times New Roman" w:hAnsi="Times New Roman" w:cs="Times New Roman"/>
          <w:color w:val="000000"/>
          <w:sz w:val="24"/>
          <w:szCs w:val="24"/>
          <w:lang w:val="sr-Cyrl-RS"/>
        </w:rPr>
        <w:t>НАМЕНСКИМ ТРАНСФЕРИМА У СОЦИЈАЛНОЈ ЗАШТИТИ</w:t>
      </w:r>
    </w:p>
    <w:p w:rsidR="00F037D9" w:rsidRPr="00416F68" w:rsidRDefault="00F037D9" w:rsidP="00F037D9">
      <w:pPr>
        <w:tabs>
          <w:tab w:val="left" w:pos="1418"/>
        </w:tabs>
        <w:spacing w:after="0"/>
        <w:jc w:val="center"/>
        <w:rPr>
          <w:rFonts w:ascii="Times New Roman" w:hAnsi="Times New Roman" w:cs="Times New Roman"/>
          <w:sz w:val="24"/>
          <w:szCs w:val="24"/>
          <w:lang w:val="sr-Cyrl-RS"/>
        </w:rPr>
      </w:pPr>
    </w:p>
    <w:p w:rsidR="00BA03FA" w:rsidRPr="00662B23" w:rsidRDefault="0013352A" w:rsidP="00F037D9">
      <w:pPr>
        <w:tabs>
          <w:tab w:val="left" w:pos="1418"/>
        </w:tabs>
        <w:spacing w:after="150"/>
        <w:jc w:val="center"/>
        <w:rPr>
          <w:rFonts w:ascii="Times New Roman" w:hAnsi="Times New Roman" w:cs="Times New Roman"/>
          <w:color w:val="000000"/>
          <w:sz w:val="24"/>
          <w:szCs w:val="24"/>
        </w:rPr>
      </w:pPr>
      <w:r w:rsidRPr="00416F68">
        <w:rPr>
          <w:rFonts w:ascii="Times New Roman" w:hAnsi="Times New Roman" w:cs="Times New Roman"/>
          <w:b/>
          <w:color w:val="000000"/>
          <w:sz w:val="24"/>
          <w:szCs w:val="24"/>
        </w:rPr>
        <w:t> </w:t>
      </w:r>
      <w:r w:rsidRPr="00662B23">
        <w:rPr>
          <w:rFonts w:ascii="Times New Roman" w:hAnsi="Times New Roman" w:cs="Times New Roman"/>
          <w:color w:val="000000"/>
          <w:sz w:val="24"/>
          <w:szCs w:val="24"/>
        </w:rPr>
        <w:t>Члан 1.</w:t>
      </w:r>
    </w:p>
    <w:p w:rsidR="00D53FDD" w:rsidRPr="00416F68" w:rsidRDefault="00416F68" w:rsidP="0002223B">
      <w:pPr>
        <w:tabs>
          <w:tab w:val="left" w:pos="1418"/>
        </w:tabs>
        <w:spacing w:after="120"/>
        <w:jc w:val="both"/>
        <w:rPr>
          <w:rFonts w:ascii="Times New Roman" w:hAnsi="Times New Roman" w:cs="Times New Roman"/>
          <w:sz w:val="24"/>
          <w:szCs w:val="24"/>
          <w:lang w:val="sr-Cyrl-RS"/>
        </w:rPr>
      </w:pPr>
      <w:r w:rsidRPr="00416F68">
        <w:rPr>
          <w:rFonts w:ascii="Times New Roman" w:hAnsi="Times New Roman" w:cs="Times New Roman"/>
          <w:sz w:val="24"/>
          <w:szCs w:val="24"/>
          <w:lang w:val="sr-Cyrl-RS"/>
        </w:rPr>
        <w:tab/>
      </w:r>
      <w:r w:rsidR="00100978" w:rsidRPr="00416F68">
        <w:rPr>
          <w:rFonts w:ascii="Times New Roman" w:hAnsi="Times New Roman" w:cs="Times New Roman"/>
          <w:sz w:val="24"/>
          <w:szCs w:val="24"/>
          <w:lang w:val="sr-Cyrl-RS"/>
        </w:rPr>
        <w:t>У Уредб</w:t>
      </w:r>
      <w:r w:rsidR="00B13C1C">
        <w:rPr>
          <w:rFonts w:ascii="Times New Roman" w:hAnsi="Times New Roman" w:cs="Times New Roman"/>
          <w:sz w:val="24"/>
          <w:szCs w:val="24"/>
          <w:lang w:val="sr-Cyrl-RS"/>
        </w:rPr>
        <w:t>и</w:t>
      </w:r>
      <w:r w:rsidR="00100978" w:rsidRPr="00416F68">
        <w:rPr>
          <w:rFonts w:ascii="Times New Roman" w:hAnsi="Times New Roman" w:cs="Times New Roman"/>
          <w:sz w:val="24"/>
          <w:szCs w:val="24"/>
          <w:lang w:val="sr-Cyrl-RS"/>
        </w:rPr>
        <w:t xml:space="preserve"> о наменским трансферима у социјалној заштити (</w:t>
      </w:r>
      <w:r w:rsidR="00EF5A8A" w:rsidRPr="00416F68">
        <w:rPr>
          <w:rFonts w:ascii="Times New Roman" w:hAnsi="Times New Roman" w:cs="Times New Roman"/>
          <w:color w:val="000000"/>
          <w:sz w:val="24"/>
          <w:szCs w:val="24"/>
        </w:rPr>
        <w:t>„</w:t>
      </w:r>
      <w:r w:rsidR="00100978" w:rsidRPr="00416F68">
        <w:rPr>
          <w:rFonts w:ascii="Times New Roman" w:hAnsi="Times New Roman" w:cs="Times New Roman"/>
          <w:color w:val="000000"/>
          <w:sz w:val="24"/>
          <w:szCs w:val="24"/>
        </w:rPr>
        <w:t>Службени</w:t>
      </w:r>
      <w:r w:rsidR="00100978" w:rsidRPr="00416F68">
        <w:rPr>
          <w:rFonts w:ascii="Times New Roman" w:hAnsi="Times New Roman" w:cs="Times New Roman"/>
          <w:color w:val="000000"/>
          <w:sz w:val="24"/>
          <w:szCs w:val="24"/>
          <w:lang w:val="sr-Cyrl-RS"/>
        </w:rPr>
        <w:t xml:space="preserve"> </w:t>
      </w:r>
      <w:r w:rsidR="00100978" w:rsidRPr="00416F68">
        <w:rPr>
          <w:rFonts w:ascii="Times New Roman" w:hAnsi="Times New Roman" w:cs="Times New Roman"/>
          <w:color w:val="000000"/>
          <w:sz w:val="24"/>
          <w:szCs w:val="24"/>
        </w:rPr>
        <w:t>гласник</w:t>
      </w:r>
      <w:r w:rsidR="00100978" w:rsidRPr="00416F68">
        <w:rPr>
          <w:rFonts w:ascii="Times New Roman" w:hAnsi="Times New Roman" w:cs="Times New Roman"/>
          <w:color w:val="000000"/>
          <w:sz w:val="24"/>
          <w:szCs w:val="24"/>
          <w:lang w:val="sr-Cyrl-RS"/>
        </w:rPr>
        <w:t xml:space="preserve"> </w:t>
      </w:r>
      <w:r w:rsidR="00100978" w:rsidRPr="00416F68">
        <w:rPr>
          <w:rFonts w:ascii="Times New Roman" w:hAnsi="Times New Roman" w:cs="Times New Roman"/>
          <w:color w:val="000000"/>
          <w:sz w:val="24"/>
          <w:szCs w:val="24"/>
        </w:rPr>
        <w:t>РС</w:t>
      </w:r>
      <w:r w:rsidR="00EF5A8A" w:rsidRPr="00416F68">
        <w:rPr>
          <w:rFonts w:ascii="Times New Roman" w:hAnsi="Times New Roman" w:cs="Times New Roman"/>
          <w:color w:val="000000"/>
          <w:sz w:val="24"/>
          <w:szCs w:val="24"/>
        </w:rPr>
        <w:t>”</w:t>
      </w:r>
      <w:r w:rsidR="00100978" w:rsidRPr="00416F68">
        <w:rPr>
          <w:rFonts w:ascii="Times New Roman" w:hAnsi="Times New Roman" w:cs="Times New Roman"/>
          <w:color w:val="000000"/>
          <w:sz w:val="24"/>
          <w:szCs w:val="24"/>
        </w:rPr>
        <w:t xml:space="preserve">, број 18 </w:t>
      </w:r>
      <w:r w:rsidR="00100978" w:rsidRPr="00416F68">
        <w:rPr>
          <w:rFonts w:ascii="Times New Roman" w:hAnsi="Times New Roman" w:cs="Times New Roman"/>
          <w:color w:val="000000"/>
          <w:sz w:val="24"/>
          <w:szCs w:val="24"/>
          <w:lang w:val="sr-Cyrl-RS"/>
        </w:rPr>
        <w:t>/</w:t>
      </w:r>
      <w:r w:rsidR="00100978" w:rsidRPr="00416F68">
        <w:rPr>
          <w:rFonts w:ascii="Times New Roman" w:hAnsi="Times New Roman" w:cs="Times New Roman"/>
          <w:color w:val="000000"/>
          <w:sz w:val="24"/>
          <w:szCs w:val="24"/>
        </w:rPr>
        <w:t>16</w:t>
      </w:r>
      <w:r w:rsidR="00100978" w:rsidRPr="00416F68">
        <w:rPr>
          <w:rFonts w:ascii="Times New Roman" w:hAnsi="Times New Roman" w:cs="Times New Roman"/>
          <w:color w:val="000000"/>
          <w:sz w:val="24"/>
          <w:szCs w:val="24"/>
          <w:lang w:val="sr-Cyrl-RS"/>
        </w:rPr>
        <w:t>)</w:t>
      </w:r>
      <w:r w:rsidR="00100978" w:rsidRPr="00416F68">
        <w:rPr>
          <w:rFonts w:ascii="Times New Roman" w:hAnsi="Times New Roman" w:cs="Times New Roman"/>
          <w:sz w:val="24"/>
          <w:szCs w:val="24"/>
          <w:lang w:val="sr-Cyrl-RS"/>
        </w:rPr>
        <w:t xml:space="preserve"> </w:t>
      </w:r>
      <w:r w:rsidR="00B13C1C">
        <w:rPr>
          <w:rFonts w:ascii="Times New Roman" w:hAnsi="Times New Roman" w:cs="Times New Roman"/>
          <w:sz w:val="24"/>
          <w:szCs w:val="24"/>
          <w:lang w:val="sr-Cyrl-RS"/>
        </w:rPr>
        <w:t xml:space="preserve">у члану 3. </w:t>
      </w:r>
      <w:r w:rsidR="00100978" w:rsidRPr="00416F68">
        <w:rPr>
          <w:rFonts w:ascii="Times New Roman" w:hAnsi="Times New Roman" w:cs="Times New Roman"/>
          <w:sz w:val="24"/>
          <w:szCs w:val="24"/>
          <w:lang w:val="sr-Cyrl-RS"/>
        </w:rPr>
        <w:t>став 1. мења се и гласи:</w:t>
      </w:r>
    </w:p>
    <w:p w:rsidR="00416F68" w:rsidRDefault="00416F68" w:rsidP="0002223B">
      <w:pPr>
        <w:tabs>
          <w:tab w:val="left" w:pos="1418"/>
        </w:tabs>
        <w:spacing w:after="120"/>
        <w:jc w:val="both"/>
        <w:rPr>
          <w:rFonts w:ascii="Times New Roman" w:hAnsi="Times New Roman" w:cs="Times New Roman"/>
          <w:sz w:val="24"/>
          <w:szCs w:val="24"/>
          <w:lang w:val="sr-Cyrl-RS"/>
        </w:rPr>
      </w:pPr>
      <w:r w:rsidRPr="00416F68">
        <w:rPr>
          <w:rFonts w:ascii="Times New Roman" w:hAnsi="Times New Roman" w:cs="Times New Roman"/>
          <w:sz w:val="24"/>
          <w:szCs w:val="24"/>
          <w:lang w:val="sr-Cyrl-RS"/>
        </w:rPr>
        <w:tab/>
      </w:r>
      <w:r>
        <w:rPr>
          <w:rFonts w:ascii="Times New Roman" w:hAnsi="Times New Roman" w:cs="Times New Roman"/>
          <w:sz w:val="24"/>
          <w:szCs w:val="24"/>
          <w:lang w:val="sr-Cyrl-RS"/>
        </w:rPr>
        <w:t>„</w:t>
      </w:r>
      <w:r w:rsidR="00100978" w:rsidRPr="00416F68">
        <w:rPr>
          <w:rFonts w:ascii="Times New Roman" w:hAnsi="Times New Roman" w:cs="Times New Roman"/>
          <w:sz w:val="24"/>
          <w:szCs w:val="24"/>
          <w:lang w:val="sr-Cyrl-RS"/>
        </w:rPr>
        <w:t>Укупан годишњи износ наменског трансфера за финансирање услуга из члана 2. ове уредбе, за наредну буџетску годину</w:t>
      </w:r>
      <w:r>
        <w:rPr>
          <w:rFonts w:ascii="Times New Roman" w:hAnsi="Times New Roman" w:cs="Times New Roman"/>
          <w:sz w:val="24"/>
          <w:szCs w:val="24"/>
          <w:lang w:val="sr-Cyrl-RS"/>
        </w:rPr>
        <w:t>,</w:t>
      </w:r>
      <w:r w:rsidR="00100978" w:rsidRPr="00416F68">
        <w:rPr>
          <w:rFonts w:ascii="Times New Roman" w:hAnsi="Times New Roman" w:cs="Times New Roman"/>
          <w:sz w:val="24"/>
          <w:szCs w:val="24"/>
          <w:lang w:val="sr-Cyrl-RS"/>
        </w:rPr>
        <w:t xml:space="preserve"> утврђује се у складу са</w:t>
      </w:r>
      <w:r>
        <w:rPr>
          <w:rFonts w:ascii="Times New Roman" w:hAnsi="Times New Roman" w:cs="Times New Roman"/>
          <w:sz w:val="24"/>
          <w:szCs w:val="24"/>
          <w:lang w:val="sr-Cyrl-RS"/>
        </w:rPr>
        <w:t xml:space="preserve"> средствима опредељеним за ту намену З</w:t>
      </w:r>
      <w:r w:rsidR="00100978" w:rsidRPr="00416F68">
        <w:rPr>
          <w:rFonts w:ascii="Times New Roman" w:hAnsi="Times New Roman" w:cs="Times New Roman"/>
          <w:sz w:val="24"/>
          <w:szCs w:val="24"/>
          <w:lang w:val="sr-Cyrl-RS"/>
        </w:rPr>
        <w:t>аконом о буџету Репу</w:t>
      </w:r>
      <w:r w:rsidR="00B13C1C">
        <w:rPr>
          <w:rFonts w:ascii="Times New Roman" w:hAnsi="Times New Roman" w:cs="Times New Roman"/>
          <w:sz w:val="24"/>
          <w:szCs w:val="24"/>
          <w:lang w:val="sr-Cyrl-RS"/>
        </w:rPr>
        <w:t>блике Србије за текућу годину.</w:t>
      </w:r>
      <w:r w:rsidR="004E19C1" w:rsidRPr="00416F68">
        <w:rPr>
          <w:rFonts w:ascii="Times New Roman" w:hAnsi="Times New Roman" w:cs="Times New Roman"/>
          <w:color w:val="000000"/>
          <w:sz w:val="24"/>
          <w:szCs w:val="24"/>
        </w:rPr>
        <w:t>”</w:t>
      </w:r>
    </w:p>
    <w:p w:rsidR="0018571A" w:rsidRPr="0018571A" w:rsidRDefault="0018571A" w:rsidP="00F037D9">
      <w:pPr>
        <w:tabs>
          <w:tab w:val="left" w:pos="1418"/>
        </w:tabs>
        <w:spacing w:after="0"/>
        <w:jc w:val="both"/>
        <w:rPr>
          <w:rFonts w:ascii="Times New Roman" w:hAnsi="Times New Roman" w:cs="Times New Roman"/>
          <w:sz w:val="24"/>
          <w:szCs w:val="24"/>
          <w:lang w:val="sr-Cyrl-RS"/>
        </w:rPr>
      </w:pPr>
    </w:p>
    <w:p w:rsidR="00100978" w:rsidRPr="00662B23" w:rsidRDefault="00100978" w:rsidP="0002223B">
      <w:pPr>
        <w:tabs>
          <w:tab w:val="left" w:pos="1418"/>
        </w:tabs>
        <w:spacing w:after="120"/>
        <w:jc w:val="center"/>
        <w:rPr>
          <w:rFonts w:ascii="Times New Roman" w:hAnsi="Times New Roman" w:cs="Times New Roman"/>
          <w:sz w:val="24"/>
          <w:szCs w:val="24"/>
          <w:lang w:val="sr-Cyrl-RS"/>
        </w:rPr>
      </w:pPr>
      <w:r w:rsidRPr="00662B23">
        <w:rPr>
          <w:rFonts w:ascii="Times New Roman" w:hAnsi="Times New Roman" w:cs="Times New Roman"/>
          <w:sz w:val="24"/>
          <w:szCs w:val="24"/>
          <w:lang w:val="sr-Cyrl-RS"/>
        </w:rPr>
        <w:t>Члан 2</w:t>
      </w:r>
      <w:r w:rsidR="00416F68" w:rsidRPr="00662B23">
        <w:rPr>
          <w:rFonts w:ascii="Times New Roman" w:hAnsi="Times New Roman" w:cs="Times New Roman"/>
          <w:sz w:val="24"/>
          <w:szCs w:val="24"/>
          <w:lang w:val="sr-Cyrl-RS"/>
        </w:rPr>
        <w:t>.</w:t>
      </w:r>
    </w:p>
    <w:p w:rsidR="00416F68" w:rsidRPr="00416F68" w:rsidRDefault="00416F68" w:rsidP="0002223B">
      <w:pPr>
        <w:tabs>
          <w:tab w:val="left" w:pos="1418"/>
        </w:tabs>
        <w:spacing w:after="150"/>
        <w:jc w:val="both"/>
        <w:rPr>
          <w:rFonts w:ascii="Times New Roman" w:hAnsi="Times New Roman" w:cs="Times New Roman"/>
          <w:sz w:val="24"/>
          <w:szCs w:val="24"/>
          <w:lang w:val="sr-Cyrl-RS"/>
        </w:rPr>
      </w:pPr>
      <w:r w:rsidRPr="00416F68">
        <w:rPr>
          <w:rFonts w:ascii="Times New Roman" w:hAnsi="Times New Roman" w:cs="Times New Roman"/>
          <w:sz w:val="24"/>
          <w:szCs w:val="24"/>
          <w:lang w:val="sr-Cyrl-RS"/>
        </w:rPr>
        <w:tab/>
        <w:t xml:space="preserve">У </w:t>
      </w:r>
      <w:r w:rsidRPr="00416F68">
        <w:rPr>
          <w:rFonts w:ascii="Times New Roman" w:hAnsi="Times New Roman" w:cs="Times New Roman"/>
          <w:color w:val="000000"/>
          <w:sz w:val="24"/>
          <w:szCs w:val="24"/>
        </w:rPr>
        <w:t>члан</w:t>
      </w:r>
      <w:r w:rsidRPr="00416F68">
        <w:rPr>
          <w:rFonts w:ascii="Times New Roman" w:hAnsi="Times New Roman" w:cs="Times New Roman"/>
          <w:color w:val="000000"/>
          <w:sz w:val="24"/>
          <w:szCs w:val="24"/>
          <w:lang w:val="sr-Cyrl-RS"/>
        </w:rPr>
        <w:t>у</w:t>
      </w:r>
      <w:r w:rsidRPr="00416F68">
        <w:rPr>
          <w:rFonts w:ascii="Times New Roman" w:hAnsi="Times New Roman" w:cs="Times New Roman"/>
          <w:color w:val="000000"/>
          <w:sz w:val="24"/>
          <w:szCs w:val="24"/>
        </w:rPr>
        <w:t xml:space="preserve"> </w:t>
      </w:r>
      <w:r w:rsidRPr="00416F68">
        <w:rPr>
          <w:rFonts w:ascii="Times New Roman" w:hAnsi="Times New Roman" w:cs="Times New Roman"/>
          <w:color w:val="000000"/>
          <w:sz w:val="24"/>
          <w:szCs w:val="24"/>
          <w:lang w:val="sr-Cyrl-RS"/>
        </w:rPr>
        <w:t>7</w:t>
      </w:r>
      <w:r w:rsidRPr="00416F68">
        <w:rPr>
          <w:rFonts w:ascii="Times New Roman" w:hAnsi="Times New Roman" w:cs="Times New Roman"/>
          <w:color w:val="000000"/>
          <w:sz w:val="24"/>
          <w:szCs w:val="24"/>
        </w:rPr>
        <w:t xml:space="preserve">. </w:t>
      </w:r>
      <w:r w:rsidRPr="00416F68">
        <w:rPr>
          <w:rFonts w:ascii="Times New Roman" w:hAnsi="Times New Roman" w:cs="Times New Roman"/>
          <w:color w:val="000000"/>
          <w:sz w:val="24"/>
          <w:szCs w:val="24"/>
          <w:lang w:val="sr-Cyrl-RS"/>
        </w:rPr>
        <w:t>став 1.</w:t>
      </w:r>
      <w:r w:rsidRPr="00416F68">
        <w:rPr>
          <w:rFonts w:ascii="Times New Roman" w:hAnsi="Times New Roman" w:cs="Times New Roman"/>
          <w:sz w:val="24"/>
          <w:szCs w:val="24"/>
          <w:lang w:val="ru-RU"/>
        </w:rPr>
        <w:t xml:space="preserve"> мења се и гласи:</w:t>
      </w:r>
    </w:p>
    <w:p w:rsidR="00F3038C" w:rsidRDefault="00416F68" w:rsidP="0002223B">
      <w:pPr>
        <w:tabs>
          <w:tab w:val="left" w:pos="1418"/>
        </w:tabs>
        <w:spacing w:after="150"/>
        <w:jc w:val="both"/>
        <w:rPr>
          <w:rFonts w:ascii="Times New Roman" w:hAnsi="Times New Roman" w:cs="Times New Roman"/>
          <w:sz w:val="24"/>
          <w:szCs w:val="24"/>
          <w:lang w:val="sr-Cyrl-RS"/>
        </w:rPr>
      </w:pPr>
      <w:r w:rsidRPr="00416F68">
        <w:rPr>
          <w:rFonts w:ascii="Times New Roman" w:hAnsi="Times New Roman" w:cs="Times New Roman"/>
          <w:sz w:val="24"/>
          <w:szCs w:val="24"/>
          <w:lang w:val="sr-Cyrl-RS"/>
        </w:rPr>
        <w:tab/>
        <w:t>„Наменски трансфери по јединицама локалне самоуправе из члана 2. став 1. тачка 1) утврђени у складу са чланом 6. ове уредбе коригују се у односу на фискални капацитет јединице локалне самоуправе, изражен кроз висину укупних прихода и примања по становнику у последњој години за коју министарство надлежно за послове финансија располаже подацима, и то на следећи начин:</w:t>
      </w:r>
    </w:p>
    <w:p w:rsidR="00F3038C" w:rsidRPr="00F3038C" w:rsidRDefault="00F037D9" w:rsidP="0002223B">
      <w:pPr>
        <w:tabs>
          <w:tab w:val="left" w:pos="1418"/>
        </w:tabs>
        <w:spacing w:after="120" w:line="240" w:lineRule="auto"/>
        <w:ind w:firstLine="708"/>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ab/>
      </w:r>
      <w:r w:rsidR="00F3038C" w:rsidRPr="00F3038C">
        <w:rPr>
          <w:rFonts w:ascii="Times New Roman" w:eastAsia="Calibri" w:hAnsi="Times New Roman" w:cs="Times New Roman"/>
          <w:sz w:val="24"/>
          <w:lang w:val="sr-Cyrl-CS"/>
        </w:rPr>
        <w:t xml:space="preserve">- за јединице локалне самоуправе чији је фискални капацитет до </w:t>
      </w:r>
      <w:r w:rsidR="00F3038C" w:rsidRPr="00F3038C">
        <w:rPr>
          <w:rFonts w:ascii="Times New Roman" w:eastAsia="Calibri" w:hAnsi="Times New Roman" w:cs="Times New Roman"/>
          <w:sz w:val="24"/>
        </w:rPr>
        <w:t>5</w:t>
      </w:r>
      <w:r w:rsidR="00F3038C" w:rsidRPr="00F3038C">
        <w:rPr>
          <w:rFonts w:ascii="Times New Roman" w:eastAsia="Calibri" w:hAnsi="Times New Roman" w:cs="Times New Roman"/>
          <w:sz w:val="24"/>
          <w:lang w:val="sr-Cyrl-CS"/>
        </w:rPr>
        <w:t>0% просечног прихода по становнику од уступљених прихода у свим општинама у Републици Србији наменски трансфер се множи са коефицијентом 1,2;</w:t>
      </w:r>
    </w:p>
    <w:p w:rsidR="00F3038C" w:rsidRPr="00F3038C" w:rsidRDefault="00F037D9" w:rsidP="0002223B">
      <w:pPr>
        <w:tabs>
          <w:tab w:val="left" w:pos="1418"/>
        </w:tabs>
        <w:spacing w:after="120" w:line="240" w:lineRule="auto"/>
        <w:ind w:firstLine="708"/>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ab/>
      </w:r>
      <w:r w:rsidR="00F3038C" w:rsidRPr="00F3038C">
        <w:rPr>
          <w:rFonts w:ascii="Times New Roman" w:eastAsia="Calibri" w:hAnsi="Times New Roman" w:cs="Times New Roman"/>
          <w:sz w:val="24"/>
          <w:lang w:val="sr-Cyrl-CS"/>
        </w:rPr>
        <w:t xml:space="preserve">- за јединице локалне самоуправе чији је фискални капацитет између </w:t>
      </w:r>
      <w:r w:rsidR="00F3038C" w:rsidRPr="00F3038C">
        <w:rPr>
          <w:rFonts w:ascii="Times New Roman" w:eastAsia="Calibri" w:hAnsi="Times New Roman" w:cs="Times New Roman"/>
          <w:sz w:val="24"/>
        </w:rPr>
        <w:t>5</w:t>
      </w:r>
      <w:r w:rsidR="00F3038C" w:rsidRPr="00F3038C">
        <w:rPr>
          <w:rFonts w:ascii="Times New Roman" w:eastAsia="Calibri" w:hAnsi="Times New Roman" w:cs="Times New Roman"/>
          <w:sz w:val="24"/>
          <w:lang w:val="sr-Cyrl-CS"/>
        </w:rPr>
        <w:t>0-</w:t>
      </w:r>
      <w:r w:rsidR="00F3038C" w:rsidRPr="00F3038C">
        <w:rPr>
          <w:rFonts w:ascii="Times New Roman" w:eastAsia="Calibri" w:hAnsi="Times New Roman" w:cs="Times New Roman"/>
          <w:sz w:val="24"/>
        </w:rPr>
        <w:t>8</w:t>
      </w:r>
      <w:r w:rsidR="00F3038C" w:rsidRPr="00F3038C">
        <w:rPr>
          <w:rFonts w:ascii="Times New Roman" w:eastAsia="Calibri" w:hAnsi="Times New Roman" w:cs="Times New Roman"/>
          <w:sz w:val="24"/>
          <w:lang w:val="sr-Cyrl-CS"/>
        </w:rPr>
        <w:t>0% просечног прихода по становнику од уступљених прихода у свим општинама у Републици Србији наменски трансфер се множи са коефицијентом 1,1;</w:t>
      </w:r>
    </w:p>
    <w:p w:rsidR="00F3038C" w:rsidRPr="00F3038C" w:rsidRDefault="00F037D9" w:rsidP="0002223B">
      <w:pPr>
        <w:tabs>
          <w:tab w:val="left" w:pos="1418"/>
        </w:tabs>
        <w:spacing w:after="120" w:line="240" w:lineRule="auto"/>
        <w:ind w:firstLine="708"/>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ab/>
      </w:r>
      <w:r w:rsidR="00F3038C" w:rsidRPr="00F3038C">
        <w:rPr>
          <w:rFonts w:ascii="Times New Roman" w:eastAsia="Calibri" w:hAnsi="Times New Roman" w:cs="Times New Roman"/>
          <w:sz w:val="24"/>
          <w:lang w:val="sr-Cyrl-CS"/>
        </w:rPr>
        <w:t xml:space="preserve">- за јединице локалне самоуправе чији је фискални капацитет између </w:t>
      </w:r>
      <w:r w:rsidR="00F3038C" w:rsidRPr="00F3038C">
        <w:rPr>
          <w:rFonts w:ascii="Times New Roman" w:eastAsia="Calibri" w:hAnsi="Times New Roman" w:cs="Times New Roman"/>
          <w:sz w:val="24"/>
        </w:rPr>
        <w:t>8</w:t>
      </w:r>
      <w:r w:rsidR="00F3038C" w:rsidRPr="00F3038C">
        <w:rPr>
          <w:rFonts w:ascii="Times New Roman" w:eastAsia="Calibri" w:hAnsi="Times New Roman" w:cs="Times New Roman"/>
          <w:sz w:val="24"/>
          <w:lang w:val="sr-Cyrl-CS"/>
        </w:rPr>
        <w:t>0-100% просечног прихода по становнику од уступљених прихода у свим општинама у Републици Србији наменски трансфер се множи са коефицијентом 1,0;</w:t>
      </w:r>
    </w:p>
    <w:p w:rsidR="00416F68" w:rsidRDefault="00F037D9" w:rsidP="0002223B">
      <w:pPr>
        <w:tabs>
          <w:tab w:val="left" w:pos="1418"/>
        </w:tabs>
        <w:spacing w:after="120" w:line="240" w:lineRule="auto"/>
        <w:ind w:firstLine="708"/>
        <w:jc w:val="both"/>
        <w:rPr>
          <w:rFonts w:ascii="Times New Roman" w:hAnsi="Times New Roman" w:cs="Times New Roman"/>
          <w:color w:val="000000"/>
          <w:sz w:val="24"/>
          <w:szCs w:val="24"/>
        </w:rPr>
      </w:pPr>
      <w:r>
        <w:rPr>
          <w:rFonts w:ascii="Times New Roman" w:eastAsia="Calibri" w:hAnsi="Times New Roman" w:cs="Times New Roman"/>
          <w:sz w:val="24"/>
          <w:lang w:val="sr-Cyrl-CS"/>
        </w:rPr>
        <w:tab/>
      </w:r>
      <w:r w:rsidR="00F3038C" w:rsidRPr="00F3038C">
        <w:rPr>
          <w:rFonts w:ascii="Times New Roman" w:eastAsia="Calibri" w:hAnsi="Times New Roman" w:cs="Times New Roman"/>
          <w:sz w:val="24"/>
          <w:lang w:val="sr-Cyrl-CS"/>
        </w:rPr>
        <w:t>- за јединице локалне самоуправе чији је фискални капацитет преко 100% просечног прихода по становнику од уступљених прихода у свим општинама у Републици Србији наменски трансфер се множи са коефицијентом 0,8.</w:t>
      </w:r>
      <w:r w:rsidR="004E19C1" w:rsidRPr="00416F68">
        <w:rPr>
          <w:rFonts w:ascii="Times New Roman" w:hAnsi="Times New Roman" w:cs="Times New Roman"/>
          <w:color w:val="000000"/>
          <w:sz w:val="24"/>
          <w:szCs w:val="24"/>
        </w:rPr>
        <w:t>”</w:t>
      </w:r>
    </w:p>
    <w:p w:rsidR="00F037D9" w:rsidRDefault="00F037D9" w:rsidP="00F037D9">
      <w:pPr>
        <w:tabs>
          <w:tab w:val="left" w:pos="1418"/>
        </w:tabs>
        <w:spacing w:after="0" w:line="240" w:lineRule="auto"/>
        <w:ind w:firstLine="708"/>
        <w:jc w:val="both"/>
        <w:rPr>
          <w:rFonts w:ascii="Times New Roman" w:eastAsia="Calibri" w:hAnsi="Times New Roman" w:cs="Times New Roman"/>
          <w:sz w:val="24"/>
        </w:rPr>
      </w:pPr>
    </w:p>
    <w:p w:rsidR="00F037D9" w:rsidRPr="00EF5A8A" w:rsidRDefault="00F037D9" w:rsidP="00F037D9">
      <w:pPr>
        <w:tabs>
          <w:tab w:val="left" w:pos="1418"/>
        </w:tabs>
        <w:spacing w:after="0" w:line="240" w:lineRule="auto"/>
        <w:ind w:firstLine="708"/>
        <w:jc w:val="both"/>
        <w:rPr>
          <w:rFonts w:ascii="Times New Roman" w:eastAsia="Calibri" w:hAnsi="Times New Roman" w:cs="Times New Roman"/>
          <w:sz w:val="24"/>
        </w:rPr>
      </w:pPr>
    </w:p>
    <w:p w:rsidR="00E50246" w:rsidRDefault="00100978" w:rsidP="00F037D9">
      <w:pPr>
        <w:tabs>
          <w:tab w:val="left" w:pos="1418"/>
        </w:tabs>
        <w:spacing w:after="0"/>
        <w:jc w:val="center"/>
        <w:rPr>
          <w:rFonts w:ascii="Times New Roman" w:hAnsi="Times New Roman" w:cs="Times New Roman"/>
          <w:sz w:val="24"/>
          <w:szCs w:val="24"/>
          <w:lang w:val="sr-Cyrl-RS"/>
        </w:rPr>
      </w:pPr>
      <w:r w:rsidRPr="00662B23">
        <w:rPr>
          <w:rFonts w:ascii="Times New Roman" w:hAnsi="Times New Roman" w:cs="Times New Roman"/>
          <w:sz w:val="24"/>
          <w:szCs w:val="24"/>
          <w:lang w:val="sr-Cyrl-RS"/>
        </w:rPr>
        <w:t>Члан 3</w:t>
      </w:r>
      <w:r w:rsidR="00E50246" w:rsidRPr="00662B23">
        <w:rPr>
          <w:rFonts w:ascii="Times New Roman" w:hAnsi="Times New Roman" w:cs="Times New Roman"/>
          <w:sz w:val="24"/>
          <w:szCs w:val="24"/>
          <w:lang w:val="sr-Cyrl-RS"/>
        </w:rPr>
        <w:t>.</w:t>
      </w:r>
    </w:p>
    <w:p w:rsidR="00F037D9" w:rsidRPr="00662B23" w:rsidRDefault="00F037D9" w:rsidP="00F037D9">
      <w:pPr>
        <w:tabs>
          <w:tab w:val="left" w:pos="1418"/>
        </w:tabs>
        <w:spacing w:after="0"/>
        <w:jc w:val="center"/>
        <w:rPr>
          <w:rFonts w:ascii="Times New Roman" w:hAnsi="Times New Roman" w:cs="Times New Roman"/>
          <w:sz w:val="24"/>
          <w:szCs w:val="24"/>
          <w:lang w:val="sr-Cyrl-RS"/>
        </w:rPr>
      </w:pPr>
    </w:p>
    <w:p w:rsidR="00416F68" w:rsidRPr="00416F68" w:rsidRDefault="00416F68" w:rsidP="0002223B">
      <w:pPr>
        <w:tabs>
          <w:tab w:val="left" w:pos="1418"/>
        </w:tabs>
        <w:spacing w:after="150"/>
        <w:jc w:val="both"/>
        <w:rPr>
          <w:rFonts w:ascii="Times New Roman" w:hAnsi="Times New Roman" w:cs="Times New Roman"/>
          <w:sz w:val="24"/>
          <w:szCs w:val="24"/>
          <w:lang w:val="ru-RU"/>
        </w:rPr>
      </w:pPr>
      <w:r w:rsidRPr="00416F68">
        <w:rPr>
          <w:rFonts w:ascii="Times New Roman" w:hAnsi="Times New Roman" w:cs="Times New Roman"/>
          <w:sz w:val="24"/>
          <w:szCs w:val="24"/>
          <w:lang w:val="sr-Cyrl-RS"/>
        </w:rPr>
        <w:tab/>
        <w:t xml:space="preserve">У </w:t>
      </w:r>
      <w:r w:rsidRPr="00416F68">
        <w:rPr>
          <w:rFonts w:ascii="Times New Roman" w:hAnsi="Times New Roman" w:cs="Times New Roman"/>
          <w:color w:val="000000"/>
          <w:sz w:val="24"/>
          <w:szCs w:val="24"/>
        </w:rPr>
        <w:t>члан</w:t>
      </w:r>
      <w:r w:rsidRPr="00416F68">
        <w:rPr>
          <w:rFonts w:ascii="Times New Roman" w:hAnsi="Times New Roman" w:cs="Times New Roman"/>
          <w:color w:val="000000"/>
          <w:sz w:val="24"/>
          <w:szCs w:val="24"/>
          <w:lang w:val="sr-Cyrl-RS"/>
        </w:rPr>
        <w:t>у</w:t>
      </w:r>
      <w:r w:rsidRPr="00416F68">
        <w:rPr>
          <w:rFonts w:ascii="Times New Roman" w:hAnsi="Times New Roman" w:cs="Times New Roman"/>
          <w:color w:val="000000"/>
          <w:sz w:val="24"/>
          <w:szCs w:val="24"/>
        </w:rPr>
        <w:t xml:space="preserve"> 9. </w:t>
      </w:r>
      <w:r w:rsidRPr="00416F68">
        <w:rPr>
          <w:rFonts w:ascii="Times New Roman" w:hAnsi="Times New Roman" w:cs="Times New Roman"/>
          <w:color w:val="000000"/>
          <w:sz w:val="24"/>
          <w:szCs w:val="24"/>
          <w:lang w:val="sr-Cyrl-RS"/>
        </w:rPr>
        <w:t>став 1.</w:t>
      </w:r>
      <w:r w:rsidRPr="00416F68">
        <w:rPr>
          <w:rFonts w:ascii="Times New Roman" w:hAnsi="Times New Roman" w:cs="Times New Roman"/>
          <w:sz w:val="24"/>
          <w:szCs w:val="24"/>
          <w:lang w:val="ru-RU"/>
        </w:rPr>
        <w:t xml:space="preserve"> мења се и гласи:</w:t>
      </w:r>
    </w:p>
    <w:p w:rsidR="002725DE" w:rsidRDefault="00416F68" w:rsidP="00F037D9">
      <w:pPr>
        <w:tabs>
          <w:tab w:val="left" w:pos="1418"/>
        </w:tabs>
        <w:spacing w:after="0"/>
        <w:jc w:val="both"/>
        <w:rPr>
          <w:rFonts w:ascii="Times New Roman" w:hAnsi="Times New Roman" w:cs="Times New Roman"/>
          <w:color w:val="000000"/>
          <w:sz w:val="24"/>
          <w:szCs w:val="24"/>
        </w:rPr>
      </w:pPr>
      <w:r w:rsidRPr="00416F68">
        <w:rPr>
          <w:rFonts w:ascii="Times New Roman" w:hAnsi="Times New Roman" w:cs="Times New Roman"/>
          <w:sz w:val="24"/>
          <w:szCs w:val="24"/>
          <w:lang w:val="ru-RU"/>
        </w:rPr>
        <w:tab/>
      </w:r>
      <w:r w:rsidRPr="00416F68">
        <w:rPr>
          <w:rFonts w:ascii="Times New Roman" w:hAnsi="Times New Roman" w:cs="Times New Roman"/>
          <w:sz w:val="24"/>
          <w:szCs w:val="24"/>
          <w:lang w:val="sr-Latn-RS"/>
        </w:rPr>
        <w:t>„</w:t>
      </w:r>
      <w:r w:rsidRPr="00416F68">
        <w:rPr>
          <w:rFonts w:ascii="Times New Roman" w:hAnsi="Times New Roman" w:cs="Times New Roman"/>
          <w:color w:val="000000"/>
          <w:sz w:val="24"/>
          <w:szCs w:val="24"/>
        </w:rPr>
        <w:t xml:space="preserve">Средства за наменске трансфере преносе се јединицама локалне самоуправе </w:t>
      </w:r>
      <w:r w:rsidR="00796781">
        <w:rPr>
          <w:rFonts w:ascii="Times New Roman" w:hAnsi="Times New Roman" w:cs="Times New Roman"/>
          <w:color w:val="000000"/>
          <w:sz w:val="24"/>
          <w:szCs w:val="24"/>
          <w:lang w:val="sr-Cyrl-RS"/>
        </w:rPr>
        <w:t>у року од 15</w:t>
      </w:r>
      <w:r w:rsidRPr="00416F68">
        <w:rPr>
          <w:rFonts w:ascii="Times New Roman" w:hAnsi="Times New Roman" w:cs="Times New Roman"/>
          <w:color w:val="000000"/>
          <w:sz w:val="24"/>
          <w:szCs w:val="24"/>
          <w:lang w:val="sr-Cyrl-RS"/>
        </w:rPr>
        <w:t xml:space="preserve"> дана од дана достављања </w:t>
      </w:r>
      <w:r w:rsidR="007030E3">
        <w:rPr>
          <w:rFonts w:ascii="Times New Roman" w:hAnsi="Times New Roman" w:cs="Times New Roman"/>
          <w:color w:val="000000"/>
          <w:sz w:val="24"/>
          <w:szCs w:val="24"/>
          <w:lang w:val="sr-Cyrl-RS"/>
        </w:rPr>
        <w:t>м</w:t>
      </w:r>
      <w:r w:rsidRPr="00416F68">
        <w:rPr>
          <w:rFonts w:ascii="Times New Roman" w:hAnsi="Times New Roman" w:cs="Times New Roman"/>
          <w:color w:val="000000"/>
          <w:sz w:val="24"/>
          <w:szCs w:val="24"/>
          <w:lang w:val="sr-Cyrl-RS"/>
        </w:rPr>
        <w:t>инистарству</w:t>
      </w:r>
      <w:r w:rsidR="007030E3">
        <w:rPr>
          <w:rFonts w:ascii="Times New Roman" w:hAnsi="Times New Roman" w:cs="Times New Roman"/>
          <w:color w:val="000000"/>
          <w:sz w:val="24"/>
          <w:szCs w:val="24"/>
          <w:lang w:val="sr-Cyrl-RS"/>
        </w:rPr>
        <w:t xml:space="preserve"> надлежном за послове социјалне заштите</w:t>
      </w:r>
      <w:r w:rsidRPr="00416F68">
        <w:rPr>
          <w:rFonts w:ascii="Times New Roman" w:hAnsi="Times New Roman" w:cs="Times New Roman"/>
          <w:color w:val="000000"/>
          <w:sz w:val="24"/>
          <w:szCs w:val="24"/>
          <w:lang w:val="sr-Cyrl-RS"/>
        </w:rPr>
        <w:t xml:space="preserve"> уговора о набавци услуге између </w:t>
      </w:r>
      <w:r w:rsidR="007030E3">
        <w:rPr>
          <w:rFonts w:ascii="Times New Roman" w:hAnsi="Times New Roman" w:cs="Times New Roman"/>
          <w:color w:val="000000"/>
          <w:sz w:val="24"/>
          <w:szCs w:val="24"/>
          <w:lang w:val="sr-Cyrl-RS"/>
        </w:rPr>
        <w:t>јединице локалне самоуправе</w:t>
      </w:r>
      <w:r w:rsidRPr="00416F68">
        <w:rPr>
          <w:rFonts w:ascii="Times New Roman" w:hAnsi="Times New Roman" w:cs="Times New Roman"/>
          <w:color w:val="000000"/>
          <w:sz w:val="24"/>
          <w:szCs w:val="24"/>
          <w:lang w:val="sr-Cyrl-RS"/>
        </w:rPr>
        <w:t xml:space="preserve"> и пружаоца услуге</w:t>
      </w:r>
      <w:r w:rsidR="005C287B">
        <w:rPr>
          <w:rFonts w:ascii="Times New Roman" w:hAnsi="Times New Roman" w:cs="Times New Roman"/>
          <w:color w:val="000000"/>
          <w:sz w:val="24"/>
          <w:szCs w:val="24"/>
          <w:lang w:val="sr-Cyrl-RS"/>
        </w:rPr>
        <w:t>, у висини уговорене цене услуге која је предмет набавке, а до висине средстава опредељених расподел</w:t>
      </w:r>
      <w:r w:rsidR="00522A55">
        <w:rPr>
          <w:rFonts w:ascii="Times New Roman" w:hAnsi="Times New Roman" w:cs="Times New Roman"/>
          <w:color w:val="000000"/>
          <w:sz w:val="24"/>
          <w:szCs w:val="24"/>
          <w:lang w:val="sr-Cyrl-RS"/>
        </w:rPr>
        <w:t xml:space="preserve">ом </w:t>
      </w:r>
      <w:r w:rsidR="005C287B">
        <w:rPr>
          <w:rFonts w:ascii="Times New Roman" w:hAnsi="Times New Roman" w:cs="Times New Roman"/>
          <w:color w:val="000000"/>
          <w:sz w:val="24"/>
          <w:szCs w:val="24"/>
          <w:lang w:val="sr-Cyrl-RS"/>
        </w:rPr>
        <w:t>наменског трансфера за развој услуга социјалне заштите јединицама локалне самоуправе</w:t>
      </w:r>
      <w:r w:rsidR="00B316E6">
        <w:rPr>
          <w:rFonts w:ascii="Times New Roman" w:hAnsi="Times New Roman" w:cs="Times New Roman"/>
          <w:color w:val="000000"/>
          <w:sz w:val="24"/>
          <w:szCs w:val="24"/>
          <w:lang w:val="sr-Cyrl-RS"/>
        </w:rPr>
        <w:t>.</w:t>
      </w:r>
      <w:r w:rsidR="00B316E6" w:rsidRPr="00416F68">
        <w:rPr>
          <w:rFonts w:ascii="Times New Roman" w:hAnsi="Times New Roman" w:cs="Times New Roman"/>
          <w:color w:val="000000"/>
          <w:sz w:val="24"/>
          <w:szCs w:val="24"/>
        </w:rPr>
        <w:t>”</w:t>
      </w:r>
    </w:p>
    <w:p w:rsidR="00F037D9" w:rsidRDefault="00F037D9" w:rsidP="00F037D9">
      <w:pPr>
        <w:tabs>
          <w:tab w:val="left" w:pos="1418"/>
        </w:tabs>
        <w:spacing w:after="0"/>
        <w:jc w:val="both"/>
        <w:rPr>
          <w:rFonts w:ascii="Times New Roman" w:hAnsi="Times New Roman" w:cs="Times New Roman"/>
          <w:color w:val="000000"/>
          <w:sz w:val="24"/>
          <w:szCs w:val="24"/>
        </w:rPr>
      </w:pPr>
    </w:p>
    <w:p w:rsidR="002725DE" w:rsidRDefault="002725DE" w:rsidP="0002223B">
      <w:pPr>
        <w:tabs>
          <w:tab w:val="left" w:pos="1418"/>
        </w:tabs>
        <w:spacing w:after="150"/>
        <w:jc w:val="center"/>
        <w:rPr>
          <w:rFonts w:ascii="Times New Roman" w:hAnsi="Times New Roman" w:cs="Times New Roman"/>
          <w:sz w:val="24"/>
          <w:szCs w:val="24"/>
          <w:lang w:val="sr-Cyrl-RS"/>
        </w:rPr>
      </w:pPr>
      <w:r w:rsidRPr="00662B23">
        <w:rPr>
          <w:rFonts w:ascii="Times New Roman" w:hAnsi="Times New Roman" w:cs="Times New Roman"/>
          <w:sz w:val="24"/>
          <w:szCs w:val="24"/>
          <w:lang w:val="sr-Cyrl-RS"/>
        </w:rPr>
        <w:t>Члан 4.</w:t>
      </w:r>
    </w:p>
    <w:p w:rsidR="006E0A20" w:rsidRPr="006E0A20" w:rsidRDefault="006E0A20" w:rsidP="00F037D9">
      <w:pPr>
        <w:tabs>
          <w:tab w:val="left" w:pos="1418"/>
          <w:tab w:val="center" w:pos="4536"/>
          <w:tab w:val="left" w:pos="6360"/>
        </w:tabs>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RS"/>
        </w:rPr>
        <w:tab/>
      </w:r>
      <w:r w:rsidRPr="006E0A20">
        <w:rPr>
          <w:rFonts w:ascii="Times New Roman" w:eastAsia="Calibri" w:hAnsi="Times New Roman" w:cs="Times New Roman"/>
          <w:sz w:val="24"/>
          <w:szCs w:val="24"/>
          <w:lang w:val="sr-Cyrl-RS"/>
        </w:rPr>
        <w:t xml:space="preserve">Ова уредба ступа на снагу осмог дана од </w:t>
      </w:r>
      <w:r w:rsidR="00AA4F36">
        <w:rPr>
          <w:rFonts w:ascii="Times New Roman" w:eastAsia="Calibri" w:hAnsi="Times New Roman" w:cs="Times New Roman"/>
          <w:sz w:val="24"/>
          <w:szCs w:val="24"/>
          <w:lang w:val="sr-Cyrl-RS"/>
        </w:rPr>
        <w:t xml:space="preserve">дана </w:t>
      </w:r>
      <w:r w:rsidRPr="006E0A20">
        <w:rPr>
          <w:rFonts w:ascii="Times New Roman" w:eastAsia="Calibri" w:hAnsi="Times New Roman" w:cs="Times New Roman"/>
          <w:sz w:val="24"/>
          <w:szCs w:val="24"/>
          <w:lang w:val="sr-Cyrl-RS"/>
        </w:rPr>
        <w:t>објављивања у „Службеном гласнику Републике Србије</w:t>
      </w:r>
      <w:r w:rsidRPr="006E0A20">
        <w:rPr>
          <w:rFonts w:ascii="Times New Roman" w:eastAsia="Calibri" w:hAnsi="Times New Roman" w:cs="Times New Roman"/>
          <w:sz w:val="24"/>
          <w:szCs w:val="24"/>
          <w:lang w:val="sr-Cyrl-CS"/>
        </w:rPr>
        <w:t>”</w:t>
      </w:r>
      <w:r w:rsidRPr="006E0A20">
        <w:rPr>
          <w:rFonts w:ascii="Times New Roman" w:eastAsia="Calibri" w:hAnsi="Times New Roman" w:cs="Times New Roman"/>
          <w:sz w:val="24"/>
          <w:szCs w:val="24"/>
          <w:lang w:val="sr-Cyrl-RS"/>
        </w:rPr>
        <w:t>.</w:t>
      </w:r>
    </w:p>
    <w:p w:rsidR="006E0A20" w:rsidRDefault="006E0A20" w:rsidP="0002223B">
      <w:pPr>
        <w:tabs>
          <w:tab w:val="left" w:pos="900"/>
          <w:tab w:val="left" w:pos="1418"/>
          <w:tab w:val="center" w:pos="4536"/>
          <w:tab w:val="left" w:pos="6360"/>
        </w:tabs>
        <w:spacing w:after="120" w:line="240" w:lineRule="auto"/>
        <w:jc w:val="both"/>
        <w:rPr>
          <w:rFonts w:ascii="Times New Roman" w:eastAsia="Calibri" w:hAnsi="Times New Roman" w:cs="Times New Roman"/>
          <w:sz w:val="24"/>
          <w:szCs w:val="24"/>
          <w:lang w:val="sr-Cyrl-CS"/>
        </w:rPr>
      </w:pPr>
    </w:p>
    <w:p w:rsidR="002519F8" w:rsidRPr="00961D5A" w:rsidRDefault="002519F8" w:rsidP="002519F8">
      <w:pPr>
        <w:spacing w:after="0" w:line="240" w:lineRule="auto"/>
        <w:rPr>
          <w:rFonts w:ascii="Times New Roman" w:hAnsi="Times New Roman" w:cs="Times New Roman"/>
          <w:sz w:val="24"/>
          <w:szCs w:val="24"/>
          <w:lang w:val="sr-Cyrl-CS"/>
        </w:rPr>
      </w:pPr>
      <w:r w:rsidRPr="00961D5A">
        <w:rPr>
          <w:rFonts w:ascii="Times New Roman" w:hAnsi="Times New Roman" w:cs="Times New Roman"/>
          <w:sz w:val="24"/>
          <w:szCs w:val="24"/>
          <w:lang w:val="sr-Cyrl-CS"/>
        </w:rPr>
        <w:t xml:space="preserve">05 Број: </w:t>
      </w:r>
      <w:r>
        <w:rPr>
          <w:rFonts w:ascii="Times New Roman" w:hAnsi="Times New Roman" w:cs="Times New Roman"/>
          <w:sz w:val="24"/>
          <w:szCs w:val="24"/>
          <w:lang w:val="sr-Cyrl-CS"/>
        </w:rPr>
        <w:t>110</w:t>
      </w:r>
      <w:r w:rsidRPr="00961D5A">
        <w:rPr>
          <w:rFonts w:ascii="Times New Roman" w:hAnsi="Times New Roman" w:cs="Times New Roman"/>
          <w:sz w:val="24"/>
          <w:szCs w:val="24"/>
          <w:lang w:val="sr-Cyrl-CS"/>
        </w:rPr>
        <w:t>-</w:t>
      </w:r>
      <w:r>
        <w:rPr>
          <w:rFonts w:ascii="Times New Roman" w:hAnsi="Times New Roman" w:cs="Times New Roman"/>
          <w:sz w:val="24"/>
          <w:szCs w:val="24"/>
          <w:lang w:val="sr-Cyrl-CS"/>
        </w:rPr>
        <w:t>3392</w:t>
      </w:r>
      <w:r w:rsidRPr="00961D5A">
        <w:rPr>
          <w:rFonts w:ascii="Times New Roman" w:hAnsi="Times New Roman" w:cs="Times New Roman"/>
          <w:sz w:val="24"/>
          <w:szCs w:val="24"/>
          <w:lang w:val="sr-Cyrl-CS"/>
        </w:rPr>
        <w:t>/2021</w:t>
      </w:r>
    </w:p>
    <w:p w:rsidR="002519F8" w:rsidRDefault="002519F8" w:rsidP="002519F8">
      <w:pPr>
        <w:pStyle w:val="Bodytext20"/>
        <w:spacing w:after="0" w:line="240" w:lineRule="auto"/>
        <w:ind w:left="360"/>
        <w:rPr>
          <w:rFonts w:ascii="Times New Roman" w:hAnsi="Times New Roman" w:cs="Times New Roman"/>
          <w:spacing w:val="0"/>
          <w:sz w:val="24"/>
          <w:szCs w:val="24"/>
          <w:lang w:val="sr-Cyrl-RS"/>
        </w:rPr>
      </w:pPr>
      <w:r w:rsidRPr="00961D5A">
        <w:rPr>
          <w:rFonts w:ascii="Times New Roman" w:hAnsi="Times New Roman" w:cs="Times New Roman"/>
          <w:spacing w:val="0"/>
          <w:sz w:val="24"/>
          <w:szCs w:val="24"/>
        </w:rPr>
        <w:t>У Београду,</w:t>
      </w:r>
      <w:r w:rsidRPr="00961D5A">
        <w:rPr>
          <w:rFonts w:ascii="Times New Roman" w:hAnsi="Times New Roman" w:cs="Times New Roman"/>
          <w:spacing w:val="0"/>
          <w:sz w:val="24"/>
          <w:szCs w:val="24"/>
          <w:lang w:val="sr-Cyrl-RS"/>
        </w:rPr>
        <w:t xml:space="preserve"> 1</w:t>
      </w:r>
      <w:r>
        <w:rPr>
          <w:rFonts w:ascii="Times New Roman" w:hAnsi="Times New Roman" w:cs="Times New Roman"/>
          <w:spacing w:val="0"/>
          <w:sz w:val="24"/>
          <w:szCs w:val="24"/>
          <w:lang w:val="sr-Cyrl-RS"/>
        </w:rPr>
        <w:t>5</w:t>
      </w:r>
      <w:r w:rsidRPr="00961D5A">
        <w:rPr>
          <w:rFonts w:ascii="Times New Roman" w:hAnsi="Times New Roman" w:cs="Times New Roman"/>
          <w:spacing w:val="0"/>
          <w:sz w:val="24"/>
          <w:szCs w:val="24"/>
          <w:lang w:val="sr-Cyrl-RS"/>
        </w:rPr>
        <w:t xml:space="preserve">. </w:t>
      </w:r>
      <w:r>
        <w:rPr>
          <w:rFonts w:ascii="Times New Roman" w:hAnsi="Times New Roman" w:cs="Times New Roman"/>
          <w:spacing w:val="0"/>
          <w:sz w:val="24"/>
          <w:szCs w:val="24"/>
          <w:lang w:val="sr-Cyrl-RS"/>
        </w:rPr>
        <w:t>априла</w:t>
      </w:r>
      <w:r w:rsidRPr="00961D5A">
        <w:rPr>
          <w:rFonts w:ascii="Times New Roman" w:hAnsi="Times New Roman" w:cs="Times New Roman"/>
          <w:spacing w:val="0"/>
          <w:sz w:val="24"/>
          <w:szCs w:val="24"/>
          <w:lang w:val="sr-Cyrl-RS"/>
        </w:rPr>
        <w:t xml:space="preserve"> 2021. године</w:t>
      </w:r>
    </w:p>
    <w:p w:rsidR="002519F8" w:rsidRPr="00961D5A" w:rsidRDefault="002519F8" w:rsidP="002519F8">
      <w:pPr>
        <w:pStyle w:val="Bodytext20"/>
        <w:spacing w:after="0" w:line="240" w:lineRule="auto"/>
        <w:ind w:left="360"/>
        <w:rPr>
          <w:rFonts w:ascii="Times New Roman" w:hAnsi="Times New Roman" w:cs="Times New Roman"/>
          <w:spacing w:val="0"/>
          <w:sz w:val="24"/>
          <w:szCs w:val="24"/>
          <w:lang w:val="sr-Cyrl-RS"/>
        </w:rPr>
      </w:pPr>
    </w:p>
    <w:p w:rsidR="002519F8" w:rsidRDefault="002519F8" w:rsidP="002519F8">
      <w:pPr>
        <w:jc w:val="center"/>
        <w:outlineLvl w:val="0"/>
        <w:rPr>
          <w:rFonts w:ascii="Times New Roman" w:hAnsi="Times New Roman" w:cs="Times New Roman"/>
          <w:sz w:val="24"/>
          <w:szCs w:val="24"/>
          <w:lang w:val="sr-Cyrl-CS"/>
        </w:rPr>
      </w:pPr>
      <w:r w:rsidRPr="00961D5A">
        <w:rPr>
          <w:rFonts w:ascii="Times New Roman" w:hAnsi="Times New Roman" w:cs="Times New Roman"/>
          <w:sz w:val="24"/>
          <w:szCs w:val="24"/>
          <w:lang w:val="sr-Cyrl-CS"/>
        </w:rPr>
        <w:t>В Л А Д А</w:t>
      </w:r>
    </w:p>
    <w:tbl>
      <w:tblPr>
        <w:tblW w:w="0" w:type="auto"/>
        <w:jc w:val="center"/>
        <w:tblLayout w:type="fixed"/>
        <w:tblLook w:val="0000" w:firstRow="0" w:lastRow="0" w:firstColumn="0" w:lastColumn="0" w:noHBand="0" w:noVBand="0"/>
      </w:tblPr>
      <w:tblGrid>
        <w:gridCol w:w="4360"/>
        <w:gridCol w:w="4360"/>
      </w:tblGrid>
      <w:tr w:rsidR="00067486" w:rsidRPr="00067486" w:rsidTr="00067486">
        <w:trPr>
          <w:jc w:val="center"/>
        </w:trPr>
        <w:tc>
          <w:tcPr>
            <w:tcW w:w="4360" w:type="dxa"/>
          </w:tcPr>
          <w:p w:rsidR="00067486" w:rsidRPr="00067486" w:rsidRDefault="00067486" w:rsidP="00100C73">
            <w:pPr>
              <w:jc w:val="center"/>
              <w:rPr>
                <w:rFonts w:ascii="Times New Roman" w:hAnsi="Times New Roman" w:cs="Times New Roman"/>
                <w:sz w:val="24"/>
                <w:szCs w:val="24"/>
                <w:lang w:val="ru-RU"/>
              </w:rPr>
            </w:pPr>
          </w:p>
        </w:tc>
        <w:tc>
          <w:tcPr>
            <w:tcW w:w="4360" w:type="dxa"/>
          </w:tcPr>
          <w:p w:rsidR="00067486" w:rsidRPr="00067486" w:rsidRDefault="00067486" w:rsidP="00067486">
            <w:pPr>
              <w:spacing w:before="240" w:after="0"/>
              <w:jc w:val="center"/>
              <w:rPr>
                <w:rFonts w:ascii="Times New Roman" w:hAnsi="Times New Roman" w:cs="Times New Roman"/>
                <w:sz w:val="24"/>
                <w:szCs w:val="24"/>
                <w:lang w:val="ru-RU"/>
              </w:rPr>
            </w:pPr>
            <w:r w:rsidRPr="00067486">
              <w:rPr>
                <w:rFonts w:ascii="Times New Roman" w:hAnsi="Times New Roman" w:cs="Times New Roman"/>
                <w:sz w:val="24"/>
                <w:szCs w:val="24"/>
                <w:lang w:val="ru-RU"/>
              </w:rPr>
              <w:t>ПРЕДСЕДНИК</w:t>
            </w:r>
          </w:p>
          <w:p w:rsidR="00067486" w:rsidRPr="00067486" w:rsidRDefault="00067486" w:rsidP="00100C73">
            <w:pPr>
              <w:rPr>
                <w:rFonts w:ascii="Times New Roman" w:hAnsi="Times New Roman" w:cs="Times New Roman"/>
                <w:sz w:val="24"/>
                <w:szCs w:val="24"/>
                <w:lang w:val="sr-Cyrl-CS"/>
              </w:rPr>
            </w:pPr>
          </w:p>
          <w:p w:rsidR="00067486" w:rsidRPr="00067486" w:rsidRDefault="00A638CF" w:rsidP="00100C73">
            <w:pPr>
              <w:pStyle w:val="Footer"/>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p>
        </w:tc>
      </w:tr>
    </w:tbl>
    <w:p w:rsidR="00067486" w:rsidRDefault="00067486" w:rsidP="002519F8">
      <w:pPr>
        <w:jc w:val="center"/>
        <w:outlineLvl w:val="0"/>
        <w:rPr>
          <w:rFonts w:ascii="Times New Roman" w:hAnsi="Times New Roman" w:cs="Times New Roman"/>
          <w:sz w:val="24"/>
          <w:szCs w:val="24"/>
          <w:lang w:val="sr-Cyrl-CS"/>
        </w:rPr>
      </w:pPr>
    </w:p>
    <w:p w:rsidR="00067486" w:rsidRDefault="00067486" w:rsidP="002519F8">
      <w:pPr>
        <w:jc w:val="center"/>
        <w:outlineLvl w:val="0"/>
        <w:rPr>
          <w:rFonts w:ascii="Times New Roman" w:hAnsi="Times New Roman" w:cs="Times New Roman"/>
          <w:sz w:val="24"/>
          <w:szCs w:val="24"/>
          <w:lang w:val="sr-Cyrl-CS"/>
        </w:rPr>
      </w:pPr>
    </w:p>
    <w:p w:rsidR="002519F8" w:rsidRPr="00961D5A" w:rsidRDefault="002519F8" w:rsidP="002519F8">
      <w:pPr>
        <w:jc w:val="center"/>
        <w:outlineLvl w:val="0"/>
        <w:rPr>
          <w:rFonts w:ascii="Times New Roman" w:hAnsi="Times New Roman" w:cs="Times New Roman"/>
          <w:sz w:val="24"/>
          <w:szCs w:val="24"/>
          <w:lang w:val="sr-Cyrl-CS"/>
        </w:rPr>
      </w:pPr>
    </w:p>
    <w:p w:rsidR="002519F8" w:rsidRPr="00961D5A" w:rsidRDefault="002519F8" w:rsidP="002519F8">
      <w:pPr>
        <w:rPr>
          <w:rFonts w:ascii="Times New Roman" w:hAnsi="Times New Roman" w:cs="Times New Roman"/>
          <w:sz w:val="24"/>
          <w:szCs w:val="24"/>
        </w:rPr>
      </w:pPr>
    </w:p>
    <w:p w:rsidR="002519F8" w:rsidRPr="006E0A20" w:rsidRDefault="002519F8" w:rsidP="0002223B">
      <w:pPr>
        <w:tabs>
          <w:tab w:val="left" w:pos="900"/>
          <w:tab w:val="left" w:pos="1418"/>
          <w:tab w:val="center" w:pos="4536"/>
          <w:tab w:val="left" w:pos="6360"/>
        </w:tabs>
        <w:spacing w:after="120" w:line="240" w:lineRule="auto"/>
        <w:jc w:val="both"/>
        <w:rPr>
          <w:rFonts w:ascii="Times New Roman" w:eastAsia="Calibri" w:hAnsi="Times New Roman" w:cs="Times New Roman"/>
          <w:sz w:val="24"/>
          <w:szCs w:val="24"/>
          <w:lang w:val="sr-Cyrl-CS"/>
        </w:rPr>
      </w:pPr>
    </w:p>
    <w:sectPr w:rsidR="002519F8" w:rsidRPr="006E0A20" w:rsidSect="00EF5A8A">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DAF" w:rsidRDefault="00AF4DAF" w:rsidP="00E50246">
      <w:pPr>
        <w:spacing w:after="0" w:line="240" w:lineRule="auto"/>
      </w:pPr>
      <w:r>
        <w:separator/>
      </w:r>
    </w:p>
  </w:endnote>
  <w:endnote w:type="continuationSeparator" w:id="0">
    <w:p w:rsidR="00AF4DAF" w:rsidRDefault="00AF4DAF" w:rsidP="00E50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DAF" w:rsidRDefault="00AF4DAF" w:rsidP="00E50246">
      <w:pPr>
        <w:spacing w:after="0" w:line="240" w:lineRule="auto"/>
      </w:pPr>
      <w:r>
        <w:separator/>
      </w:r>
    </w:p>
  </w:footnote>
  <w:footnote w:type="continuationSeparator" w:id="0">
    <w:p w:rsidR="00AF4DAF" w:rsidRDefault="00AF4DAF" w:rsidP="00E50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634387"/>
      <w:docPartObj>
        <w:docPartGallery w:val="Page Numbers (Top of Page)"/>
        <w:docPartUnique/>
      </w:docPartObj>
    </w:sdtPr>
    <w:sdtEndPr>
      <w:rPr>
        <w:noProof/>
      </w:rPr>
    </w:sdtEndPr>
    <w:sdtContent>
      <w:p w:rsidR="00EF5A8A" w:rsidRDefault="00EF5A8A">
        <w:pPr>
          <w:pStyle w:val="Header"/>
          <w:jc w:val="center"/>
        </w:pPr>
        <w:r>
          <w:fldChar w:fldCharType="begin"/>
        </w:r>
        <w:r>
          <w:instrText xml:space="preserve"> PAGE   \* MERGEFORMAT </w:instrText>
        </w:r>
        <w:r>
          <w:fldChar w:fldCharType="separate"/>
        </w:r>
        <w:r w:rsidR="004832CA">
          <w:rPr>
            <w:noProof/>
          </w:rPr>
          <w:t>2</w:t>
        </w:r>
        <w:r>
          <w:rPr>
            <w:noProof/>
          </w:rPr>
          <w:fldChar w:fldCharType="end"/>
        </w:r>
      </w:p>
    </w:sdtContent>
  </w:sdt>
  <w:p w:rsidR="00BA03FA" w:rsidRDefault="00BA03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2B6"/>
    <w:rsid w:val="0002223B"/>
    <w:rsid w:val="000261EA"/>
    <w:rsid w:val="00054134"/>
    <w:rsid w:val="00067486"/>
    <w:rsid w:val="00100978"/>
    <w:rsid w:val="0010199A"/>
    <w:rsid w:val="00103FB4"/>
    <w:rsid w:val="0013352A"/>
    <w:rsid w:val="001658F7"/>
    <w:rsid w:val="0018571A"/>
    <w:rsid w:val="001A09AF"/>
    <w:rsid w:val="00232820"/>
    <w:rsid w:val="002519F8"/>
    <w:rsid w:val="002725DE"/>
    <w:rsid w:val="002962B6"/>
    <w:rsid w:val="003B05C7"/>
    <w:rsid w:val="003D4AED"/>
    <w:rsid w:val="00416F68"/>
    <w:rsid w:val="004832CA"/>
    <w:rsid w:val="004976F6"/>
    <w:rsid w:val="004E19C1"/>
    <w:rsid w:val="004E4AF6"/>
    <w:rsid w:val="004F0C27"/>
    <w:rsid w:val="00514413"/>
    <w:rsid w:val="00522A55"/>
    <w:rsid w:val="0054796E"/>
    <w:rsid w:val="005C287B"/>
    <w:rsid w:val="0064347D"/>
    <w:rsid w:val="00662B23"/>
    <w:rsid w:val="006805F1"/>
    <w:rsid w:val="006E0A20"/>
    <w:rsid w:val="007011D5"/>
    <w:rsid w:val="007030E3"/>
    <w:rsid w:val="00770568"/>
    <w:rsid w:val="00775AB8"/>
    <w:rsid w:val="00796781"/>
    <w:rsid w:val="0083444A"/>
    <w:rsid w:val="008514B6"/>
    <w:rsid w:val="008778F6"/>
    <w:rsid w:val="008843D0"/>
    <w:rsid w:val="009146D1"/>
    <w:rsid w:val="00991949"/>
    <w:rsid w:val="00997BA3"/>
    <w:rsid w:val="009A14E0"/>
    <w:rsid w:val="009A3FB8"/>
    <w:rsid w:val="009A5AF4"/>
    <w:rsid w:val="00A07170"/>
    <w:rsid w:val="00A638CF"/>
    <w:rsid w:val="00A7275B"/>
    <w:rsid w:val="00A74CCF"/>
    <w:rsid w:val="00AA4F36"/>
    <w:rsid w:val="00AC0F7E"/>
    <w:rsid w:val="00AE432A"/>
    <w:rsid w:val="00AF4DAF"/>
    <w:rsid w:val="00B13C1C"/>
    <w:rsid w:val="00B16ED5"/>
    <w:rsid w:val="00B316E6"/>
    <w:rsid w:val="00B466F9"/>
    <w:rsid w:val="00B80A7E"/>
    <w:rsid w:val="00B93A7D"/>
    <w:rsid w:val="00BA03FA"/>
    <w:rsid w:val="00C5015A"/>
    <w:rsid w:val="00C55A82"/>
    <w:rsid w:val="00C80876"/>
    <w:rsid w:val="00CA5E67"/>
    <w:rsid w:val="00D052C9"/>
    <w:rsid w:val="00D31F78"/>
    <w:rsid w:val="00D416C8"/>
    <w:rsid w:val="00D53FDD"/>
    <w:rsid w:val="00D63284"/>
    <w:rsid w:val="00DC67F7"/>
    <w:rsid w:val="00E03B67"/>
    <w:rsid w:val="00E50246"/>
    <w:rsid w:val="00E76159"/>
    <w:rsid w:val="00EF5A8A"/>
    <w:rsid w:val="00F037D9"/>
    <w:rsid w:val="00F10C65"/>
    <w:rsid w:val="00F3038C"/>
    <w:rsid w:val="00F86B20"/>
    <w:rsid w:val="00FF4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0AAAB9-7AA1-4BF8-B9A9-99B407D38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52A"/>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02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246"/>
    <w:rPr>
      <w:rFonts w:ascii="Verdana" w:hAnsi="Verdana" w:cs="Verdana"/>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Char1,Char1 Cha, Char"/>
    <w:basedOn w:val="Normal"/>
    <w:link w:val="FooterChar"/>
    <w:uiPriority w:val="99"/>
    <w:unhideWhenUsed/>
    <w:rsid w:val="00E50246"/>
    <w:pPr>
      <w:tabs>
        <w:tab w:val="center" w:pos="4680"/>
        <w:tab w:val="right" w:pos="9360"/>
      </w:tabs>
      <w:spacing w:after="0" w:line="240" w:lineRule="auto"/>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uiPriority w:val="99"/>
    <w:rsid w:val="00E50246"/>
    <w:rPr>
      <w:rFonts w:ascii="Verdana" w:hAnsi="Verdana" w:cs="Verdana"/>
    </w:rPr>
  </w:style>
  <w:style w:type="paragraph" w:styleId="BalloonText">
    <w:name w:val="Balloon Text"/>
    <w:basedOn w:val="Normal"/>
    <w:link w:val="BalloonTextChar"/>
    <w:uiPriority w:val="99"/>
    <w:semiHidden/>
    <w:unhideWhenUsed/>
    <w:rsid w:val="00A071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170"/>
    <w:rPr>
      <w:rFonts w:ascii="Segoe UI" w:hAnsi="Segoe UI" w:cs="Segoe UI"/>
      <w:sz w:val="18"/>
      <w:szCs w:val="18"/>
    </w:rPr>
  </w:style>
  <w:style w:type="character" w:customStyle="1" w:styleId="Bodytext2">
    <w:name w:val="Body text (2)_"/>
    <w:link w:val="Bodytext20"/>
    <w:locked/>
    <w:rsid w:val="002519F8"/>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2519F8"/>
    <w:pPr>
      <w:shd w:val="clear" w:color="auto" w:fill="FFFFFF"/>
      <w:spacing w:after="360" w:line="0" w:lineRule="atLeast"/>
      <w:ind w:hanging="360"/>
    </w:pPr>
    <w:rPr>
      <w:rFonts w:ascii="Book Antiqua" w:eastAsia="Book Antiqua" w:hAnsi="Book Antiqua" w:cs="Book Antiqua"/>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647616">
      <w:bodyDiv w:val="1"/>
      <w:marLeft w:val="0"/>
      <w:marRight w:val="0"/>
      <w:marTop w:val="0"/>
      <w:marBottom w:val="0"/>
      <w:divBdr>
        <w:top w:val="none" w:sz="0" w:space="0" w:color="auto"/>
        <w:left w:val="none" w:sz="0" w:space="0" w:color="auto"/>
        <w:bottom w:val="none" w:sz="0" w:space="0" w:color="auto"/>
        <w:right w:val="none" w:sz="0" w:space="0" w:color="auto"/>
      </w:divBdr>
    </w:div>
    <w:div w:id="151788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Bogdanovic</dc:creator>
  <cp:keywords/>
  <dc:description/>
  <cp:lastModifiedBy>Bojan Grgic</cp:lastModifiedBy>
  <cp:revision>2</cp:revision>
  <cp:lastPrinted>2021-04-15T09:16:00Z</cp:lastPrinted>
  <dcterms:created xsi:type="dcterms:W3CDTF">2021-04-16T14:09:00Z</dcterms:created>
  <dcterms:modified xsi:type="dcterms:W3CDTF">2021-04-16T14:09:00Z</dcterms:modified>
</cp:coreProperties>
</file>