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000" w:firstRow="0" w:lastRow="0" w:firstColumn="0" w:lastColumn="0" w:noHBand="0" w:noVBand="0"/>
      </w:tblPr>
      <w:tblGrid>
        <w:gridCol w:w="11621"/>
        <w:gridCol w:w="3507"/>
      </w:tblGrid>
      <w:tr w:rsidR="00474782" w:rsidRPr="000A0FAC" w14:paraId="46187D61" w14:textId="77777777" w:rsidTr="004E460E">
        <w:trPr>
          <w:jc w:val="center"/>
        </w:trPr>
        <w:tc>
          <w:tcPr>
            <w:tcW w:w="3841" w:type="pct"/>
            <w:tcBorders>
              <w:top w:val="single" w:sz="4" w:space="0" w:color="auto"/>
              <w:left w:val="single" w:sz="4" w:space="0" w:color="auto"/>
              <w:bottom w:val="single" w:sz="4" w:space="0" w:color="auto"/>
              <w:right w:val="single" w:sz="4" w:space="0" w:color="auto"/>
            </w:tcBorders>
            <w:shd w:val="clear" w:color="auto" w:fill="D9D9D9"/>
          </w:tcPr>
          <w:p w14:paraId="46187D5C" w14:textId="3F23DD79" w:rsidR="0025042A" w:rsidRPr="000A0FAC" w:rsidRDefault="0025042A" w:rsidP="004E6125">
            <w:pPr>
              <w:spacing w:before="120" w:after="120"/>
              <w:jc w:val="both"/>
              <w:rPr>
                <w:rFonts w:cs="Times New Roman"/>
                <w:lang w:val="sr-Cyrl-RS"/>
              </w:rPr>
            </w:pPr>
            <w:r w:rsidRPr="000A0FAC">
              <w:rPr>
                <w:rFonts w:cs="Times New Roman"/>
                <w:lang w:val="sr-Cyrl-RS"/>
              </w:rPr>
              <w:t xml:space="preserve">1. Назив прописа </w:t>
            </w:r>
            <w:r w:rsidR="00C117A7" w:rsidRPr="000A0FAC">
              <w:rPr>
                <w:rFonts w:cs="Times New Roman"/>
                <w:lang w:val="sr-Cyrl-RS"/>
              </w:rPr>
              <w:t>Европске</w:t>
            </w:r>
            <w:r w:rsidRPr="000A0FAC">
              <w:rPr>
                <w:rFonts w:cs="Times New Roman"/>
                <w:lang w:val="sr-Cyrl-RS"/>
              </w:rPr>
              <w:t xml:space="preserve"> уније: </w:t>
            </w:r>
          </w:p>
          <w:p w14:paraId="46187D5D" w14:textId="02FBBD2D" w:rsidR="007554BD" w:rsidRPr="00EE1D0F" w:rsidRDefault="007336D6" w:rsidP="00A13E12">
            <w:pPr>
              <w:spacing w:before="120" w:after="120"/>
              <w:jc w:val="both"/>
              <w:rPr>
                <w:rFonts w:cs="Times New Roman"/>
                <w:lang w:val="en-GB"/>
              </w:rPr>
            </w:pPr>
            <w:r w:rsidRPr="00EE1D0F">
              <w:rPr>
                <w:rFonts w:cs="Times New Roman"/>
                <w:b/>
                <w:bCs/>
                <w:lang w:val="en-GB"/>
              </w:rPr>
              <w:t>Regulation (EU) 2017/1369 of</w:t>
            </w:r>
            <w:r w:rsidR="00EE1D0F" w:rsidRPr="00EE1D0F">
              <w:rPr>
                <w:rFonts w:cs="Times New Roman"/>
                <w:b/>
                <w:bCs/>
                <w:lang w:val="sr-Cyrl-RS"/>
              </w:rPr>
              <w:t xml:space="preserve"> </w:t>
            </w:r>
            <w:r w:rsidRPr="00EE1D0F">
              <w:rPr>
                <w:rFonts w:cs="Times New Roman"/>
                <w:b/>
                <w:bCs/>
                <w:lang w:val="en-GB"/>
              </w:rPr>
              <w:t>the</w:t>
            </w:r>
            <w:r w:rsidR="00EE1D0F" w:rsidRPr="00EE1D0F">
              <w:rPr>
                <w:rFonts w:cs="Times New Roman"/>
                <w:b/>
                <w:bCs/>
                <w:lang w:val="sr-Cyrl-RS"/>
              </w:rPr>
              <w:t xml:space="preserve"> </w:t>
            </w:r>
            <w:r w:rsidRPr="00EE1D0F">
              <w:rPr>
                <w:rFonts w:cs="Times New Roman"/>
                <w:b/>
                <w:bCs/>
                <w:lang w:val="en-GB"/>
              </w:rPr>
              <w:t>European</w:t>
            </w:r>
            <w:r w:rsidR="00EE1D0F" w:rsidRPr="00EE1D0F">
              <w:rPr>
                <w:rFonts w:cs="Times New Roman"/>
                <w:b/>
                <w:bCs/>
                <w:lang w:val="sr-Cyrl-RS"/>
              </w:rPr>
              <w:t xml:space="preserve"> </w:t>
            </w:r>
            <w:r w:rsidRPr="00EE1D0F">
              <w:rPr>
                <w:rFonts w:cs="Times New Roman"/>
                <w:b/>
                <w:bCs/>
                <w:lang w:val="en-GB"/>
              </w:rPr>
              <w:t>Parliament</w:t>
            </w:r>
            <w:r w:rsidR="00EE1D0F" w:rsidRPr="00EE1D0F">
              <w:rPr>
                <w:rFonts w:cs="Times New Roman"/>
                <w:b/>
                <w:bCs/>
                <w:lang w:val="sr-Cyrl-RS"/>
              </w:rPr>
              <w:t xml:space="preserve"> </w:t>
            </w:r>
            <w:r w:rsidRPr="00EE1D0F">
              <w:rPr>
                <w:rFonts w:cs="Times New Roman"/>
                <w:b/>
                <w:bCs/>
                <w:lang w:val="en-GB"/>
              </w:rPr>
              <w:t>and</w:t>
            </w:r>
            <w:r w:rsidR="00EE1D0F" w:rsidRPr="00EE1D0F">
              <w:rPr>
                <w:rFonts w:cs="Times New Roman"/>
                <w:b/>
                <w:bCs/>
                <w:lang w:val="sr-Cyrl-RS"/>
              </w:rPr>
              <w:t xml:space="preserve"> </w:t>
            </w:r>
            <w:r w:rsidRPr="00EE1D0F">
              <w:rPr>
                <w:rFonts w:cs="Times New Roman"/>
                <w:b/>
                <w:bCs/>
                <w:lang w:val="en-GB"/>
              </w:rPr>
              <w:t>of</w:t>
            </w:r>
            <w:r w:rsidR="00EE1D0F" w:rsidRPr="00EE1D0F">
              <w:rPr>
                <w:rFonts w:cs="Times New Roman"/>
                <w:b/>
                <w:bCs/>
                <w:lang w:val="sr-Cyrl-RS"/>
              </w:rPr>
              <w:t xml:space="preserve"> </w:t>
            </w:r>
            <w:r w:rsidRPr="00EE1D0F">
              <w:rPr>
                <w:rFonts w:cs="Times New Roman"/>
                <w:b/>
                <w:bCs/>
                <w:lang w:val="en-GB"/>
              </w:rPr>
              <w:t>the</w:t>
            </w:r>
            <w:r w:rsidR="00EE1D0F" w:rsidRPr="00EE1D0F">
              <w:rPr>
                <w:rFonts w:cs="Times New Roman"/>
                <w:b/>
                <w:bCs/>
                <w:lang w:val="sr-Cyrl-RS"/>
              </w:rPr>
              <w:t xml:space="preserve"> </w:t>
            </w:r>
            <w:r w:rsidRPr="00EE1D0F">
              <w:rPr>
                <w:rFonts w:cs="Times New Roman"/>
                <w:b/>
                <w:bCs/>
                <w:lang w:val="en-GB"/>
              </w:rPr>
              <w:t>Council</w:t>
            </w:r>
            <w:r w:rsidR="00EE1D0F" w:rsidRPr="00EE1D0F">
              <w:rPr>
                <w:rFonts w:cs="Times New Roman"/>
                <w:b/>
                <w:bCs/>
                <w:lang w:val="sr-Cyrl-RS"/>
              </w:rPr>
              <w:t xml:space="preserve"> </w:t>
            </w:r>
            <w:r w:rsidR="00264E0A" w:rsidRPr="00EE1D0F">
              <w:rPr>
                <w:rFonts w:cs="Times New Roman"/>
                <w:b/>
                <w:bCs/>
                <w:lang w:val="en-GB"/>
              </w:rPr>
              <w:t>of 4 July 2017 setting a framework</w:t>
            </w:r>
            <w:r w:rsidR="00EE1D0F" w:rsidRPr="00EE1D0F">
              <w:rPr>
                <w:rFonts w:cs="Times New Roman"/>
                <w:b/>
                <w:bCs/>
                <w:lang w:val="en-GB"/>
              </w:rPr>
              <w:t xml:space="preserve"> </w:t>
            </w:r>
            <w:r w:rsidR="00264E0A" w:rsidRPr="00EE1D0F">
              <w:rPr>
                <w:rFonts w:cs="Times New Roman"/>
                <w:b/>
                <w:bCs/>
                <w:lang w:val="en-GB"/>
              </w:rPr>
              <w:t>for</w:t>
            </w:r>
            <w:r w:rsidR="00EE1D0F" w:rsidRPr="00EE1D0F">
              <w:rPr>
                <w:rFonts w:cs="Times New Roman"/>
                <w:b/>
                <w:bCs/>
                <w:lang w:val="sr-Cyrl-RS"/>
              </w:rPr>
              <w:t xml:space="preserve"> </w:t>
            </w:r>
            <w:r w:rsidR="00264E0A" w:rsidRPr="00EE1D0F">
              <w:rPr>
                <w:rFonts w:cs="Times New Roman"/>
                <w:b/>
                <w:bCs/>
                <w:lang w:val="en-GB"/>
              </w:rPr>
              <w:t>energy</w:t>
            </w:r>
            <w:r w:rsidR="00EE1D0F" w:rsidRPr="00EE1D0F">
              <w:rPr>
                <w:rFonts w:cs="Times New Roman"/>
                <w:b/>
                <w:bCs/>
                <w:lang w:val="sr-Cyrl-RS"/>
              </w:rPr>
              <w:t xml:space="preserve"> </w:t>
            </w:r>
            <w:r w:rsidR="00264E0A" w:rsidRPr="00EE1D0F">
              <w:rPr>
                <w:rFonts w:cs="Times New Roman"/>
                <w:b/>
                <w:bCs/>
                <w:lang w:val="en-GB"/>
              </w:rPr>
              <w:t>labelling</w:t>
            </w:r>
            <w:r w:rsidR="00EE1D0F">
              <w:rPr>
                <w:rFonts w:cs="Times New Roman"/>
                <w:lang w:val="sr-Cyrl-RS"/>
              </w:rPr>
              <w:t xml:space="preserve"> </w:t>
            </w:r>
            <w:r w:rsidR="00264E0A" w:rsidRPr="00EE1D0F">
              <w:rPr>
                <w:rFonts w:cs="Times New Roman"/>
                <w:lang w:val="en-GB"/>
              </w:rPr>
              <w:t>and</w:t>
            </w:r>
            <w:r w:rsidR="00EE1D0F">
              <w:rPr>
                <w:rFonts w:cs="Times New Roman"/>
                <w:lang w:val="sr-Cyrl-RS"/>
              </w:rPr>
              <w:t xml:space="preserve"> </w:t>
            </w:r>
            <w:r w:rsidR="00264E0A" w:rsidRPr="00EE1D0F">
              <w:rPr>
                <w:rFonts w:cs="Times New Roman"/>
                <w:lang w:val="en-GB"/>
              </w:rPr>
              <w:t>repealing</w:t>
            </w:r>
            <w:r w:rsidR="00EE1D0F">
              <w:rPr>
                <w:rFonts w:cs="Times New Roman"/>
                <w:lang w:val="sr-Cyrl-RS"/>
              </w:rPr>
              <w:t xml:space="preserve"> </w:t>
            </w:r>
            <w:r w:rsidR="00264E0A" w:rsidRPr="00EE1D0F">
              <w:rPr>
                <w:rFonts w:cs="Times New Roman"/>
                <w:lang w:val="en-GB"/>
              </w:rPr>
              <w:t>Directive 2010/30/EU (Text</w:t>
            </w:r>
            <w:r w:rsidR="00EE1D0F">
              <w:rPr>
                <w:rFonts w:cs="Times New Roman"/>
                <w:lang w:val="sr-Cyrl-RS"/>
              </w:rPr>
              <w:t xml:space="preserve"> </w:t>
            </w:r>
            <w:r w:rsidR="00264E0A" w:rsidRPr="00EE1D0F">
              <w:rPr>
                <w:rFonts w:cs="Times New Roman"/>
                <w:lang w:val="en-GB"/>
              </w:rPr>
              <w:t xml:space="preserve">with EEA relevance) </w:t>
            </w:r>
            <w:r w:rsidR="007554BD" w:rsidRPr="00EE1D0F">
              <w:rPr>
                <w:rFonts w:cs="Times New Roman"/>
                <w:lang w:val="en-GB"/>
              </w:rPr>
              <w:t>(</w:t>
            </w:r>
            <w:r w:rsidR="00264E0A" w:rsidRPr="00EE1D0F">
              <w:rPr>
                <w:rFonts w:cs="Times New Roman"/>
                <w:iCs/>
                <w:lang w:val="en-GB"/>
              </w:rPr>
              <w:t>OJ L 198, 28.7.2017, p. 1–23</w:t>
            </w:r>
            <w:r w:rsidR="007554BD" w:rsidRPr="00EE1D0F">
              <w:rPr>
                <w:rFonts w:cs="Times New Roman"/>
                <w:lang w:val="en-GB"/>
              </w:rPr>
              <w:t>)</w:t>
            </w:r>
          </w:p>
          <w:p w14:paraId="46187D5E" w14:textId="0E952791" w:rsidR="007554BD" w:rsidRPr="000A0FAC" w:rsidRDefault="00264E0A" w:rsidP="00A13E12">
            <w:pPr>
              <w:spacing w:before="120" w:after="120"/>
              <w:jc w:val="both"/>
              <w:rPr>
                <w:rFonts w:eastAsia="Times New Roman" w:cs="Times New Roman"/>
                <w:b/>
                <w:lang w:val="sr-Cyrl-RS"/>
              </w:rPr>
            </w:pPr>
            <w:r w:rsidRPr="000A0FAC">
              <w:rPr>
                <w:rFonts w:cs="Times New Roman"/>
                <w:b/>
                <w:bCs/>
                <w:lang w:val="sr-Cyrl-RS"/>
              </w:rPr>
              <w:t>Уредба (ЕУ)</w:t>
            </w:r>
            <w:r w:rsidR="003E1049" w:rsidRPr="000A0FAC">
              <w:rPr>
                <w:rFonts w:cs="Times New Roman"/>
                <w:b/>
                <w:bCs/>
                <w:lang w:val="sr-Cyrl-RS"/>
              </w:rPr>
              <w:t xml:space="preserve"> 20</w:t>
            </w:r>
            <w:r w:rsidRPr="000A0FAC">
              <w:rPr>
                <w:rFonts w:cs="Times New Roman"/>
                <w:b/>
                <w:bCs/>
                <w:lang w:val="sr-Cyrl-RS"/>
              </w:rPr>
              <w:t>17</w:t>
            </w:r>
            <w:r w:rsidR="003E1049" w:rsidRPr="000A0FAC">
              <w:rPr>
                <w:rFonts w:cs="Times New Roman"/>
                <w:b/>
                <w:bCs/>
                <w:lang w:val="sr-Cyrl-RS"/>
              </w:rPr>
              <w:t>/</w:t>
            </w:r>
            <w:r w:rsidRPr="000A0FAC">
              <w:rPr>
                <w:rFonts w:cs="Times New Roman"/>
                <w:b/>
                <w:bCs/>
                <w:lang w:val="sr-Cyrl-RS"/>
              </w:rPr>
              <w:t>1369</w:t>
            </w:r>
            <w:r w:rsidR="003E1049" w:rsidRPr="000A0FAC">
              <w:rPr>
                <w:rFonts w:cs="Times New Roman"/>
                <w:lang w:val="sr-Cyrl-RS"/>
              </w:rPr>
              <w:t xml:space="preserve"> Европског парламента и Саветаoд</w:t>
            </w:r>
            <w:r w:rsidRPr="000A0FAC">
              <w:rPr>
                <w:rFonts w:cs="Times New Roman"/>
                <w:lang w:val="sr-Cyrl-RS"/>
              </w:rPr>
              <w:t>04</w:t>
            </w:r>
            <w:r w:rsidR="003E1049" w:rsidRPr="000A0FAC">
              <w:rPr>
                <w:rFonts w:cs="Times New Roman"/>
                <w:lang w:val="sr-Cyrl-RS"/>
              </w:rPr>
              <w:t xml:space="preserve">. </w:t>
            </w:r>
            <w:r w:rsidRPr="000A0FAC">
              <w:rPr>
                <w:rFonts w:cs="Times New Roman"/>
                <w:lang w:val="sr-Cyrl-RS"/>
              </w:rPr>
              <w:t>јула</w:t>
            </w:r>
            <w:r w:rsidR="003E1049" w:rsidRPr="000A0FAC">
              <w:rPr>
                <w:rFonts w:cs="Times New Roman"/>
                <w:lang w:val="sr-Cyrl-RS"/>
              </w:rPr>
              <w:t xml:space="preserve"> 20</w:t>
            </w:r>
            <w:r w:rsidRPr="000A0FAC">
              <w:rPr>
                <w:rFonts w:cs="Times New Roman"/>
                <w:lang w:val="sr-Cyrl-RS"/>
              </w:rPr>
              <w:t>17</w:t>
            </w:r>
            <w:r w:rsidR="003E1049" w:rsidRPr="000A0FAC">
              <w:rPr>
                <w:rFonts w:cs="Times New Roman"/>
                <w:lang w:val="sr-Cyrl-RS"/>
              </w:rPr>
              <w:t xml:space="preserve">. </w:t>
            </w:r>
            <w:r w:rsidR="003E1049" w:rsidRPr="000A0FAC">
              <w:rPr>
                <w:rFonts w:cs="Times New Roman"/>
                <w:b/>
                <w:bCs/>
                <w:lang w:val="sr-Cyrl-RS"/>
              </w:rPr>
              <w:t xml:space="preserve">којом се успоставља оквир за </w:t>
            </w:r>
            <w:r w:rsidRPr="000A0FAC">
              <w:rPr>
                <w:rFonts w:cs="Times New Roman"/>
                <w:b/>
                <w:bCs/>
                <w:lang w:val="sr-Cyrl-RS"/>
              </w:rPr>
              <w:t>оз</w:t>
            </w:r>
            <w:r w:rsidR="002A0174" w:rsidRPr="000A0FAC">
              <w:rPr>
                <w:rFonts w:cs="Times New Roman"/>
                <w:b/>
                <w:bCs/>
                <w:lang w:val="sr-Cyrl-RS"/>
              </w:rPr>
              <w:t>начавање енергетске ефикасности</w:t>
            </w:r>
            <w:r w:rsidR="002A0174" w:rsidRPr="000A0FAC">
              <w:rPr>
                <w:rFonts w:cs="Times New Roman"/>
                <w:lang w:val="sr-Cyrl-RS"/>
              </w:rPr>
              <w:t xml:space="preserve"> и</w:t>
            </w:r>
            <w:r w:rsidRPr="000A0FAC">
              <w:rPr>
                <w:rFonts w:cs="Times New Roman"/>
                <w:lang w:val="sr-Cyrl-RS"/>
              </w:rPr>
              <w:t xml:space="preserve"> о стављању изван снаге Директиве 2010/30/ЕУ</w:t>
            </w:r>
            <w:r w:rsidR="00E13339" w:rsidRPr="000A0FAC">
              <w:rPr>
                <w:rFonts w:cs="Times New Roman"/>
                <w:lang w:val="sr-Cyrl-RS"/>
              </w:rPr>
              <w:t>(текст од значаја за EЕП)</w:t>
            </w:r>
            <w:r w:rsidR="00EE1D0F">
              <w:rPr>
                <w:rFonts w:cs="Times New Roman"/>
                <w:lang w:val="sr-Cyrl-RS"/>
              </w:rPr>
              <w:t xml:space="preserve"> </w:t>
            </w:r>
          </w:p>
        </w:tc>
        <w:tc>
          <w:tcPr>
            <w:tcW w:w="1159" w:type="pct"/>
            <w:tcBorders>
              <w:top w:val="single" w:sz="4" w:space="0" w:color="auto"/>
              <w:left w:val="single" w:sz="4" w:space="0" w:color="auto"/>
              <w:bottom w:val="single" w:sz="4" w:space="0" w:color="auto"/>
              <w:right w:val="single" w:sz="4" w:space="0" w:color="auto"/>
            </w:tcBorders>
            <w:shd w:val="clear" w:color="auto" w:fill="D9D9D9"/>
          </w:tcPr>
          <w:p w14:paraId="46187D5F" w14:textId="77777777" w:rsidR="0025042A" w:rsidRPr="000A0FAC" w:rsidRDefault="0025042A" w:rsidP="004E6125">
            <w:pPr>
              <w:spacing w:before="120" w:after="120"/>
              <w:jc w:val="both"/>
              <w:rPr>
                <w:rFonts w:cs="Times New Roman"/>
                <w:iCs/>
                <w:lang w:val="sr-Cyrl-RS"/>
              </w:rPr>
            </w:pPr>
            <w:r w:rsidRPr="000A0FAC">
              <w:rPr>
                <w:rFonts w:cs="Times New Roman"/>
                <w:iCs/>
                <w:lang w:val="sr-Cyrl-RS"/>
              </w:rPr>
              <w:t>2. „CELEX” ознака ЕУ прописа</w:t>
            </w:r>
          </w:p>
          <w:p w14:paraId="434065D3" w14:textId="77777777" w:rsidR="0025042A" w:rsidRDefault="00264E0A" w:rsidP="004E6125">
            <w:pPr>
              <w:spacing w:before="120" w:after="120"/>
              <w:jc w:val="both"/>
              <w:rPr>
                <w:rFonts w:cs="Times New Roman"/>
                <w:iCs/>
                <w:lang w:val="sr-Cyrl-RS"/>
              </w:rPr>
            </w:pPr>
            <w:r w:rsidRPr="000A0FAC">
              <w:rPr>
                <w:rFonts w:cs="Times New Roman"/>
                <w:iCs/>
                <w:lang w:val="sr-Cyrl-RS"/>
              </w:rPr>
              <w:t>32017R1369</w:t>
            </w:r>
          </w:p>
          <w:p w14:paraId="38B22859" w14:textId="77777777" w:rsidR="00454EE1" w:rsidRDefault="00D66A0C" w:rsidP="00454EE1">
            <w:pPr>
              <w:jc w:val="both"/>
              <w:rPr>
                <w:rFonts w:ascii="Segoe UI" w:eastAsia="Times New Roman" w:hAnsi="Segoe UI" w:cs="Segoe UI"/>
                <w:color w:val="444444"/>
                <w:sz w:val="20"/>
                <w:szCs w:val="20"/>
              </w:rPr>
            </w:pPr>
            <w:hyperlink r:id="rId8" w:history="1">
              <w:r w:rsidR="00454EE1">
                <w:rPr>
                  <w:rFonts w:ascii="Segoe UI" w:hAnsi="Segoe UI" w:cs="Segoe UI"/>
                  <w:color w:val="800080"/>
                  <w:sz w:val="20"/>
                  <w:szCs w:val="20"/>
                  <w:u w:val="single"/>
                </w:rPr>
                <w:br/>
              </w:r>
              <w:r w:rsidR="00454EE1">
                <w:rPr>
                  <w:rStyle w:val="Hyperlink"/>
                  <w:rFonts w:ascii="Segoe UI" w:hAnsi="Segoe UI" w:cs="Segoe UI"/>
                  <w:color w:val="800080"/>
                  <w:sz w:val="20"/>
                  <w:szCs w:val="20"/>
                </w:rPr>
                <w:t>32020R0740</w:t>
              </w:r>
            </w:hyperlink>
          </w:p>
          <w:p w14:paraId="46187D60" w14:textId="6152DEF6" w:rsidR="00454EE1" w:rsidRPr="000A0FAC" w:rsidRDefault="00454EE1" w:rsidP="004E6125">
            <w:pPr>
              <w:spacing w:before="120" w:after="120"/>
              <w:jc w:val="both"/>
              <w:rPr>
                <w:rFonts w:cs="Times New Roman"/>
                <w:iCs/>
                <w:lang w:val="sr-Cyrl-RS"/>
              </w:rPr>
            </w:pPr>
          </w:p>
        </w:tc>
      </w:tr>
      <w:tr w:rsidR="00474782" w:rsidRPr="000A0FAC" w14:paraId="46187D68" w14:textId="77777777" w:rsidTr="004E460E">
        <w:trPr>
          <w:jc w:val="center"/>
        </w:trPr>
        <w:tc>
          <w:tcPr>
            <w:tcW w:w="3841" w:type="pct"/>
            <w:tcBorders>
              <w:top w:val="single" w:sz="4" w:space="0" w:color="auto"/>
              <w:left w:val="single" w:sz="4" w:space="0" w:color="auto"/>
              <w:bottom w:val="single" w:sz="4" w:space="0" w:color="auto"/>
              <w:right w:val="single" w:sz="4" w:space="0" w:color="auto"/>
            </w:tcBorders>
          </w:tcPr>
          <w:p w14:paraId="46187D63" w14:textId="50668DC7" w:rsidR="0025042A" w:rsidRPr="000A0FAC" w:rsidRDefault="0025042A" w:rsidP="004E6125">
            <w:pPr>
              <w:rPr>
                <w:rFonts w:cs="Times New Roman"/>
                <w:lang w:val="sr-Cyrl-RS"/>
              </w:rPr>
            </w:pPr>
            <w:r w:rsidRPr="000A0FAC">
              <w:rPr>
                <w:rFonts w:cs="Times New Roman"/>
                <w:lang w:val="sr-Cyrl-RS"/>
              </w:rPr>
              <w:t xml:space="preserve">3. Орган државне управе, односно други овлашћени предлагач прописа: </w:t>
            </w:r>
            <w:r w:rsidR="002950D4">
              <w:rPr>
                <w:rFonts w:cs="Times New Roman"/>
                <w:lang w:val="sr-Cyrl-RS"/>
              </w:rPr>
              <w:t>Влада</w:t>
            </w:r>
          </w:p>
          <w:p w14:paraId="46187D65" w14:textId="33AF858D" w:rsidR="002A0174" w:rsidRPr="000A0FAC" w:rsidRDefault="00B0581B" w:rsidP="004E6125">
            <w:pPr>
              <w:rPr>
                <w:rFonts w:cs="Times New Roman"/>
                <w:lang w:val="sr-Cyrl-RS"/>
              </w:rPr>
            </w:pPr>
            <w:r w:rsidRPr="000A0FAC">
              <w:rPr>
                <w:rFonts w:cs="Times New Roman"/>
                <w:lang w:val="sr-Cyrl-RS"/>
              </w:rPr>
              <w:t>Министарство рударства и енергетике</w:t>
            </w:r>
          </w:p>
        </w:tc>
        <w:tc>
          <w:tcPr>
            <w:tcW w:w="1159" w:type="pct"/>
            <w:tcBorders>
              <w:top w:val="single" w:sz="4" w:space="0" w:color="auto"/>
              <w:left w:val="single" w:sz="4" w:space="0" w:color="auto"/>
              <w:bottom w:val="single" w:sz="4" w:space="0" w:color="auto"/>
              <w:right w:val="single" w:sz="4" w:space="0" w:color="auto"/>
            </w:tcBorders>
          </w:tcPr>
          <w:p w14:paraId="46187D66" w14:textId="77777777" w:rsidR="0025042A" w:rsidRPr="000A0FAC" w:rsidRDefault="0025042A" w:rsidP="004E6125">
            <w:pPr>
              <w:jc w:val="both"/>
              <w:rPr>
                <w:rFonts w:cs="Times New Roman"/>
                <w:iCs/>
                <w:lang w:val="sr-Cyrl-RS"/>
              </w:rPr>
            </w:pPr>
            <w:r w:rsidRPr="000A0FAC">
              <w:rPr>
                <w:rFonts w:cs="Times New Roman"/>
                <w:iCs/>
                <w:lang w:val="sr-Cyrl-RS"/>
              </w:rPr>
              <w:t xml:space="preserve">4. Датум израде табеле: </w:t>
            </w:r>
          </w:p>
          <w:p w14:paraId="46187D67" w14:textId="7D373923" w:rsidR="00B0581B" w:rsidRPr="005C0D15" w:rsidRDefault="005C0D15" w:rsidP="00582A2F">
            <w:pPr>
              <w:jc w:val="both"/>
              <w:rPr>
                <w:rFonts w:cs="Times New Roman"/>
                <w:iCs/>
                <w:lang w:val="sr-Latn-CS"/>
              </w:rPr>
            </w:pPr>
            <w:r>
              <w:rPr>
                <w:rFonts w:cs="Times New Roman"/>
                <w:iCs/>
                <w:lang w:val="sr-Latn-CS"/>
              </w:rPr>
              <w:t>21.02.2021.</w:t>
            </w:r>
          </w:p>
        </w:tc>
      </w:tr>
      <w:tr w:rsidR="00474782" w:rsidRPr="000A0FAC" w14:paraId="46187D71" w14:textId="77777777" w:rsidTr="004E460E">
        <w:trPr>
          <w:trHeight w:val="917"/>
          <w:jc w:val="center"/>
        </w:trPr>
        <w:tc>
          <w:tcPr>
            <w:tcW w:w="3841" w:type="pct"/>
            <w:tcBorders>
              <w:top w:val="single" w:sz="4" w:space="0" w:color="auto"/>
              <w:left w:val="single" w:sz="4" w:space="0" w:color="auto"/>
              <w:bottom w:val="single" w:sz="4" w:space="0" w:color="auto"/>
              <w:right w:val="single" w:sz="4" w:space="0" w:color="auto"/>
            </w:tcBorders>
          </w:tcPr>
          <w:p w14:paraId="46187D69" w14:textId="188FA9E7" w:rsidR="0025042A" w:rsidRPr="000A0FAC" w:rsidRDefault="0025042A" w:rsidP="004E6125">
            <w:pPr>
              <w:spacing w:before="120" w:after="120"/>
              <w:jc w:val="both"/>
              <w:rPr>
                <w:lang w:val="sr-Cyrl-RS"/>
              </w:rPr>
            </w:pPr>
            <w:r w:rsidRPr="000A0FAC">
              <w:rPr>
                <w:rFonts w:cs="Times New Roman"/>
                <w:lang w:val="sr-Cyrl-RS"/>
              </w:rPr>
              <w:t>5. Назив (</w:t>
            </w:r>
            <w:r w:rsidR="00CA3E3F">
              <w:rPr>
                <w:rFonts w:cs="Times New Roman"/>
                <w:lang w:val="sr-Cyrl-RS"/>
              </w:rPr>
              <w:t>нацрт</w:t>
            </w:r>
            <w:bookmarkStart w:id="0" w:name="_GoBack"/>
            <w:bookmarkEnd w:id="0"/>
            <w:r w:rsidRPr="000A0FAC">
              <w:rPr>
                <w:rFonts w:cs="Times New Roman"/>
                <w:lang w:val="sr-Cyrl-RS"/>
              </w:rPr>
              <w:t>, предлога) прописа чије одредбе су предмет анализе усклађености са прописом Европске уније</w:t>
            </w:r>
            <w:r w:rsidRPr="000A0FAC">
              <w:rPr>
                <w:lang w:val="sr-Cyrl-RS"/>
              </w:rPr>
              <w:t>:</w:t>
            </w:r>
          </w:p>
          <w:p w14:paraId="46187D6A" w14:textId="050744EC" w:rsidR="00B37945" w:rsidRPr="000A0FAC" w:rsidRDefault="00CA4C50" w:rsidP="002A0174">
            <w:pPr>
              <w:jc w:val="both"/>
              <w:rPr>
                <w:lang w:val="sr-Cyrl-RS"/>
              </w:rPr>
            </w:pPr>
            <w:r w:rsidRPr="000A0FAC">
              <w:rPr>
                <w:lang w:val="sr-Cyrl-RS"/>
              </w:rPr>
              <w:t>1</w:t>
            </w:r>
            <w:r w:rsidR="00A13E12" w:rsidRPr="000A0FAC">
              <w:rPr>
                <w:lang w:val="sr-Cyrl-RS"/>
              </w:rPr>
              <w:t>.</w:t>
            </w:r>
            <w:r w:rsidR="002950D4">
              <w:rPr>
                <w:b/>
                <w:bCs/>
                <w:lang w:val="sr-Cyrl-RS"/>
              </w:rPr>
              <w:t>Предлог</w:t>
            </w:r>
            <w:r w:rsidR="00B62028" w:rsidRPr="000A0FAC">
              <w:rPr>
                <w:b/>
                <w:bCs/>
                <w:lang w:val="sr-Cyrl-RS"/>
              </w:rPr>
              <w:t xml:space="preserve"> </w:t>
            </w:r>
            <w:r w:rsidR="00CA3E3F" w:rsidRPr="000A0FAC">
              <w:rPr>
                <w:b/>
                <w:bCs/>
                <w:lang w:val="sr-Cyrl-RS"/>
              </w:rPr>
              <w:t xml:space="preserve">закона </w:t>
            </w:r>
            <w:r w:rsidR="00B62028" w:rsidRPr="000A0FAC">
              <w:rPr>
                <w:b/>
                <w:bCs/>
                <w:lang w:val="sr-Cyrl-RS"/>
              </w:rPr>
              <w:t xml:space="preserve">о </w:t>
            </w:r>
            <w:r w:rsidR="00C117A7">
              <w:rPr>
                <w:b/>
                <w:bCs/>
                <w:lang w:val="sr-Cyrl-RS"/>
              </w:rPr>
              <w:t>енергетској ефикасности и рационалној употреби</w:t>
            </w:r>
            <w:r w:rsidR="00B62028" w:rsidRPr="000A0FAC">
              <w:rPr>
                <w:b/>
                <w:bCs/>
                <w:lang w:val="sr-Cyrl-RS"/>
              </w:rPr>
              <w:t xml:space="preserve"> енергије</w:t>
            </w:r>
            <w:r w:rsidR="00C117A7">
              <w:rPr>
                <w:b/>
                <w:bCs/>
                <w:lang w:val="sr-Cyrl-RS"/>
              </w:rPr>
              <w:t xml:space="preserve"> (</w:t>
            </w:r>
            <w:r w:rsidR="002950D4">
              <w:rPr>
                <w:b/>
                <w:bCs/>
                <w:lang w:val="sr-Cyrl-RS"/>
              </w:rPr>
              <w:t>Предлог</w:t>
            </w:r>
            <w:r w:rsidR="00C117A7">
              <w:rPr>
                <w:b/>
                <w:bCs/>
                <w:lang w:val="sr-Cyrl-RS"/>
              </w:rPr>
              <w:t xml:space="preserve"> ЗЕЕРУЕ)</w:t>
            </w:r>
          </w:p>
          <w:p w14:paraId="46187D6B" w14:textId="77777777" w:rsidR="00037235" w:rsidRPr="000A0FAC" w:rsidRDefault="00037235" w:rsidP="00037235">
            <w:pPr>
              <w:rPr>
                <w:lang w:val="sr-Cyrl-RS"/>
              </w:rPr>
            </w:pPr>
            <w:r w:rsidRPr="000A0FAC">
              <w:rPr>
                <w:rFonts w:cs="Times New Roman"/>
                <w:lang w:val="sr-Cyrl-RS"/>
              </w:rPr>
              <w:t>2. Уредба о врстама производа који утичу на потрошњу енергије за које је неопходно означавање потрошње енергије и других ресурса (Сл. гласник РС, бр. 92/13 и 80/16)</w:t>
            </w:r>
          </w:p>
          <w:p w14:paraId="46187D6C" w14:textId="77777777" w:rsidR="00037235" w:rsidRPr="000A0FAC" w:rsidRDefault="009778D3" w:rsidP="00037235">
            <w:pPr>
              <w:jc w:val="both"/>
              <w:rPr>
                <w:lang w:val="sr-Cyrl-RS"/>
              </w:rPr>
            </w:pPr>
            <w:r w:rsidRPr="000A0FAC">
              <w:rPr>
                <w:lang w:val="sr-Cyrl-RS"/>
              </w:rPr>
              <w:t xml:space="preserve">3. </w:t>
            </w:r>
            <w:r w:rsidRPr="000A0FAC">
              <w:rPr>
                <w:rFonts w:cs="Times New Roman"/>
                <w:lang w:val="sr-Cyrl-RS"/>
              </w:rPr>
              <w:t>Закон о стандардизацији (Сл. гласник РС, бр. 36/09 и 46/15)</w:t>
            </w:r>
          </w:p>
          <w:p w14:paraId="46187D6E" w14:textId="01AE6ED9" w:rsidR="00493DDE" w:rsidRPr="000A0FAC" w:rsidRDefault="00493DDE" w:rsidP="00037235">
            <w:pPr>
              <w:jc w:val="both"/>
              <w:rPr>
                <w:lang w:val="sr-Cyrl-RS"/>
              </w:rPr>
            </w:pPr>
            <w:r w:rsidRPr="000A0FAC">
              <w:rPr>
                <w:rFonts w:cs="Times New Roman"/>
                <w:lang w:val="sr-Cyrl-RS"/>
              </w:rPr>
              <w:t>4. Закон о тржишном надзору (Сл.</w:t>
            </w:r>
            <w:r w:rsidR="000A0FAC">
              <w:rPr>
                <w:rFonts w:cs="Times New Roman"/>
                <w:lang w:val="sr-Latn-RS"/>
              </w:rPr>
              <w:t xml:space="preserve"> </w:t>
            </w:r>
            <w:r w:rsidR="000A0FAC">
              <w:rPr>
                <w:rFonts w:cs="Times New Roman"/>
                <w:lang w:val="sr-Cyrl-RS"/>
              </w:rPr>
              <w:t>г</w:t>
            </w:r>
            <w:r w:rsidRPr="000A0FAC">
              <w:rPr>
                <w:rFonts w:cs="Times New Roman"/>
                <w:lang w:val="sr-Cyrl-RS"/>
              </w:rPr>
              <w:t>ласник</w:t>
            </w:r>
            <w:r w:rsidR="000A0FAC">
              <w:rPr>
                <w:rFonts w:cs="Times New Roman"/>
                <w:lang w:val="sr-Latn-RS"/>
              </w:rPr>
              <w:t xml:space="preserve"> </w:t>
            </w:r>
            <w:r w:rsidRPr="000A0FAC">
              <w:rPr>
                <w:rFonts w:cs="Times New Roman"/>
                <w:lang w:val="sr-Cyrl-RS"/>
              </w:rPr>
              <w:t>РС, бр. 92/11)</w:t>
            </w:r>
          </w:p>
        </w:tc>
        <w:tc>
          <w:tcPr>
            <w:tcW w:w="1159" w:type="pct"/>
            <w:tcBorders>
              <w:top w:val="single" w:sz="4" w:space="0" w:color="auto"/>
              <w:left w:val="single" w:sz="4" w:space="0" w:color="auto"/>
              <w:bottom w:val="single" w:sz="4" w:space="0" w:color="auto"/>
              <w:right w:val="single" w:sz="4" w:space="0" w:color="auto"/>
            </w:tcBorders>
          </w:tcPr>
          <w:p w14:paraId="46187D6F" w14:textId="77777777" w:rsidR="0025042A" w:rsidRPr="000A0FAC" w:rsidRDefault="0025042A" w:rsidP="004E6125">
            <w:pPr>
              <w:spacing w:before="120" w:after="120"/>
              <w:jc w:val="both"/>
              <w:rPr>
                <w:rStyle w:val="hps"/>
                <w:rFonts w:cs="Times New Roman"/>
                <w:iCs/>
                <w:lang w:val="sr-Cyrl-RS"/>
              </w:rPr>
            </w:pPr>
            <w:r w:rsidRPr="000A0FAC">
              <w:rPr>
                <w:rFonts w:cs="Times New Roman"/>
                <w:iCs/>
                <w:lang w:val="sr-Cyrl-RS"/>
              </w:rPr>
              <w:t>6. Бројчане ознаке (шифре) планираних прописа из базе НПAA</w:t>
            </w:r>
            <w:r w:rsidRPr="000A0FAC">
              <w:rPr>
                <w:rStyle w:val="hps"/>
                <w:rFonts w:cs="Times New Roman"/>
                <w:iCs/>
                <w:lang w:val="sr-Cyrl-RS"/>
              </w:rPr>
              <w:t>:</w:t>
            </w:r>
          </w:p>
          <w:p w14:paraId="46187D70" w14:textId="5FF77AE2" w:rsidR="001D11A6" w:rsidRPr="000A0FAC" w:rsidRDefault="00454EE1" w:rsidP="00582A2F">
            <w:pPr>
              <w:spacing w:before="120" w:after="120"/>
              <w:jc w:val="both"/>
              <w:rPr>
                <w:rFonts w:cs="Times New Roman"/>
                <w:iCs/>
                <w:lang w:val="sr-Cyrl-RS"/>
              </w:rPr>
            </w:pPr>
            <w:r>
              <w:rPr>
                <w:rFonts w:cs="Times New Roman"/>
                <w:iCs/>
              </w:rPr>
              <w:t>2021-1</w:t>
            </w:r>
          </w:p>
        </w:tc>
      </w:tr>
    </w:tbl>
    <w:p w14:paraId="46187D72" w14:textId="77777777" w:rsidR="0025042A" w:rsidRPr="000A0FAC" w:rsidRDefault="0025042A" w:rsidP="000A0FAC">
      <w:pPr>
        <w:rPr>
          <w:rFonts w:cs="Times New Roman"/>
          <w:lang w:val="sr-Cyrl-RS"/>
        </w:rPr>
      </w:pPr>
    </w:p>
    <w:p w14:paraId="46187D73" w14:textId="0FBA371A" w:rsidR="007554BD" w:rsidRPr="000A0FAC" w:rsidRDefault="007554BD" w:rsidP="000A0FAC">
      <w:pPr>
        <w:rPr>
          <w:rFonts w:cs="Times New Roman"/>
          <w:lang w:val="sr-Cyrl-RS"/>
        </w:rPr>
      </w:pPr>
      <w:r w:rsidRPr="000A0FAC">
        <w:rPr>
          <w:rFonts w:cs="Times New Roman"/>
          <w:lang w:val="sr-Cyrl-RS"/>
        </w:rPr>
        <w:t>Усклађеност (Потпуно усклађено - ПУ, делимично усклађено - ДУ, неусклађено - НУ, непреносиво – НП)</w:t>
      </w:r>
      <w:r w:rsidR="00A614E1">
        <w:rPr>
          <w:rFonts w:cs="Times New Roman"/>
          <w:lang w:val="sr-Cyrl-RS"/>
        </w:rPr>
        <w:t xml:space="preserve"> </w:t>
      </w:r>
    </w:p>
    <w:p w14:paraId="46187D74" w14:textId="77777777" w:rsidR="004E6125" w:rsidRPr="000A0FAC" w:rsidRDefault="004E6125" w:rsidP="000A0FAC">
      <w:pPr>
        <w:rPr>
          <w:rFonts w:cs="Times New Roman"/>
          <w:lang w:val="sr-Cyrl-R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000" w:firstRow="0" w:lastRow="0" w:firstColumn="0" w:lastColumn="0" w:noHBand="0" w:noVBand="0"/>
      </w:tblPr>
      <w:tblGrid>
        <w:gridCol w:w="15128"/>
      </w:tblGrid>
      <w:tr w:rsidR="00ED6C00" w:rsidRPr="000A0FAC" w14:paraId="46187D76" w14:textId="77777777" w:rsidTr="000C4A1C">
        <w:trPr>
          <w:jc w:val="center"/>
        </w:trPr>
        <w:tc>
          <w:tcPr>
            <w:tcW w:w="5000" w:type="pct"/>
          </w:tcPr>
          <w:p w14:paraId="46187D75" w14:textId="77777777" w:rsidR="00ED6C00" w:rsidRPr="000A0FAC" w:rsidRDefault="00ED6C00" w:rsidP="000A0FAC">
            <w:pPr>
              <w:jc w:val="both"/>
              <w:rPr>
                <w:rFonts w:cs="Times New Roman"/>
                <w:lang w:val="sr-Cyrl-RS"/>
              </w:rPr>
            </w:pPr>
            <w:r w:rsidRPr="000A0FAC">
              <w:rPr>
                <w:rFonts w:cs="Times New Roman"/>
                <w:lang w:val="sr-Cyrl-RS"/>
              </w:rPr>
              <w:t>7. Усклађеност одредби прописа са одредбама прописа ЕУ:</w:t>
            </w:r>
          </w:p>
        </w:tc>
      </w:tr>
    </w:tbl>
    <w:p w14:paraId="46187D77" w14:textId="77777777" w:rsidR="00442BA0" w:rsidRPr="000A0FAC" w:rsidRDefault="00442BA0" w:rsidP="000A0FAC">
      <w:pPr>
        <w:rPr>
          <w:rFonts w:cs="Times New Roman"/>
          <w:lang w:val="sr-Cyrl-RS"/>
        </w:rPr>
      </w:pPr>
    </w:p>
    <w:tbl>
      <w:tblPr>
        <w:tblW w:w="15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857"/>
        <w:gridCol w:w="4559"/>
        <w:gridCol w:w="995"/>
        <w:gridCol w:w="3968"/>
        <w:gridCol w:w="719"/>
        <w:gridCol w:w="2070"/>
        <w:gridCol w:w="2140"/>
      </w:tblGrid>
      <w:tr w:rsidR="00227A57" w:rsidRPr="004D2E7C" w14:paraId="46187D80" w14:textId="77777777" w:rsidTr="006B3660">
        <w:trPr>
          <w:tblHeader/>
        </w:trPr>
        <w:tc>
          <w:tcPr>
            <w:tcW w:w="280" w:type="pct"/>
            <w:shd w:val="clear" w:color="auto" w:fill="D9D9D9"/>
            <w:vAlign w:val="center"/>
          </w:tcPr>
          <w:p w14:paraId="46187D79" w14:textId="77777777" w:rsidR="006C4C68" w:rsidRPr="004D2E7C" w:rsidRDefault="006C4C68" w:rsidP="002A0174">
            <w:pPr>
              <w:jc w:val="center"/>
              <w:rPr>
                <w:rFonts w:cs="Times New Roman"/>
                <w:b/>
                <w:bCs/>
                <w:lang w:val="sr-Cyrl-RS"/>
              </w:rPr>
            </w:pPr>
            <w:r w:rsidRPr="004D2E7C">
              <w:rPr>
                <w:rFonts w:cs="Times New Roman"/>
                <w:b/>
                <w:bCs/>
                <w:lang w:val="sr-Cyrl-RS"/>
              </w:rPr>
              <w:t>а)</w:t>
            </w:r>
          </w:p>
        </w:tc>
        <w:tc>
          <w:tcPr>
            <w:tcW w:w="1489" w:type="pct"/>
            <w:shd w:val="clear" w:color="auto" w:fill="D9D9D9"/>
            <w:vAlign w:val="center"/>
          </w:tcPr>
          <w:p w14:paraId="46187D7A" w14:textId="77777777" w:rsidR="006C4C68" w:rsidRPr="004D2E7C" w:rsidRDefault="006C4C68" w:rsidP="002A0174">
            <w:pPr>
              <w:jc w:val="center"/>
              <w:rPr>
                <w:rFonts w:cs="Times New Roman"/>
                <w:b/>
                <w:bCs/>
                <w:lang w:val="en-GB"/>
              </w:rPr>
            </w:pPr>
            <w:r w:rsidRPr="004D2E7C">
              <w:rPr>
                <w:rFonts w:cs="Times New Roman"/>
                <w:b/>
                <w:bCs/>
                <w:lang w:val="en-GB"/>
              </w:rPr>
              <w:t>а1)</w:t>
            </w:r>
          </w:p>
        </w:tc>
        <w:tc>
          <w:tcPr>
            <w:tcW w:w="325" w:type="pct"/>
            <w:vAlign w:val="center"/>
          </w:tcPr>
          <w:p w14:paraId="46187D7B" w14:textId="77777777" w:rsidR="006C4C68" w:rsidRPr="004D2E7C" w:rsidRDefault="006C4C68" w:rsidP="002A0174">
            <w:pPr>
              <w:jc w:val="center"/>
              <w:rPr>
                <w:rFonts w:cs="Times New Roman"/>
                <w:b/>
                <w:bCs/>
                <w:lang w:val="sr-Cyrl-RS"/>
              </w:rPr>
            </w:pPr>
            <w:r w:rsidRPr="004D2E7C">
              <w:rPr>
                <w:rFonts w:cs="Times New Roman"/>
                <w:b/>
                <w:bCs/>
                <w:lang w:val="sr-Cyrl-RS"/>
              </w:rPr>
              <w:t>б)</w:t>
            </w:r>
          </w:p>
        </w:tc>
        <w:tc>
          <w:tcPr>
            <w:tcW w:w="1296" w:type="pct"/>
            <w:vAlign w:val="center"/>
          </w:tcPr>
          <w:p w14:paraId="46187D7C" w14:textId="77777777" w:rsidR="006C4C68" w:rsidRPr="004D2E7C" w:rsidRDefault="006C4C68" w:rsidP="002A0174">
            <w:pPr>
              <w:jc w:val="center"/>
              <w:rPr>
                <w:rFonts w:cs="Times New Roman"/>
                <w:b/>
                <w:bCs/>
                <w:lang w:val="sr-Cyrl-RS"/>
              </w:rPr>
            </w:pPr>
            <w:r w:rsidRPr="004D2E7C">
              <w:rPr>
                <w:rFonts w:cs="Times New Roman"/>
                <w:b/>
                <w:bCs/>
                <w:lang w:val="sr-Cyrl-RS"/>
              </w:rPr>
              <w:t>б1)</w:t>
            </w:r>
          </w:p>
        </w:tc>
        <w:tc>
          <w:tcPr>
            <w:tcW w:w="235" w:type="pct"/>
            <w:vAlign w:val="center"/>
          </w:tcPr>
          <w:p w14:paraId="46187D7D" w14:textId="77777777" w:rsidR="006C4C68" w:rsidRPr="004D2E7C" w:rsidRDefault="006C4C68" w:rsidP="002A0174">
            <w:pPr>
              <w:jc w:val="center"/>
              <w:rPr>
                <w:rFonts w:cs="Times New Roman"/>
                <w:b/>
                <w:bCs/>
                <w:lang w:val="sr-Cyrl-RS"/>
              </w:rPr>
            </w:pPr>
            <w:r w:rsidRPr="004D2E7C">
              <w:rPr>
                <w:rFonts w:cs="Times New Roman"/>
                <w:b/>
                <w:bCs/>
                <w:lang w:val="sr-Cyrl-RS"/>
              </w:rPr>
              <w:t>в)</w:t>
            </w:r>
          </w:p>
        </w:tc>
        <w:tc>
          <w:tcPr>
            <w:tcW w:w="676" w:type="pct"/>
            <w:vAlign w:val="center"/>
          </w:tcPr>
          <w:p w14:paraId="46187D7E" w14:textId="77777777" w:rsidR="006C4C68" w:rsidRPr="004D2E7C" w:rsidRDefault="006C4C68" w:rsidP="002A0174">
            <w:pPr>
              <w:jc w:val="center"/>
              <w:rPr>
                <w:rFonts w:cs="Times New Roman"/>
                <w:b/>
                <w:bCs/>
                <w:lang w:val="sr-Cyrl-RS"/>
              </w:rPr>
            </w:pPr>
            <w:r w:rsidRPr="004D2E7C">
              <w:rPr>
                <w:rFonts w:cs="Times New Roman"/>
                <w:b/>
                <w:bCs/>
                <w:lang w:val="sr-Cyrl-RS"/>
              </w:rPr>
              <w:t>г)</w:t>
            </w:r>
          </w:p>
        </w:tc>
        <w:tc>
          <w:tcPr>
            <w:tcW w:w="699" w:type="pct"/>
            <w:vAlign w:val="center"/>
          </w:tcPr>
          <w:p w14:paraId="46187D7F" w14:textId="77777777" w:rsidR="006C4C68" w:rsidRPr="004D2E7C" w:rsidRDefault="006C4C68" w:rsidP="002A0174">
            <w:pPr>
              <w:jc w:val="center"/>
              <w:rPr>
                <w:rFonts w:cs="Times New Roman"/>
                <w:b/>
                <w:bCs/>
                <w:lang w:val="sr-Cyrl-RS"/>
              </w:rPr>
            </w:pPr>
            <w:r w:rsidRPr="004D2E7C">
              <w:rPr>
                <w:rFonts w:cs="Times New Roman"/>
                <w:b/>
                <w:bCs/>
                <w:lang w:val="sr-Cyrl-RS"/>
              </w:rPr>
              <w:t>д)</w:t>
            </w:r>
          </w:p>
        </w:tc>
      </w:tr>
      <w:tr w:rsidR="00227A57" w:rsidRPr="004D2E7C" w14:paraId="46187D88" w14:textId="77777777" w:rsidTr="006B3660">
        <w:trPr>
          <w:tblHeader/>
        </w:trPr>
        <w:tc>
          <w:tcPr>
            <w:tcW w:w="280" w:type="pct"/>
            <w:shd w:val="clear" w:color="auto" w:fill="D9D9D9"/>
            <w:vAlign w:val="center"/>
          </w:tcPr>
          <w:p w14:paraId="46187D81" w14:textId="77777777" w:rsidR="006C4C68" w:rsidRPr="004D2E7C" w:rsidRDefault="006C4C68" w:rsidP="002A0174">
            <w:pPr>
              <w:jc w:val="center"/>
              <w:rPr>
                <w:rFonts w:cs="Times New Roman"/>
                <w:b/>
                <w:bCs/>
                <w:sz w:val="20"/>
                <w:szCs w:val="20"/>
                <w:lang w:val="sr-Cyrl-RS"/>
              </w:rPr>
            </w:pPr>
            <w:r w:rsidRPr="004D2E7C">
              <w:rPr>
                <w:rFonts w:cs="Times New Roman"/>
                <w:b/>
                <w:bCs/>
                <w:sz w:val="20"/>
                <w:szCs w:val="20"/>
                <w:lang w:val="sr-Cyrl-RS"/>
              </w:rPr>
              <w:t>Одредба прописа ЕУ</w:t>
            </w:r>
          </w:p>
        </w:tc>
        <w:tc>
          <w:tcPr>
            <w:tcW w:w="1489" w:type="pct"/>
            <w:shd w:val="clear" w:color="auto" w:fill="D9D9D9"/>
            <w:vAlign w:val="center"/>
          </w:tcPr>
          <w:p w14:paraId="46187D82" w14:textId="77777777" w:rsidR="006C4C68" w:rsidRPr="004D2E7C" w:rsidRDefault="006C4C68" w:rsidP="002A0174">
            <w:pPr>
              <w:jc w:val="center"/>
              <w:rPr>
                <w:rFonts w:cs="Times New Roman"/>
                <w:b/>
                <w:bCs/>
                <w:sz w:val="20"/>
                <w:szCs w:val="20"/>
                <w:lang w:val="sr-Cyrl-RS"/>
              </w:rPr>
            </w:pPr>
            <w:r w:rsidRPr="004D2E7C">
              <w:rPr>
                <w:rFonts w:cs="Times New Roman"/>
                <w:b/>
                <w:bCs/>
                <w:sz w:val="20"/>
                <w:szCs w:val="20"/>
                <w:lang w:val="sr-Cyrl-RS"/>
              </w:rPr>
              <w:t>Садржина одредбе</w:t>
            </w:r>
          </w:p>
        </w:tc>
        <w:tc>
          <w:tcPr>
            <w:tcW w:w="325" w:type="pct"/>
            <w:vAlign w:val="center"/>
          </w:tcPr>
          <w:p w14:paraId="46187D83" w14:textId="77777777" w:rsidR="006C4C68" w:rsidRPr="004D2E7C" w:rsidRDefault="006C4C68" w:rsidP="002A0174">
            <w:pPr>
              <w:jc w:val="center"/>
              <w:rPr>
                <w:rFonts w:cs="Times New Roman"/>
                <w:b/>
                <w:bCs/>
                <w:sz w:val="20"/>
                <w:szCs w:val="20"/>
                <w:lang w:val="sr-Cyrl-RS"/>
              </w:rPr>
            </w:pPr>
            <w:r w:rsidRPr="004D2E7C">
              <w:rPr>
                <w:rFonts w:cs="Times New Roman"/>
                <w:b/>
                <w:bCs/>
                <w:sz w:val="20"/>
                <w:szCs w:val="20"/>
                <w:lang w:val="sr-Cyrl-RS"/>
              </w:rPr>
              <w:t>Одредбе прописа Р. Србије</w:t>
            </w:r>
          </w:p>
        </w:tc>
        <w:tc>
          <w:tcPr>
            <w:tcW w:w="1296" w:type="pct"/>
            <w:vAlign w:val="center"/>
          </w:tcPr>
          <w:p w14:paraId="46187D84" w14:textId="77777777" w:rsidR="006C4C68" w:rsidRPr="004D2E7C" w:rsidRDefault="006C4C68" w:rsidP="002A0174">
            <w:pPr>
              <w:jc w:val="center"/>
              <w:rPr>
                <w:rFonts w:cs="Times New Roman"/>
                <w:b/>
                <w:bCs/>
                <w:sz w:val="20"/>
                <w:szCs w:val="20"/>
                <w:lang w:val="sr-Cyrl-RS"/>
              </w:rPr>
            </w:pPr>
            <w:r w:rsidRPr="004D2E7C">
              <w:rPr>
                <w:rFonts w:cs="Times New Roman"/>
                <w:b/>
                <w:bCs/>
                <w:sz w:val="20"/>
                <w:szCs w:val="20"/>
                <w:lang w:val="sr-Cyrl-RS"/>
              </w:rPr>
              <w:t>Садржина одредбе</w:t>
            </w:r>
          </w:p>
        </w:tc>
        <w:tc>
          <w:tcPr>
            <w:tcW w:w="235" w:type="pct"/>
            <w:vAlign w:val="center"/>
          </w:tcPr>
          <w:p w14:paraId="46187D85" w14:textId="77777777" w:rsidR="006C4C68" w:rsidRPr="004D2E7C" w:rsidRDefault="006C4C68" w:rsidP="002A0174">
            <w:pPr>
              <w:jc w:val="center"/>
              <w:rPr>
                <w:rFonts w:cs="Times New Roman"/>
                <w:b/>
                <w:bCs/>
                <w:sz w:val="20"/>
                <w:szCs w:val="20"/>
                <w:lang w:val="sr-Cyrl-RS"/>
              </w:rPr>
            </w:pPr>
            <w:r w:rsidRPr="004D2E7C">
              <w:rPr>
                <w:rFonts w:cs="Times New Roman"/>
                <w:b/>
                <w:bCs/>
                <w:sz w:val="20"/>
                <w:szCs w:val="20"/>
                <w:lang w:val="sr-Cyrl-RS"/>
              </w:rPr>
              <w:t>Усклађеност</w:t>
            </w:r>
          </w:p>
        </w:tc>
        <w:tc>
          <w:tcPr>
            <w:tcW w:w="676" w:type="pct"/>
            <w:vAlign w:val="center"/>
          </w:tcPr>
          <w:p w14:paraId="46187D86" w14:textId="77777777" w:rsidR="006C4C68" w:rsidRPr="004D2E7C" w:rsidRDefault="006C4C68" w:rsidP="002A0174">
            <w:pPr>
              <w:jc w:val="center"/>
              <w:rPr>
                <w:rFonts w:cs="Times New Roman"/>
                <w:b/>
                <w:bCs/>
                <w:sz w:val="20"/>
                <w:szCs w:val="20"/>
                <w:lang w:val="sr-Cyrl-RS"/>
              </w:rPr>
            </w:pPr>
            <w:r w:rsidRPr="004D2E7C">
              <w:rPr>
                <w:rFonts w:cs="Times New Roman"/>
                <w:b/>
                <w:bCs/>
                <w:sz w:val="20"/>
                <w:szCs w:val="20"/>
                <w:lang w:val="sr-Cyrl-RS"/>
              </w:rPr>
              <w:t>Разлози за делимичну усклађеност, неусклађеност или непреносивост</w:t>
            </w:r>
          </w:p>
        </w:tc>
        <w:tc>
          <w:tcPr>
            <w:tcW w:w="699" w:type="pct"/>
            <w:vAlign w:val="center"/>
          </w:tcPr>
          <w:p w14:paraId="46187D87" w14:textId="2027BE97" w:rsidR="006C4C68" w:rsidRPr="004D2E7C" w:rsidRDefault="004D2E7C" w:rsidP="002A0174">
            <w:pPr>
              <w:jc w:val="center"/>
              <w:rPr>
                <w:rFonts w:cs="Times New Roman"/>
                <w:b/>
                <w:bCs/>
                <w:spacing w:val="-20"/>
                <w:sz w:val="20"/>
                <w:szCs w:val="20"/>
                <w:lang w:val="sr-Cyrl-RS"/>
              </w:rPr>
            </w:pPr>
            <w:r w:rsidRPr="004D2E7C">
              <w:rPr>
                <w:rFonts w:cs="Times New Roman"/>
                <w:b/>
                <w:bCs/>
                <w:sz w:val="20"/>
                <w:szCs w:val="20"/>
                <w:lang w:val="sr-Cyrl-RS"/>
              </w:rPr>
              <w:t>Напомена о усклађености</w:t>
            </w:r>
          </w:p>
        </w:tc>
      </w:tr>
      <w:tr w:rsidR="00227A57" w:rsidRPr="004D2E7C" w14:paraId="46187DB5" w14:textId="77777777" w:rsidTr="006B3660">
        <w:tc>
          <w:tcPr>
            <w:tcW w:w="280" w:type="pct"/>
            <w:shd w:val="clear" w:color="auto" w:fill="D9D9D9"/>
            <w:vAlign w:val="center"/>
          </w:tcPr>
          <w:p w14:paraId="46187D89" w14:textId="77777777" w:rsidR="00A47416" w:rsidRPr="004D2E7C" w:rsidRDefault="00A47416" w:rsidP="002A0174">
            <w:pPr>
              <w:jc w:val="center"/>
              <w:rPr>
                <w:rFonts w:eastAsia="Times New Roman" w:cs="Times New Roman"/>
                <w:lang w:val="sr-Cyrl-RS"/>
              </w:rPr>
            </w:pPr>
            <w:r w:rsidRPr="004D2E7C">
              <w:rPr>
                <w:rFonts w:eastAsia="Times New Roman" w:cs="Times New Roman"/>
                <w:lang w:val="sr-Cyrl-RS"/>
              </w:rPr>
              <w:t>1.1</w:t>
            </w:r>
          </w:p>
        </w:tc>
        <w:tc>
          <w:tcPr>
            <w:tcW w:w="1489" w:type="pct"/>
            <w:shd w:val="clear" w:color="auto" w:fill="D9D9D9"/>
            <w:vAlign w:val="center"/>
          </w:tcPr>
          <w:p w14:paraId="46187D8A" w14:textId="77777777" w:rsidR="0081608C" w:rsidRPr="004D2E7C" w:rsidRDefault="0081608C" w:rsidP="00B60A8D">
            <w:pPr>
              <w:pStyle w:val="Normal1"/>
              <w:spacing w:before="0" w:beforeAutospacing="0" w:after="0" w:afterAutospacing="0"/>
              <w:jc w:val="center"/>
              <w:rPr>
                <w:b/>
                <w:bCs/>
                <w:sz w:val="22"/>
                <w:szCs w:val="22"/>
                <w:lang w:val="en-GB"/>
              </w:rPr>
            </w:pPr>
            <w:r w:rsidRPr="004D2E7C">
              <w:rPr>
                <w:b/>
                <w:bCs/>
                <w:sz w:val="22"/>
                <w:szCs w:val="22"/>
                <w:lang w:val="en-GB"/>
              </w:rPr>
              <w:t>Subject matter and scope</w:t>
            </w:r>
          </w:p>
          <w:p w14:paraId="46187D8B" w14:textId="77777777" w:rsidR="0081608C" w:rsidRPr="004D2E7C" w:rsidRDefault="0081608C" w:rsidP="00B60A8D">
            <w:pPr>
              <w:pStyle w:val="Normal1"/>
              <w:spacing w:before="0" w:beforeAutospacing="0" w:after="0" w:afterAutospacing="0"/>
              <w:jc w:val="both"/>
              <w:rPr>
                <w:sz w:val="22"/>
                <w:szCs w:val="22"/>
                <w:lang w:val="en-GB"/>
              </w:rPr>
            </w:pPr>
          </w:p>
          <w:p w14:paraId="46187D8C" w14:textId="77777777" w:rsidR="00BA4611" w:rsidRPr="004D2E7C" w:rsidRDefault="00A47416" w:rsidP="00B60A8D">
            <w:pPr>
              <w:pStyle w:val="Normal1"/>
              <w:spacing w:before="0" w:beforeAutospacing="0" w:after="0" w:afterAutospacing="0"/>
              <w:jc w:val="both"/>
              <w:rPr>
                <w:sz w:val="22"/>
                <w:szCs w:val="22"/>
                <w:lang w:val="en-GB"/>
              </w:rPr>
            </w:pPr>
            <w:r w:rsidRPr="004D2E7C">
              <w:rPr>
                <w:sz w:val="22"/>
                <w:szCs w:val="22"/>
                <w:lang w:val="en-GB"/>
              </w:rPr>
              <w:t xml:space="preserve">This Regulation lays down a framework that applies to energy-related products (‘products’) placed on the market or put into service. </w:t>
            </w:r>
          </w:p>
          <w:p w14:paraId="46187D8D" w14:textId="77777777" w:rsidR="00A47416" w:rsidRPr="004D2E7C" w:rsidRDefault="00A47416" w:rsidP="00B60A8D">
            <w:pPr>
              <w:pStyle w:val="Normal1"/>
              <w:spacing w:before="0" w:beforeAutospacing="0" w:after="0" w:afterAutospacing="0"/>
              <w:jc w:val="both"/>
              <w:rPr>
                <w:sz w:val="22"/>
                <w:szCs w:val="22"/>
                <w:lang w:val="en-GB"/>
              </w:rPr>
            </w:pPr>
            <w:r w:rsidRPr="004D2E7C">
              <w:rPr>
                <w:sz w:val="22"/>
                <w:szCs w:val="22"/>
                <w:lang w:val="en-GB"/>
              </w:rPr>
              <w:t xml:space="preserve">It provides for the labelling of those products and the provision of standard product information regarding energy efficiency, the consumption of energy and of other resources by products during use and supplementary information concerning products, thereby enabling customers to choose </w:t>
            </w:r>
            <w:r w:rsidRPr="004D2E7C">
              <w:rPr>
                <w:sz w:val="22"/>
                <w:szCs w:val="22"/>
                <w:lang w:val="en-GB"/>
              </w:rPr>
              <w:lastRenderedPageBreak/>
              <w:t>more efficient products in order to reduce their energy consumption.</w:t>
            </w:r>
          </w:p>
        </w:tc>
        <w:tc>
          <w:tcPr>
            <w:tcW w:w="325" w:type="pct"/>
            <w:tcBorders>
              <w:bottom w:val="single" w:sz="4" w:space="0" w:color="auto"/>
            </w:tcBorders>
            <w:vAlign w:val="center"/>
          </w:tcPr>
          <w:p w14:paraId="46187D8F" w14:textId="77777777" w:rsidR="00442BA0" w:rsidRPr="004D2E7C" w:rsidRDefault="00442BA0" w:rsidP="00082F18">
            <w:pPr>
              <w:jc w:val="center"/>
              <w:rPr>
                <w:rFonts w:cs="Times New Roman"/>
                <w:b/>
                <w:bCs/>
                <w:lang w:val="sr-Cyrl-RS"/>
              </w:rPr>
            </w:pPr>
          </w:p>
          <w:p w14:paraId="46187D90" w14:textId="77777777" w:rsidR="00442BA0" w:rsidRPr="004D2E7C" w:rsidRDefault="00442BA0" w:rsidP="00082F18">
            <w:pPr>
              <w:jc w:val="center"/>
              <w:rPr>
                <w:rFonts w:cs="Times New Roman"/>
                <w:b/>
                <w:bCs/>
                <w:lang w:val="sr-Cyrl-RS"/>
              </w:rPr>
            </w:pPr>
          </w:p>
          <w:p w14:paraId="46187D91" w14:textId="77777777" w:rsidR="00E50910" w:rsidRPr="004D2E7C" w:rsidRDefault="00082F18" w:rsidP="00082F18">
            <w:pPr>
              <w:jc w:val="center"/>
              <w:rPr>
                <w:rFonts w:cs="Times New Roman"/>
                <w:b/>
                <w:bCs/>
                <w:lang w:val="sr-Cyrl-RS"/>
              </w:rPr>
            </w:pPr>
            <w:r w:rsidRPr="004D2E7C">
              <w:rPr>
                <w:rFonts w:cs="Times New Roman"/>
                <w:b/>
                <w:bCs/>
                <w:lang w:val="sr-Cyrl-RS"/>
              </w:rPr>
              <w:t>1.1.</w:t>
            </w:r>
          </w:p>
          <w:p w14:paraId="46187D92" w14:textId="77777777" w:rsidR="009E26C3" w:rsidRPr="004D2E7C" w:rsidRDefault="009E26C3" w:rsidP="00082F18">
            <w:pPr>
              <w:jc w:val="center"/>
              <w:rPr>
                <w:rFonts w:cs="Times New Roman"/>
                <w:lang w:val="sr-Cyrl-RS"/>
              </w:rPr>
            </w:pPr>
          </w:p>
          <w:p w14:paraId="46187D93" w14:textId="77777777" w:rsidR="00442BA0" w:rsidRPr="004D2E7C" w:rsidRDefault="00442BA0" w:rsidP="00082F18">
            <w:pPr>
              <w:jc w:val="center"/>
              <w:rPr>
                <w:rFonts w:cs="Times New Roman"/>
                <w:lang w:val="sr-Cyrl-RS"/>
              </w:rPr>
            </w:pPr>
          </w:p>
          <w:p w14:paraId="46187D94" w14:textId="77777777" w:rsidR="00442BA0" w:rsidRPr="004D2E7C" w:rsidRDefault="00442BA0" w:rsidP="00082F18">
            <w:pPr>
              <w:jc w:val="center"/>
              <w:rPr>
                <w:rFonts w:cs="Times New Roman"/>
                <w:lang w:val="sr-Cyrl-RS"/>
              </w:rPr>
            </w:pPr>
          </w:p>
          <w:p w14:paraId="46187D95" w14:textId="77777777" w:rsidR="0081608C" w:rsidRPr="004D2E7C" w:rsidRDefault="0081608C" w:rsidP="00082F18">
            <w:pPr>
              <w:jc w:val="center"/>
              <w:rPr>
                <w:rFonts w:cs="Times New Roman"/>
                <w:lang w:val="sr-Cyrl-RS"/>
              </w:rPr>
            </w:pPr>
          </w:p>
          <w:p w14:paraId="46187D96" w14:textId="77777777" w:rsidR="0081608C" w:rsidRPr="004D2E7C" w:rsidRDefault="0081608C" w:rsidP="00082F18">
            <w:pPr>
              <w:jc w:val="center"/>
              <w:rPr>
                <w:rFonts w:cs="Times New Roman"/>
                <w:lang w:val="sr-Cyrl-RS"/>
              </w:rPr>
            </w:pPr>
          </w:p>
          <w:p w14:paraId="46187D97" w14:textId="77777777" w:rsidR="0081608C" w:rsidRPr="004D2E7C" w:rsidRDefault="0081608C" w:rsidP="00082F18">
            <w:pPr>
              <w:jc w:val="center"/>
              <w:rPr>
                <w:rFonts w:cs="Times New Roman"/>
                <w:lang w:val="sr-Cyrl-RS"/>
              </w:rPr>
            </w:pPr>
          </w:p>
          <w:p w14:paraId="46187D98" w14:textId="77777777" w:rsidR="0081608C" w:rsidRPr="004D2E7C" w:rsidRDefault="0081608C" w:rsidP="00082F18">
            <w:pPr>
              <w:jc w:val="center"/>
              <w:rPr>
                <w:rFonts w:cs="Times New Roman"/>
                <w:lang w:val="sr-Cyrl-RS"/>
              </w:rPr>
            </w:pPr>
          </w:p>
          <w:p w14:paraId="46187D99" w14:textId="77777777" w:rsidR="0081608C" w:rsidRPr="004D2E7C" w:rsidRDefault="0081608C" w:rsidP="00082F18">
            <w:pPr>
              <w:jc w:val="center"/>
              <w:rPr>
                <w:rFonts w:cs="Times New Roman"/>
                <w:lang w:val="sr-Cyrl-RS"/>
              </w:rPr>
            </w:pPr>
          </w:p>
          <w:p w14:paraId="46187D9A" w14:textId="77777777" w:rsidR="0081608C" w:rsidRPr="004D2E7C" w:rsidRDefault="0081608C" w:rsidP="00082F18">
            <w:pPr>
              <w:jc w:val="center"/>
              <w:rPr>
                <w:rFonts w:cs="Times New Roman"/>
                <w:lang w:val="sr-Cyrl-RS"/>
              </w:rPr>
            </w:pPr>
          </w:p>
          <w:p w14:paraId="46187D9B" w14:textId="77777777" w:rsidR="00442BA0" w:rsidRPr="004D2E7C" w:rsidRDefault="00442BA0" w:rsidP="00082F18">
            <w:pPr>
              <w:jc w:val="center"/>
              <w:rPr>
                <w:rFonts w:cs="Times New Roman"/>
                <w:lang w:val="sr-Cyrl-RS"/>
              </w:rPr>
            </w:pPr>
          </w:p>
          <w:p w14:paraId="46187D9C" w14:textId="77777777" w:rsidR="00CC7DEA" w:rsidRPr="004D2E7C" w:rsidRDefault="00CC7DEA" w:rsidP="00082F18">
            <w:pPr>
              <w:jc w:val="center"/>
              <w:rPr>
                <w:rFonts w:cs="Times New Roman"/>
                <w:b/>
                <w:bCs/>
                <w:lang w:val="sr-Cyrl-RS"/>
              </w:rPr>
            </w:pPr>
          </w:p>
          <w:p w14:paraId="0691BB79" w14:textId="77777777" w:rsidR="00372FA4" w:rsidRPr="004D2E7C" w:rsidRDefault="00372FA4" w:rsidP="00082F18">
            <w:pPr>
              <w:jc w:val="center"/>
              <w:rPr>
                <w:rFonts w:cs="Times New Roman"/>
                <w:b/>
                <w:bCs/>
                <w:lang w:val="sr-Cyrl-RS"/>
              </w:rPr>
            </w:pPr>
          </w:p>
          <w:p w14:paraId="4B7B3E3D" w14:textId="77777777" w:rsidR="00372FA4" w:rsidRPr="004D2E7C" w:rsidRDefault="00372FA4" w:rsidP="00082F18">
            <w:pPr>
              <w:jc w:val="center"/>
              <w:rPr>
                <w:rFonts w:cs="Times New Roman"/>
                <w:b/>
                <w:bCs/>
                <w:lang w:val="sr-Cyrl-RS"/>
              </w:rPr>
            </w:pPr>
          </w:p>
          <w:p w14:paraId="3AF3E6E5" w14:textId="77777777" w:rsidR="00372FA4" w:rsidRPr="004D2E7C" w:rsidRDefault="00372FA4" w:rsidP="00082F18">
            <w:pPr>
              <w:jc w:val="center"/>
              <w:rPr>
                <w:rFonts w:cs="Times New Roman"/>
                <w:b/>
                <w:bCs/>
                <w:lang w:val="sr-Cyrl-RS"/>
              </w:rPr>
            </w:pPr>
          </w:p>
          <w:p w14:paraId="6C8D5FDB" w14:textId="77777777" w:rsidR="00372FA4" w:rsidRPr="004D2E7C" w:rsidRDefault="00372FA4" w:rsidP="00082F18">
            <w:pPr>
              <w:jc w:val="center"/>
              <w:rPr>
                <w:rFonts w:cs="Times New Roman"/>
                <w:b/>
                <w:bCs/>
                <w:lang w:val="sr-Cyrl-RS"/>
              </w:rPr>
            </w:pPr>
          </w:p>
          <w:p w14:paraId="41BB5CD0" w14:textId="77777777" w:rsidR="00372FA4" w:rsidRPr="004D2E7C" w:rsidRDefault="00372FA4" w:rsidP="00082F18">
            <w:pPr>
              <w:jc w:val="center"/>
              <w:rPr>
                <w:rFonts w:cs="Times New Roman"/>
                <w:b/>
                <w:bCs/>
                <w:lang w:val="sr-Cyrl-RS"/>
              </w:rPr>
            </w:pPr>
          </w:p>
          <w:p w14:paraId="15CB2EFF" w14:textId="77777777" w:rsidR="00372FA4" w:rsidRPr="004D2E7C" w:rsidRDefault="00372FA4" w:rsidP="00082F18">
            <w:pPr>
              <w:jc w:val="center"/>
              <w:rPr>
                <w:rFonts w:cs="Times New Roman"/>
                <w:b/>
                <w:bCs/>
                <w:lang w:val="sr-Cyrl-RS"/>
              </w:rPr>
            </w:pPr>
          </w:p>
          <w:p w14:paraId="2E8BCC26" w14:textId="77777777" w:rsidR="006B3660" w:rsidRDefault="006B3660" w:rsidP="00082F18">
            <w:pPr>
              <w:jc w:val="center"/>
              <w:rPr>
                <w:rFonts w:cs="Times New Roman"/>
                <w:b/>
                <w:bCs/>
                <w:lang w:val="sr-Cyrl-RS"/>
              </w:rPr>
            </w:pPr>
          </w:p>
          <w:p w14:paraId="46187D9D" w14:textId="11EF909F" w:rsidR="00CC7DEA" w:rsidRPr="004D2E7C" w:rsidRDefault="00CC7DEA" w:rsidP="00082F18">
            <w:pPr>
              <w:jc w:val="center"/>
              <w:rPr>
                <w:rFonts w:cs="Times New Roman"/>
                <w:b/>
                <w:bCs/>
                <w:lang w:val="sr-Cyrl-RS"/>
              </w:rPr>
            </w:pPr>
            <w:r w:rsidRPr="004D2E7C">
              <w:rPr>
                <w:rFonts w:cs="Times New Roman"/>
                <w:b/>
                <w:bCs/>
                <w:lang w:val="sr-Cyrl-RS"/>
              </w:rPr>
              <w:t>1.6</w:t>
            </w:r>
            <w:r w:rsidR="004D2E7C">
              <w:rPr>
                <w:rFonts w:cs="Times New Roman"/>
                <w:b/>
                <w:bCs/>
                <w:lang w:val="sr-Cyrl-RS"/>
              </w:rPr>
              <w:t>2</w:t>
            </w:r>
            <w:r w:rsidRPr="004D2E7C">
              <w:rPr>
                <w:rFonts w:cs="Times New Roman"/>
                <w:b/>
                <w:bCs/>
                <w:lang w:val="sr-Cyrl-RS"/>
              </w:rPr>
              <w:t>.</w:t>
            </w:r>
          </w:p>
          <w:p w14:paraId="46187D9E" w14:textId="77777777" w:rsidR="00CC7DEA" w:rsidRPr="004D2E7C" w:rsidRDefault="00CC7DEA" w:rsidP="00082F18">
            <w:pPr>
              <w:jc w:val="center"/>
              <w:rPr>
                <w:rFonts w:cs="Times New Roman"/>
                <w:lang w:val="sr-Cyrl-RS"/>
              </w:rPr>
            </w:pPr>
          </w:p>
          <w:p w14:paraId="46187D9F" w14:textId="77777777" w:rsidR="00CC7DEA" w:rsidRPr="004D2E7C" w:rsidRDefault="00CC7DEA" w:rsidP="00082F18">
            <w:pPr>
              <w:jc w:val="center"/>
              <w:rPr>
                <w:rFonts w:cs="Times New Roman"/>
                <w:lang w:val="sr-Cyrl-RS"/>
              </w:rPr>
            </w:pPr>
          </w:p>
          <w:p w14:paraId="46187DA0" w14:textId="77777777" w:rsidR="00CC7DEA" w:rsidRPr="004D2E7C" w:rsidRDefault="00CC7DEA" w:rsidP="00082F18">
            <w:pPr>
              <w:jc w:val="center"/>
              <w:rPr>
                <w:rFonts w:cs="Times New Roman"/>
                <w:lang w:val="sr-Cyrl-RS"/>
              </w:rPr>
            </w:pPr>
          </w:p>
          <w:p w14:paraId="46187DA1" w14:textId="77777777" w:rsidR="00CC7DEA" w:rsidRPr="004D2E7C" w:rsidRDefault="00CC7DEA" w:rsidP="00082F18">
            <w:pPr>
              <w:jc w:val="center"/>
              <w:rPr>
                <w:rFonts w:cs="Times New Roman"/>
                <w:lang w:val="sr-Cyrl-RS"/>
              </w:rPr>
            </w:pPr>
          </w:p>
          <w:p w14:paraId="46187DA2" w14:textId="77777777" w:rsidR="00CC7DEA" w:rsidRPr="004D2E7C" w:rsidRDefault="00CC7DEA" w:rsidP="00082F18">
            <w:pPr>
              <w:jc w:val="center"/>
              <w:rPr>
                <w:rFonts w:cs="Times New Roman"/>
                <w:lang w:val="sr-Cyrl-RS"/>
              </w:rPr>
            </w:pPr>
          </w:p>
          <w:p w14:paraId="46187DA3" w14:textId="77777777" w:rsidR="00CC7DEA" w:rsidRPr="004D2E7C" w:rsidRDefault="00CC7DEA" w:rsidP="00082F18">
            <w:pPr>
              <w:jc w:val="center"/>
              <w:rPr>
                <w:rFonts w:cs="Times New Roman"/>
                <w:lang w:val="sr-Cyrl-RS"/>
              </w:rPr>
            </w:pPr>
          </w:p>
          <w:p w14:paraId="46187DA4" w14:textId="596F7134" w:rsidR="00CC7DEA" w:rsidRPr="004D2E7C" w:rsidRDefault="00CC7DEA" w:rsidP="00082F18">
            <w:pPr>
              <w:jc w:val="center"/>
              <w:rPr>
                <w:rFonts w:cs="Times New Roman"/>
                <w:lang w:val="sr-Cyrl-RS"/>
              </w:rPr>
            </w:pPr>
          </w:p>
          <w:p w14:paraId="2356C104" w14:textId="52378A39" w:rsidR="00372FA4" w:rsidRPr="004D2E7C" w:rsidRDefault="00372FA4" w:rsidP="00082F18">
            <w:pPr>
              <w:jc w:val="center"/>
              <w:rPr>
                <w:rFonts w:cs="Times New Roman"/>
                <w:lang w:val="sr-Cyrl-RS"/>
              </w:rPr>
            </w:pPr>
          </w:p>
          <w:p w14:paraId="37BE8965" w14:textId="23A9B59E" w:rsidR="00372FA4" w:rsidRPr="004D2E7C" w:rsidRDefault="00372FA4" w:rsidP="00082F18">
            <w:pPr>
              <w:jc w:val="center"/>
              <w:rPr>
                <w:rFonts w:cs="Times New Roman"/>
                <w:lang w:val="sr-Cyrl-RS"/>
              </w:rPr>
            </w:pPr>
          </w:p>
          <w:p w14:paraId="40A944A4" w14:textId="38BB240A" w:rsidR="00372FA4" w:rsidRPr="004D2E7C" w:rsidRDefault="00372FA4" w:rsidP="00082F18">
            <w:pPr>
              <w:jc w:val="center"/>
              <w:rPr>
                <w:rFonts w:cs="Times New Roman"/>
                <w:lang w:val="sr-Cyrl-RS"/>
              </w:rPr>
            </w:pPr>
          </w:p>
          <w:p w14:paraId="7E627303" w14:textId="21E34310" w:rsidR="00372FA4" w:rsidRPr="004D2E7C" w:rsidRDefault="00372FA4" w:rsidP="00082F18">
            <w:pPr>
              <w:jc w:val="center"/>
              <w:rPr>
                <w:rFonts w:cs="Times New Roman"/>
                <w:lang w:val="sr-Cyrl-RS"/>
              </w:rPr>
            </w:pPr>
          </w:p>
          <w:p w14:paraId="269071CA" w14:textId="0E6A15F9" w:rsidR="00372FA4" w:rsidRPr="004D2E7C" w:rsidRDefault="00372FA4" w:rsidP="00082F18">
            <w:pPr>
              <w:jc w:val="center"/>
              <w:rPr>
                <w:rFonts w:cs="Times New Roman"/>
                <w:lang w:val="sr-Cyrl-RS"/>
              </w:rPr>
            </w:pPr>
          </w:p>
          <w:p w14:paraId="16D99ECB" w14:textId="35AD811A" w:rsidR="00372FA4" w:rsidRPr="004D2E7C" w:rsidRDefault="00372FA4" w:rsidP="00082F18">
            <w:pPr>
              <w:jc w:val="center"/>
              <w:rPr>
                <w:rFonts w:cs="Times New Roman"/>
                <w:lang w:val="sr-Cyrl-RS"/>
              </w:rPr>
            </w:pPr>
          </w:p>
          <w:p w14:paraId="5C3E947E" w14:textId="67D37BA4" w:rsidR="00372FA4" w:rsidRPr="004D2E7C" w:rsidRDefault="00372FA4" w:rsidP="00082F18">
            <w:pPr>
              <w:jc w:val="center"/>
              <w:rPr>
                <w:rFonts w:cs="Times New Roman"/>
                <w:lang w:val="sr-Cyrl-RS"/>
              </w:rPr>
            </w:pPr>
          </w:p>
          <w:p w14:paraId="373B2290" w14:textId="72A9BBEF" w:rsidR="00372FA4" w:rsidRPr="004D2E7C" w:rsidRDefault="00372FA4" w:rsidP="00082F18">
            <w:pPr>
              <w:jc w:val="center"/>
              <w:rPr>
                <w:rFonts w:cs="Times New Roman"/>
                <w:lang w:val="sr-Cyrl-RS"/>
              </w:rPr>
            </w:pPr>
          </w:p>
          <w:p w14:paraId="749BC6EB" w14:textId="172B1265" w:rsidR="00372FA4" w:rsidRPr="004D2E7C" w:rsidRDefault="00372FA4" w:rsidP="00082F18">
            <w:pPr>
              <w:jc w:val="center"/>
              <w:rPr>
                <w:rFonts w:cs="Times New Roman"/>
                <w:lang w:val="sr-Cyrl-RS"/>
              </w:rPr>
            </w:pPr>
          </w:p>
          <w:p w14:paraId="6A6D6B41" w14:textId="02B89028" w:rsidR="00372FA4" w:rsidRPr="004D2E7C" w:rsidRDefault="00372FA4" w:rsidP="00082F18">
            <w:pPr>
              <w:jc w:val="center"/>
              <w:rPr>
                <w:rFonts w:cs="Times New Roman"/>
                <w:lang w:val="sr-Cyrl-RS"/>
              </w:rPr>
            </w:pPr>
          </w:p>
          <w:p w14:paraId="7D7F0573" w14:textId="0D011275" w:rsidR="00372FA4" w:rsidRPr="004D2E7C" w:rsidRDefault="00372FA4" w:rsidP="00082F18">
            <w:pPr>
              <w:jc w:val="center"/>
              <w:rPr>
                <w:rFonts w:cs="Times New Roman"/>
                <w:lang w:val="sr-Cyrl-RS"/>
              </w:rPr>
            </w:pPr>
          </w:p>
          <w:p w14:paraId="7D2DB87D" w14:textId="5E0B9722" w:rsidR="00372FA4" w:rsidRPr="004D2E7C" w:rsidRDefault="00372FA4" w:rsidP="00082F18">
            <w:pPr>
              <w:jc w:val="center"/>
              <w:rPr>
                <w:rFonts w:cs="Times New Roman"/>
                <w:lang w:val="sr-Cyrl-RS"/>
              </w:rPr>
            </w:pPr>
          </w:p>
          <w:p w14:paraId="7DB1D9C6" w14:textId="2AFC8CBF" w:rsidR="00372FA4" w:rsidRPr="004D2E7C" w:rsidRDefault="00372FA4" w:rsidP="00082F18">
            <w:pPr>
              <w:jc w:val="center"/>
              <w:rPr>
                <w:rFonts w:cs="Times New Roman"/>
                <w:lang w:val="sr-Cyrl-RS"/>
              </w:rPr>
            </w:pPr>
          </w:p>
          <w:p w14:paraId="35B05321" w14:textId="4871E75D" w:rsidR="00372FA4" w:rsidRPr="004D2E7C" w:rsidRDefault="00372FA4" w:rsidP="00082F18">
            <w:pPr>
              <w:jc w:val="center"/>
              <w:rPr>
                <w:rFonts w:cs="Times New Roman"/>
                <w:lang w:val="sr-Cyrl-RS"/>
              </w:rPr>
            </w:pPr>
          </w:p>
          <w:p w14:paraId="54C5B479" w14:textId="3FA9700E" w:rsidR="00372FA4" w:rsidRPr="004D2E7C" w:rsidRDefault="00372FA4" w:rsidP="00082F18">
            <w:pPr>
              <w:jc w:val="center"/>
              <w:rPr>
                <w:rFonts w:cs="Times New Roman"/>
                <w:lang w:val="sr-Cyrl-RS"/>
              </w:rPr>
            </w:pPr>
          </w:p>
          <w:p w14:paraId="623CAAB7" w14:textId="4C6E2252" w:rsidR="00372FA4" w:rsidRPr="004D2E7C" w:rsidRDefault="00372FA4" w:rsidP="00082F18">
            <w:pPr>
              <w:jc w:val="center"/>
              <w:rPr>
                <w:rFonts w:cs="Times New Roman"/>
                <w:lang w:val="sr-Cyrl-RS"/>
              </w:rPr>
            </w:pPr>
          </w:p>
          <w:p w14:paraId="38277696" w14:textId="5CFD2751" w:rsidR="00372FA4" w:rsidRPr="004D2E7C" w:rsidRDefault="00372FA4" w:rsidP="00082F18">
            <w:pPr>
              <w:jc w:val="center"/>
              <w:rPr>
                <w:rFonts w:cs="Times New Roman"/>
                <w:lang w:val="sr-Cyrl-RS"/>
              </w:rPr>
            </w:pPr>
          </w:p>
          <w:p w14:paraId="76DA2B8F" w14:textId="2AC604B0" w:rsidR="00372FA4" w:rsidRPr="004D2E7C" w:rsidRDefault="00372FA4" w:rsidP="00082F18">
            <w:pPr>
              <w:jc w:val="center"/>
              <w:rPr>
                <w:rFonts w:cs="Times New Roman"/>
                <w:lang w:val="sr-Cyrl-RS"/>
              </w:rPr>
            </w:pPr>
          </w:p>
          <w:p w14:paraId="09AE919B" w14:textId="0914AD98" w:rsidR="00372FA4" w:rsidRPr="004D2E7C" w:rsidRDefault="00372FA4" w:rsidP="00082F18">
            <w:pPr>
              <w:jc w:val="center"/>
              <w:rPr>
                <w:rFonts w:cs="Times New Roman"/>
                <w:lang w:val="sr-Cyrl-RS"/>
              </w:rPr>
            </w:pPr>
          </w:p>
          <w:p w14:paraId="7954623A" w14:textId="35494C3F" w:rsidR="00372FA4" w:rsidRPr="004D2E7C" w:rsidRDefault="00372FA4" w:rsidP="00082F18">
            <w:pPr>
              <w:jc w:val="center"/>
              <w:rPr>
                <w:rFonts w:cs="Times New Roman"/>
                <w:lang w:val="sr-Cyrl-RS"/>
              </w:rPr>
            </w:pPr>
          </w:p>
          <w:p w14:paraId="57FEEC6B" w14:textId="69C0B569" w:rsidR="00372FA4" w:rsidRPr="004D2E7C" w:rsidRDefault="00372FA4" w:rsidP="00082F18">
            <w:pPr>
              <w:jc w:val="center"/>
              <w:rPr>
                <w:rFonts w:cs="Times New Roman"/>
                <w:lang w:val="sr-Cyrl-RS"/>
              </w:rPr>
            </w:pPr>
          </w:p>
          <w:p w14:paraId="20FC769B" w14:textId="105EDCA5" w:rsidR="00372FA4" w:rsidRPr="004D2E7C" w:rsidRDefault="00372FA4" w:rsidP="00082F18">
            <w:pPr>
              <w:jc w:val="center"/>
              <w:rPr>
                <w:rFonts w:cs="Times New Roman"/>
                <w:lang w:val="sr-Cyrl-RS"/>
              </w:rPr>
            </w:pPr>
          </w:p>
          <w:p w14:paraId="22437298" w14:textId="10900418" w:rsidR="00372FA4" w:rsidRPr="004D2E7C" w:rsidRDefault="00372FA4" w:rsidP="00082F18">
            <w:pPr>
              <w:jc w:val="center"/>
              <w:rPr>
                <w:rFonts w:cs="Times New Roman"/>
                <w:lang w:val="sr-Cyrl-RS"/>
              </w:rPr>
            </w:pPr>
          </w:p>
          <w:p w14:paraId="7FF9BC25" w14:textId="2AB3D6D2" w:rsidR="00372FA4" w:rsidRPr="004D2E7C" w:rsidRDefault="00372FA4" w:rsidP="00082F18">
            <w:pPr>
              <w:jc w:val="center"/>
              <w:rPr>
                <w:rFonts w:cs="Times New Roman"/>
                <w:lang w:val="sr-Cyrl-RS"/>
              </w:rPr>
            </w:pPr>
          </w:p>
          <w:p w14:paraId="50450809" w14:textId="035221A2" w:rsidR="00372FA4" w:rsidRPr="004D2E7C" w:rsidRDefault="00372FA4" w:rsidP="00082F18">
            <w:pPr>
              <w:jc w:val="center"/>
              <w:rPr>
                <w:rFonts w:cs="Times New Roman"/>
                <w:lang w:val="sr-Cyrl-RS"/>
              </w:rPr>
            </w:pPr>
          </w:p>
          <w:p w14:paraId="00E0E799" w14:textId="4F217E59" w:rsidR="00372FA4" w:rsidRPr="004D2E7C" w:rsidRDefault="00372FA4" w:rsidP="00082F18">
            <w:pPr>
              <w:jc w:val="center"/>
              <w:rPr>
                <w:rFonts w:cs="Times New Roman"/>
                <w:lang w:val="sr-Cyrl-RS"/>
              </w:rPr>
            </w:pPr>
          </w:p>
          <w:p w14:paraId="52F8FBC9" w14:textId="34E0247D" w:rsidR="00372FA4" w:rsidRPr="004D2E7C" w:rsidRDefault="00372FA4" w:rsidP="00082F18">
            <w:pPr>
              <w:jc w:val="center"/>
              <w:rPr>
                <w:rFonts w:cs="Times New Roman"/>
                <w:lang w:val="sr-Cyrl-RS"/>
              </w:rPr>
            </w:pPr>
          </w:p>
          <w:p w14:paraId="15E49A6B" w14:textId="7E04A786" w:rsidR="00372FA4" w:rsidRPr="004D2E7C" w:rsidRDefault="00372FA4" w:rsidP="00082F18">
            <w:pPr>
              <w:jc w:val="center"/>
              <w:rPr>
                <w:rFonts w:cs="Times New Roman"/>
                <w:lang w:val="sr-Cyrl-RS"/>
              </w:rPr>
            </w:pPr>
          </w:p>
          <w:p w14:paraId="139BC9C7" w14:textId="5A9881C7" w:rsidR="00372FA4" w:rsidRPr="004D2E7C" w:rsidRDefault="00372FA4" w:rsidP="00082F18">
            <w:pPr>
              <w:jc w:val="center"/>
              <w:rPr>
                <w:rFonts w:cs="Times New Roman"/>
                <w:lang w:val="sr-Cyrl-RS"/>
              </w:rPr>
            </w:pPr>
          </w:p>
          <w:p w14:paraId="27B788C2" w14:textId="47064FAC" w:rsidR="00372FA4" w:rsidRPr="004D2E7C" w:rsidRDefault="00372FA4" w:rsidP="00082F18">
            <w:pPr>
              <w:jc w:val="center"/>
              <w:rPr>
                <w:rFonts w:cs="Times New Roman"/>
                <w:lang w:val="sr-Cyrl-RS"/>
              </w:rPr>
            </w:pPr>
          </w:p>
          <w:p w14:paraId="582B411D" w14:textId="0E6DE841" w:rsidR="00372FA4" w:rsidRPr="004D2E7C" w:rsidRDefault="00372FA4" w:rsidP="00082F18">
            <w:pPr>
              <w:jc w:val="center"/>
              <w:rPr>
                <w:rFonts w:cs="Times New Roman"/>
                <w:lang w:val="sr-Cyrl-RS"/>
              </w:rPr>
            </w:pPr>
          </w:p>
          <w:p w14:paraId="2973BC9D" w14:textId="581792F3" w:rsidR="00372FA4" w:rsidRPr="004D2E7C" w:rsidRDefault="00372FA4" w:rsidP="00082F18">
            <w:pPr>
              <w:jc w:val="center"/>
              <w:rPr>
                <w:rFonts w:cs="Times New Roman"/>
                <w:lang w:val="sr-Cyrl-RS"/>
              </w:rPr>
            </w:pPr>
          </w:p>
          <w:p w14:paraId="1B6D4BCC" w14:textId="77777777" w:rsidR="00372FA4" w:rsidRPr="004D2E7C" w:rsidRDefault="00372FA4" w:rsidP="00082F18">
            <w:pPr>
              <w:jc w:val="center"/>
              <w:rPr>
                <w:rFonts w:cs="Times New Roman"/>
                <w:lang w:val="sr-Cyrl-RS"/>
              </w:rPr>
            </w:pPr>
          </w:p>
          <w:p w14:paraId="55BFD72C" w14:textId="77777777" w:rsidR="004D2E7C" w:rsidRDefault="004D2E7C" w:rsidP="00082F18">
            <w:pPr>
              <w:jc w:val="center"/>
              <w:rPr>
                <w:rFonts w:cs="Times New Roman"/>
                <w:lang w:val="sr-Cyrl-RS"/>
              </w:rPr>
            </w:pPr>
          </w:p>
          <w:p w14:paraId="35D2A47E" w14:textId="77777777" w:rsidR="004D2E7C" w:rsidRDefault="004D2E7C" w:rsidP="00082F18">
            <w:pPr>
              <w:jc w:val="center"/>
              <w:rPr>
                <w:rFonts w:cs="Times New Roman"/>
                <w:lang w:val="sr-Cyrl-RS"/>
              </w:rPr>
            </w:pPr>
          </w:p>
          <w:p w14:paraId="26565CF4" w14:textId="77777777" w:rsidR="006B3660" w:rsidRDefault="006B3660" w:rsidP="00082F18">
            <w:pPr>
              <w:jc w:val="center"/>
              <w:rPr>
                <w:rFonts w:cs="Times New Roman"/>
                <w:lang w:val="sr-Cyrl-RS"/>
              </w:rPr>
            </w:pPr>
          </w:p>
          <w:p w14:paraId="4D3C0FE3" w14:textId="77777777" w:rsidR="006B3660" w:rsidRDefault="006B3660" w:rsidP="00082F18">
            <w:pPr>
              <w:jc w:val="center"/>
              <w:rPr>
                <w:rFonts w:cs="Times New Roman"/>
                <w:lang w:val="sr-Cyrl-RS"/>
              </w:rPr>
            </w:pPr>
          </w:p>
          <w:p w14:paraId="46187DA5" w14:textId="5A38B9C8" w:rsidR="009E26C3" w:rsidRPr="004D2E7C" w:rsidRDefault="009E26C3" w:rsidP="00082F18">
            <w:pPr>
              <w:jc w:val="center"/>
              <w:rPr>
                <w:rFonts w:cs="Times New Roman"/>
                <w:lang w:val="sr-Cyrl-RS"/>
              </w:rPr>
            </w:pPr>
            <w:r w:rsidRPr="004D2E7C">
              <w:rPr>
                <w:rFonts w:cs="Times New Roman"/>
                <w:lang w:val="sr-Cyrl-RS"/>
              </w:rPr>
              <w:t>2.1.1.</w:t>
            </w:r>
          </w:p>
          <w:p w14:paraId="46187DA6" w14:textId="77777777" w:rsidR="009E26C3" w:rsidRPr="004D2E7C" w:rsidRDefault="009E26C3" w:rsidP="00442BA0">
            <w:pPr>
              <w:jc w:val="center"/>
              <w:rPr>
                <w:rFonts w:cs="Times New Roman"/>
                <w:lang w:val="sr-Cyrl-RS"/>
              </w:rPr>
            </w:pPr>
          </w:p>
        </w:tc>
        <w:tc>
          <w:tcPr>
            <w:tcW w:w="1296" w:type="pct"/>
            <w:tcBorders>
              <w:bottom w:val="single" w:sz="4" w:space="0" w:color="auto"/>
            </w:tcBorders>
          </w:tcPr>
          <w:p w14:paraId="289C599A" w14:textId="77777777" w:rsidR="001950F8" w:rsidRPr="004D2E7C" w:rsidRDefault="001950F8" w:rsidP="001950F8">
            <w:pPr>
              <w:jc w:val="center"/>
              <w:rPr>
                <w:rFonts w:eastAsia="Times New Roman" w:cs="Times New Roman"/>
                <w:b/>
                <w:bCs/>
                <w:lang w:val="sr-Cyrl-RS"/>
              </w:rPr>
            </w:pPr>
            <w:bookmarkStart w:id="1" w:name="_Toc284507031"/>
            <w:r w:rsidRPr="004D2E7C">
              <w:rPr>
                <w:rFonts w:eastAsia="Times New Roman" w:cs="Times New Roman"/>
                <w:b/>
                <w:bCs/>
                <w:lang w:val="sr-Cyrl-RS"/>
              </w:rPr>
              <w:lastRenderedPageBreak/>
              <w:t>Предмет</w:t>
            </w:r>
            <w:bookmarkEnd w:id="1"/>
          </w:p>
          <w:p w14:paraId="112621E5" w14:textId="60E6F556" w:rsidR="001950F8" w:rsidRPr="004D2E7C" w:rsidRDefault="001950F8" w:rsidP="001950F8">
            <w:pPr>
              <w:jc w:val="center"/>
              <w:rPr>
                <w:rFonts w:eastAsia="Times New Roman" w:cs="Times New Roman"/>
                <w:b/>
                <w:bCs/>
                <w:sz w:val="12"/>
                <w:szCs w:val="12"/>
                <w:lang w:val="sr-Cyrl-RS"/>
              </w:rPr>
            </w:pPr>
          </w:p>
          <w:p w14:paraId="7EEF0376" w14:textId="77777777" w:rsidR="001950F8" w:rsidRPr="004D2E7C" w:rsidRDefault="001950F8" w:rsidP="001950F8">
            <w:pPr>
              <w:ind w:firstLine="540"/>
              <w:jc w:val="both"/>
              <w:rPr>
                <w:rFonts w:eastAsia="Times New Roman" w:cs="Times New Roman"/>
                <w:b/>
                <w:lang w:val="sr-Cyrl-RS"/>
              </w:rPr>
            </w:pPr>
            <w:r w:rsidRPr="004D2E7C">
              <w:rPr>
                <w:rFonts w:eastAsia="Times New Roman" w:cs="Times New Roman"/>
                <w:lang w:val="sr-Cyrl-RS"/>
              </w:rPr>
              <w:t>Овим законом уређују се услови и начин ефикасног коришћења енергије и енергената (</w:t>
            </w:r>
            <w:r w:rsidRPr="004D2E7C">
              <w:rPr>
                <w:rFonts w:eastAsia="Times New Roman"/>
                <w:lang w:val="sr-Cyrl-RS"/>
              </w:rPr>
              <w:t>у даљем тексту: енергије)</w:t>
            </w:r>
            <w:r w:rsidRPr="004D2E7C">
              <w:rPr>
                <w:rFonts w:eastAsia="Times New Roman" w:cs="Times New Roman"/>
                <w:lang w:val="sr-Cyrl-RS"/>
              </w:rPr>
              <w:t>; политика ефикасног коришћења енергије; систем енергетског менаџмента; мере политике енергетске ефикасности: у зградарству, код енергетских делатности и крајњих купаца, за енергетске објекте и енергетске услуге</w:t>
            </w:r>
            <w:r w:rsidRPr="004D2E7C">
              <w:rPr>
                <w:rFonts w:eastAsia="Times New Roman"/>
                <w:lang w:val="sr-Cyrl-RS"/>
              </w:rPr>
              <w:t xml:space="preserve">; </w:t>
            </w:r>
            <w:r w:rsidRPr="004D2E7C">
              <w:rPr>
                <w:rFonts w:eastAsia="Times New Roman" w:cs="Times New Roman"/>
                <w:lang w:val="sr-Cyrl-RS"/>
              </w:rPr>
              <w:t xml:space="preserve">енергетско означавање и захтеви у погледу еко-дизајна; </w:t>
            </w:r>
            <w:r w:rsidRPr="004D2E7C">
              <w:rPr>
                <w:rFonts w:eastAsia="Times New Roman" w:cs="Times New Roman"/>
                <w:lang w:val="sr-Cyrl-RS"/>
              </w:rPr>
              <w:lastRenderedPageBreak/>
              <w:t>финансирање, подстицајне и друге мере у овој области; оснивање и послови Управе за енергетску ефикасност (у даљем тексту: Управа); као и друга питања од значаја за права и обавезе физичких и правних лица у вези са ефикасним коришћењем енергије.</w:t>
            </w:r>
          </w:p>
          <w:p w14:paraId="46187DAB" w14:textId="77777777" w:rsidR="009E26C3" w:rsidRPr="004D2E7C" w:rsidRDefault="009E26C3" w:rsidP="00CC7DEA">
            <w:pPr>
              <w:rPr>
                <w:rFonts w:eastAsia="Times New Roman" w:cs="Times New Roman"/>
                <w:bCs/>
                <w:sz w:val="16"/>
                <w:szCs w:val="16"/>
                <w:lang w:val="sr-Cyrl-RS"/>
              </w:rPr>
            </w:pPr>
          </w:p>
          <w:p w14:paraId="4B96D31A" w14:textId="77777777" w:rsidR="004D2E7C" w:rsidRPr="004D2E7C" w:rsidRDefault="004D2E7C" w:rsidP="004D2E7C">
            <w:pPr>
              <w:autoSpaceDE w:val="0"/>
              <w:autoSpaceDN w:val="0"/>
              <w:adjustRightInd w:val="0"/>
              <w:ind w:firstLine="567"/>
              <w:jc w:val="both"/>
              <w:rPr>
                <w:rFonts w:eastAsia="MS Mincho" w:cs="Times New Roman"/>
                <w:color w:val="000000" w:themeColor="text1"/>
                <w:lang w:val="sr-Cyrl-CS" w:eastAsia="ja-JP"/>
              </w:rPr>
            </w:pPr>
            <w:r w:rsidRPr="004D2E7C">
              <w:rPr>
                <w:rFonts w:eastAsia="MS Mincho" w:cs="Times New Roman"/>
                <w:color w:val="000000" w:themeColor="text1"/>
                <w:lang w:val="sr-Cyrl-CS" w:eastAsia="ja-JP"/>
              </w:rPr>
              <w:t xml:space="preserve">Производи који утичу на потрошњу енергије за које су прописани захтеви у погледу у енергетског означавања могу се ставити на тржиште и/или пустити у рад само ако имају ознаку енергетске ефикасности, као и ако испуњавају друге захтеве прописане овим законом техничким и другим прописима. </w:t>
            </w:r>
          </w:p>
          <w:p w14:paraId="742D6A8D" w14:textId="77777777" w:rsidR="004D2E7C" w:rsidRPr="004D2E7C" w:rsidRDefault="004D2E7C" w:rsidP="004D2E7C">
            <w:pPr>
              <w:autoSpaceDE w:val="0"/>
              <w:autoSpaceDN w:val="0"/>
              <w:adjustRightInd w:val="0"/>
              <w:ind w:firstLine="567"/>
              <w:jc w:val="both"/>
              <w:rPr>
                <w:rFonts w:eastAsia="MS Mincho" w:cs="Times New Roman"/>
                <w:color w:val="000000" w:themeColor="text1"/>
                <w:lang w:val="sr-Cyrl-CS" w:eastAsia="ja-JP"/>
              </w:rPr>
            </w:pPr>
            <w:r w:rsidRPr="004D2E7C">
              <w:rPr>
                <w:rFonts w:eastAsia="MS Mincho" w:cs="Times New Roman"/>
                <w:color w:val="000000" w:themeColor="text1"/>
                <w:lang w:val="sr-Cyrl-CS" w:eastAsia="ja-JP"/>
              </w:rPr>
              <w:t>Влада ближе уређује обавезе испоручиоца производа, и продавца у погледу енергетског означавања производа, које се односе на: садржај енергетске ознаке, њеног исправног постављања и тачности података на ознаци, коришћење рекласираних ознака енергетске ефикасности и друге услове којима се обезбеђује примена захтева енергетског означавања за производе из става 1. овог члана.</w:t>
            </w:r>
          </w:p>
          <w:p w14:paraId="0D5DA8D3" w14:textId="77777777" w:rsidR="004D2E7C" w:rsidRPr="004D2E7C" w:rsidRDefault="004D2E7C" w:rsidP="004D2E7C">
            <w:pPr>
              <w:autoSpaceDE w:val="0"/>
              <w:autoSpaceDN w:val="0"/>
              <w:adjustRightInd w:val="0"/>
              <w:ind w:firstLine="567"/>
              <w:jc w:val="both"/>
              <w:rPr>
                <w:rFonts w:eastAsia="MS Mincho" w:cs="Times New Roman"/>
                <w:color w:val="000000" w:themeColor="text1"/>
                <w:lang w:val="sr-Cyrl-CS" w:eastAsia="ja-JP"/>
              </w:rPr>
            </w:pPr>
            <w:r w:rsidRPr="004D2E7C">
              <w:rPr>
                <w:rFonts w:eastAsia="MS Mincho" w:cs="Times New Roman"/>
                <w:color w:val="000000" w:themeColor="text1"/>
                <w:lang w:val="sr-Cyrl-CS" w:eastAsia="ja-JP"/>
              </w:rPr>
              <w:t xml:space="preserve">Министар доноси техничке прописе којима се прописују захтеви енергетског означавања производа, ближе се утврђују обавезе испоручилаца производа и продаваца, прописује се врста производа на које се захтеви односе, дефинишу се мерне методе, </w:t>
            </w:r>
            <w:r w:rsidRPr="004D2E7C">
              <w:rPr>
                <w:rFonts w:eastAsia="MS Mincho" w:cs="Times New Roman"/>
                <w:color w:val="000000" w:themeColor="text1"/>
                <w:lang w:val="sr-Cyrl-CS" w:eastAsia="ja-JP"/>
              </w:rPr>
              <w:lastRenderedPageBreak/>
              <w:t>поступак провере</w:t>
            </w:r>
            <w:r w:rsidRPr="004D2E7C">
              <w:rPr>
                <w:rFonts w:eastAsia="MS Mincho" w:cs="Times New Roman"/>
                <w:color w:val="000000" w:themeColor="text1"/>
                <w:lang w:eastAsia="ja-JP"/>
              </w:rPr>
              <w:t xml:space="preserve"> </w:t>
            </w:r>
            <w:r w:rsidRPr="004D2E7C">
              <w:rPr>
                <w:rFonts w:eastAsia="MS Mincho" w:cs="Times New Roman"/>
                <w:color w:val="000000" w:themeColor="text1"/>
                <w:lang w:val="sr-Cyrl-CS" w:eastAsia="ja-JP"/>
              </w:rPr>
              <w:t>усаглашености производа са захтевима енергетског означавања у сврху тржишног надзора, поступак одређивања класе енергетске ефикасности, изглед дизајн и формат енергетске ознаке, листу са подацима, садржај техничке документације, информације које је потребно обезбедити приликом у визуелног оглашавања у техничким и промотивним материјалима приликом продаје на даљину и у телемаркетингу, информације које је потребно обезбедити у случају продаје на даљину преко интернета, као и друге захтеве у вези енергетског означавања за поједине врсте производа.</w:t>
            </w:r>
          </w:p>
          <w:p w14:paraId="46187DAD" w14:textId="77777777" w:rsidR="00CC7DEA" w:rsidRPr="004D2E7C" w:rsidRDefault="00CC7DEA" w:rsidP="00082F18">
            <w:pPr>
              <w:rPr>
                <w:rFonts w:eastAsia="Times New Roman" w:cs="Times New Roman"/>
                <w:b/>
                <w:sz w:val="16"/>
                <w:szCs w:val="16"/>
                <w:lang w:val="sr-Cyrl-RS"/>
              </w:rPr>
            </w:pPr>
          </w:p>
          <w:p w14:paraId="46187DAE" w14:textId="77777777" w:rsidR="009E26C3" w:rsidRPr="004D2E7C" w:rsidRDefault="009E26C3" w:rsidP="00556A4E">
            <w:pPr>
              <w:jc w:val="both"/>
              <w:rPr>
                <w:rFonts w:cs="Times New Roman"/>
                <w:lang w:val="sr-Cyrl-RS"/>
              </w:rPr>
            </w:pPr>
            <w:r w:rsidRPr="004D2E7C">
              <w:rPr>
                <w:rFonts w:cs="Times New Roman"/>
                <w:lang w:val="sr-Cyrl-RS"/>
              </w:rPr>
              <w:t xml:space="preserve">Овом уредбом прописује се: </w:t>
            </w:r>
          </w:p>
          <w:p w14:paraId="46187DAF" w14:textId="77777777" w:rsidR="009E26C3" w:rsidRPr="004D2E7C" w:rsidRDefault="009E26C3" w:rsidP="00556A4E">
            <w:pPr>
              <w:jc w:val="both"/>
              <w:rPr>
                <w:rFonts w:cs="Times New Roman"/>
                <w:lang w:val="sr-Cyrl-RS"/>
              </w:rPr>
            </w:pPr>
            <w:r w:rsidRPr="004D2E7C">
              <w:rPr>
                <w:rFonts w:cs="Times New Roman"/>
                <w:lang w:val="sr-Cyrl-RS"/>
              </w:rPr>
              <w:t xml:space="preserve">1) за које је врсте производа који директно или индиректно утичу на потрошњу енергије неопходно, да се пре стављања на тржиште изврши означавање потрошње енергије и других битних ресурса током њихове употребе, односно означавање енергетске ефикасности, и </w:t>
            </w:r>
          </w:p>
          <w:p w14:paraId="46187DB1" w14:textId="6CFD4BDD" w:rsidR="009E26C3" w:rsidRPr="004D2E7C" w:rsidRDefault="009E26C3" w:rsidP="004D2E7C">
            <w:pPr>
              <w:spacing w:after="120"/>
              <w:jc w:val="both"/>
              <w:rPr>
                <w:rFonts w:eastAsia="Times New Roman" w:cs="Times New Roman"/>
                <w:b/>
                <w:lang w:val="sr-Cyrl-RS"/>
              </w:rPr>
            </w:pPr>
            <w:r w:rsidRPr="004D2E7C">
              <w:rPr>
                <w:rFonts w:cs="Times New Roman"/>
                <w:lang w:val="sr-Cyrl-RS"/>
              </w:rPr>
              <w:t>2) динамика обавезног увођења ознака енергетске ефикасности за различите врсте производа.</w:t>
            </w:r>
          </w:p>
        </w:tc>
        <w:tc>
          <w:tcPr>
            <w:tcW w:w="235" w:type="pct"/>
            <w:vAlign w:val="center"/>
          </w:tcPr>
          <w:p w14:paraId="46187DB2" w14:textId="5E9C4E1A" w:rsidR="00A47416" w:rsidRPr="004D2E7C" w:rsidRDefault="0094454A" w:rsidP="009778D3">
            <w:pPr>
              <w:jc w:val="center"/>
              <w:rPr>
                <w:rFonts w:cs="Times New Roman"/>
                <w:lang w:val="sr-Cyrl-RS"/>
              </w:rPr>
            </w:pPr>
            <w:r>
              <w:rPr>
                <w:rFonts w:cs="Times New Roman"/>
                <w:lang w:val="sr-Cyrl-RS"/>
              </w:rPr>
              <w:lastRenderedPageBreak/>
              <w:t>Д</w:t>
            </w:r>
            <w:r w:rsidR="009778D3" w:rsidRPr="004D2E7C">
              <w:rPr>
                <w:rFonts w:cs="Times New Roman"/>
                <w:lang w:val="sr-Cyrl-RS"/>
              </w:rPr>
              <w:t>У</w:t>
            </w:r>
          </w:p>
        </w:tc>
        <w:tc>
          <w:tcPr>
            <w:tcW w:w="676" w:type="pct"/>
            <w:vAlign w:val="center"/>
          </w:tcPr>
          <w:p w14:paraId="46187DB3" w14:textId="77777777" w:rsidR="0025510E" w:rsidRPr="004D2E7C" w:rsidRDefault="0025510E" w:rsidP="00227A57">
            <w:pPr>
              <w:rPr>
                <w:rFonts w:cs="Times New Roman"/>
                <w:spacing w:val="-6"/>
                <w:lang w:val="sr-Cyrl-RS"/>
              </w:rPr>
            </w:pPr>
          </w:p>
        </w:tc>
        <w:tc>
          <w:tcPr>
            <w:tcW w:w="699" w:type="pct"/>
            <w:vAlign w:val="center"/>
          </w:tcPr>
          <w:p w14:paraId="7ABF4715" w14:textId="7B9B314A" w:rsidR="00322EC0" w:rsidRPr="004D2E7C" w:rsidRDefault="00322EC0" w:rsidP="00322EC0">
            <w:pPr>
              <w:rPr>
                <w:rFonts w:cs="Times New Roman"/>
                <w:lang w:val="sr-Cyrl-RS"/>
              </w:rPr>
            </w:pPr>
            <w:r w:rsidRPr="004D2E7C">
              <w:rPr>
                <w:rFonts w:cs="Times New Roman"/>
                <w:lang w:val="sr-Cyrl-RS"/>
              </w:rPr>
              <w:t>П</w:t>
            </w:r>
            <w:r w:rsidR="004B40D0" w:rsidRPr="004D2E7C">
              <w:rPr>
                <w:rFonts w:cs="Times New Roman"/>
                <w:lang w:val="sr-Cyrl-RS"/>
              </w:rPr>
              <w:t xml:space="preserve">уна </w:t>
            </w:r>
            <w:r w:rsidRPr="004D2E7C">
              <w:rPr>
                <w:rFonts w:cs="Times New Roman"/>
                <w:lang w:val="sr-Cyrl-RS"/>
              </w:rPr>
              <w:t xml:space="preserve">усклађеност </w:t>
            </w:r>
            <w:r w:rsidR="00CB5E72" w:rsidRPr="004D2E7C">
              <w:rPr>
                <w:rFonts w:cs="Times New Roman"/>
                <w:lang w:val="sr-Cyrl-RS"/>
              </w:rPr>
              <w:t xml:space="preserve">са одредбама Уредбе 2017/1369 </w:t>
            </w:r>
            <w:r w:rsidRPr="004D2E7C">
              <w:rPr>
                <w:rFonts w:cs="Times New Roman"/>
                <w:lang w:val="sr-Cyrl-RS"/>
              </w:rPr>
              <w:t>би</w:t>
            </w:r>
            <w:r w:rsidR="00CB5E72" w:rsidRPr="004D2E7C">
              <w:rPr>
                <w:rFonts w:cs="Times New Roman"/>
                <w:lang w:val="sr-Cyrl-RS"/>
              </w:rPr>
              <w:t>ће</w:t>
            </w:r>
            <w:r w:rsidRPr="004D2E7C">
              <w:rPr>
                <w:rFonts w:cs="Times New Roman"/>
                <w:lang w:val="sr-Cyrl-RS"/>
              </w:rPr>
              <w:t xml:space="preserve"> постигнута доношењем подзаконских аката и техничких прописа.</w:t>
            </w:r>
          </w:p>
          <w:p w14:paraId="07C05F49" w14:textId="77777777" w:rsidR="00322EC0" w:rsidRPr="004D2E7C" w:rsidRDefault="00322EC0" w:rsidP="00322EC0">
            <w:pPr>
              <w:rPr>
                <w:rFonts w:cs="Times New Roman"/>
                <w:lang w:val="sr-Cyrl-RS"/>
              </w:rPr>
            </w:pPr>
          </w:p>
          <w:p w14:paraId="46187DB4" w14:textId="4CF8057D" w:rsidR="00A47416" w:rsidRPr="004D2E7C" w:rsidRDefault="00322EC0" w:rsidP="00322EC0">
            <w:pPr>
              <w:rPr>
                <w:rFonts w:cs="Times New Roman"/>
                <w:lang w:val="sr-Cyrl-RS"/>
              </w:rPr>
            </w:pPr>
            <w:r w:rsidRPr="004D2E7C">
              <w:rPr>
                <w:rFonts w:cs="Times New Roman"/>
                <w:lang w:val="sr-Cyrl-RS"/>
              </w:rPr>
              <w:t>Члан 6</w:t>
            </w:r>
            <w:r w:rsidR="004D2E7C">
              <w:rPr>
                <w:rFonts w:cs="Times New Roman"/>
                <w:lang w:val="sr-Latn-RS"/>
              </w:rPr>
              <w:t>2</w:t>
            </w:r>
            <w:r w:rsidRPr="004D2E7C">
              <w:rPr>
                <w:rFonts w:cs="Times New Roman"/>
                <w:lang w:val="sr-Cyrl-RS"/>
              </w:rPr>
              <w:t xml:space="preserve">. ЗЕЕРУЕ је правни основ за доношење </w:t>
            </w:r>
            <w:r w:rsidR="004D2E7C">
              <w:rPr>
                <w:rFonts w:cs="Times New Roman"/>
                <w:lang w:val="sr-Cyrl-RS"/>
              </w:rPr>
              <w:t xml:space="preserve">нових </w:t>
            </w:r>
            <w:r w:rsidRPr="004D2E7C">
              <w:rPr>
                <w:rFonts w:cs="Times New Roman"/>
                <w:lang w:val="sr-Cyrl-RS"/>
              </w:rPr>
              <w:lastRenderedPageBreak/>
              <w:t>подзаконских аката и техничких прописа.</w:t>
            </w:r>
          </w:p>
        </w:tc>
      </w:tr>
      <w:tr w:rsidR="00227A57" w:rsidRPr="004D2E7C" w14:paraId="46187DC3" w14:textId="77777777" w:rsidTr="006B3660">
        <w:tc>
          <w:tcPr>
            <w:tcW w:w="280" w:type="pct"/>
            <w:shd w:val="clear" w:color="auto" w:fill="D9D9D9"/>
            <w:vAlign w:val="center"/>
          </w:tcPr>
          <w:p w14:paraId="46187DB6" w14:textId="77777777" w:rsidR="00A73BC9" w:rsidRPr="004D2E7C" w:rsidRDefault="00A73BC9" w:rsidP="002A0174">
            <w:pPr>
              <w:jc w:val="center"/>
              <w:rPr>
                <w:rFonts w:eastAsia="Times New Roman" w:cs="Times New Roman"/>
                <w:lang w:val="sr-Cyrl-RS"/>
              </w:rPr>
            </w:pPr>
            <w:r w:rsidRPr="004D2E7C">
              <w:rPr>
                <w:rFonts w:eastAsia="Times New Roman" w:cs="Times New Roman"/>
                <w:lang w:val="sr-Cyrl-RS"/>
              </w:rPr>
              <w:lastRenderedPageBreak/>
              <w:t>1.2</w:t>
            </w:r>
          </w:p>
        </w:tc>
        <w:tc>
          <w:tcPr>
            <w:tcW w:w="1489" w:type="pct"/>
            <w:shd w:val="clear" w:color="auto" w:fill="D9D9D9"/>
            <w:vAlign w:val="center"/>
          </w:tcPr>
          <w:p w14:paraId="46187DB7" w14:textId="77777777" w:rsidR="00A73BC9" w:rsidRPr="004D2E7C" w:rsidRDefault="00A73BC9" w:rsidP="00A8586D">
            <w:pPr>
              <w:pStyle w:val="Normal1"/>
              <w:spacing w:before="0" w:beforeAutospacing="0" w:after="0" w:afterAutospacing="0"/>
              <w:jc w:val="both"/>
              <w:rPr>
                <w:sz w:val="22"/>
                <w:szCs w:val="22"/>
                <w:lang w:val="en-GB"/>
              </w:rPr>
            </w:pPr>
            <w:r w:rsidRPr="004D2E7C">
              <w:rPr>
                <w:sz w:val="22"/>
                <w:szCs w:val="22"/>
                <w:lang w:val="en-GB"/>
              </w:rPr>
              <w:t>This Regulation does not apply to:</w:t>
            </w:r>
          </w:p>
          <w:p w14:paraId="46187DB8" w14:textId="144103C1" w:rsidR="00E50910" w:rsidRPr="004D2E7C" w:rsidRDefault="00E50910" w:rsidP="00A8586D">
            <w:pPr>
              <w:pStyle w:val="Normal1"/>
              <w:spacing w:before="0" w:beforeAutospacing="0" w:after="0" w:afterAutospacing="0"/>
              <w:jc w:val="both"/>
              <w:rPr>
                <w:sz w:val="22"/>
                <w:szCs w:val="22"/>
                <w:lang w:val="en-GB"/>
              </w:rPr>
            </w:pPr>
            <w:r w:rsidRPr="004D2E7C">
              <w:rPr>
                <w:sz w:val="22"/>
                <w:szCs w:val="22"/>
                <w:lang w:val="en-GB"/>
              </w:rPr>
              <w:t>(a)</w:t>
            </w:r>
            <w:r w:rsidR="00A8586D" w:rsidRPr="004D2E7C">
              <w:rPr>
                <w:sz w:val="22"/>
                <w:szCs w:val="22"/>
                <w:lang w:val="en-GB"/>
              </w:rPr>
              <w:t xml:space="preserve"> </w:t>
            </w:r>
            <w:r w:rsidRPr="004D2E7C">
              <w:rPr>
                <w:sz w:val="22"/>
                <w:szCs w:val="22"/>
                <w:lang w:val="en-GB"/>
              </w:rPr>
              <w:t>second-hand products, unless they are imported from a third country;</w:t>
            </w:r>
          </w:p>
          <w:p w14:paraId="46187DB9" w14:textId="77777777" w:rsidR="00E50910" w:rsidRPr="004D2E7C" w:rsidRDefault="00E50910" w:rsidP="00A8586D">
            <w:pPr>
              <w:pStyle w:val="Normal1"/>
              <w:spacing w:before="0" w:beforeAutospacing="0" w:after="0" w:afterAutospacing="0"/>
              <w:jc w:val="both"/>
              <w:rPr>
                <w:sz w:val="22"/>
                <w:szCs w:val="22"/>
                <w:lang w:val="en-GB"/>
              </w:rPr>
            </w:pPr>
            <w:r w:rsidRPr="004D2E7C">
              <w:rPr>
                <w:sz w:val="22"/>
                <w:szCs w:val="22"/>
                <w:lang w:val="en-GB"/>
              </w:rPr>
              <w:t>(b) means of transport for persons or goods.</w:t>
            </w:r>
          </w:p>
        </w:tc>
        <w:tc>
          <w:tcPr>
            <w:tcW w:w="325" w:type="pct"/>
            <w:tcBorders>
              <w:top w:val="single" w:sz="4" w:space="0" w:color="auto"/>
            </w:tcBorders>
            <w:vAlign w:val="center"/>
          </w:tcPr>
          <w:p w14:paraId="46187DBA" w14:textId="77777777" w:rsidR="00A73BC9" w:rsidRPr="004D2E7C" w:rsidRDefault="00A73BC9" w:rsidP="009E26C3">
            <w:pPr>
              <w:jc w:val="center"/>
              <w:rPr>
                <w:rFonts w:cs="Times New Roman"/>
                <w:lang w:val="sr-Cyrl-RS"/>
              </w:rPr>
            </w:pPr>
          </w:p>
          <w:p w14:paraId="46187DBB" w14:textId="77777777" w:rsidR="00D60811" w:rsidRPr="004D2E7C" w:rsidRDefault="009E26C3" w:rsidP="009E26C3">
            <w:pPr>
              <w:jc w:val="center"/>
              <w:rPr>
                <w:rFonts w:cs="Times New Roman"/>
                <w:lang w:val="sr-Cyrl-RS"/>
              </w:rPr>
            </w:pPr>
            <w:r w:rsidRPr="004D2E7C">
              <w:rPr>
                <w:rFonts w:cs="Times New Roman"/>
                <w:lang w:val="sr-Cyrl-RS"/>
              </w:rPr>
              <w:t>2.2.3.</w:t>
            </w:r>
          </w:p>
        </w:tc>
        <w:tc>
          <w:tcPr>
            <w:tcW w:w="1296" w:type="pct"/>
            <w:tcBorders>
              <w:top w:val="single" w:sz="4" w:space="0" w:color="auto"/>
            </w:tcBorders>
          </w:tcPr>
          <w:p w14:paraId="46187DBC" w14:textId="77777777" w:rsidR="009E26C3" w:rsidRPr="004D2E7C" w:rsidRDefault="009E26C3" w:rsidP="009360E4">
            <w:pPr>
              <w:jc w:val="both"/>
              <w:rPr>
                <w:rFonts w:cs="Times New Roman"/>
                <w:lang w:val="sr-Cyrl-RS"/>
              </w:rPr>
            </w:pPr>
            <w:r w:rsidRPr="004D2E7C">
              <w:rPr>
                <w:rFonts w:cs="Times New Roman"/>
                <w:lang w:val="sr-Cyrl-RS"/>
              </w:rPr>
              <w:t xml:space="preserve">Ова уредба не примењује се: </w:t>
            </w:r>
          </w:p>
          <w:p w14:paraId="46187DBD" w14:textId="608493C9" w:rsidR="009E26C3" w:rsidRPr="004D2E7C" w:rsidRDefault="009E26C3" w:rsidP="009360E4">
            <w:pPr>
              <w:jc w:val="both"/>
              <w:rPr>
                <w:rFonts w:cs="Times New Roman"/>
                <w:lang w:val="sr-Cyrl-RS"/>
              </w:rPr>
            </w:pPr>
            <w:r w:rsidRPr="004D2E7C">
              <w:rPr>
                <w:rFonts w:cs="Times New Roman"/>
                <w:lang w:val="sr-Cyrl-RS"/>
              </w:rPr>
              <w:t xml:space="preserve">1) на производе из члана 1. ове уредбе који се на тржишту продају као половна </w:t>
            </w:r>
            <w:r w:rsidRPr="004D2E7C">
              <w:rPr>
                <w:rFonts w:cs="Times New Roman"/>
                <w:lang w:val="sr-Cyrl-RS"/>
              </w:rPr>
              <w:lastRenderedPageBreak/>
              <w:t>роба (second</w:t>
            </w:r>
            <w:r w:rsidR="009360E4" w:rsidRPr="004D2E7C">
              <w:rPr>
                <w:rFonts w:cs="Times New Roman"/>
                <w:lang w:val="sr-Cyrl-RS"/>
              </w:rPr>
              <w:t>-</w:t>
            </w:r>
            <w:r w:rsidRPr="004D2E7C">
              <w:rPr>
                <w:rFonts w:cs="Times New Roman"/>
                <w:lang w:val="sr-Cyrl-RS"/>
              </w:rPr>
              <w:t xml:space="preserve">hand), производе и средства транспорта људи и робе, као и </w:t>
            </w:r>
          </w:p>
          <w:p w14:paraId="46187DBE" w14:textId="77777777" w:rsidR="00A73BC9" w:rsidRPr="004D2E7C" w:rsidRDefault="009E26C3" w:rsidP="009360E4">
            <w:pPr>
              <w:jc w:val="both"/>
              <w:rPr>
                <w:rFonts w:cs="Times New Roman"/>
                <w:lang w:val="sr-Cyrl-RS"/>
              </w:rPr>
            </w:pPr>
            <w:r w:rsidRPr="004D2E7C">
              <w:rPr>
                <w:rFonts w:cs="Times New Roman"/>
                <w:lang w:val="sr-Cyrl-RS"/>
              </w:rPr>
              <w:t>2) на ознаке које су постављене на производ у складу са другим техничким прописима који се односе на безбедност.</w:t>
            </w:r>
          </w:p>
          <w:p w14:paraId="46187DBF" w14:textId="77777777" w:rsidR="009E26C3" w:rsidRPr="004D2E7C" w:rsidRDefault="009E26C3" w:rsidP="002A0174">
            <w:pPr>
              <w:rPr>
                <w:rFonts w:cs="Times New Roman"/>
                <w:lang w:val="sr-Cyrl-RS"/>
              </w:rPr>
            </w:pPr>
          </w:p>
        </w:tc>
        <w:tc>
          <w:tcPr>
            <w:tcW w:w="235" w:type="pct"/>
            <w:vAlign w:val="center"/>
          </w:tcPr>
          <w:p w14:paraId="46187DC0" w14:textId="77777777" w:rsidR="00A73BC9" w:rsidRPr="004D2E7C" w:rsidRDefault="009778D3" w:rsidP="009778D3">
            <w:pPr>
              <w:jc w:val="center"/>
              <w:rPr>
                <w:rFonts w:cs="Times New Roman"/>
                <w:lang w:val="sr-Cyrl-RS"/>
              </w:rPr>
            </w:pPr>
            <w:r w:rsidRPr="004D2E7C">
              <w:rPr>
                <w:rFonts w:cs="Times New Roman"/>
                <w:lang w:val="sr-Cyrl-RS"/>
              </w:rPr>
              <w:lastRenderedPageBreak/>
              <w:t>ПУ</w:t>
            </w:r>
          </w:p>
        </w:tc>
        <w:tc>
          <w:tcPr>
            <w:tcW w:w="676" w:type="pct"/>
          </w:tcPr>
          <w:p w14:paraId="46187DC1" w14:textId="77777777" w:rsidR="00A73BC9" w:rsidRPr="004D2E7C" w:rsidRDefault="00A73BC9" w:rsidP="000F2C33">
            <w:pPr>
              <w:rPr>
                <w:rFonts w:cs="Times New Roman"/>
                <w:lang w:val="sr-Cyrl-RS"/>
              </w:rPr>
            </w:pPr>
          </w:p>
        </w:tc>
        <w:tc>
          <w:tcPr>
            <w:tcW w:w="699" w:type="pct"/>
            <w:vAlign w:val="center"/>
          </w:tcPr>
          <w:p w14:paraId="46187DC2" w14:textId="77777777" w:rsidR="00A73BC9" w:rsidRPr="004D2E7C" w:rsidRDefault="00A73BC9" w:rsidP="00A73BC9">
            <w:pPr>
              <w:rPr>
                <w:rFonts w:cs="Times New Roman"/>
                <w:lang w:val="sr-Cyrl-RS"/>
              </w:rPr>
            </w:pPr>
          </w:p>
        </w:tc>
      </w:tr>
      <w:tr w:rsidR="00100491" w:rsidRPr="004D2E7C" w14:paraId="11CCC78D" w14:textId="77777777" w:rsidTr="00100491">
        <w:tc>
          <w:tcPr>
            <w:tcW w:w="1769" w:type="pct"/>
            <w:gridSpan w:val="2"/>
            <w:shd w:val="clear" w:color="auto" w:fill="D9D9D9"/>
            <w:vAlign w:val="center"/>
          </w:tcPr>
          <w:p w14:paraId="43BD3170" w14:textId="55AF9E79" w:rsidR="00100491" w:rsidRPr="00100491" w:rsidRDefault="00100491" w:rsidP="00100491">
            <w:pPr>
              <w:jc w:val="center"/>
              <w:rPr>
                <w:rFonts w:cs="Times New Roman"/>
                <w:b/>
                <w:bCs/>
              </w:rPr>
            </w:pPr>
            <w:r w:rsidRPr="00100491">
              <w:rPr>
                <w:rFonts w:cs="Times New Roman"/>
                <w:b/>
                <w:bCs/>
              </w:rPr>
              <w:lastRenderedPageBreak/>
              <w:t>DEFINITIONS</w:t>
            </w:r>
          </w:p>
        </w:tc>
        <w:tc>
          <w:tcPr>
            <w:tcW w:w="3231" w:type="pct"/>
            <w:gridSpan w:val="5"/>
            <w:vAlign w:val="center"/>
          </w:tcPr>
          <w:p w14:paraId="38A7A0B3" w14:textId="6E8BAE7A" w:rsidR="00100491" w:rsidRPr="004D2E7C" w:rsidRDefault="00100491" w:rsidP="00100491">
            <w:pPr>
              <w:spacing w:after="120"/>
              <w:jc w:val="center"/>
              <w:rPr>
                <w:rFonts w:cs="Times New Roman"/>
                <w:lang w:val="sr-Cyrl-RS"/>
              </w:rPr>
            </w:pPr>
            <w:r w:rsidRPr="00100491">
              <w:rPr>
                <w:b/>
                <w:bCs/>
                <w:iCs/>
                <w:color w:val="000000" w:themeColor="text1"/>
                <w:lang w:val="sr-Cyrl-RS"/>
              </w:rPr>
              <w:t>Значење израза</w:t>
            </w:r>
          </w:p>
        </w:tc>
      </w:tr>
      <w:tr w:rsidR="00227A57" w:rsidRPr="004D2E7C" w14:paraId="46187DE3" w14:textId="77777777" w:rsidTr="006B3660">
        <w:tc>
          <w:tcPr>
            <w:tcW w:w="280" w:type="pct"/>
            <w:shd w:val="clear" w:color="auto" w:fill="D9D9D9"/>
            <w:vAlign w:val="center"/>
          </w:tcPr>
          <w:p w14:paraId="46187DCC" w14:textId="77777777" w:rsidR="00A73BC9" w:rsidRPr="004D2E7C" w:rsidRDefault="00A73BC9" w:rsidP="00C7656B">
            <w:pPr>
              <w:jc w:val="center"/>
              <w:rPr>
                <w:rFonts w:eastAsia="Times New Roman" w:cs="Times New Roman"/>
                <w:lang w:val="sr-Cyrl-RS"/>
              </w:rPr>
            </w:pPr>
            <w:r w:rsidRPr="004D2E7C">
              <w:rPr>
                <w:rFonts w:eastAsia="Times New Roman" w:cs="Times New Roman"/>
                <w:lang w:val="sr-Cyrl-RS"/>
              </w:rPr>
              <w:t>2</w:t>
            </w:r>
            <w:r w:rsidR="00306F83" w:rsidRPr="004D2E7C">
              <w:rPr>
                <w:rFonts w:eastAsia="Times New Roman" w:cs="Times New Roman"/>
                <w:lang w:val="sr-Cyrl-RS"/>
              </w:rPr>
              <w:t>.</w:t>
            </w:r>
            <w:r w:rsidRPr="004D2E7C">
              <w:rPr>
                <w:rFonts w:eastAsia="Times New Roman" w:cs="Times New Roman"/>
                <w:lang w:val="sr-Cyrl-RS"/>
              </w:rPr>
              <w:t>(1)</w:t>
            </w:r>
          </w:p>
        </w:tc>
        <w:tc>
          <w:tcPr>
            <w:tcW w:w="1489" w:type="pct"/>
            <w:shd w:val="clear" w:color="auto" w:fill="D9D9D9"/>
            <w:vAlign w:val="center"/>
          </w:tcPr>
          <w:p w14:paraId="46187DCD" w14:textId="77777777" w:rsidR="00A73BC9" w:rsidRPr="004D2E7C" w:rsidRDefault="00A73BC9" w:rsidP="00C7656B">
            <w:pPr>
              <w:jc w:val="both"/>
              <w:rPr>
                <w:rFonts w:eastAsia="Times New Roman" w:cs="Times New Roman"/>
                <w:lang w:val="en-GB"/>
              </w:rPr>
            </w:pPr>
            <w:r w:rsidRPr="004D2E7C">
              <w:rPr>
                <w:rFonts w:cs="Times New Roman"/>
                <w:lang w:val="en-GB"/>
              </w:rPr>
              <w:t>‘energy-related product’ or ‘product’ means a good or system with an impact on energy consumption during use which is placed on the market or put into service, including parts with an impact on energy consumption during use which are placed on the market or put into service for customers and that are intended to be incorporated into products;</w:t>
            </w:r>
          </w:p>
        </w:tc>
        <w:tc>
          <w:tcPr>
            <w:tcW w:w="325" w:type="pct"/>
          </w:tcPr>
          <w:p w14:paraId="46187DCE" w14:textId="77777777" w:rsidR="00B355D6" w:rsidRPr="004D2E7C" w:rsidRDefault="00B355D6" w:rsidP="00B355D6">
            <w:pPr>
              <w:jc w:val="center"/>
              <w:rPr>
                <w:rFonts w:cs="Times New Roman"/>
                <w:b/>
                <w:bCs/>
                <w:lang w:val="sr-Cyrl-RS"/>
              </w:rPr>
            </w:pPr>
          </w:p>
          <w:p w14:paraId="46187DCF" w14:textId="7826C2B2" w:rsidR="001C7E48" w:rsidRPr="004D2E7C" w:rsidRDefault="007F159B" w:rsidP="00B355D6">
            <w:pPr>
              <w:jc w:val="center"/>
              <w:rPr>
                <w:rFonts w:cs="Times New Roman"/>
                <w:b/>
                <w:bCs/>
                <w:lang w:val="sr-Cyrl-RS"/>
              </w:rPr>
            </w:pPr>
            <w:r w:rsidRPr="004D2E7C">
              <w:rPr>
                <w:rFonts w:cs="Times New Roman"/>
                <w:b/>
                <w:bCs/>
                <w:lang w:val="sr-Cyrl-RS"/>
              </w:rPr>
              <w:t>1.</w:t>
            </w:r>
            <w:r w:rsidR="00F35F22" w:rsidRPr="004D2E7C">
              <w:rPr>
                <w:rFonts w:cs="Times New Roman"/>
                <w:b/>
                <w:bCs/>
                <w:lang w:val="sr-Cyrl-RS"/>
              </w:rPr>
              <w:t>3.</w:t>
            </w:r>
            <w:r w:rsidR="00F81B28" w:rsidRPr="004D2E7C">
              <w:rPr>
                <w:rFonts w:cs="Times New Roman"/>
                <w:b/>
                <w:bCs/>
                <w:lang w:val="sr-Cyrl-RS"/>
              </w:rPr>
              <w:t>1.</w:t>
            </w:r>
            <w:r w:rsidR="00F35F22" w:rsidRPr="004D2E7C">
              <w:rPr>
                <w:rFonts w:cs="Times New Roman"/>
                <w:b/>
                <w:bCs/>
                <w:lang w:val="sr-Cyrl-RS"/>
              </w:rPr>
              <w:t>5</w:t>
            </w:r>
            <w:r w:rsidR="00C561D0">
              <w:rPr>
                <w:rFonts w:cs="Times New Roman"/>
                <w:b/>
                <w:bCs/>
              </w:rPr>
              <w:t>6</w:t>
            </w:r>
            <w:r w:rsidR="00F35F22" w:rsidRPr="004D2E7C">
              <w:rPr>
                <w:rFonts w:cs="Times New Roman"/>
                <w:b/>
                <w:bCs/>
                <w:lang w:val="sr-Cyrl-RS"/>
              </w:rPr>
              <w:t>)</w:t>
            </w:r>
          </w:p>
          <w:p w14:paraId="46187DD0" w14:textId="77777777" w:rsidR="00442BA0" w:rsidRPr="004D2E7C" w:rsidRDefault="00442BA0" w:rsidP="00B355D6">
            <w:pPr>
              <w:jc w:val="center"/>
              <w:rPr>
                <w:rFonts w:cs="Times New Roman"/>
                <w:lang w:val="sr-Cyrl-RS"/>
              </w:rPr>
            </w:pPr>
          </w:p>
          <w:p w14:paraId="46187DD1" w14:textId="77777777" w:rsidR="00442BA0" w:rsidRPr="004D2E7C" w:rsidRDefault="00442BA0" w:rsidP="00B355D6">
            <w:pPr>
              <w:jc w:val="center"/>
              <w:rPr>
                <w:rFonts w:cs="Times New Roman"/>
                <w:lang w:val="sr-Cyrl-RS"/>
              </w:rPr>
            </w:pPr>
          </w:p>
          <w:p w14:paraId="46187DD2" w14:textId="77777777" w:rsidR="00442BA0" w:rsidRPr="004D2E7C" w:rsidRDefault="00442BA0" w:rsidP="00B355D6">
            <w:pPr>
              <w:jc w:val="center"/>
              <w:rPr>
                <w:rFonts w:cs="Times New Roman"/>
                <w:lang w:val="sr-Cyrl-RS"/>
              </w:rPr>
            </w:pPr>
          </w:p>
          <w:p w14:paraId="46187DD3" w14:textId="77777777" w:rsidR="00442BA0" w:rsidRPr="004D2E7C" w:rsidRDefault="00442BA0" w:rsidP="00B355D6">
            <w:pPr>
              <w:jc w:val="center"/>
              <w:rPr>
                <w:rFonts w:cs="Times New Roman"/>
                <w:lang w:val="sr-Cyrl-RS"/>
              </w:rPr>
            </w:pPr>
          </w:p>
          <w:p w14:paraId="46187DD4" w14:textId="68EF2813" w:rsidR="00442BA0" w:rsidRPr="004D2E7C" w:rsidRDefault="00442BA0" w:rsidP="00B355D6">
            <w:pPr>
              <w:jc w:val="center"/>
              <w:rPr>
                <w:rFonts w:cs="Times New Roman"/>
                <w:lang w:val="sr-Cyrl-RS"/>
              </w:rPr>
            </w:pPr>
          </w:p>
          <w:p w14:paraId="39E15CD6" w14:textId="15B341DB" w:rsidR="00F81B28" w:rsidRPr="004D2E7C" w:rsidRDefault="00F81B28" w:rsidP="00B355D6">
            <w:pPr>
              <w:jc w:val="center"/>
              <w:rPr>
                <w:rFonts w:cs="Times New Roman"/>
                <w:lang w:val="sr-Cyrl-RS"/>
              </w:rPr>
            </w:pPr>
          </w:p>
          <w:p w14:paraId="18F2264F" w14:textId="0C125840" w:rsidR="00F81B28" w:rsidRPr="004D2E7C" w:rsidRDefault="00F81B28" w:rsidP="00B355D6">
            <w:pPr>
              <w:jc w:val="center"/>
              <w:rPr>
                <w:rFonts w:cs="Times New Roman"/>
                <w:lang w:val="sr-Cyrl-RS"/>
              </w:rPr>
            </w:pPr>
          </w:p>
          <w:p w14:paraId="36D03DDB" w14:textId="77777777" w:rsidR="00CB5E72" w:rsidRPr="004D2E7C" w:rsidRDefault="00CB5E72" w:rsidP="00B355D6">
            <w:pPr>
              <w:jc w:val="center"/>
              <w:rPr>
                <w:rFonts w:cs="Times New Roman"/>
                <w:lang w:val="sr-Cyrl-RS"/>
              </w:rPr>
            </w:pPr>
          </w:p>
          <w:p w14:paraId="46187DD5" w14:textId="77777777" w:rsidR="00442BA0" w:rsidRPr="004D2E7C" w:rsidRDefault="007F159B" w:rsidP="00B355D6">
            <w:pPr>
              <w:jc w:val="center"/>
              <w:rPr>
                <w:rFonts w:cs="Times New Roman"/>
                <w:lang w:val="sr-Cyrl-RS"/>
              </w:rPr>
            </w:pPr>
            <w:r w:rsidRPr="004D2E7C">
              <w:rPr>
                <w:rFonts w:cs="Times New Roman"/>
                <w:lang w:val="sr-Cyrl-RS"/>
              </w:rPr>
              <w:t>2.</w:t>
            </w:r>
            <w:r w:rsidR="00442BA0" w:rsidRPr="004D2E7C">
              <w:rPr>
                <w:rFonts w:cs="Times New Roman"/>
                <w:lang w:val="sr-Cyrl-RS"/>
              </w:rPr>
              <w:t>4.1)</w:t>
            </w:r>
          </w:p>
          <w:p w14:paraId="46187DD6" w14:textId="77777777" w:rsidR="00442BA0" w:rsidRPr="004D2E7C" w:rsidRDefault="00442BA0" w:rsidP="00B355D6">
            <w:pPr>
              <w:jc w:val="center"/>
              <w:rPr>
                <w:rFonts w:cs="Times New Roman"/>
                <w:lang w:val="sr-Cyrl-RS"/>
              </w:rPr>
            </w:pPr>
          </w:p>
          <w:p w14:paraId="46187DD7" w14:textId="77777777" w:rsidR="00442BA0" w:rsidRPr="004D2E7C" w:rsidRDefault="00442BA0" w:rsidP="00B355D6">
            <w:pPr>
              <w:jc w:val="center"/>
              <w:rPr>
                <w:rFonts w:cs="Times New Roman"/>
                <w:lang w:val="sr-Cyrl-RS"/>
              </w:rPr>
            </w:pPr>
          </w:p>
          <w:p w14:paraId="46187DD8" w14:textId="77777777" w:rsidR="00442BA0" w:rsidRPr="004D2E7C" w:rsidRDefault="00442BA0" w:rsidP="00B355D6">
            <w:pPr>
              <w:jc w:val="center"/>
              <w:rPr>
                <w:rFonts w:cs="Times New Roman"/>
                <w:lang w:val="sr-Cyrl-RS"/>
              </w:rPr>
            </w:pPr>
          </w:p>
          <w:p w14:paraId="46187DD9" w14:textId="77777777" w:rsidR="00442BA0" w:rsidRPr="004D2E7C" w:rsidRDefault="00442BA0" w:rsidP="00B355D6">
            <w:pPr>
              <w:jc w:val="center"/>
              <w:rPr>
                <w:rFonts w:cs="Times New Roman"/>
                <w:lang w:val="sr-Cyrl-RS"/>
              </w:rPr>
            </w:pPr>
          </w:p>
          <w:p w14:paraId="46187DDA" w14:textId="77777777" w:rsidR="00442BA0" w:rsidRPr="004D2E7C" w:rsidRDefault="00442BA0" w:rsidP="00B355D6">
            <w:pPr>
              <w:jc w:val="center"/>
              <w:rPr>
                <w:rFonts w:cs="Times New Roman"/>
                <w:lang w:val="sr-Cyrl-RS"/>
              </w:rPr>
            </w:pPr>
          </w:p>
          <w:p w14:paraId="46187DDB" w14:textId="77777777" w:rsidR="00442BA0" w:rsidRPr="004D2E7C" w:rsidRDefault="00442BA0" w:rsidP="00B355D6">
            <w:pPr>
              <w:jc w:val="center"/>
              <w:rPr>
                <w:rFonts w:cs="Times New Roman"/>
                <w:lang w:val="sr-Cyrl-RS"/>
              </w:rPr>
            </w:pPr>
          </w:p>
        </w:tc>
        <w:tc>
          <w:tcPr>
            <w:tcW w:w="1296" w:type="pct"/>
          </w:tcPr>
          <w:p w14:paraId="527C9E3B" w14:textId="531205C8" w:rsidR="00F81B28" w:rsidRDefault="006B3660" w:rsidP="00F81B28">
            <w:pPr>
              <w:contextualSpacing/>
              <w:jc w:val="both"/>
              <w:rPr>
                <w:iCs/>
                <w:color w:val="000000" w:themeColor="text1"/>
                <w:lang w:val="sr-Cyrl-RS"/>
              </w:rPr>
            </w:pPr>
            <w:r w:rsidRPr="0096721E">
              <w:rPr>
                <w:i/>
                <w:color w:val="000000" w:themeColor="text1"/>
                <w:lang w:val="sr-Cyrl-RS"/>
              </w:rPr>
              <w:t>производ</w:t>
            </w:r>
            <w:r w:rsidRPr="0096721E">
              <w:rPr>
                <w:iCs/>
                <w:color w:val="000000" w:themeColor="text1"/>
                <w:lang w:val="sr-Cyrl-RS"/>
              </w:rPr>
              <w:t xml:space="preserve"> </w:t>
            </w:r>
            <w:r w:rsidRPr="0096721E">
              <w:rPr>
                <w:i/>
                <w:color w:val="000000" w:themeColor="text1"/>
                <w:lang w:val="sr-Cyrl-RS"/>
              </w:rPr>
              <w:t>који утиче на потрошњу енергије (производ)</w:t>
            </w:r>
            <w:r w:rsidRPr="0096721E">
              <w:rPr>
                <w:iCs/>
                <w:color w:val="000000" w:themeColor="text1"/>
                <w:lang w:val="sr-Cyrl-RS"/>
              </w:rPr>
              <w:t xml:space="preserve"> je роба или систем чија употреба утиче на потрошњу енергије, која се ставља на тржиште и/или пушта у рад, укључујући делове који утичу на потрошњу енергије током коришћења, који су стављени на тржиште или пуштени у рад за купца, а који су намењене за уградњу у производ;</w:t>
            </w:r>
          </w:p>
          <w:p w14:paraId="7574AA89" w14:textId="77777777" w:rsidR="006B3660" w:rsidRPr="006B3660" w:rsidRDefault="006B3660" w:rsidP="00F81B28">
            <w:pPr>
              <w:contextualSpacing/>
              <w:jc w:val="both"/>
              <w:rPr>
                <w:rFonts w:eastAsia="Times New Roman" w:cs="Times New Roman"/>
                <w:sz w:val="14"/>
                <w:szCs w:val="14"/>
                <w:lang w:val="sr-Cyrl-RS"/>
              </w:rPr>
            </w:pPr>
          </w:p>
          <w:p w14:paraId="46187DDF" w14:textId="249479AA" w:rsidR="005045EF" w:rsidRPr="004D2E7C" w:rsidRDefault="00442BA0" w:rsidP="00F81B28">
            <w:pPr>
              <w:contextualSpacing/>
              <w:jc w:val="both"/>
              <w:rPr>
                <w:rFonts w:eastAsia="Times New Roman" w:cs="Times New Roman"/>
                <w:lang w:val="sr-Cyrl-RS"/>
              </w:rPr>
            </w:pPr>
            <w:r w:rsidRPr="004D2E7C">
              <w:rPr>
                <w:rFonts w:cs="Times New Roman"/>
                <w:lang w:val="sr-Cyrl-RS"/>
              </w:rPr>
              <w:t>„производ који утиче на потрошњу енергије” (у даљем тексту: „производ”) јесте сваки производ који током коришћења утиче на потрошњу енергије, а који се у Републици Србији ставља на тржиште и/или пушта у рад, укључујући делове намењене за уградњу у производе који, се за потребе потрошача стављају на тржиште и/или пуштају у рад као самостални делови, чија се еколошка својства могу независно оценити;</w:t>
            </w:r>
          </w:p>
        </w:tc>
        <w:tc>
          <w:tcPr>
            <w:tcW w:w="235" w:type="pct"/>
            <w:vAlign w:val="center"/>
          </w:tcPr>
          <w:p w14:paraId="46187DE0" w14:textId="77777777" w:rsidR="00A73BC9" w:rsidRPr="004D2E7C" w:rsidRDefault="009778D3" w:rsidP="009778D3">
            <w:pPr>
              <w:jc w:val="center"/>
              <w:rPr>
                <w:rFonts w:cs="Times New Roman"/>
                <w:lang w:val="sr-Cyrl-RS"/>
              </w:rPr>
            </w:pPr>
            <w:r w:rsidRPr="004D2E7C">
              <w:rPr>
                <w:rFonts w:cs="Times New Roman"/>
                <w:lang w:val="sr-Cyrl-RS"/>
              </w:rPr>
              <w:t>ПУ</w:t>
            </w:r>
          </w:p>
        </w:tc>
        <w:tc>
          <w:tcPr>
            <w:tcW w:w="676" w:type="pct"/>
          </w:tcPr>
          <w:p w14:paraId="46187DE1" w14:textId="77777777" w:rsidR="00A73BC9" w:rsidRPr="004D2E7C" w:rsidRDefault="00A73BC9" w:rsidP="000F2C33">
            <w:pPr>
              <w:rPr>
                <w:rFonts w:cs="Times New Roman"/>
                <w:lang w:val="sr-Cyrl-RS"/>
              </w:rPr>
            </w:pPr>
          </w:p>
        </w:tc>
        <w:tc>
          <w:tcPr>
            <w:tcW w:w="699" w:type="pct"/>
            <w:vAlign w:val="center"/>
          </w:tcPr>
          <w:p w14:paraId="46187DE2" w14:textId="77777777" w:rsidR="00A73BC9" w:rsidRPr="004D2E7C" w:rsidRDefault="00A73BC9" w:rsidP="00A73BC9">
            <w:pPr>
              <w:rPr>
                <w:rFonts w:cs="Times New Roman"/>
                <w:lang w:val="sr-Cyrl-RS"/>
              </w:rPr>
            </w:pPr>
          </w:p>
        </w:tc>
      </w:tr>
      <w:tr w:rsidR="00AE2A03" w:rsidRPr="004D2E7C" w14:paraId="46187DEB" w14:textId="77777777" w:rsidTr="006B3660">
        <w:trPr>
          <w:trHeight w:val="291"/>
        </w:trPr>
        <w:tc>
          <w:tcPr>
            <w:tcW w:w="280" w:type="pct"/>
            <w:shd w:val="clear" w:color="auto" w:fill="D9D9D9"/>
            <w:vAlign w:val="center"/>
          </w:tcPr>
          <w:p w14:paraId="46187DE4" w14:textId="77777777" w:rsidR="00AE2A03" w:rsidRPr="004D2E7C" w:rsidRDefault="00AE2A03" w:rsidP="00AE2A03">
            <w:pPr>
              <w:jc w:val="center"/>
              <w:rPr>
                <w:rFonts w:eastAsia="Times New Roman" w:cs="Times New Roman"/>
                <w:lang w:val="sr-Cyrl-RS"/>
              </w:rPr>
            </w:pPr>
            <w:r w:rsidRPr="004D2E7C">
              <w:rPr>
                <w:rFonts w:eastAsia="Times New Roman" w:cs="Times New Roman"/>
                <w:lang w:val="sr-Cyrl-RS"/>
              </w:rPr>
              <w:t>2.(2)</w:t>
            </w:r>
          </w:p>
        </w:tc>
        <w:tc>
          <w:tcPr>
            <w:tcW w:w="1489" w:type="pct"/>
            <w:shd w:val="clear" w:color="auto" w:fill="D9D9D9"/>
            <w:vAlign w:val="center"/>
          </w:tcPr>
          <w:p w14:paraId="46187DE5" w14:textId="77777777" w:rsidR="00AE2A03" w:rsidRPr="004D2E7C" w:rsidRDefault="00AE2A03" w:rsidP="00AE2A03">
            <w:pPr>
              <w:spacing w:after="120"/>
              <w:jc w:val="both"/>
              <w:rPr>
                <w:rFonts w:eastAsia="Times New Roman" w:cs="Times New Roman"/>
                <w:lang w:val="en-GB"/>
              </w:rPr>
            </w:pPr>
            <w:r w:rsidRPr="004D2E7C">
              <w:rPr>
                <w:rFonts w:cs="Times New Roman"/>
                <w:lang w:val="en-GB"/>
              </w:rPr>
              <w:t>‘product group’ means a group of products which have the same main functionality;</w:t>
            </w:r>
          </w:p>
        </w:tc>
        <w:tc>
          <w:tcPr>
            <w:tcW w:w="325" w:type="pct"/>
            <w:vAlign w:val="center"/>
          </w:tcPr>
          <w:p w14:paraId="5D03007C" w14:textId="77777777" w:rsidR="00AE2A03" w:rsidRDefault="00AE2A03" w:rsidP="00AE2A03">
            <w:pPr>
              <w:jc w:val="center"/>
              <w:rPr>
                <w:rFonts w:cs="Times New Roman"/>
                <w:lang w:val="sr-Cyrl-RS"/>
              </w:rPr>
            </w:pPr>
            <w:r>
              <w:rPr>
                <w:rFonts w:cs="Times New Roman"/>
                <w:lang w:val="sr-Cyrl-RS"/>
              </w:rPr>
              <w:t>1.62.2</w:t>
            </w:r>
          </w:p>
          <w:p w14:paraId="46187DE6" w14:textId="57367C4C" w:rsidR="00AE2A03" w:rsidRPr="004D2E7C" w:rsidRDefault="00AE2A03" w:rsidP="00AE2A03">
            <w:pPr>
              <w:jc w:val="center"/>
              <w:rPr>
                <w:rFonts w:cs="Times New Roman"/>
                <w:lang w:val="sr-Cyrl-RS"/>
              </w:rPr>
            </w:pPr>
            <w:r>
              <w:rPr>
                <w:rFonts w:cs="Times New Roman"/>
                <w:b/>
              </w:rPr>
              <w:t>1.150.2.</w:t>
            </w:r>
          </w:p>
        </w:tc>
        <w:tc>
          <w:tcPr>
            <w:tcW w:w="1296" w:type="pct"/>
          </w:tcPr>
          <w:p w14:paraId="709EFE5A" w14:textId="77777777" w:rsidR="00AE2A03" w:rsidRPr="004D2E7C" w:rsidRDefault="00AE2A03" w:rsidP="00AE2A03">
            <w:pPr>
              <w:autoSpaceDE w:val="0"/>
              <w:autoSpaceDN w:val="0"/>
              <w:adjustRightInd w:val="0"/>
              <w:ind w:firstLine="567"/>
              <w:jc w:val="both"/>
              <w:rPr>
                <w:rFonts w:eastAsia="MS Mincho" w:cs="Times New Roman"/>
                <w:color w:val="000000" w:themeColor="text1"/>
                <w:lang w:val="sr-Cyrl-CS" w:eastAsia="ja-JP"/>
              </w:rPr>
            </w:pPr>
            <w:r w:rsidRPr="004D2E7C">
              <w:rPr>
                <w:rFonts w:eastAsia="MS Mincho" w:cs="Times New Roman"/>
                <w:color w:val="000000" w:themeColor="text1"/>
                <w:lang w:val="sr-Cyrl-CS" w:eastAsia="ja-JP"/>
              </w:rPr>
              <w:t xml:space="preserve">Влада ближе уређује обавезе испоручиоца производа, и продавца у погледу енергетског означавања производа, које се односе на: садржај енергетске ознаке, њеног исправног </w:t>
            </w:r>
            <w:r w:rsidRPr="004D2E7C">
              <w:rPr>
                <w:rFonts w:eastAsia="MS Mincho" w:cs="Times New Roman"/>
                <w:color w:val="000000" w:themeColor="text1"/>
                <w:lang w:val="sr-Cyrl-CS" w:eastAsia="ja-JP"/>
              </w:rPr>
              <w:lastRenderedPageBreak/>
              <w:t>постављања и тачности података на ознаци, коришћење рекласираних ознака енергетске ефикасности и друге услове којима се обезбеђује примена захтева енергетског означавања за производе из става 1. овог члана.</w:t>
            </w:r>
          </w:p>
          <w:p w14:paraId="422461AD" w14:textId="77777777" w:rsidR="00AE2A03" w:rsidRDefault="00AE2A03" w:rsidP="00AE2A03">
            <w:pPr>
              <w:tabs>
                <w:tab w:val="left" w:pos="1152"/>
              </w:tabs>
              <w:jc w:val="both"/>
              <w:rPr>
                <w:rFonts w:cs="Times New Roman"/>
                <w:lang w:val="sr-Cyrl-RS"/>
              </w:rPr>
            </w:pPr>
          </w:p>
          <w:p w14:paraId="46187DE7" w14:textId="08C3FC33" w:rsidR="00AE2A03" w:rsidRPr="004D2E7C" w:rsidRDefault="00AE2A03" w:rsidP="00AE2A03">
            <w:pPr>
              <w:tabs>
                <w:tab w:val="left" w:pos="1152"/>
              </w:tabs>
              <w:jc w:val="both"/>
              <w:rPr>
                <w:rFonts w:cs="Times New Roman"/>
                <w:lang w:val="sr-Cyrl-RS"/>
              </w:rPr>
            </w:pPr>
            <w:r w:rsidRPr="00C30E0B">
              <w:rPr>
                <w:rFonts w:eastAsia="Times New Roman" w:cs="Times New Roman"/>
                <w:sz w:val="24"/>
                <w:szCs w:val="24"/>
                <w:lang w:val="sr-Cyrl-CS"/>
              </w:rPr>
              <w:t>Прописи за спровођење овог закона из чл. 7-9. ,чл. 15 – 16., члана 21., чл. 23-24., чл. 26-27., члана 30., члана 36., чл. 37-40., члана 47., члана 51., чл. 54-55. члана 57., члана 59., чл. 61-62, чл. 64-66., члана 73., члана 80., члана 83., члана 90., чл. 93-94., чл. 96-98., члана 100., и чл. 107-109. овог закона биће донети у року од 18 месеци од дана ступања на снагу овог закона, изузев подзаконских аката из става 1. овог члана</w:t>
            </w:r>
          </w:p>
        </w:tc>
        <w:tc>
          <w:tcPr>
            <w:tcW w:w="235" w:type="pct"/>
            <w:vAlign w:val="center"/>
          </w:tcPr>
          <w:p w14:paraId="46187DE8" w14:textId="7E2A01DC" w:rsidR="00AE2A03" w:rsidRPr="004D2E7C" w:rsidRDefault="00AE2A03" w:rsidP="00AE2A03">
            <w:pPr>
              <w:jc w:val="center"/>
              <w:rPr>
                <w:rFonts w:cs="Times New Roman"/>
                <w:lang w:val="sr-Cyrl-RS"/>
              </w:rPr>
            </w:pPr>
            <w:r>
              <w:rPr>
                <w:rFonts w:cs="Times New Roman"/>
                <w:lang w:val="sr-Cyrl-RS"/>
              </w:rPr>
              <w:lastRenderedPageBreak/>
              <w:t>Д</w:t>
            </w:r>
            <w:r w:rsidRPr="004D2E7C">
              <w:rPr>
                <w:rFonts w:cs="Times New Roman"/>
                <w:lang w:val="sr-Cyrl-RS"/>
              </w:rPr>
              <w:t>У</w:t>
            </w:r>
          </w:p>
        </w:tc>
        <w:tc>
          <w:tcPr>
            <w:tcW w:w="676" w:type="pct"/>
          </w:tcPr>
          <w:p w14:paraId="46187DE9" w14:textId="229F4D01" w:rsidR="00AE2A03" w:rsidRPr="004D2E7C" w:rsidRDefault="00AE2A03" w:rsidP="00AE2A03">
            <w:pPr>
              <w:rPr>
                <w:rFonts w:cs="Times New Roman"/>
                <w:lang w:val="sr-Cyrl-RS"/>
              </w:rPr>
            </w:pPr>
            <w:r>
              <w:rPr>
                <w:rFonts w:cs="Times New Roman"/>
                <w:spacing w:val="-6"/>
                <w:lang w:val="sr-Cyrl-RS"/>
              </w:rPr>
              <w:t>Усклађеност ће бити постигнута доношењем Уредбе из 1.62.2.</w:t>
            </w:r>
          </w:p>
        </w:tc>
        <w:tc>
          <w:tcPr>
            <w:tcW w:w="699" w:type="pct"/>
            <w:vAlign w:val="center"/>
          </w:tcPr>
          <w:p w14:paraId="46187DEA" w14:textId="5459DC17" w:rsidR="00AE2A03" w:rsidRPr="004D2E7C" w:rsidRDefault="00AE2A03" w:rsidP="00AE2A03">
            <w:pPr>
              <w:rPr>
                <w:rFonts w:cs="Times New Roman"/>
                <w:lang w:val="sr-Cyrl-RS"/>
              </w:rPr>
            </w:pPr>
          </w:p>
        </w:tc>
      </w:tr>
      <w:tr w:rsidR="009A4EE4" w:rsidRPr="004D2E7C" w14:paraId="46187DF3" w14:textId="77777777" w:rsidTr="00765935">
        <w:trPr>
          <w:trHeight w:val="291"/>
        </w:trPr>
        <w:tc>
          <w:tcPr>
            <w:tcW w:w="280" w:type="pct"/>
            <w:shd w:val="clear" w:color="auto" w:fill="D9D9D9"/>
            <w:vAlign w:val="center"/>
          </w:tcPr>
          <w:p w14:paraId="46187DEC" w14:textId="77777777" w:rsidR="009A4EE4" w:rsidRPr="004D2E7C" w:rsidRDefault="009A4EE4" w:rsidP="009A4EE4">
            <w:pPr>
              <w:jc w:val="center"/>
              <w:rPr>
                <w:rFonts w:eastAsia="Times New Roman" w:cs="Times New Roman"/>
                <w:lang w:val="sr-Cyrl-RS"/>
              </w:rPr>
            </w:pPr>
            <w:r w:rsidRPr="004D2E7C">
              <w:rPr>
                <w:rFonts w:eastAsia="Times New Roman" w:cs="Times New Roman"/>
                <w:lang w:val="sr-Cyrl-RS"/>
              </w:rPr>
              <w:lastRenderedPageBreak/>
              <w:t>2.(3)</w:t>
            </w:r>
          </w:p>
        </w:tc>
        <w:tc>
          <w:tcPr>
            <w:tcW w:w="1489" w:type="pct"/>
            <w:shd w:val="clear" w:color="auto" w:fill="D9D9D9"/>
            <w:vAlign w:val="center"/>
          </w:tcPr>
          <w:p w14:paraId="46187DED" w14:textId="77777777" w:rsidR="009A4EE4" w:rsidRPr="004D2E7C" w:rsidRDefault="009A4EE4" w:rsidP="009A4EE4">
            <w:pPr>
              <w:jc w:val="both"/>
              <w:rPr>
                <w:rFonts w:eastAsia="Times New Roman" w:cs="Times New Roman"/>
                <w:lang w:val="en-GB"/>
              </w:rPr>
            </w:pPr>
            <w:r w:rsidRPr="004D2E7C">
              <w:rPr>
                <w:rFonts w:cs="Times New Roman"/>
                <w:lang w:val="en-GB"/>
              </w:rPr>
              <w:t>‘system’ means a combination of several goods which when put together perform a specific function in an expected environment and of which the energy efficiency can then be determined as a single entity;</w:t>
            </w:r>
          </w:p>
        </w:tc>
        <w:tc>
          <w:tcPr>
            <w:tcW w:w="325" w:type="pct"/>
            <w:vAlign w:val="center"/>
          </w:tcPr>
          <w:p w14:paraId="236F931E" w14:textId="77777777" w:rsidR="009A4EE4" w:rsidRDefault="009A4EE4" w:rsidP="009A4EE4">
            <w:pPr>
              <w:jc w:val="center"/>
              <w:rPr>
                <w:rFonts w:cs="Times New Roman"/>
                <w:lang w:val="sr-Cyrl-RS"/>
              </w:rPr>
            </w:pPr>
            <w:r>
              <w:rPr>
                <w:rFonts w:cs="Times New Roman"/>
                <w:lang w:val="sr-Cyrl-RS"/>
              </w:rPr>
              <w:t>1.62.2</w:t>
            </w:r>
          </w:p>
          <w:p w14:paraId="46187DEE" w14:textId="0A6B9E06" w:rsidR="009A4EE4" w:rsidRPr="004D2E7C" w:rsidRDefault="009A4EE4" w:rsidP="009A4EE4">
            <w:pPr>
              <w:jc w:val="center"/>
              <w:rPr>
                <w:rFonts w:cs="Times New Roman"/>
                <w:lang w:val="sr-Cyrl-RS"/>
              </w:rPr>
            </w:pPr>
            <w:r>
              <w:rPr>
                <w:rFonts w:cs="Times New Roman"/>
                <w:b/>
              </w:rPr>
              <w:t>1.150.2.</w:t>
            </w:r>
          </w:p>
        </w:tc>
        <w:tc>
          <w:tcPr>
            <w:tcW w:w="1296" w:type="pct"/>
          </w:tcPr>
          <w:p w14:paraId="5D9A0187" w14:textId="77777777" w:rsidR="009A4EE4" w:rsidRPr="004D2E7C" w:rsidRDefault="009A4EE4" w:rsidP="009A4EE4">
            <w:pPr>
              <w:autoSpaceDE w:val="0"/>
              <w:autoSpaceDN w:val="0"/>
              <w:adjustRightInd w:val="0"/>
              <w:ind w:firstLine="567"/>
              <w:jc w:val="both"/>
              <w:rPr>
                <w:rFonts w:eastAsia="MS Mincho" w:cs="Times New Roman"/>
                <w:color w:val="000000" w:themeColor="text1"/>
                <w:lang w:val="sr-Cyrl-CS" w:eastAsia="ja-JP"/>
              </w:rPr>
            </w:pPr>
            <w:r w:rsidRPr="004D2E7C">
              <w:rPr>
                <w:rFonts w:eastAsia="MS Mincho" w:cs="Times New Roman"/>
                <w:color w:val="000000" w:themeColor="text1"/>
                <w:lang w:val="sr-Cyrl-CS" w:eastAsia="ja-JP"/>
              </w:rPr>
              <w:t>Влада ближе уређује обавезе испоручиоца производа, и продавца у погледу енергетског означавања производа, које се односе на: садржај енергетске ознаке, њеног исправног постављања и тачности података на ознаци, коришћење рекласираних ознака енергетске ефикасности и друге услове којима се обезбеђује примена захтева енергетског означавања за производе из става 1. овог члана.</w:t>
            </w:r>
          </w:p>
          <w:p w14:paraId="78397E78" w14:textId="77777777" w:rsidR="009A4EE4" w:rsidRDefault="009A4EE4" w:rsidP="009A4EE4">
            <w:pPr>
              <w:tabs>
                <w:tab w:val="left" w:pos="1152"/>
              </w:tabs>
              <w:jc w:val="both"/>
              <w:rPr>
                <w:rFonts w:cs="Times New Roman"/>
                <w:lang w:val="sr-Cyrl-RS"/>
              </w:rPr>
            </w:pPr>
          </w:p>
          <w:p w14:paraId="46187DEF" w14:textId="50B5A70C" w:rsidR="009A4EE4" w:rsidRPr="004D2E7C" w:rsidRDefault="009A4EE4" w:rsidP="009A4EE4">
            <w:pPr>
              <w:tabs>
                <w:tab w:val="left" w:pos="1152"/>
              </w:tabs>
              <w:jc w:val="both"/>
              <w:rPr>
                <w:rFonts w:cs="Times New Roman"/>
                <w:lang w:val="sr-Cyrl-RS"/>
              </w:rPr>
            </w:pPr>
            <w:r w:rsidRPr="00C30E0B">
              <w:rPr>
                <w:rFonts w:eastAsia="Times New Roman" w:cs="Times New Roman"/>
                <w:sz w:val="24"/>
                <w:szCs w:val="24"/>
                <w:lang w:val="sr-Cyrl-CS"/>
              </w:rPr>
              <w:lastRenderedPageBreak/>
              <w:t>Прописи за спровођење овог закона из чл. 7-9. ,чл. 15 – 16., члана 21., чл. 23-24., чл. 26-27., члана 30., члана 36., чл. 37-40., члана 47., члана 51., чл. 54-55. члана 57., члана 59., чл. 61-62, чл. 64-66., члана 73., члана 80., члана 83., члана 90., чл. 93-94., чл. 96-98., члана 100., и чл. 107-109. овог закона биће донети у року од 18 месеци од дана ступања на снагу овог закона, изузев подзаконских аката из става 1. овог члана</w:t>
            </w:r>
          </w:p>
        </w:tc>
        <w:tc>
          <w:tcPr>
            <w:tcW w:w="235" w:type="pct"/>
            <w:vAlign w:val="center"/>
          </w:tcPr>
          <w:p w14:paraId="46187DF0" w14:textId="2FA566D2" w:rsidR="009A4EE4" w:rsidRPr="004D2E7C" w:rsidRDefault="009A4EE4" w:rsidP="009A4EE4">
            <w:pPr>
              <w:jc w:val="center"/>
              <w:rPr>
                <w:rFonts w:cs="Times New Roman"/>
                <w:lang w:val="sr-Cyrl-RS"/>
              </w:rPr>
            </w:pPr>
            <w:r>
              <w:rPr>
                <w:rFonts w:cs="Times New Roman"/>
                <w:lang w:val="sr-Cyrl-RS"/>
              </w:rPr>
              <w:lastRenderedPageBreak/>
              <w:t>Д</w:t>
            </w:r>
            <w:r w:rsidRPr="004D2E7C">
              <w:rPr>
                <w:rFonts w:cs="Times New Roman"/>
                <w:lang w:val="sr-Cyrl-RS"/>
              </w:rPr>
              <w:t>У</w:t>
            </w:r>
          </w:p>
        </w:tc>
        <w:tc>
          <w:tcPr>
            <w:tcW w:w="676" w:type="pct"/>
          </w:tcPr>
          <w:p w14:paraId="46187DF1" w14:textId="77665FFA" w:rsidR="009A4EE4" w:rsidRPr="004D2E7C" w:rsidRDefault="009A4EE4" w:rsidP="009A4EE4">
            <w:pPr>
              <w:rPr>
                <w:rFonts w:cs="Times New Roman"/>
                <w:lang w:val="sr-Cyrl-RS"/>
              </w:rPr>
            </w:pPr>
            <w:r>
              <w:rPr>
                <w:rFonts w:cs="Times New Roman"/>
                <w:spacing w:val="-6"/>
                <w:lang w:val="sr-Cyrl-RS"/>
              </w:rPr>
              <w:t>Усклађеност ће бити постигнута доношењем Уредбе из 1.62.2.</w:t>
            </w:r>
          </w:p>
        </w:tc>
        <w:tc>
          <w:tcPr>
            <w:tcW w:w="699" w:type="pct"/>
          </w:tcPr>
          <w:p w14:paraId="46187DF2" w14:textId="2D7CE3EC" w:rsidR="009A4EE4" w:rsidRPr="004D2E7C" w:rsidRDefault="009A4EE4" w:rsidP="009A4EE4">
            <w:pPr>
              <w:rPr>
                <w:rFonts w:cs="Times New Roman"/>
                <w:lang w:val="sr-Cyrl-RS"/>
              </w:rPr>
            </w:pPr>
          </w:p>
        </w:tc>
      </w:tr>
      <w:tr w:rsidR="00F01ECE" w:rsidRPr="004D2E7C" w14:paraId="46187DFB" w14:textId="77777777" w:rsidTr="006B3660">
        <w:trPr>
          <w:trHeight w:val="291"/>
        </w:trPr>
        <w:tc>
          <w:tcPr>
            <w:tcW w:w="280" w:type="pct"/>
            <w:shd w:val="clear" w:color="auto" w:fill="D9D9D9"/>
            <w:vAlign w:val="center"/>
          </w:tcPr>
          <w:p w14:paraId="46187DF4" w14:textId="77777777" w:rsidR="00F01ECE" w:rsidRPr="004D2E7C" w:rsidRDefault="00F01ECE" w:rsidP="00F01ECE">
            <w:pPr>
              <w:jc w:val="center"/>
              <w:rPr>
                <w:rFonts w:eastAsia="Times New Roman" w:cs="Times New Roman"/>
                <w:lang w:val="sr-Cyrl-RS"/>
              </w:rPr>
            </w:pPr>
            <w:r w:rsidRPr="004D2E7C">
              <w:rPr>
                <w:rFonts w:eastAsia="Times New Roman" w:cs="Times New Roman"/>
                <w:lang w:val="sr-Cyrl-RS"/>
              </w:rPr>
              <w:lastRenderedPageBreak/>
              <w:t>2.(4)</w:t>
            </w:r>
          </w:p>
        </w:tc>
        <w:tc>
          <w:tcPr>
            <w:tcW w:w="1489" w:type="pct"/>
            <w:shd w:val="clear" w:color="auto" w:fill="D9D9D9"/>
            <w:vAlign w:val="center"/>
          </w:tcPr>
          <w:p w14:paraId="46187DF5" w14:textId="77777777" w:rsidR="00F01ECE" w:rsidRPr="004D2E7C" w:rsidRDefault="00F01ECE" w:rsidP="00F01ECE">
            <w:pPr>
              <w:jc w:val="both"/>
              <w:rPr>
                <w:rFonts w:eastAsia="Times New Roman" w:cs="Times New Roman"/>
                <w:lang w:val="en-GB"/>
              </w:rPr>
            </w:pPr>
            <w:r w:rsidRPr="004D2E7C">
              <w:rPr>
                <w:rFonts w:cs="Times New Roman"/>
                <w:lang w:val="en-GB"/>
              </w:rPr>
              <w:t>‘model’ means a version of a product of which all units share the same technical characteristics relevant for the label and the product information sheet and the same model identifier;</w:t>
            </w:r>
          </w:p>
        </w:tc>
        <w:tc>
          <w:tcPr>
            <w:tcW w:w="325" w:type="pct"/>
            <w:vAlign w:val="center"/>
          </w:tcPr>
          <w:p w14:paraId="46187DF6" w14:textId="0E5D5DAC" w:rsidR="00F01ECE" w:rsidRPr="004D2E7C" w:rsidRDefault="00F01ECE" w:rsidP="00F01ECE">
            <w:pPr>
              <w:jc w:val="center"/>
              <w:rPr>
                <w:rFonts w:cs="Times New Roman"/>
                <w:b/>
                <w:bCs/>
                <w:lang w:val="sr-Cyrl-RS"/>
              </w:rPr>
            </w:pPr>
            <w:r w:rsidRPr="004D2E7C">
              <w:rPr>
                <w:rFonts w:cs="Times New Roman"/>
                <w:b/>
                <w:bCs/>
                <w:lang w:val="sr-Cyrl-RS"/>
              </w:rPr>
              <w:t>1.3.1.4</w:t>
            </w:r>
            <w:r w:rsidR="00C561D0">
              <w:rPr>
                <w:rFonts w:cs="Times New Roman"/>
                <w:b/>
                <w:bCs/>
              </w:rPr>
              <w:t>2</w:t>
            </w:r>
            <w:r w:rsidRPr="004D2E7C">
              <w:rPr>
                <w:rFonts w:cs="Times New Roman"/>
                <w:b/>
                <w:bCs/>
                <w:lang w:val="sr-Cyrl-RS"/>
              </w:rPr>
              <w:t>)</w:t>
            </w:r>
          </w:p>
        </w:tc>
        <w:tc>
          <w:tcPr>
            <w:tcW w:w="1296" w:type="pct"/>
          </w:tcPr>
          <w:p w14:paraId="46187DF7" w14:textId="3246519D" w:rsidR="00F01ECE" w:rsidRPr="006B3660" w:rsidRDefault="00F01ECE" w:rsidP="00F01ECE">
            <w:pPr>
              <w:tabs>
                <w:tab w:val="left" w:pos="993"/>
              </w:tabs>
              <w:jc w:val="both"/>
              <w:rPr>
                <w:rFonts w:cs="Times New Roman"/>
                <w:iCs/>
                <w:color w:val="000000" w:themeColor="text1"/>
                <w:lang w:val="sr-Cyrl-RS"/>
              </w:rPr>
            </w:pPr>
            <w:r w:rsidRPr="006B3660">
              <w:rPr>
                <w:i/>
                <w:color w:val="000000" w:themeColor="text1"/>
                <w:lang w:val="sr-Cyrl-RS"/>
              </w:rPr>
              <w:t>модел</w:t>
            </w:r>
            <w:r w:rsidRPr="006B3660">
              <w:rPr>
                <w:iCs/>
                <w:color w:val="000000" w:themeColor="text1"/>
                <w:lang w:val="sr-Cyrl-RS"/>
              </w:rPr>
              <w:t xml:space="preserve"> је верзија производа чије све јединице имају исте техничке карактеристике релевантне за ознаку енергетске ефикасности и листу са подацима, као и исту идентификацију модела;</w:t>
            </w:r>
          </w:p>
        </w:tc>
        <w:tc>
          <w:tcPr>
            <w:tcW w:w="235" w:type="pct"/>
            <w:vAlign w:val="center"/>
          </w:tcPr>
          <w:p w14:paraId="46187DF8" w14:textId="77777777" w:rsidR="00F01ECE" w:rsidRPr="004D2E7C" w:rsidRDefault="00F01ECE" w:rsidP="00F01ECE">
            <w:pPr>
              <w:jc w:val="center"/>
              <w:rPr>
                <w:rFonts w:cs="Times New Roman"/>
                <w:lang w:val="sr-Cyrl-RS"/>
              </w:rPr>
            </w:pPr>
            <w:r w:rsidRPr="004D2E7C">
              <w:rPr>
                <w:rFonts w:cs="Times New Roman"/>
                <w:lang w:val="sr-Cyrl-RS"/>
              </w:rPr>
              <w:t>ПУ</w:t>
            </w:r>
          </w:p>
        </w:tc>
        <w:tc>
          <w:tcPr>
            <w:tcW w:w="676" w:type="pct"/>
          </w:tcPr>
          <w:p w14:paraId="46187DF9" w14:textId="77777777" w:rsidR="00F01ECE" w:rsidRPr="004D2E7C" w:rsidRDefault="00F01ECE" w:rsidP="00F01ECE">
            <w:pPr>
              <w:rPr>
                <w:rFonts w:cs="Times New Roman"/>
                <w:lang w:val="sr-Cyrl-RS"/>
              </w:rPr>
            </w:pPr>
          </w:p>
        </w:tc>
        <w:tc>
          <w:tcPr>
            <w:tcW w:w="699" w:type="pct"/>
            <w:vAlign w:val="center"/>
          </w:tcPr>
          <w:p w14:paraId="46187DFA" w14:textId="77777777" w:rsidR="00F01ECE" w:rsidRPr="004D2E7C" w:rsidRDefault="00F01ECE" w:rsidP="00F01ECE">
            <w:pPr>
              <w:rPr>
                <w:rFonts w:cs="Times New Roman"/>
                <w:lang w:val="sr-Cyrl-RS"/>
              </w:rPr>
            </w:pPr>
          </w:p>
        </w:tc>
      </w:tr>
      <w:tr w:rsidR="009A4EE4" w:rsidRPr="004D2E7C" w14:paraId="46187E03" w14:textId="77777777" w:rsidTr="006B3660">
        <w:trPr>
          <w:trHeight w:val="291"/>
        </w:trPr>
        <w:tc>
          <w:tcPr>
            <w:tcW w:w="280" w:type="pct"/>
            <w:shd w:val="clear" w:color="auto" w:fill="D9D9D9"/>
            <w:vAlign w:val="center"/>
          </w:tcPr>
          <w:p w14:paraId="46187DFC" w14:textId="77777777" w:rsidR="009A4EE4" w:rsidRPr="004D2E7C" w:rsidRDefault="009A4EE4" w:rsidP="009A4EE4">
            <w:pPr>
              <w:jc w:val="center"/>
              <w:rPr>
                <w:rFonts w:eastAsia="Times New Roman" w:cs="Times New Roman"/>
                <w:lang w:val="sr-Cyrl-RS"/>
              </w:rPr>
            </w:pPr>
            <w:r w:rsidRPr="004D2E7C">
              <w:rPr>
                <w:rFonts w:eastAsia="Times New Roman" w:cs="Times New Roman"/>
                <w:lang w:val="sr-Cyrl-RS"/>
              </w:rPr>
              <w:t>2.(5)</w:t>
            </w:r>
          </w:p>
        </w:tc>
        <w:tc>
          <w:tcPr>
            <w:tcW w:w="1489" w:type="pct"/>
            <w:shd w:val="clear" w:color="auto" w:fill="D9D9D9"/>
            <w:vAlign w:val="center"/>
          </w:tcPr>
          <w:p w14:paraId="46187DFD" w14:textId="77777777" w:rsidR="009A4EE4" w:rsidRPr="004D2E7C" w:rsidRDefault="009A4EE4" w:rsidP="009A4EE4">
            <w:pPr>
              <w:spacing w:after="120"/>
              <w:jc w:val="both"/>
              <w:rPr>
                <w:rFonts w:eastAsia="Times New Roman" w:cs="Times New Roman"/>
                <w:lang w:val="en-GB"/>
              </w:rPr>
            </w:pPr>
            <w:r w:rsidRPr="004D2E7C">
              <w:rPr>
                <w:rFonts w:cs="Times New Roman"/>
                <w:lang w:val="en-GB"/>
              </w:rPr>
              <w:t>‘model identifier’ means the code, usually alphanumeric, which distinguishes a specific product model from other models with the same trade mark or the same supplier's name;</w:t>
            </w:r>
          </w:p>
        </w:tc>
        <w:tc>
          <w:tcPr>
            <w:tcW w:w="325" w:type="pct"/>
            <w:vAlign w:val="center"/>
          </w:tcPr>
          <w:p w14:paraId="0060E545" w14:textId="77777777" w:rsidR="009A4EE4" w:rsidRDefault="009A4EE4" w:rsidP="009A4EE4">
            <w:pPr>
              <w:jc w:val="center"/>
              <w:rPr>
                <w:rFonts w:cs="Times New Roman"/>
                <w:lang w:val="sr-Cyrl-RS"/>
              </w:rPr>
            </w:pPr>
            <w:r>
              <w:rPr>
                <w:rFonts w:cs="Times New Roman"/>
                <w:lang w:val="sr-Cyrl-RS"/>
              </w:rPr>
              <w:t>1.62.2</w:t>
            </w:r>
          </w:p>
          <w:p w14:paraId="46187DFE" w14:textId="20484596" w:rsidR="009A4EE4" w:rsidRPr="004D2E7C" w:rsidRDefault="009A4EE4" w:rsidP="009A4EE4">
            <w:pPr>
              <w:jc w:val="center"/>
              <w:rPr>
                <w:rFonts w:cs="Times New Roman"/>
                <w:lang w:val="sr-Cyrl-RS"/>
              </w:rPr>
            </w:pPr>
            <w:r>
              <w:rPr>
                <w:rFonts w:cs="Times New Roman"/>
                <w:b/>
              </w:rPr>
              <w:t>1.150.2.</w:t>
            </w:r>
          </w:p>
        </w:tc>
        <w:tc>
          <w:tcPr>
            <w:tcW w:w="1296" w:type="pct"/>
          </w:tcPr>
          <w:p w14:paraId="0FA243D8" w14:textId="77777777" w:rsidR="009A4EE4" w:rsidRPr="004D2E7C" w:rsidRDefault="009A4EE4" w:rsidP="009A4EE4">
            <w:pPr>
              <w:autoSpaceDE w:val="0"/>
              <w:autoSpaceDN w:val="0"/>
              <w:adjustRightInd w:val="0"/>
              <w:ind w:firstLine="567"/>
              <w:jc w:val="both"/>
              <w:rPr>
                <w:rFonts w:eastAsia="MS Mincho" w:cs="Times New Roman"/>
                <w:color w:val="000000" w:themeColor="text1"/>
                <w:lang w:val="sr-Cyrl-CS" w:eastAsia="ja-JP"/>
              </w:rPr>
            </w:pPr>
            <w:r w:rsidRPr="004D2E7C">
              <w:rPr>
                <w:rFonts w:eastAsia="MS Mincho" w:cs="Times New Roman"/>
                <w:color w:val="000000" w:themeColor="text1"/>
                <w:lang w:val="sr-Cyrl-CS" w:eastAsia="ja-JP"/>
              </w:rPr>
              <w:t>Влада ближе уређује обавезе испоручиоца производа, и продавца у погледу енергетског означавања производа, које се односе на: садржај енергетске ознаке, њеног исправног постављања и тачности података на ознаци, коришћење рекласираних ознака енергетске ефикасности и друге услове којима се обезбеђује примена захтева енергетског означавања за производе из става 1. овог члана.</w:t>
            </w:r>
          </w:p>
          <w:p w14:paraId="5F1167BE" w14:textId="77777777" w:rsidR="009A4EE4" w:rsidRDefault="009A4EE4" w:rsidP="009A4EE4">
            <w:pPr>
              <w:tabs>
                <w:tab w:val="left" w:pos="1152"/>
              </w:tabs>
              <w:jc w:val="both"/>
              <w:rPr>
                <w:rFonts w:cs="Times New Roman"/>
                <w:lang w:val="sr-Cyrl-RS"/>
              </w:rPr>
            </w:pPr>
          </w:p>
          <w:p w14:paraId="46187DFF" w14:textId="39C5DFA8" w:rsidR="009A4EE4" w:rsidRPr="004D2E7C" w:rsidRDefault="009A4EE4" w:rsidP="009A4EE4">
            <w:pPr>
              <w:tabs>
                <w:tab w:val="left" w:pos="1152"/>
              </w:tabs>
              <w:rPr>
                <w:rFonts w:cs="Times New Roman"/>
                <w:lang w:val="sr-Cyrl-RS"/>
              </w:rPr>
            </w:pPr>
            <w:r w:rsidRPr="00C30E0B">
              <w:rPr>
                <w:rFonts w:eastAsia="Times New Roman" w:cs="Times New Roman"/>
                <w:sz w:val="24"/>
                <w:szCs w:val="24"/>
                <w:lang w:val="sr-Cyrl-CS"/>
              </w:rPr>
              <w:t xml:space="preserve">Прописи за спровођење овог закона из чл. 7-9. ,чл. 15 – 16., члана 21., чл. </w:t>
            </w:r>
            <w:r w:rsidRPr="00C30E0B">
              <w:rPr>
                <w:rFonts w:eastAsia="Times New Roman" w:cs="Times New Roman"/>
                <w:sz w:val="24"/>
                <w:szCs w:val="24"/>
                <w:lang w:val="sr-Cyrl-CS"/>
              </w:rPr>
              <w:lastRenderedPageBreak/>
              <w:t>23-24., чл. 26-27., члана 30., члана 36., чл. 37-40., члана 47., члана 51., чл. 54-55. члана 57., члана 59., чл. 61-62, чл. 64-66., члана 73., члана 80., члана 83., члана 90., чл. 93-94., чл. 96-98., члана 100., и чл. 107-109. овог закона биће донети у року од 18 месеци од дана ступања на снагу овог закона, изузев подзаконских аката из става 1. овог члана</w:t>
            </w:r>
          </w:p>
        </w:tc>
        <w:tc>
          <w:tcPr>
            <w:tcW w:w="235" w:type="pct"/>
            <w:vAlign w:val="center"/>
          </w:tcPr>
          <w:p w14:paraId="46187E00" w14:textId="6E325514" w:rsidR="009A4EE4" w:rsidRPr="004D2E7C" w:rsidRDefault="009A4EE4" w:rsidP="009A4EE4">
            <w:pPr>
              <w:jc w:val="center"/>
              <w:rPr>
                <w:rFonts w:cs="Times New Roman"/>
                <w:lang w:val="sr-Cyrl-RS"/>
              </w:rPr>
            </w:pPr>
            <w:r>
              <w:rPr>
                <w:rFonts w:cs="Times New Roman"/>
                <w:lang w:val="sr-Cyrl-RS"/>
              </w:rPr>
              <w:lastRenderedPageBreak/>
              <w:t>Д</w:t>
            </w:r>
            <w:r w:rsidRPr="004D2E7C">
              <w:rPr>
                <w:rFonts w:cs="Times New Roman"/>
                <w:lang w:val="sr-Cyrl-RS"/>
              </w:rPr>
              <w:t>У</w:t>
            </w:r>
          </w:p>
        </w:tc>
        <w:tc>
          <w:tcPr>
            <w:tcW w:w="676" w:type="pct"/>
          </w:tcPr>
          <w:p w14:paraId="46187E01" w14:textId="1BF6E45E" w:rsidR="009A4EE4" w:rsidRPr="004D2E7C" w:rsidRDefault="009A4EE4" w:rsidP="009A4EE4">
            <w:pPr>
              <w:rPr>
                <w:rFonts w:cs="Times New Roman"/>
                <w:lang w:val="sr-Cyrl-RS"/>
              </w:rPr>
            </w:pPr>
            <w:r>
              <w:rPr>
                <w:rFonts w:cs="Times New Roman"/>
                <w:spacing w:val="-6"/>
                <w:lang w:val="sr-Cyrl-RS"/>
              </w:rPr>
              <w:t>Усклађеност ће бити постигнута доношењем Уредбе из 1.62.2.</w:t>
            </w:r>
          </w:p>
        </w:tc>
        <w:tc>
          <w:tcPr>
            <w:tcW w:w="699" w:type="pct"/>
            <w:vAlign w:val="center"/>
          </w:tcPr>
          <w:p w14:paraId="46187E02" w14:textId="69A3A69D" w:rsidR="009A4EE4" w:rsidRPr="004D2E7C" w:rsidRDefault="009A4EE4" w:rsidP="009A4EE4">
            <w:pPr>
              <w:rPr>
                <w:rFonts w:cs="Times New Roman"/>
                <w:lang w:val="sr-Cyrl-RS"/>
              </w:rPr>
            </w:pPr>
          </w:p>
        </w:tc>
      </w:tr>
      <w:tr w:rsidR="009A4EE4" w:rsidRPr="004D2E7C" w14:paraId="46187E0B" w14:textId="77777777" w:rsidTr="006B3660">
        <w:trPr>
          <w:trHeight w:val="291"/>
        </w:trPr>
        <w:tc>
          <w:tcPr>
            <w:tcW w:w="280" w:type="pct"/>
            <w:shd w:val="clear" w:color="auto" w:fill="D9D9D9"/>
            <w:vAlign w:val="center"/>
          </w:tcPr>
          <w:p w14:paraId="46187E04" w14:textId="77777777" w:rsidR="009A4EE4" w:rsidRPr="004D2E7C" w:rsidRDefault="009A4EE4" w:rsidP="009A4EE4">
            <w:pPr>
              <w:jc w:val="center"/>
              <w:rPr>
                <w:rFonts w:eastAsia="Times New Roman" w:cs="Times New Roman"/>
                <w:lang w:val="sr-Cyrl-RS"/>
              </w:rPr>
            </w:pPr>
            <w:r w:rsidRPr="004D2E7C">
              <w:rPr>
                <w:rFonts w:eastAsia="Times New Roman" w:cs="Times New Roman"/>
                <w:lang w:val="sr-Cyrl-RS"/>
              </w:rPr>
              <w:lastRenderedPageBreak/>
              <w:t>2.(6)</w:t>
            </w:r>
          </w:p>
        </w:tc>
        <w:tc>
          <w:tcPr>
            <w:tcW w:w="1489" w:type="pct"/>
            <w:shd w:val="clear" w:color="auto" w:fill="D9D9D9"/>
            <w:vAlign w:val="center"/>
          </w:tcPr>
          <w:p w14:paraId="46187E05" w14:textId="77777777" w:rsidR="009A4EE4" w:rsidRPr="004D2E7C" w:rsidRDefault="009A4EE4" w:rsidP="009A4EE4">
            <w:pPr>
              <w:jc w:val="both"/>
              <w:rPr>
                <w:rFonts w:eastAsia="Times New Roman" w:cs="Times New Roman"/>
                <w:lang w:val="en-GB"/>
              </w:rPr>
            </w:pPr>
            <w:r w:rsidRPr="004D2E7C">
              <w:rPr>
                <w:rFonts w:cs="Times New Roman"/>
                <w:lang w:val="en-GB"/>
              </w:rPr>
              <w:t>‘equivalent model’ means a model which has the same technical characteristics relevant for the label and the same product information sheet, but which is placed on the market or put into service by the same supplier as another model with a different model identifier;</w:t>
            </w:r>
          </w:p>
        </w:tc>
        <w:tc>
          <w:tcPr>
            <w:tcW w:w="325" w:type="pct"/>
            <w:vAlign w:val="center"/>
          </w:tcPr>
          <w:p w14:paraId="02B97F69" w14:textId="77777777" w:rsidR="009A4EE4" w:rsidRDefault="009A4EE4" w:rsidP="009A4EE4">
            <w:pPr>
              <w:jc w:val="center"/>
              <w:rPr>
                <w:rFonts w:cs="Times New Roman"/>
                <w:lang w:val="sr-Cyrl-RS"/>
              </w:rPr>
            </w:pPr>
            <w:r>
              <w:rPr>
                <w:rFonts w:cs="Times New Roman"/>
                <w:lang w:val="sr-Cyrl-RS"/>
              </w:rPr>
              <w:t>1.62.2</w:t>
            </w:r>
          </w:p>
          <w:p w14:paraId="46187E06" w14:textId="21598A4E" w:rsidR="009A4EE4" w:rsidRPr="004D2E7C" w:rsidRDefault="009A4EE4" w:rsidP="009A4EE4">
            <w:pPr>
              <w:jc w:val="center"/>
              <w:rPr>
                <w:rFonts w:cs="Times New Roman"/>
                <w:lang w:val="sr-Cyrl-RS"/>
              </w:rPr>
            </w:pPr>
            <w:r>
              <w:rPr>
                <w:rFonts w:cs="Times New Roman"/>
                <w:b/>
              </w:rPr>
              <w:t>1.150.2.</w:t>
            </w:r>
          </w:p>
        </w:tc>
        <w:tc>
          <w:tcPr>
            <w:tcW w:w="1296" w:type="pct"/>
          </w:tcPr>
          <w:p w14:paraId="031B9DCC" w14:textId="77777777" w:rsidR="009A4EE4" w:rsidRPr="004D2E7C" w:rsidRDefault="009A4EE4" w:rsidP="009A4EE4">
            <w:pPr>
              <w:autoSpaceDE w:val="0"/>
              <w:autoSpaceDN w:val="0"/>
              <w:adjustRightInd w:val="0"/>
              <w:ind w:firstLine="567"/>
              <w:jc w:val="both"/>
              <w:rPr>
                <w:rFonts w:eastAsia="MS Mincho" w:cs="Times New Roman"/>
                <w:color w:val="000000" w:themeColor="text1"/>
                <w:lang w:val="sr-Cyrl-CS" w:eastAsia="ja-JP"/>
              </w:rPr>
            </w:pPr>
            <w:r w:rsidRPr="004D2E7C">
              <w:rPr>
                <w:rFonts w:eastAsia="MS Mincho" w:cs="Times New Roman"/>
                <w:color w:val="000000" w:themeColor="text1"/>
                <w:lang w:val="sr-Cyrl-CS" w:eastAsia="ja-JP"/>
              </w:rPr>
              <w:t>Влада ближе уређује обавезе испоручиоца производа, и продавца у погледу енергетског означавања производа, које се односе на: садржај енергетске ознаке, њеног исправног постављања и тачности података на ознаци, коришћење рекласираних ознака енергетске ефикасности и друге услове којима се обезбеђује примена захтева енергетског означавања за производе из става 1. овог члана.</w:t>
            </w:r>
          </w:p>
          <w:p w14:paraId="55813BDA" w14:textId="77777777" w:rsidR="009A4EE4" w:rsidRDefault="009A4EE4" w:rsidP="009A4EE4">
            <w:pPr>
              <w:tabs>
                <w:tab w:val="left" w:pos="1152"/>
              </w:tabs>
              <w:jc w:val="both"/>
              <w:rPr>
                <w:rFonts w:cs="Times New Roman"/>
                <w:lang w:val="sr-Cyrl-RS"/>
              </w:rPr>
            </w:pPr>
          </w:p>
          <w:p w14:paraId="46187E07" w14:textId="59E2027F" w:rsidR="009A4EE4" w:rsidRPr="004D2E7C" w:rsidRDefault="009A4EE4" w:rsidP="009A4EE4">
            <w:pPr>
              <w:tabs>
                <w:tab w:val="left" w:pos="1152"/>
              </w:tabs>
              <w:rPr>
                <w:rFonts w:cs="Times New Roman"/>
                <w:lang w:val="sr-Cyrl-RS"/>
              </w:rPr>
            </w:pPr>
            <w:r w:rsidRPr="00C30E0B">
              <w:rPr>
                <w:rFonts w:eastAsia="Times New Roman" w:cs="Times New Roman"/>
                <w:sz w:val="24"/>
                <w:szCs w:val="24"/>
                <w:lang w:val="sr-Cyrl-CS"/>
              </w:rPr>
              <w:t xml:space="preserve">Прописи за спровођење овог закона из чл. 7-9. ,чл. 15 – 16., члана 21., чл. 23-24., чл. 26-27., члана 30., члана 36., чл. 37-40., члана 47., члана 51., чл. 54-55. члана 57., члана 59., чл. 61-62, чл. 64-66., члана 73., члана 80., члана 83., члана 90., чл. 93-94., чл. 96-98., члана 100., и чл. 107-109. овог закона биће донети у року од 18 месеци од дана ступања на снагу овог закона, изузев </w:t>
            </w:r>
            <w:r w:rsidRPr="00C30E0B">
              <w:rPr>
                <w:rFonts w:eastAsia="Times New Roman" w:cs="Times New Roman"/>
                <w:sz w:val="24"/>
                <w:szCs w:val="24"/>
                <w:lang w:val="sr-Cyrl-CS"/>
              </w:rPr>
              <w:lastRenderedPageBreak/>
              <w:t>подзаконских аката из става 1. овог члана</w:t>
            </w:r>
          </w:p>
        </w:tc>
        <w:tc>
          <w:tcPr>
            <w:tcW w:w="235" w:type="pct"/>
            <w:vAlign w:val="center"/>
          </w:tcPr>
          <w:p w14:paraId="46187E08" w14:textId="1FA71A23" w:rsidR="009A4EE4" w:rsidRPr="004D2E7C" w:rsidRDefault="009A4EE4" w:rsidP="009A4EE4">
            <w:pPr>
              <w:jc w:val="center"/>
              <w:rPr>
                <w:rFonts w:cs="Times New Roman"/>
                <w:lang w:val="sr-Cyrl-RS"/>
              </w:rPr>
            </w:pPr>
            <w:r>
              <w:rPr>
                <w:rFonts w:cs="Times New Roman"/>
                <w:lang w:val="sr-Cyrl-RS"/>
              </w:rPr>
              <w:lastRenderedPageBreak/>
              <w:t>Д</w:t>
            </w:r>
            <w:r w:rsidRPr="004D2E7C">
              <w:rPr>
                <w:rFonts w:cs="Times New Roman"/>
                <w:lang w:val="sr-Cyrl-RS"/>
              </w:rPr>
              <w:t>У</w:t>
            </w:r>
          </w:p>
        </w:tc>
        <w:tc>
          <w:tcPr>
            <w:tcW w:w="676" w:type="pct"/>
          </w:tcPr>
          <w:p w14:paraId="46187E09" w14:textId="68A27B57" w:rsidR="009A4EE4" w:rsidRPr="004D2E7C" w:rsidRDefault="009A4EE4" w:rsidP="009A4EE4">
            <w:pPr>
              <w:rPr>
                <w:rFonts w:cs="Times New Roman"/>
                <w:lang w:val="sr-Cyrl-RS"/>
              </w:rPr>
            </w:pPr>
            <w:r>
              <w:rPr>
                <w:rFonts w:cs="Times New Roman"/>
                <w:spacing w:val="-6"/>
                <w:lang w:val="sr-Cyrl-RS"/>
              </w:rPr>
              <w:t>Усклађеност ће бити постигнута доношењем Уредбе из 1.62.2.</w:t>
            </w:r>
          </w:p>
        </w:tc>
        <w:tc>
          <w:tcPr>
            <w:tcW w:w="699" w:type="pct"/>
            <w:vAlign w:val="center"/>
          </w:tcPr>
          <w:p w14:paraId="46187E0A" w14:textId="3C62B583" w:rsidR="009A4EE4" w:rsidRPr="004D2E7C" w:rsidRDefault="009A4EE4" w:rsidP="009A4EE4">
            <w:pPr>
              <w:rPr>
                <w:rFonts w:cs="Times New Roman"/>
                <w:lang w:val="sr-Cyrl-RS"/>
              </w:rPr>
            </w:pPr>
          </w:p>
        </w:tc>
      </w:tr>
      <w:tr w:rsidR="00F01ECE" w:rsidRPr="004D2E7C" w14:paraId="46187E15" w14:textId="77777777" w:rsidTr="006B3660">
        <w:trPr>
          <w:trHeight w:val="291"/>
        </w:trPr>
        <w:tc>
          <w:tcPr>
            <w:tcW w:w="280" w:type="pct"/>
            <w:shd w:val="clear" w:color="auto" w:fill="D9D9D9"/>
            <w:vAlign w:val="center"/>
          </w:tcPr>
          <w:p w14:paraId="46187E0C" w14:textId="77777777" w:rsidR="00F01ECE" w:rsidRPr="004D2E7C" w:rsidRDefault="00F01ECE" w:rsidP="00F01ECE">
            <w:pPr>
              <w:jc w:val="center"/>
              <w:rPr>
                <w:rFonts w:eastAsia="Times New Roman" w:cs="Times New Roman"/>
                <w:lang w:val="sr-Cyrl-RS"/>
              </w:rPr>
            </w:pPr>
            <w:r w:rsidRPr="004D2E7C">
              <w:rPr>
                <w:rFonts w:eastAsia="Times New Roman" w:cs="Times New Roman"/>
                <w:lang w:val="sr-Cyrl-RS"/>
              </w:rPr>
              <w:lastRenderedPageBreak/>
              <w:t>2.(7)</w:t>
            </w:r>
          </w:p>
        </w:tc>
        <w:tc>
          <w:tcPr>
            <w:tcW w:w="1489" w:type="pct"/>
            <w:shd w:val="clear" w:color="auto" w:fill="D9D9D9"/>
            <w:vAlign w:val="center"/>
          </w:tcPr>
          <w:p w14:paraId="46187E0D" w14:textId="77777777" w:rsidR="00F01ECE" w:rsidRPr="004D2E7C" w:rsidRDefault="00F01ECE" w:rsidP="00F01ECE">
            <w:pPr>
              <w:jc w:val="both"/>
              <w:rPr>
                <w:rFonts w:eastAsia="Times New Roman" w:cs="Times New Roman"/>
                <w:lang w:val="en-GB"/>
              </w:rPr>
            </w:pPr>
            <w:r w:rsidRPr="004D2E7C">
              <w:rPr>
                <w:rFonts w:cs="Times New Roman"/>
                <w:lang w:val="en-GB"/>
              </w:rPr>
              <w:t>‘making available on the market’ means the supply of a product for distribution or use on the Union market in the course of a commercial activity, whether in return for payment or free of charge;</w:t>
            </w:r>
          </w:p>
        </w:tc>
        <w:tc>
          <w:tcPr>
            <w:tcW w:w="325" w:type="pct"/>
            <w:vAlign w:val="center"/>
          </w:tcPr>
          <w:p w14:paraId="46187E0E" w14:textId="49743960" w:rsidR="00F01ECE" w:rsidRPr="004D2E7C" w:rsidRDefault="00F01ECE" w:rsidP="00F01ECE">
            <w:pPr>
              <w:jc w:val="center"/>
              <w:rPr>
                <w:rFonts w:cs="Times New Roman"/>
                <w:b/>
                <w:bCs/>
                <w:lang w:val="sr-Cyrl-RS"/>
              </w:rPr>
            </w:pPr>
            <w:r w:rsidRPr="004D2E7C">
              <w:rPr>
                <w:rFonts w:cs="Times New Roman"/>
                <w:b/>
                <w:bCs/>
                <w:lang w:val="sr-Cyrl-RS"/>
              </w:rPr>
              <w:t>1.3.1.2</w:t>
            </w:r>
            <w:r w:rsidR="00C561D0">
              <w:rPr>
                <w:rFonts w:cs="Times New Roman"/>
                <w:b/>
                <w:bCs/>
              </w:rPr>
              <w:t>5</w:t>
            </w:r>
            <w:r w:rsidRPr="004D2E7C">
              <w:rPr>
                <w:rFonts w:cs="Times New Roman"/>
                <w:b/>
                <w:bCs/>
                <w:lang w:val="sr-Cyrl-RS"/>
              </w:rPr>
              <w:t>)</w:t>
            </w:r>
          </w:p>
          <w:p w14:paraId="46187E0F" w14:textId="77777777" w:rsidR="00F01ECE" w:rsidRPr="004D2E7C" w:rsidRDefault="00F01ECE" w:rsidP="00F01ECE">
            <w:pPr>
              <w:jc w:val="center"/>
              <w:rPr>
                <w:rFonts w:cs="Times New Roman"/>
                <w:lang w:val="sr-Cyrl-RS"/>
              </w:rPr>
            </w:pPr>
          </w:p>
        </w:tc>
        <w:tc>
          <w:tcPr>
            <w:tcW w:w="1296" w:type="pct"/>
            <w:vAlign w:val="center"/>
          </w:tcPr>
          <w:p w14:paraId="46187E11" w14:textId="5E1A7B44" w:rsidR="00F01ECE" w:rsidRPr="006B3660" w:rsidRDefault="00F01ECE" w:rsidP="00F01ECE">
            <w:pPr>
              <w:tabs>
                <w:tab w:val="left" w:pos="993"/>
              </w:tabs>
              <w:jc w:val="both"/>
              <w:rPr>
                <w:rFonts w:eastAsia="Times New Roman" w:cs="Times New Roman"/>
                <w:iCs/>
                <w:color w:val="000000" w:themeColor="text1"/>
                <w:lang w:val="sr-Cyrl-RS"/>
              </w:rPr>
            </w:pPr>
            <w:r w:rsidRPr="006B3660">
              <w:rPr>
                <w:i/>
                <w:color w:val="000000" w:themeColor="text1"/>
                <w:lang w:val="sr-Cyrl-RS"/>
              </w:rPr>
              <w:t>испорука производа на тржиште</w:t>
            </w:r>
            <w:r w:rsidRPr="006B3660">
              <w:rPr>
                <w:iCs/>
                <w:color w:val="000000" w:themeColor="text1"/>
                <w:lang w:val="sr-Cyrl-RS"/>
              </w:rPr>
              <w:t xml:space="preserve"> је свако чињење доступним производа који утиче на потрошњу енергије, на тржишту Републике Србије ради дистрибуције, потрошње или употребе, у оквиру привредне делатности, са или без накнаде;</w:t>
            </w:r>
          </w:p>
        </w:tc>
        <w:tc>
          <w:tcPr>
            <w:tcW w:w="235" w:type="pct"/>
            <w:vAlign w:val="center"/>
          </w:tcPr>
          <w:p w14:paraId="46187E12" w14:textId="77777777" w:rsidR="00F01ECE" w:rsidRPr="004D2E7C" w:rsidRDefault="00F01ECE" w:rsidP="00F01ECE">
            <w:pPr>
              <w:jc w:val="center"/>
              <w:rPr>
                <w:rFonts w:cs="Times New Roman"/>
                <w:lang w:val="sr-Cyrl-RS"/>
              </w:rPr>
            </w:pPr>
            <w:r w:rsidRPr="004D2E7C">
              <w:rPr>
                <w:rFonts w:cs="Times New Roman"/>
                <w:lang w:val="sr-Cyrl-RS"/>
              </w:rPr>
              <w:t>ПУ</w:t>
            </w:r>
          </w:p>
        </w:tc>
        <w:tc>
          <w:tcPr>
            <w:tcW w:w="676" w:type="pct"/>
            <w:vAlign w:val="center"/>
          </w:tcPr>
          <w:p w14:paraId="46187E13" w14:textId="37DBD355" w:rsidR="00F01ECE" w:rsidRPr="004D2E7C" w:rsidRDefault="00F01ECE" w:rsidP="00F01ECE">
            <w:pPr>
              <w:rPr>
                <w:rFonts w:cs="Times New Roman"/>
                <w:lang w:val="sr-Cyrl-RS"/>
              </w:rPr>
            </w:pPr>
          </w:p>
        </w:tc>
        <w:tc>
          <w:tcPr>
            <w:tcW w:w="699" w:type="pct"/>
            <w:vAlign w:val="center"/>
          </w:tcPr>
          <w:p w14:paraId="46187E14" w14:textId="0747370E" w:rsidR="00F01ECE" w:rsidRPr="004D2E7C" w:rsidRDefault="00F01ECE" w:rsidP="00F01ECE">
            <w:pPr>
              <w:spacing w:after="120"/>
              <w:rPr>
                <w:rFonts w:cs="Times New Roman"/>
                <w:lang w:val="sr-Cyrl-RS"/>
              </w:rPr>
            </w:pPr>
            <w:r w:rsidRPr="004D2E7C">
              <w:rPr>
                <w:rFonts w:cs="Times New Roman"/>
                <w:lang w:val="sr-Cyrl-RS"/>
              </w:rPr>
              <w:t>У прелазним и завршним одредбама биће уређено да ће се након што Република Србија постане чланица ЕУ ова одредба односити на тржиште ЕУ.</w:t>
            </w:r>
          </w:p>
        </w:tc>
      </w:tr>
      <w:tr w:rsidR="00F01ECE" w:rsidRPr="004D2E7C" w14:paraId="46187E1E" w14:textId="77777777" w:rsidTr="006B3660">
        <w:trPr>
          <w:trHeight w:val="291"/>
        </w:trPr>
        <w:tc>
          <w:tcPr>
            <w:tcW w:w="280" w:type="pct"/>
            <w:shd w:val="clear" w:color="auto" w:fill="D9D9D9"/>
            <w:vAlign w:val="center"/>
          </w:tcPr>
          <w:p w14:paraId="46187E16" w14:textId="77777777" w:rsidR="00F01ECE" w:rsidRPr="004D2E7C" w:rsidRDefault="00F01ECE" w:rsidP="00F01ECE">
            <w:pPr>
              <w:jc w:val="center"/>
              <w:rPr>
                <w:rFonts w:eastAsia="Times New Roman" w:cs="Times New Roman"/>
                <w:lang w:val="sr-Cyrl-RS"/>
              </w:rPr>
            </w:pPr>
            <w:r w:rsidRPr="004D2E7C">
              <w:rPr>
                <w:rFonts w:eastAsia="Times New Roman" w:cs="Times New Roman"/>
                <w:lang w:val="sr-Cyrl-RS"/>
              </w:rPr>
              <w:t>2.(8)</w:t>
            </w:r>
          </w:p>
        </w:tc>
        <w:tc>
          <w:tcPr>
            <w:tcW w:w="1489" w:type="pct"/>
            <w:shd w:val="clear" w:color="auto" w:fill="D9D9D9"/>
            <w:vAlign w:val="center"/>
          </w:tcPr>
          <w:p w14:paraId="46187E17" w14:textId="77777777" w:rsidR="00F01ECE" w:rsidRPr="004D2E7C" w:rsidRDefault="00F01ECE" w:rsidP="00F01ECE">
            <w:pPr>
              <w:jc w:val="both"/>
              <w:rPr>
                <w:rFonts w:eastAsia="Times New Roman" w:cs="Times New Roman"/>
                <w:lang w:val="en-GB"/>
              </w:rPr>
            </w:pPr>
            <w:r w:rsidRPr="004D2E7C">
              <w:rPr>
                <w:rFonts w:cs="Times New Roman"/>
                <w:lang w:val="en-GB"/>
              </w:rPr>
              <w:t>‘placing on the market’ means the first making available of a product on the Union market;</w:t>
            </w:r>
          </w:p>
        </w:tc>
        <w:tc>
          <w:tcPr>
            <w:tcW w:w="325" w:type="pct"/>
          </w:tcPr>
          <w:p w14:paraId="12CE8D65" w14:textId="77777777" w:rsidR="00F01ECE" w:rsidRPr="004D2E7C" w:rsidRDefault="00F01ECE" w:rsidP="00F01ECE">
            <w:pPr>
              <w:jc w:val="center"/>
              <w:rPr>
                <w:rFonts w:cs="Times New Roman"/>
                <w:lang w:val="sr-Cyrl-RS"/>
              </w:rPr>
            </w:pPr>
          </w:p>
          <w:p w14:paraId="58979B3D" w14:textId="50EA73AA" w:rsidR="00F01ECE" w:rsidRPr="004D2E7C" w:rsidRDefault="00F01ECE" w:rsidP="00F01ECE">
            <w:pPr>
              <w:jc w:val="center"/>
              <w:rPr>
                <w:rFonts w:cs="Times New Roman"/>
                <w:b/>
                <w:bCs/>
                <w:lang w:val="sr-Cyrl-RS"/>
              </w:rPr>
            </w:pPr>
            <w:r w:rsidRPr="004D2E7C">
              <w:rPr>
                <w:rFonts w:cs="Times New Roman"/>
                <w:b/>
                <w:bCs/>
                <w:lang w:val="sr-Cyrl-RS"/>
              </w:rPr>
              <w:t>1.3.1.</w:t>
            </w:r>
            <w:r w:rsidR="00C561D0">
              <w:rPr>
                <w:rFonts w:cs="Times New Roman"/>
                <w:b/>
                <w:bCs/>
              </w:rPr>
              <w:t>69</w:t>
            </w:r>
            <w:r w:rsidRPr="004D2E7C">
              <w:rPr>
                <w:rFonts w:cs="Times New Roman"/>
                <w:b/>
                <w:bCs/>
                <w:lang w:val="sr-Cyrl-RS"/>
              </w:rPr>
              <w:t>)</w:t>
            </w:r>
          </w:p>
          <w:p w14:paraId="1A609AED" w14:textId="77DDDFF2" w:rsidR="00F01ECE" w:rsidRPr="004D2E7C" w:rsidRDefault="00F01ECE" w:rsidP="00F01ECE">
            <w:pPr>
              <w:jc w:val="center"/>
              <w:rPr>
                <w:rFonts w:cs="Times New Roman"/>
                <w:lang w:val="sr-Cyrl-RS"/>
              </w:rPr>
            </w:pPr>
          </w:p>
          <w:p w14:paraId="15E52C72" w14:textId="13E6C9B0" w:rsidR="00F01ECE" w:rsidRPr="004D2E7C" w:rsidRDefault="00F01ECE" w:rsidP="00F01ECE">
            <w:pPr>
              <w:jc w:val="center"/>
              <w:rPr>
                <w:rFonts w:cs="Times New Roman"/>
                <w:lang w:val="sr-Cyrl-RS"/>
              </w:rPr>
            </w:pPr>
          </w:p>
          <w:p w14:paraId="17D4283A" w14:textId="4117F0E4" w:rsidR="00F01ECE" w:rsidRPr="004D2E7C" w:rsidRDefault="00F01ECE" w:rsidP="00F01ECE">
            <w:pPr>
              <w:jc w:val="center"/>
              <w:rPr>
                <w:rFonts w:cs="Times New Roman"/>
                <w:lang w:val="sr-Cyrl-RS"/>
              </w:rPr>
            </w:pPr>
          </w:p>
          <w:p w14:paraId="4E814108" w14:textId="77777777" w:rsidR="00F01ECE" w:rsidRPr="004D2E7C" w:rsidRDefault="00F01ECE" w:rsidP="00F01ECE">
            <w:pPr>
              <w:jc w:val="center"/>
              <w:rPr>
                <w:rFonts w:cs="Times New Roman"/>
                <w:lang w:val="sr-Cyrl-RS"/>
              </w:rPr>
            </w:pPr>
          </w:p>
          <w:p w14:paraId="4D244A9A" w14:textId="77777777" w:rsidR="00F01ECE" w:rsidRDefault="00F01ECE" w:rsidP="00F01ECE">
            <w:pPr>
              <w:jc w:val="center"/>
              <w:rPr>
                <w:rFonts w:cs="Times New Roman"/>
                <w:lang w:val="sr-Cyrl-RS"/>
              </w:rPr>
            </w:pPr>
          </w:p>
          <w:p w14:paraId="46187E18" w14:textId="6EA1B832" w:rsidR="00F01ECE" w:rsidRPr="004D2E7C" w:rsidRDefault="00F01ECE" w:rsidP="00F01ECE">
            <w:pPr>
              <w:jc w:val="center"/>
              <w:rPr>
                <w:rFonts w:cs="Times New Roman"/>
                <w:lang w:val="sr-Cyrl-RS"/>
              </w:rPr>
            </w:pPr>
            <w:r w:rsidRPr="004D2E7C">
              <w:rPr>
                <w:rFonts w:cs="Times New Roman"/>
                <w:lang w:val="sr-Cyrl-RS"/>
              </w:rPr>
              <w:t>2.4.8)</w:t>
            </w:r>
          </w:p>
        </w:tc>
        <w:tc>
          <w:tcPr>
            <w:tcW w:w="1296" w:type="pct"/>
            <w:vAlign w:val="center"/>
          </w:tcPr>
          <w:p w14:paraId="2B60A421" w14:textId="54AAAD1D" w:rsidR="00F01ECE" w:rsidRDefault="00F01ECE" w:rsidP="00F01ECE">
            <w:pPr>
              <w:tabs>
                <w:tab w:val="left" w:pos="993"/>
              </w:tabs>
              <w:jc w:val="both"/>
              <w:rPr>
                <w:iCs/>
                <w:color w:val="000000" w:themeColor="text1"/>
                <w:lang w:val="sr-Cyrl-RS"/>
              </w:rPr>
            </w:pPr>
            <w:r w:rsidRPr="006B3660">
              <w:rPr>
                <w:i/>
                <w:color w:val="000000" w:themeColor="text1"/>
                <w:lang w:val="sr-Cyrl-RS"/>
              </w:rPr>
              <w:t>стављање на тржиште</w:t>
            </w:r>
            <w:r w:rsidRPr="006B3660">
              <w:rPr>
                <w:iCs/>
                <w:color w:val="000000" w:themeColor="text1"/>
                <w:lang w:val="sr-Cyrl-RS"/>
              </w:rPr>
              <w:t xml:space="preserve"> је прва испорука производа на тржиште Републике Србије са циљем његове дистрибуције или употребе уз наплату или бесплатно, без обзира на начин продаје;</w:t>
            </w:r>
          </w:p>
          <w:p w14:paraId="655A37F4" w14:textId="77777777" w:rsidR="00F01ECE" w:rsidRPr="006B3660" w:rsidRDefault="00F01ECE" w:rsidP="00F01ECE">
            <w:pPr>
              <w:tabs>
                <w:tab w:val="left" w:pos="993"/>
              </w:tabs>
              <w:jc w:val="both"/>
              <w:rPr>
                <w:rFonts w:cs="Times New Roman"/>
                <w:iCs/>
                <w:color w:val="000000" w:themeColor="text1"/>
                <w:sz w:val="14"/>
                <w:szCs w:val="14"/>
                <w:lang w:val="sr-Cyrl-RS"/>
              </w:rPr>
            </w:pPr>
          </w:p>
          <w:p w14:paraId="46187E1A" w14:textId="0A6F86DF" w:rsidR="00F01ECE" w:rsidRPr="004D2E7C" w:rsidRDefault="00F01ECE" w:rsidP="00F01ECE">
            <w:pPr>
              <w:spacing w:after="120"/>
              <w:jc w:val="both"/>
              <w:rPr>
                <w:rFonts w:cs="Times New Roman"/>
                <w:lang w:val="sr-Cyrl-RS"/>
              </w:rPr>
            </w:pPr>
            <w:r w:rsidRPr="004D2E7C">
              <w:rPr>
                <w:rFonts w:cs="Times New Roman"/>
                <w:lang w:val="sr-Cyrl-RS"/>
              </w:rPr>
              <w:t>„стављање на тржиште” јесте прва испорука производа на тржиште Републике Србије;</w:t>
            </w:r>
          </w:p>
        </w:tc>
        <w:tc>
          <w:tcPr>
            <w:tcW w:w="235" w:type="pct"/>
            <w:vAlign w:val="center"/>
          </w:tcPr>
          <w:p w14:paraId="46187E1B" w14:textId="77777777" w:rsidR="00F01ECE" w:rsidRPr="004D2E7C" w:rsidRDefault="00F01ECE" w:rsidP="00F01ECE">
            <w:pPr>
              <w:jc w:val="center"/>
              <w:rPr>
                <w:rFonts w:cs="Times New Roman"/>
                <w:lang w:val="sr-Cyrl-RS"/>
              </w:rPr>
            </w:pPr>
            <w:r w:rsidRPr="004D2E7C">
              <w:rPr>
                <w:rFonts w:cs="Times New Roman"/>
                <w:lang w:val="sr-Cyrl-RS"/>
              </w:rPr>
              <w:t>ПУ</w:t>
            </w:r>
          </w:p>
        </w:tc>
        <w:tc>
          <w:tcPr>
            <w:tcW w:w="676" w:type="pct"/>
            <w:vAlign w:val="center"/>
          </w:tcPr>
          <w:p w14:paraId="46187E1C" w14:textId="7BE94E25" w:rsidR="00F01ECE" w:rsidRPr="004D2E7C" w:rsidRDefault="00F01ECE" w:rsidP="00F01ECE">
            <w:pPr>
              <w:rPr>
                <w:rFonts w:cs="Times New Roman"/>
                <w:lang w:val="sr-Cyrl-RS"/>
              </w:rPr>
            </w:pPr>
          </w:p>
        </w:tc>
        <w:tc>
          <w:tcPr>
            <w:tcW w:w="699" w:type="pct"/>
            <w:vAlign w:val="center"/>
          </w:tcPr>
          <w:p w14:paraId="46187E1D" w14:textId="4067DA27" w:rsidR="00F01ECE" w:rsidRPr="004D2E7C" w:rsidRDefault="00F01ECE" w:rsidP="00F01ECE">
            <w:pPr>
              <w:rPr>
                <w:rFonts w:cs="Times New Roman"/>
                <w:lang w:val="sr-Cyrl-RS"/>
              </w:rPr>
            </w:pPr>
            <w:r w:rsidRPr="004D2E7C">
              <w:rPr>
                <w:rFonts w:cs="Times New Roman"/>
                <w:lang w:val="sr-Cyrl-RS"/>
              </w:rPr>
              <w:t>У прелазним и завршним одредбама биће уређено да ће се након што Република Србија постане чланица ЕУ ова одредба односити на тржиште ЕУ.</w:t>
            </w:r>
          </w:p>
        </w:tc>
      </w:tr>
      <w:tr w:rsidR="00F01ECE" w:rsidRPr="004D2E7C" w14:paraId="46187E27" w14:textId="77777777" w:rsidTr="006B3660">
        <w:trPr>
          <w:trHeight w:val="291"/>
        </w:trPr>
        <w:tc>
          <w:tcPr>
            <w:tcW w:w="280" w:type="pct"/>
            <w:shd w:val="clear" w:color="auto" w:fill="D9D9D9"/>
            <w:vAlign w:val="center"/>
          </w:tcPr>
          <w:p w14:paraId="46187E1F" w14:textId="77777777" w:rsidR="00F01ECE" w:rsidRPr="004D2E7C" w:rsidRDefault="00F01ECE" w:rsidP="00F01ECE">
            <w:pPr>
              <w:jc w:val="center"/>
              <w:rPr>
                <w:rFonts w:eastAsia="Times New Roman" w:cs="Times New Roman"/>
                <w:lang w:val="sr-Cyrl-RS"/>
              </w:rPr>
            </w:pPr>
            <w:r w:rsidRPr="004D2E7C">
              <w:rPr>
                <w:rFonts w:eastAsia="Times New Roman" w:cs="Times New Roman"/>
                <w:lang w:val="sr-Cyrl-RS"/>
              </w:rPr>
              <w:t>2.(9)</w:t>
            </w:r>
          </w:p>
        </w:tc>
        <w:tc>
          <w:tcPr>
            <w:tcW w:w="1489" w:type="pct"/>
            <w:shd w:val="clear" w:color="auto" w:fill="D9D9D9"/>
            <w:vAlign w:val="center"/>
          </w:tcPr>
          <w:p w14:paraId="46187E20" w14:textId="77777777" w:rsidR="00F01ECE" w:rsidRPr="004D2E7C" w:rsidRDefault="00F01ECE" w:rsidP="00F01ECE">
            <w:pPr>
              <w:jc w:val="both"/>
              <w:rPr>
                <w:rFonts w:eastAsia="Times New Roman" w:cs="Times New Roman"/>
                <w:lang w:val="en-GB"/>
              </w:rPr>
            </w:pPr>
            <w:r w:rsidRPr="004D2E7C">
              <w:rPr>
                <w:rFonts w:cs="Times New Roman"/>
                <w:lang w:val="en-GB"/>
              </w:rPr>
              <w:t>‘putting into service’ means the first use of a product for its intended purpose on the Union market;</w:t>
            </w:r>
          </w:p>
        </w:tc>
        <w:tc>
          <w:tcPr>
            <w:tcW w:w="325" w:type="pct"/>
          </w:tcPr>
          <w:p w14:paraId="09811A74" w14:textId="77777777" w:rsidR="00F01ECE" w:rsidRPr="004D2E7C" w:rsidRDefault="00F01ECE" w:rsidP="00F01ECE">
            <w:pPr>
              <w:jc w:val="center"/>
              <w:rPr>
                <w:rFonts w:cs="Times New Roman"/>
                <w:lang w:val="sr-Cyrl-RS"/>
              </w:rPr>
            </w:pPr>
          </w:p>
          <w:p w14:paraId="5EA97562" w14:textId="13B0B904" w:rsidR="00F01ECE" w:rsidRPr="004D2E7C" w:rsidRDefault="00F01ECE" w:rsidP="00F01ECE">
            <w:pPr>
              <w:jc w:val="center"/>
              <w:rPr>
                <w:rFonts w:cs="Times New Roman"/>
                <w:b/>
                <w:bCs/>
                <w:lang w:val="sr-Cyrl-RS"/>
              </w:rPr>
            </w:pPr>
            <w:r w:rsidRPr="004D2E7C">
              <w:rPr>
                <w:rFonts w:cs="Times New Roman"/>
                <w:b/>
                <w:bCs/>
                <w:lang w:val="sr-Cyrl-RS"/>
              </w:rPr>
              <w:t>1.3.1.</w:t>
            </w:r>
            <w:r>
              <w:rPr>
                <w:rFonts w:cs="Times New Roman"/>
                <w:b/>
                <w:bCs/>
              </w:rPr>
              <w:t>6</w:t>
            </w:r>
            <w:r w:rsidR="00C561D0">
              <w:rPr>
                <w:rFonts w:cs="Times New Roman"/>
                <w:b/>
                <w:bCs/>
              </w:rPr>
              <w:t>0</w:t>
            </w:r>
            <w:r w:rsidRPr="004D2E7C">
              <w:rPr>
                <w:rFonts w:cs="Times New Roman"/>
                <w:b/>
                <w:bCs/>
                <w:lang w:val="sr-Cyrl-RS"/>
              </w:rPr>
              <w:t>)</w:t>
            </w:r>
          </w:p>
          <w:p w14:paraId="32F18D8D" w14:textId="38E08CB6" w:rsidR="00F01ECE" w:rsidRPr="004D2E7C" w:rsidRDefault="00F01ECE" w:rsidP="00F01ECE">
            <w:pPr>
              <w:jc w:val="center"/>
              <w:rPr>
                <w:rFonts w:cs="Times New Roman"/>
                <w:lang w:val="sr-Cyrl-RS"/>
              </w:rPr>
            </w:pPr>
          </w:p>
          <w:p w14:paraId="19830147" w14:textId="77777777" w:rsidR="00F01ECE" w:rsidRPr="004D2E7C" w:rsidRDefault="00F01ECE" w:rsidP="00F01ECE">
            <w:pPr>
              <w:jc w:val="center"/>
              <w:rPr>
                <w:rFonts w:cs="Times New Roman"/>
                <w:lang w:val="sr-Cyrl-RS"/>
              </w:rPr>
            </w:pPr>
          </w:p>
          <w:p w14:paraId="46187E21" w14:textId="1D68F5C6" w:rsidR="00F01ECE" w:rsidRPr="004D2E7C" w:rsidRDefault="00F01ECE" w:rsidP="00F01ECE">
            <w:pPr>
              <w:jc w:val="center"/>
              <w:rPr>
                <w:rFonts w:cs="Times New Roman"/>
                <w:lang w:val="sr-Cyrl-RS"/>
              </w:rPr>
            </w:pPr>
            <w:r w:rsidRPr="004D2E7C">
              <w:rPr>
                <w:rFonts w:cs="Times New Roman"/>
                <w:lang w:val="sr-Cyrl-RS"/>
              </w:rPr>
              <w:t>2.4.13)</w:t>
            </w:r>
          </w:p>
        </w:tc>
        <w:tc>
          <w:tcPr>
            <w:tcW w:w="1296" w:type="pct"/>
            <w:vAlign w:val="center"/>
          </w:tcPr>
          <w:p w14:paraId="310AAED2" w14:textId="37001F42" w:rsidR="00F01ECE" w:rsidRDefault="00F01ECE" w:rsidP="00F01ECE">
            <w:pPr>
              <w:jc w:val="both"/>
              <w:rPr>
                <w:rFonts w:eastAsia="Times New Roman" w:cs="Times New Roman"/>
                <w:iCs/>
                <w:lang w:val="sr-Cyrl-RS"/>
              </w:rPr>
            </w:pPr>
            <w:r w:rsidRPr="004D2E7C">
              <w:rPr>
                <w:rFonts w:eastAsia="Times New Roman" w:cs="Times New Roman"/>
                <w:i/>
                <w:lang w:val="sr-Cyrl-RS"/>
              </w:rPr>
              <w:t>пуштање у рад</w:t>
            </w:r>
            <w:r w:rsidRPr="004D2E7C">
              <w:rPr>
                <w:rFonts w:eastAsia="Times New Roman" w:cs="Times New Roman"/>
                <w:iCs/>
                <w:lang w:val="sr-Cyrl-RS"/>
              </w:rPr>
              <w:t xml:space="preserve"> је прво коришћење неког производа у Републици Србији у складу са његовом наменом;</w:t>
            </w:r>
          </w:p>
          <w:p w14:paraId="1ABBFA73" w14:textId="77777777" w:rsidR="00F01ECE" w:rsidRPr="006B3660" w:rsidRDefault="00F01ECE" w:rsidP="00F01ECE">
            <w:pPr>
              <w:jc w:val="both"/>
              <w:rPr>
                <w:rFonts w:eastAsia="Times New Roman" w:cs="Times New Roman"/>
                <w:iCs/>
                <w:sz w:val="14"/>
                <w:szCs w:val="14"/>
                <w:lang w:val="sr-Cyrl-RS"/>
              </w:rPr>
            </w:pPr>
          </w:p>
          <w:p w14:paraId="46187E23" w14:textId="3883CE97" w:rsidR="00F01ECE" w:rsidRPr="004D2E7C" w:rsidRDefault="00F01ECE" w:rsidP="00F01ECE">
            <w:pPr>
              <w:spacing w:after="120"/>
              <w:jc w:val="both"/>
              <w:rPr>
                <w:rFonts w:cs="Times New Roman"/>
                <w:lang w:val="sr-Cyrl-RS"/>
              </w:rPr>
            </w:pPr>
            <w:r w:rsidRPr="004D2E7C">
              <w:rPr>
                <w:rFonts w:cs="Times New Roman"/>
                <w:lang w:val="sr-Cyrl-RS"/>
              </w:rPr>
              <w:t>„стављање у употребу” јесте прво коришћење неког производа у Републици Србији у складу са његовом наменом;</w:t>
            </w:r>
          </w:p>
        </w:tc>
        <w:tc>
          <w:tcPr>
            <w:tcW w:w="235" w:type="pct"/>
            <w:vAlign w:val="center"/>
          </w:tcPr>
          <w:p w14:paraId="46187E24" w14:textId="77777777" w:rsidR="00F01ECE" w:rsidRPr="004D2E7C" w:rsidRDefault="00F01ECE" w:rsidP="00F01ECE">
            <w:pPr>
              <w:jc w:val="center"/>
              <w:rPr>
                <w:rFonts w:cs="Times New Roman"/>
                <w:lang w:val="sr-Cyrl-RS"/>
              </w:rPr>
            </w:pPr>
            <w:r w:rsidRPr="004D2E7C">
              <w:rPr>
                <w:rFonts w:cs="Times New Roman"/>
                <w:lang w:val="sr-Cyrl-RS"/>
              </w:rPr>
              <w:t>ПУ</w:t>
            </w:r>
          </w:p>
        </w:tc>
        <w:tc>
          <w:tcPr>
            <w:tcW w:w="676" w:type="pct"/>
            <w:vAlign w:val="center"/>
          </w:tcPr>
          <w:p w14:paraId="46187E25" w14:textId="4D966E5B" w:rsidR="00F01ECE" w:rsidRPr="004D2E7C" w:rsidRDefault="00F01ECE" w:rsidP="00F01ECE">
            <w:pPr>
              <w:rPr>
                <w:rFonts w:cs="Times New Roman"/>
                <w:lang w:val="sr-Cyrl-RS"/>
              </w:rPr>
            </w:pPr>
          </w:p>
        </w:tc>
        <w:tc>
          <w:tcPr>
            <w:tcW w:w="699" w:type="pct"/>
            <w:vAlign w:val="center"/>
          </w:tcPr>
          <w:p w14:paraId="46187E26" w14:textId="1F1473CD" w:rsidR="00F01ECE" w:rsidRPr="004D2E7C" w:rsidRDefault="00F01ECE" w:rsidP="00F01ECE">
            <w:pPr>
              <w:rPr>
                <w:rFonts w:cs="Times New Roman"/>
                <w:lang w:val="sr-Cyrl-RS"/>
              </w:rPr>
            </w:pPr>
            <w:r w:rsidRPr="004D2E7C">
              <w:rPr>
                <w:rFonts w:cs="Times New Roman"/>
                <w:lang w:val="sr-Cyrl-RS"/>
              </w:rPr>
              <w:t>У прелазним и завршним одредбама биће уређено да ће се након што Република Србија постане чланица ЕУ ова одредба односити на тржиште ЕУ.</w:t>
            </w:r>
          </w:p>
        </w:tc>
      </w:tr>
      <w:tr w:rsidR="00F01ECE" w:rsidRPr="004D2E7C" w14:paraId="46187E3C" w14:textId="77777777" w:rsidTr="006B3660">
        <w:trPr>
          <w:trHeight w:val="291"/>
        </w:trPr>
        <w:tc>
          <w:tcPr>
            <w:tcW w:w="280" w:type="pct"/>
            <w:shd w:val="clear" w:color="auto" w:fill="D9D9D9"/>
            <w:vAlign w:val="center"/>
          </w:tcPr>
          <w:p w14:paraId="46187E28" w14:textId="77777777" w:rsidR="00F01ECE" w:rsidRPr="004D2E7C" w:rsidRDefault="00F01ECE" w:rsidP="00F01ECE">
            <w:pPr>
              <w:jc w:val="center"/>
              <w:rPr>
                <w:rFonts w:eastAsia="Times New Roman" w:cs="Times New Roman"/>
                <w:lang w:val="sr-Cyrl-RS"/>
              </w:rPr>
            </w:pPr>
            <w:r w:rsidRPr="004D2E7C">
              <w:rPr>
                <w:rFonts w:eastAsia="Times New Roman" w:cs="Times New Roman"/>
                <w:lang w:val="sr-Cyrl-RS"/>
              </w:rPr>
              <w:t>2.(10)</w:t>
            </w:r>
          </w:p>
        </w:tc>
        <w:tc>
          <w:tcPr>
            <w:tcW w:w="1489" w:type="pct"/>
            <w:shd w:val="clear" w:color="auto" w:fill="D9D9D9"/>
            <w:vAlign w:val="center"/>
          </w:tcPr>
          <w:p w14:paraId="46187E29" w14:textId="77777777" w:rsidR="00F01ECE" w:rsidRPr="004D2E7C" w:rsidRDefault="00F01ECE" w:rsidP="00F01ECE">
            <w:pPr>
              <w:jc w:val="both"/>
              <w:rPr>
                <w:rFonts w:eastAsia="Times New Roman" w:cs="Times New Roman"/>
                <w:lang w:val="en-GB"/>
              </w:rPr>
            </w:pPr>
            <w:r w:rsidRPr="004D2E7C">
              <w:rPr>
                <w:rFonts w:cs="Times New Roman"/>
                <w:lang w:val="en-GB"/>
              </w:rPr>
              <w:t>‘manufacturer’ means a natural or legal person who manufactures a product or has a product designed or manufactured, and markets that product under its name or trademark;</w:t>
            </w:r>
          </w:p>
        </w:tc>
        <w:tc>
          <w:tcPr>
            <w:tcW w:w="325" w:type="pct"/>
          </w:tcPr>
          <w:p w14:paraId="46187E2A" w14:textId="77777777" w:rsidR="00F01ECE" w:rsidRPr="004D2E7C" w:rsidRDefault="00F01ECE" w:rsidP="00F01ECE">
            <w:pPr>
              <w:jc w:val="center"/>
              <w:rPr>
                <w:rFonts w:cs="Times New Roman"/>
                <w:b/>
                <w:bCs/>
                <w:lang w:val="sr-Cyrl-RS"/>
              </w:rPr>
            </w:pPr>
          </w:p>
          <w:p w14:paraId="46187E2C" w14:textId="60217C6C" w:rsidR="00F01ECE" w:rsidRPr="004D2E7C" w:rsidRDefault="00F01ECE" w:rsidP="00F01ECE">
            <w:pPr>
              <w:jc w:val="center"/>
              <w:rPr>
                <w:rFonts w:cs="Times New Roman"/>
                <w:b/>
                <w:bCs/>
                <w:lang w:val="sr-Cyrl-RS"/>
              </w:rPr>
            </w:pPr>
            <w:r w:rsidRPr="004D2E7C">
              <w:rPr>
                <w:rFonts w:cs="Times New Roman"/>
                <w:b/>
                <w:bCs/>
                <w:lang w:val="sr-Cyrl-RS"/>
              </w:rPr>
              <w:t>1.3.5</w:t>
            </w:r>
            <w:r w:rsidR="00C561D0">
              <w:rPr>
                <w:rFonts w:cs="Times New Roman"/>
                <w:b/>
                <w:bCs/>
              </w:rPr>
              <w:t>8</w:t>
            </w:r>
            <w:r w:rsidRPr="004D2E7C">
              <w:rPr>
                <w:rFonts w:cs="Times New Roman"/>
                <w:b/>
                <w:bCs/>
                <w:lang w:val="sr-Cyrl-RS"/>
              </w:rPr>
              <w:t>)</w:t>
            </w:r>
          </w:p>
          <w:p w14:paraId="46187E2D" w14:textId="77777777" w:rsidR="00F01ECE" w:rsidRPr="004D2E7C" w:rsidRDefault="00F01ECE" w:rsidP="00F01ECE">
            <w:pPr>
              <w:jc w:val="center"/>
              <w:rPr>
                <w:rFonts w:cs="Times New Roman"/>
                <w:lang w:val="sr-Cyrl-RS"/>
              </w:rPr>
            </w:pPr>
          </w:p>
          <w:p w14:paraId="46187E2E" w14:textId="77777777" w:rsidR="00F01ECE" w:rsidRPr="004D2E7C" w:rsidRDefault="00F01ECE" w:rsidP="00F01ECE">
            <w:pPr>
              <w:jc w:val="center"/>
              <w:rPr>
                <w:rFonts w:cs="Times New Roman"/>
                <w:lang w:val="sr-Cyrl-RS"/>
              </w:rPr>
            </w:pPr>
          </w:p>
          <w:p w14:paraId="46187E2F" w14:textId="77777777" w:rsidR="00F01ECE" w:rsidRPr="004D2E7C" w:rsidRDefault="00F01ECE" w:rsidP="00F01ECE">
            <w:pPr>
              <w:jc w:val="center"/>
              <w:rPr>
                <w:rFonts w:cs="Times New Roman"/>
                <w:lang w:val="sr-Cyrl-RS"/>
              </w:rPr>
            </w:pPr>
          </w:p>
          <w:p w14:paraId="46187E30" w14:textId="5E261C59" w:rsidR="00F01ECE" w:rsidRPr="004D2E7C" w:rsidRDefault="00F01ECE" w:rsidP="00F01ECE">
            <w:pPr>
              <w:jc w:val="center"/>
              <w:rPr>
                <w:rFonts w:cs="Times New Roman"/>
                <w:lang w:val="sr-Cyrl-RS"/>
              </w:rPr>
            </w:pPr>
          </w:p>
          <w:p w14:paraId="771A7618" w14:textId="77777777" w:rsidR="00F01ECE" w:rsidRPr="004D2E7C" w:rsidRDefault="00F01ECE" w:rsidP="00F01ECE">
            <w:pPr>
              <w:jc w:val="center"/>
              <w:rPr>
                <w:rFonts w:cs="Times New Roman"/>
                <w:lang w:val="sr-Cyrl-RS"/>
              </w:rPr>
            </w:pPr>
          </w:p>
          <w:p w14:paraId="46187E31" w14:textId="77777777" w:rsidR="00F01ECE" w:rsidRPr="004D2E7C" w:rsidRDefault="00F01ECE" w:rsidP="00F01ECE">
            <w:pPr>
              <w:jc w:val="center"/>
              <w:rPr>
                <w:rFonts w:cs="Times New Roman"/>
                <w:lang w:val="sr-Cyrl-RS"/>
              </w:rPr>
            </w:pPr>
            <w:r w:rsidRPr="004D2E7C">
              <w:rPr>
                <w:rFonts w:cs="Times New Roman"/>
                <w:lang w:val="sr-Cyrl-RS"/>
              </w:rPr>
              <w:t>2.4.9)</w:t>
            </w:r>
          </w:p>
          <w:p w14:paraId="46187E32" w14:textId="77777777" w:rsidR="00F01ECE" w:rsidRPr="004D2E7C" w:rsidRDefault="00F01ECE" w:rsidP="00F01ECE">
            <w:pPr>
              <w:jc w:val="center"/>
              <w:rPr>
                <w:rFonts w:cs="Times New Roman"/>
                <w:lang w:val="sr-Cyrl-RS"/>
              </w:rPr>
            </w:pPr>
          </w:p>
          <w:p w14:paraId="46187E33" w14:textId="77777777" w:rsidR="00F01ECE" w:rsidRPr="004D2E7C" w:rsidRDefault="00F01ECE" w:rsidP="00F01ECE">
            <w:pPr>
              <w:jc w:val="center"/>
              <w:rPr>
                <w:rFonts w:cs="Times New Roman"/>
                <w:lang w:val="sr-Cyrl-RS"/>
              </w:rPr>
            </w:pPr>
          </w:p>
          <w:p w14:paraId="46187E34" w14:textId="77777777" w:rsidR="00F01ECE" w:rsidRPr="004D2E7C" w:rsidRDefault="00F01ECE" w:rsidP="00F01ECE">
            <w:pPr>
              <w:jc w:val="center"/>
              <w:rPr>
                <w:rFonts w:cs="Times New Roman"/>
                <w:lang w:val="sr-Cyrl-RS"/>
              </w:rPr>
            </w:pPr>
          </w:p>
        </w:tc>
        <w:tc>
          <w:tcPr>
            <w:tcW w:w="1296" w:type="pct"/>
          </w:tcPr>
          <w:p w14:paraId="46187E35" w14:textId="53A7AC52" w:rsidR="00F01ECE" w:rsidRPr="004D2E7C" w:rsidRDefault="00F01ECE" w:rsidP="00F01ECE">
            <w:pPr>
              <w:contextualSpacing/>
              <w:jc w:val="both"/>
              <w:rPr>
                <w:rFonts w:eastAsia="Times New Roman" w:cs="Times New Roman"/>
                <w:lang w:val="sr-Cyrl-RS"/>
              </w:rPr>
            </w:pPr>
            <w:r w:rsidRPr="004D2E7C">
              <w:rPr>
                <w:rFonts w:eastAsia="Times New Roman" w:cs="Times New Roman"/>
                <w:i/>
                <w:lang w:val="sr-Cyrl-RS"/>
              </w:rPr>
              <w:lastRenderedPageBreak/>
              <w:t>произвођач</w:t>
            </w:r>
            <w:r w:rsidRPr="004D2E7C">
              <w:rPr>
                <w:rFonts w:eastAsia="Times New Roman" w:cs="Times New Roman"/>
                <w:iCs/>
                <w:lang w:val="sr-Cyrl-RS"/>
              </w:rPr>
              <w:t xml:space="preserve"> је физичко или правно лице или предузетник који производи производ или за ког се производ пројектује или производи, а које тај производ ставља на тржиште под својим именом или жигом;</w:t>
            </w:r>
          </w:p>
          <w:p w14:paraId="46187E36" w14:textId="77777777" w:rsidR="00F01ECE" w:rsidRPr="006B3660" w:rsidRDefault="00F01ECE" w:rsidP="00F01ECE">
            <w:pPr>
              <w:contextualSpacing/>
              <w:jc w:val="both"/>
              <w:rPr>
                <w:rFonts w:cs="Times New Roman"/>
                <w:sz w:val="14"/>
                <w:szCs w:val="14"/>
                <w:lang w:val="sr-Cyrl-RS"/>
              </w:rPr>
            </w:pPr>
          </w:p>
          <w:p w14:paraId="46187E38" w14:textId="16384175" w:rsidR="00F01ECE" w:rsidRPr="006B3660" w:rsidRDefault="00F01ECE" w:rsidP="00F01ECE">
            <w:pPr>
              <w:spacing w:after="120"/>
              <w:jc w:val="both"/>
              <w:rPr>
                <w:rFonts w:cs="Times New Roman"/>
                <w:lang w:val="sr-Cyrl-RS"/>
              </w:rPr>
            </w:pPr>
            <w:r w:rsidRPr="004D2E7C">
              <w:rPr>
                <w:rFonts w:cs="Times New Roman"/>
                <w:lang w:val="sr-Cyrl-RS"/>
              </w:rPr>
              <w:t>"произвођач" јесте правно лице, предузетник или физичко лице које израђује производ или лице које се представља као произвођач стављањем на производ свог пословног имена, имена или назива, жига, неке друге препознатљиве ознаке или на други начин;</w:t>
            </w:r>
          </w:p>
        </w:tc>
        <w:tc>
          <w:tcPr>
            <w:tcW w:w="235" w:type="pct"/>
            <w:vAlign w:val="center"/>
          </w:tcPr>
          <w:p w14:paraId="46187E39" w14:textId="77777777" w:rsidR="00F01ECE" w:rsidRPr="004D2E7C" w:rsidRDefault="00F01ECE" w:rsidP="00F01ECE">
            <w:pPr>
              <w:jc w:val="center"/>
              <w:rPr>
                <w:rFonts w:cs="Times New Roman"/>
                <w:lang w:val="sr-Cyrl-RS"/>
              </w:rPr>
            </w:pPr>
            <w:r w:rsidRPr="004D2E7C">
              <w:rPr>
                <w:rFonts w:cs="Times New Roman"/>
                <w:lang w:val="sr-Cyrl-RS"/>
              </w:rPr>
              <w:lastRenderedPageBreak/>
              <w:t>ПУ</w:t>
            </w:r>
          </w:p>
        </w:tc>
        <w:tc>
          <w:tcPr>
            <w:tcW w:w="676" w:type="pct"/>
          </w:tcPr>
          <w:p w14:paraId="46187E3A" w14:textId="77777777" w:rsidR="00F01ECE" w:rsidRPr="004D2E7C" w:rsidRDefault="00F01ECE" w:rsidP="00F01ECE">
            <w:pPr>
              <w:rPr>
                <w:rFonts w:cs="Times New Roman"/>
                <w:lang w:val="sr-Cyrl-RS"/>
              </w:rPr>
            </w:pPr>
          </w:p>
        </w:tc>
        <w:tc>
          <w:tcPr>
            <w:tcW w:w="699" w:type="pct"/>
            <w:vAlign w:val="center"/>
          </w:tcPr>
          <w:p w14:paraId="46187E3B" w14:textId="77777777" w:rsidR="00F01ECE" w:rsidRPr="004D2E7C" w:rsidRDefault="00F01ECE" w:rsidP="00F01ECE">
            <w:pPr>
              <w:rPr>
                <w:rFonts w:cs="Times New Roman"/>
                <w:lang w:val="sr-Cyrl-RS"/>
              </w:rPr>
            </w:pPr>
          </w:p>
        </w:tc>
      </w:tr>
      <w:tr w:rsidR="00F01ECE" w:rsidRPr="004D2E7C" w14:paraId="46187E52" w14:textId="77777777" w:rsidTr="006B3660">
        <w:trPr>
          <w:trHeight w:val="291"/>
        </w:trPr>
        <w:tc>
          <w:tcPr>
            <w:tcW w:w="280" w:type="pct"/>
            <w:shd w:val="clear" w:color="auto" w:fill="D9D9D9"/>
            <w:vAlign w:val="center"/>
          </w:tcPr>
          <w:p w14:paraId="46187E3D" w14:textId="77777777" w:rsidR="00F01ECE" w:rsidRPr="004D2E7C" w:rsidRDefault="00F01ECE" w:rsidP="00F01ECE">
            <w:pPr>
              <w:jc w:val="center"/>
              <w:rPr>
                <w:rFonts w:eastAsia="Times New Roman" w:cs="Times New Roman"/>
                <w:lang w:val="sr-Cyrl-RS"/>
              </w:rPr>
            </w:pPr>
            <w:r w:rsidRPr="004D2E7C">
              <w:rPr>
                <w:rFonts w:eastAsia="Times New Roman" w:cs="Times New Roman"/>
                <w:lang w:val="sr-Cyrl-RS"/>
              </w:rPr>
              <w:lastRenderedPageBreak/>
              <w:t>2.(11)</w:t>
            </w:r>
          </w:p>
        </w:tc>
        <w:tc>
          <w:tcPr>
            <w:tcW w:w="1489" w:type="pct"/>
            <w:shd w:val="clear" w:color="auto" w:fill="D9D9D9"/>
            <w:vAlign w:val="center"/>
          </w:tcPr>
          <w:p w14:paraId="46187E3E" w14:textId="77777777" w:rsidR="00F01ECE" w:rsidRPr="004D2E7C" w:rsidRDefault="00F01ECE" w:rsidP="00F01ECE">
            <w:pPr>
              <w:jc w:val="both"/>
              <w:rPr>
                <w:rFonts w:eastAsia="Times New Roman" w:cs="Times New Roman"/>
                <w:lang w:val="en-GB"/>
              </w:rPr>
            </w:pPr>
            <w:r w:rsidRPr="004D2E7C">
              <w:rPr>
                <w:rFonts w:cs="Times New Roman"/>
                <w:lang w:val="en-GB"/>
              </w:rPr>
              <w:t>‘authorised representative’ means a natural or legal person established in the Union who has received a written mandate from the manufacturer to act on its behalf in relation to specified tasks;</w:t>
            </w:r>
          </w:p>
        </w:tc>
        <w:tc>
          <w:tcPr>
            <w:tcW w:w="325" w:type="pct"/>
          </w:tcPr>
          <w:p w14:paraId="46187E3F" w14:textId="77777777" w:rsidR="00F01ECE" w:rsidRPr="004D2E7C" w:rsidRDefault="00F01ECE" w:rsidP="00F01ECE">
            <w:pPr>
              <w:jc w:val="center"/>
              <w:rPr>
                <w:rFonts w:cs="Times New Roman"/>
                <w:b/>
                <w:bCs/>
                <w:lang w:val="sr-Cyrl-RS"/>
              </w:rPr>
            </w:pPr>
          </w:p>
          <w:p w14:paraId="46187E40" w14:textId="76E3158C" w:rsidR="00F01ECE" w:rsidRPr="004D2E7C" w:rsidRDefault="00F01ECE" w:rsidP="00F01ECE">
            <w:pPr>
              <w:jc w:val="center"/>
              <w:rPr>
                <w:rFonts w:cs="Times New Roman"/>
                <w:b/>
                <w:bCs/>
                <w:lang w:val="sr-Cyrl-RS"/>
              </w:rPr>
            </w:pPr>
            <w:r w:rsidRPr="004D2E7C">
              <w:rPr>
                <w:rFonts w:cs="Times New Roman"/>
                <w:b/>
                <w:bCs/>
                <w:lang w:val="sr-Cyrl-RS"/>
              </w:rPr>
              <w:t>1.3.</w:t>
            </w:r>
            <w:r>
              <w:rPr>
                <w:rFonts w:cs="Times New Roman"/>
                <w:b/>
                <w:bCs/>
              </w:rPr>
              <w:t>20</w:t>
            </w:r>
            <w:r w:rsidRPr="004D2E7C">
              <w:rPr>
                <w:rFonts w:cs="Times New Roman"/>
                <w:b/>
                <w:bCs/>
                <w:lang w:val="sr-Cyrl-RS"/>
              </w:rPr>
              <w:t>)</w:t>
            </w:r>
          </w:p>
          <w:p w14:paraId="46187E41" w14:textId="77777777" w:rsidR="00F01ECE" w:rsidRPr="004D2E7C" w:rsidRDefault="00F01ECE" w:rsidP="00F01ECE">
            <w:pPr>
              <w:jc w:val="center"/>
              <w:rPr>
                <w:rFonts w:cs="Times New Roman"/>
                <w:lang w:val="sr-Cyrl-RS"/>
              </w:rPr>
            </w:pPr>
          </w:p>
          <w:p w14:paraId="46187E42" w14:textId="77777777" w:rsidR="00F01ECE" w:rsidRPr="004D2E7C" w:rsidRDefault="00F01ECE" w:rsidP="00F01ECE">
            <w:pPr>
              <w:jc w:val="center"/>
              <w:rPr>
                <w:rFonts w:cs="Times New Roman"/>
                <w:lang w:val="sr-Cyrl-RS"/>
              </w:rPr>
            </w:pPr>
          </w:p>
          <w:p w14:paraId="46187E43" w14:textId="77777777" w:rsidR="00F01ECE" w:rsidRPr="004D2E7C" w:rsidRDefault="00F01ECE" w:rsidP="00F01ECE">
            <w:pPr>
              <w:jc w:val="center"/>
              <w:rPr>
                <w:rFonts w:cs="Times New Roman"/>
                <w:lang w:val="sr-Cyrl-RS"/>
              </w:rPr>
            </w:pPr>
          </w:p>
          <w:p w14:paraId="46187E44" w14:textId="77777777" w:rsidR="00F01ECE" w:rsidRPr="004D2E7C" w:rsidRDefault="00F01ECE" w:rsidP="00F01ECE">
            <w:pPr>
              <w:jc w:val="center"/>
              <w:rPr>
                <w:rFonts w:cs="Times New Roman"/>
                <w:lang w:val="sr-Cyrl-RS"/>
              </w:rPr>
            </w:pPr>
          </w:p>
          <w:p w14:paraId="46187E45" w14:textId="5BA0A977" w:rsidR="00F01ECE" w:rsidRPr="004D2E7C" w:rsidRDefault="00F01ECE" w:rsidP="00F01ECE">
            <w:pPr>
              <w:jc w:val="center"/>
              <w:rPr>
                <w:rFonts w:cs="Times New Roman"/>
                <w:lang w:val="sr-Cyrl-RS"/>
              </w:rPr>
            </w:pPr>
          </w:p>
          <w:p w14:paraId="3D922B13" w14:textId="77777777" w:rsidR="00F01ECE" w:rsidRPr="004D2E7C" w:rsidRDefault="00F01ECE" w:rsidP="00F01ECE">
            <w:pPr>
              <w:jc w:val="center"/>
              <w:rPr>
                <w:rFonts w:cs="Times New Roman"/>
                <w:lang w:val="sr-Cyrl-RS"/>
              </w:rPr>
            </w:pPr>
          </w:p>
          <w:p w14:paraId="46187E46" w14:textId="77777777" w:rsidR="00F01ECE" w:rsidRPr="004D2E7C" w:rsidRDefault="00F01ECE" w:rsidP="00F01ECE">
            <w:pPr>
              <w:jc w:val="center"/>
              <w:rPr>
                <w:rFonts w:cs="Times New Roman"/>
                <w:lang w:val="sr-Cyrl-RS"/>
              </w:rPr>
            </w:pPr>
            <w:r w:rsidRPr="004D2E7C">
              <w:rPr>
                <w:rFonts w:cs="Times New Roman"/>
                <w:lang w:val="sr-Cyrl-RS"/>
              </w:rPr>
              <w:t>2.4.10)</w:t>
            </w:r>
          </w:p>
          <w:p w14:paraId="46187E47" w14:textId="77777777" w:rsidR="00F01ECE" w:rsidRPr="004D2E7C" w:rsidRDefault="00F01ECE" w:rsidP="00F01ECE">
            <w:pPr>
              <w:jc w:val="center"/>
              <w:rPr>
                <w:rFonts w:cs="Times New Roman"/>
                <w:lang w:val="sr-Cyrl-RS"/>
              </w:rPr>
            </w:pPr>
          </w:p>
          <w:p w14:paraId="46187E48" w14:textId="77777777" w:rsidR="00F01ECE" w:rsidRPr="004D2E7C" w:rsidRDefault="00F01ECE" w:rsidP="00F01ECE">
            <w:pPr>
              <w:jc w:val="center"/>
              <w:rPr>
                <w:rFonts w:cs="Times New Roman"/>
                <w:lang w:val="sr-Cyrl-RS"/>
              </w:rPr>
            </w:pPr>
          </w:p>
          <w:p w14:paraId="46187E49" w14:textId="77777777" w:rsidR="00F01ECE" w:rsidRPr="004D2E7C" w:rsidRDefault="00F01ECE" w:rsidP="00F01ECE">
            <w:pPr>
              <w:jc w:val="center"/>
              <w:rPr>
                <w:rFonts w:cs="Times New Roman"/>
                <w:lang w:val="sr-Cyrl-RS"/>
              </w:rPr>
            </w:pPr>
          </w:p>
          <w:p w14:paraId="46187E4A" w14:textId="77777777" w:rsidR="00F01ECE" w:rsidRPr="004D2E7C" w:rsidRDefault="00F01ECE" w:rsidP="00F01ECE">
            <w:pPr>
              <w:jc w:val="center"/>
              <w:rPr>
                <w:rFonts w:cs="Times New Roman"/>
                <w:lang w:val="sr-Cyrl-RS"/>
              </w:rPr>
            </w:pPr>
          </w:p>
        </w:tc>
        <w:tc>
          <w:tcPr>
            <w:tcW w:w="1296" w:type="pct"/>
          </w:tcPr>
          <w:p w14:paraId="46187E4C" w14:textId="6D8020E1" w:rsidR="00F01ECE" w:rsidRPr="004D2E7C" w:rsidRDefault="00F01ECE" w:rsidP="00F01ECE">
            <w:pPr>
              <w:contextualSpacing/>
              <w:jc w:val="both"/>
              <w:rPr>
                <w:rFonts w:eastAsia="Times New Roman" w:cs="Times New Roman"/>
                <w:iCs/>
                <w:lang w:val="sr-Cyrl-RS"/>
              </w:rPr>
            </w:pPr>
            <w:r w:rsidRPr="004D2E7C">
              <w:rPr>
                <w:rFonts w:eastAsia="Times New Roman" w:cs="Times New Roman"/>
                <w:i/>
                <w:lang w:val="sr-Cyrl-RS"/>
              </w:rPr>
              <w:t>заступник</w:t>
            </w:r>
            <w:r w:rsidRPr="004D2E7C">
              <w:rPr>
                <w:rFonts w:eastAsia="Times New Roman" w:cs="Times New Roman"/>
                <w:iCs/>
                <w:lang w:val="sr-Cyrl-RS"/>
              </w:rPr>
              <w:t xml:space="preserve"> је правно лице или предузетник регистрован у Републици Србији, којег је произвођач писмено овластио да за његов рачун предузима радње у вези са стављањем производа на тржиште Републике Србије;</w:t>
            </w:r>
          </w:p>
          <w:p w14:paraId="677A5877" w14:textId="77777777" w:rsidR="00F01ECE" w:rsidRPr="00F01ECE" w:rsidRDefault="00F01ECE" w:rsidP="00F01ECE">
            <w:pPr>
              <w:contextualSpacing/>
              <w:jc w:val="both"/>
              <w:rPr>
                <w:rFonts w:cs="Times New Roman"/>
                <w:sz w:val="14"/>
                <w:szCs w:val="14"/>
                <w:lang w:val="sr-Cyrl-RS"/>
              </w:rPr>
            </w:pPr>
          </w:p>
          <w:p w14:paraId="46187E4E" w14:textId="00BE8E94" w:rsidR="00F01ECE" w:rsidRPr="004D2E7C" w:rsidRDefault="00F01ECE" w:rsidP="00F01ECE">
            <w:pPr>
              <w:spacing w:after="120"/>
              <w:jc w:val="both"/>
              <w:rPr>
                <w:rFonts w:eastAsia="Times New Roman" w:cs="Times New Roman"/>
                <w:lang w:val="sr-Cyrl-RS"/>
              </w:rPr>
            </w:pPr>
            <w:r w:rsidRPr="004D2E7C">
              <w:rPr>
                <w:rFonts w:cs="Times New Roman"/>
                <w:lang w:val="sr-Cyrl-RS"/>
              </w:rPr>
              <w:t>"заступник" јесте правно лице или предузетник регистрован у Републици Србији, односно физичко лице са пребивалиштем у Републици Србији, које је произвођач овластио да за његов рачун предузима радње из овлашћења, а у вези са стављањем производа на тржиште Републике Србије;</w:t>
            </w:r>
          </w:p>
        </w:tc>
        <w:tc>
          <w:tcPr>
            <w:tcW w:w="235" w:type="pct"/>
            <w:vAlign w:val="center"/>
          </w:tcPr>
          <w:p w14:paraId="46187E4F" w14:textId="77777777" w:rsidR="00F01ECE" w:rsidRPr="004D2E7C" w:rsidRDefault="00F01ECE" w:rsidP="00F01ECE">
            <w:pPr>
              <w:jc w:val="center"/>
              <w:rPr>
                <w:rFonts w:cs="Times New Roman"/>
                <w:lang w:val="sr-Cyrl-RS"/>
              </w:rPr>
            </w:pPr>
            <w:r w:rsidRPr="004D2E7C">
              <w:rPr>
                <w:rFonts w:cs="Times New Roman"/>
                <w:lang w:val="sr-Cyrl-RS"/>
              </w:rPr>
              <w:t>ПУ</w:t>
            </w:r>
          </w:p>
        </w:tc>
        <w:tc>
          <w:tcPr>
            <w:tcW w:w="676" w:type="pct"/>
            <w:vAlign w:val="center"/>
          </w:tcPr>
          <w:p w14:paraId="46187E50" w14:textId="389D8826" w:rsidR="00F01ECE" w:rsidRPr="004D2E7C" w:rsidRDefault="00F01ECE" w:rsidP="00F01ECE">
            <w:pPr>
              <w:rPr>
                <w:rFonts w:cs="Times New Roman"/>
                <w:lang w:val="sr-Cyrl-RS"/>
              </w:rPr>
            </w:pPr>
          </w:p>
        </w:tc>
        <w:tc>
          <w:tcPr>
            <w:tcW w:w="699" w:type="pct"/>
            <w:vAlign w:val="center"/>
          </w:tcPr>
          <w:p w14:paraId="46187E51" w14:textId="6EAB31AC" w:rsidR="00F01ECE" w:rsidRPr="004D2E7C" w:rsidRDefault="00F01ECE" w:rsidP="00F01ECE">
            <w:pPr>
              <w:rPr>
                <w:rFonts w:cs="Times New Roman"/>
                <w:lang w:val="sr-Cyrl-RS"/>
              </w:rPr>
            </w:pPr>
            <w:r w:rsidRPr="004D2E7C">
              <w:rPr>
                <w:rFonts w:cs="Times New Roman"/>
                <w:lang w:val="sr-Cyrl-RS"/>
              </w:rPr>
              <w:t>У прелазним и завршним одредбама биће уређено да ће се након што Република Србија постане чланица ЕУ ова одредба односити на тржиште ЕУ.</w:t>
            </w:r>
          </w:p>
        </w:tc>
      </w:tr>
      <w:tr w:rsidR="00F01ECE" w:rsidRPr="004D2E7C" w14:paraId="46187E5B" w14:textId="77777777" w:rsidTr="006B3660">
        <w:trPr>
          <w:trHeight w:val="291"/>
        </w:trPr>
        <w:tc>
          <w:tcPr>
            <w:tcW w:w="280" w:type="pct"/>
            <w:shd w:val="clear" w:color="auto" w:fill="D9D9D9"/>
            <w:vAlign w:val="center"/>
          </w:tcPr>
          <w:p w14:paraId="46187E53" w14:textId="77777777" w:rsidR="00F01ECE" w:rsidRPr="004D2E7C" w:rsidRDefault="00F01ECE" w:rsidP="00F01ECE">
            <w:pPr>
              <w:jc w:val="center"/>
              <w:rPr>
                <w:rFonts w:eastAsia="Times New Roman" w:cs="Times New Roman"/>
                <w:lang w:val="sr-Cyrl-RS"/>
              </w:rPr>
            </w:pPr>
            <w:r w:rsidRPr="004D2E7C">
              <w:rPr>
                <w:rFonts w:eastAsia="Times New Roman" w:cs="Times New Roman"/>
                <w:lang w:val="sr-Cyrl-RS"/>
              </w:rPr>
              <w:t>2.(12)</w:t>
            </w:r>
          </w:p>
        </w:tc>
        <w:tc>
          <w:tcPr>
            <w:tcW w:w="1489" w:type="pct"/>
            <w:shd w:val="clear" w:color="auto" w:fill="D9D9D9"/>
            <w:vAlign w:val="center"/>
          </w:tcPr>
          <w:p w14:paraId="46187E54" w14:textId="77777777" w:rsidR="00F01ECE" w:rsidRPr="004D2E7C" w:rsidRDefault="00F01ECE" w:rsidP="00F01ECE">
            <w:pPr>
              <w:jc w:val="both"/>
              <w:rPr>
                <w:rFonts w:eastAsia="Times New Roman" w:cs="Times New Roman"/>
                <w:lang w:val="en-GB"/>
              </w:rPr>
            </w:pPr>
            <w:r w:rsidRPr="004D2E7C">
              <w:rPr>
                <w:rFonts w:cs="Times New Roman"/>
                <w:lang w:val="en-GB"/>
              </w:rPr>
              <w:t>‘importer’ means a natural or legal person established in the Union who places a product from a third country on the Union market;</w:t>
            </w:r>
          </w:p>
        </w:tc>
        <w:tc>
          <w:tcPr>
            <w:tcW w:w="325" w:type="pct"/>
            <w:vAlign w:val="center"/>
          </w:tcPr>
          <w:p w14:paraId="46187E55" w14:textId="77777777" w:rsidR="00F01ECE" w:rsidRPr="004D2E7C" w:rsidRDefault="00F01ECE" w:rsidP="00F01ECE">
            <w:pPr>
              <w:jc w:val="center"/>
              <w:rPr>
                <w:rFonts w:cs="Times New Roman"/>
                <w:lang w:val="sr-Cyrl-RS"/>
              </w:rPr>
            </w:pPr>
            <w:r w:rsidRPr="004D2E7C">
              <w:rPr>
                <w:rFonts w:cs="Times New Roman"/>
                <w:lang w:val="sr-Cyrl-RS"/>
              </w:rPr>
              <w:t>2.4.11)</w:t>
            </w:r>
          </w:p>
        </w:tc>
        <w:tc>
          <w:tcPr>
            <w:tcW w:w="1296" w:type="pct"/>
          </w:tcPr>
          <w:p w14:paraId="46187E57" w14:textId="10FF9F11" w:rsidR="00F01ECE" w:rsidRPr="004D2E7C" w:rsidRDefault="00F01ECE" w:rsidP="00F01ECE">
            <w:pPr>
              <w:spacing w:after="120"/>
              <w:jc w:val="both"/>
              <w:rPr>
                <w:rFonts w:cs="Times New Roman"/>
                <w:lang w:val="sr-Cyrl-RS"/>
              </w:rPr>
            </w:pPr>
            <w:r w:rsidRPr="004D2E7C">
              <w:rPr>
                <w:rFonts w:cs="Times New Roman"/>
                <w:lang w:val="sr-Cyrl-RS"/>
              </w:rPr>
              <w:t>"увозник" јесте правно лице или предузетник регистрован у Републици Србији, односно физичко лице са пребивалиштем у Републици Србији које ставља на тржиште производ из других земаља;</w:t>
            </w:r>
          </w:p>
        </w:tc>
        <w:tc>
          <w:tcPr>
            <w:tcW w:w="235" w:type="pct"/>
            <w:vAlign w:val="center"/>
          </w:tcPr>
          <w:p w14:paraId="46187E58" w14:textId="77777777" w:rsidR="00F01ECE" w:rsidRPr="004D2E7C" w:rsidRDefault="00F01ECE" w:rsidP="00F01ECE">
            <w:pPr>
              <w:jc w:val="center"/>
              <w:rPr>
                <w:rFonts w:cs="Times New Roman"/>
                <w:lang w:val="sr-Cyrl-RS"/>
              </w:rPr>
            </w:pPr>
            <w:r w:rsidRPr="004D2E7C">
              <w:rPr>
                <w:rFonts w:cs="Times New Roman"/>
                <w:lang w:val="sr-Cyrl-RS"/>
              </w:rPr>
              <w:t>ПУ</w:t>
            </w:r>
          </w:p>
        </w:tc>
        <w:tc>
          <w:tcPr>
            <w:tcW w:w="676" w:type="pct"/>
          </w:tcPr>
          <w:p w14:paraId="46187E59" w14:textId="77777777" w:rsidR="00F01ECE" w:rsidRPr="004D2E7C" w:rsidRDefault="00F01ECE" w:rsidP="00F01ECE">
            <w:pPr>
              <w:rPr>
                <w:rFonts w:cs="Times New Roman"/>
                <w:lang w:val="sr-Cyrl-RS"/>
              </w:rPr>
            </w:pPr>
          </w:p>
        </w:tc>
        <w:tc>
          <w:tcPr>
            <w:tcW w:w="699" w:type="pct"/>
            <w:vAlign w:val="center"/>
          </w:tcPr>
          <w:p w14:paraId="46187E5A" w14:textId="77777777" w:rsidR="00F01ECE" w:rsidRPr="004D2E7C" w:rsidRDefault="00F01ECE" w:rsidP="00F01ECE">
            <w:pPr>
              <w:rPr>
                <w:rFonts w:cs="Times New Roman"/>
                <w:lang w:val="sr-Cyrl-RS"/>
              </w:rPr>
            </w:pPr>
          </w:p>
        </w:tc>
      </w:tr>
      <w:tr w:rsidR="00F01ECE" w:rsidRPr="004D2E7C" w14:paraId="46187E6C" w14:textId="77777777" w:rsidTr="006B3660">
        <w:trPr>
          <w:trHeight w:val="291"/>
        </w:trPr>
        <w:tc>
          <w:tcPr>
            <w:tcW w:w="280" w:type="pct"/>
            <w:shd w:val="clear" w:color="auto" w:fill="D9D9D9"/>
            <w:vAlign w:val="center"/>
          </w:tcPr>
          <w:p w14:paraId="46187E5C" w14:textId="77777777" w:rsidR="00F01ECE" w:rsidRPr="004D2E7C" w:rsidRDefault="00F01ECE" w:rsidP="00F01ECE">
            <w:pPr>
              <w:jc w:val="center"/>
              <w:rPr>
                <w:rFonts w:eastAsia="Times New Roman" w:cs="Times New Roman"/>
                <w:lang w:val="sr-Cyrl-RS"/>
              </w:rPr>
            </w:pPr>
            <w:r w:rsidRPr="004D2E7C">
              <w:rPr>
                <w:rFonts w:eastAsia="Times New Roman" w:cs="Times New Roman"/>
                <w:lang w:val="sr-Cyrl-RS"/>
              </w:rPr>
              <w:t>2.(13)</w:t>
            </w:r>
          </w:p>
        </w:tc>
        <w:tc>
          <w:tcPr>
            <w:tcW w:w="1489" w:type="pct"/>
            <w:shd w:val="clear" w:color="auto" w:fill="D9D9D9"/>
            <w:vAlign w:val="center"/>
          </w:tcPr>
          <w:p w14:paraId="46187E5D" w14:textId="77777777" w:rsidR="00F01ECE" w:rsidRPr="004D2E7C" w:rsidRDefault="00F01ECE" w:rsidP="00F01ECE">
            <w:pPr>
              <w:jc w:val="both"/>
              <w:rPr>
                <w:rFonts w:eastAsia="Times New Roman" w:cs="Times New Roman"/>
                <w:lang w:val="en-GB"/>
              </w:rPr>
            </w:pPr>
            <w:r w:rsidRPr="004D2E7C">
              <w:rPr>
                <w:rFonts w:cs="Times New Roman"/>
                <w:lang w:val="en-GB"/>
              </w:rPr>
              <w:t xml:space="preserve">‘dealer’ means a retailer or other natural or legal person who offers for sale, hire, or hire purchase, or displays products to customers or installers in the </w:t>
            </w:r>
            <w:r w:rsidRPr="004D2E7C">
              <w:rPr>
                <w:rFonts w:cs="Times New Roman"/>
                <w:lang w:val="en-GB"/>
              </w:rPr>
              <w:lastRenderedPageBreak/>
              <w:t>course of a commercial activity, whether or not in return for payment;</w:t>
            </w:r>
          </w:p>
        </w:tc>
        <w:tc>
          <w:tcPr>
            <w:tcW w:w="325" w:type="pct"/>
          </w:tcPr>
          <w:p w14:paraId="46187E5E" w14:textId="77777777" w:rsidR="00F01ECE" w:rsidRPr="004D2E7C" w:rsidRDefault="00F01ECE" w:rsidP="00F01ECE">
            <w:pPr>
              <w:jc w:val="center"/>
              <w:rPr>
                <w:rFonts w:cs="Times New Roman"/>
                <w:b/>
                <w:bCs/>
                <w:lang w:val="sr-Cyrl-RS"/>
              </w:rPr>
            </w:pPr>
          </w:p>
          <w:p w14:paraId="46187E5F" w14:textId="7B974242" w:rsidR="00F01ECE" w:rsidRPr="004D2E7C" w:rsidRDefault="00F01ECE" w:rsidP="00F01ECE">
            <w:pPr>
              <w:jc w:val="center"/>
              <w:rPr>
                <w:rFonts w:cs="Times New Roman"/>
                <w:b/>
                <w:bCs/>
                <w:lang w:val="sr-Cyrl-RS"/>
              </w:rPr>
            </w:pPr>
            <w:r w:rsidRPr="004D2E7C">
              <w:rPr>
                <w:rFonts w:cs="Times New Roman"/>
                <w:b/>
                <w:bCs/>
                <w:lang w:val="sr-Cyrl-RS"/>
              </w:rPr>
              <w:t>1.3.1.</w:t>
            </w:r>
            <w:r>
              <w:rPr>
                <w:rFonts w:cs="Times New Roman"/>
                <w:b/>
                <w:bCs/>
                <w:lang w:val="sr-Cyrl-RS"/>
              </w:rPr>
              <w:t>5</w:t>
            </w:r>
            <w:r w:rsidR="00C561D0">
              <w:rPr>
                <w:rFonts w:cs="Times New Roman"/>
                <w:b/>
                <w:bCs/>
              </w:rPr>
              <w:t>4</w:t>
            </w:r>
            <w:r w:rsidRPr="004D2E7C">
              <w:rPr>
                <w:rFonts w:cs="Times New Roman"/>
                <w:b/>
                <w:bCs/>
                <w:lang w:val="sr-Cyrl-RS"/>
              </w:rPr>
              <w:t>)</w:t>
            </w:r>
          </w:p>
          <w:p w14:paraId="46187E60" w14:textId="77777777" w:rsidR="00F01ECE" w:rsidRPr="004D2E7C" w:rsidRDefault="00F01ECE" w:rsidP="00F01ECE">
            <w:pPr>
              <w:jc w:val="center"/>
              <w:rPr>
                <w:rFonts w:cs="Times New Roman"/>
                <w:lang w:val="sr-Cyrl-RS"/>
              </w:rPr>
            </w:pPr>
          </w:p>
          <w:p w14:paraId="46187E61" w14:textId="77777777" w:rsidR="00F01ECE" w:rsidRPr="004D2E7C" w:rsidRDefault="00F01ECE" w:rsidP="00F01ECE">
            <w:pPr>
              <w:jc w:val="center"/>
              <w:rPr>
                <w:rFonts w:cs="Times New Roman"/>
                <w:lang w:val="sr-Cyrl-RS"/>
              </w:rPr>
            </w:pPr>
          </w:p>
          <w:p w14:paraId="46187E62" w14:textId="77777777" w:rsidR="00F01ECE" w:rsidRPr="004D2E7C" w:rsidRDefault="00F01ECE" w:rsidP="00F01ECE">
            <w:pPr>
              <w:jc w:val="center"/>
              <w:rPr>
                <w:rFonts w:cs="Times New Roman"/>
                <w:lang w:val="sr-Cyrl-RS"/>
              </w:rPr>
            </w:pPr>
          </w:p>
          <w:p w14:paraId="46187E63" w14:textId="7250C0A8" w:rsidR="00F01ECE" w:rsidRPr="004D2E7C" w:rsidRDefault="00F01ECE" w:rsidP="00F01ECE">
            <w:pPr>
              <w:jc w:val="center"/>
              <w:rPr>
                <w:rFonts w:cs="Times New Roman"/>
                <w:lang w:val="sr-Cyrl-RS"/>
              </w:rPr>
            </w:pPr>
          </w:p>
          <w:p w14:paraId="1EFBF301" w14:textId="42A63E83" w:rsidR="00F01ECE" w:rsidRPr="004D2E7C" w:rsidRDefault="00F01ECE" w:rsidP="00F01ECE">
            <w:pPr>
              <w:jc w:val="center"/>
              <w:rPr>
                <w:rFonts w:cs="Times New Roman"/>
                <w:lang w:val="sr-Cyrl-RS"/>
              </w:rPr>
            </w:pPr>
          </w:p>
          <w:p w14:paraId="7EB8F690" w14:textId="77777777" w:rsidR="00F01ECE" w:rsidRPr="004D2E7C" w:rsidRDefault="00F01ECE" w:rsidP="00F01ECE">
            <w:pPr>
              <w:jc w:val="center"/>
              <w:rPr>
                <w:rFonts w:cs="Times New Roman"/>
                <w:lang w:val="sr-Cyrl-RS"/>
              </w:rPr>
            </w:pPr>
          </w:p>
          <w:p w14:paraId="46187E64" w14:textId="77777777" w:rsidR="00F01ECE" w:rsidRPr="004D2E7C" w:rsidRDefault="00F01ECE" w:rsidP="00F01ECE">
            <w:pPr>
              <w:jc w:val="center"/>
              <w:rPr>
                <w:rFonts w:cs="Times New Roman"/>
                <w:lang w:val="sr-Cyrl-RS"/>
              </w:rPr>
            </w:pPr>
            <w:r w:rsidRPr="004D2E7C">
              <w:rPr>
                <w:rFonts w:cs="Times New Roman"/>
                <w:lang w:val="sr-Cyrl-RS"/>
              </w:rPr>
              <w:t>2.4.12)</w:t>
            </w:r>
          </w:p>
        </w:tc>
        <w:tc>
          <w:tcPr>
            <w:tcW w:w="1296" w:type="pct"/>
          </w:tcPr>
          <w:p w14:paraId="46187E66" w14:textId="0B1FDDD1" w:rsidR="00F01ECE" w:rsidRPr="004D2E7C" w:rsidRDefault="00F01ECE" w:rsidP="00F01ECE">
            <w:pPr>
              <w:jc w:val="both"/>
              <w:rPr>
                <w:rFonts w:eastAsia="Times New Roman" w:cs="Times New Roman"/>
                <w:iCs/>
                <w:lang w:val="sr-Cyrl-RS"/>
              </w:rPr>
            </w:pPr>
            <w:r w:rsidRPr="004D2E7C">
              <w:rPr>
                <w:rFonts w:eastAsia="Times New Roman" w:cs="Times New Roman"/>
                <w:i/>
                <w:lang w:val="sr-Cyrl-RS"/>
              </w:rPr>
              <w:lastRenderedPageBreak/>
              <w:t>продавац</w:t>
            </w:r>
            <w:r w:rsidRPr="004D2E7C">
              <w:rPr>
                <w:rFonts w:eastAsia="Times New Roman" w:cs="Times New Roman"/>
                <w:iCs/>
                <w:lang w:val="sr-Cyrl-RS"/>
              </w:rPr>
              <w:t xml:space="preserve"> је правно лице или предузетник регистрован у Републици Србији, који потрошачима продаје, издаје у закуп, </w:t>
            </w:r>
            <w:r w:rsidRPr="004D2E7C">
              <w:rPr>
                <w:rFonts w:eastAsia="Times New Roman" w:cs="Times New Roman"/>
                <w:iCs/>
                <w:lang w:val="sr-Cyrl-RS"/>
              </w:rPr>
              <w:lastRenderedPageBreak/>
              <w:t>продаје на лизинг или приказује производ, или инсталатер који испоручује производ купцу производа, са или без плаћања;</w:t>
            </w:r>
          </w:p>
          <w:p w14:paraId="31B01272" w14:textId="77777777" w:rsidR="00F01ECE" w:rsidRPr="00F01ECE" w:rsidRDefault="00F01ECE" w:rsidP="00F01ECE">
            <w:pPr>
              <w:jc w:val="both"/>
              <w:rPr>
                <w:rFonts w:cs="Times New Roman"/>
                <w:sz w:val="14"/>
                <w:szCs w:val="14"/>
                <w:lang w:val="sr-Cyrl-RS"/>
              </w:rPr>
            </w:pPr>
          </w:p>
          <w:p w14:paraId="46187E68" w14:textId="51911E2E" w:rsidR="00F01ECE" w:rsidRPr="004D2E7C" w:rsidRDefault="00F01ECE" w:rsidP="00F01ECE">
            <w:pPr>
              <w:spacing w:after="120"/>
              <w:jc w:val="both"/>
              <w:rPr>
                <w:rFonts w:cs="Times New Roman"/>
                <w:lang w:val="sr-Cyrl-RS"/>
              </w:rPr>
            </w:pPr>
            <w:r w:rsidRPr="004D2E7C">
              <w:rPr>
                <w:rFonts w:cs="Times New Roman"/>
                <w:lang w:val="sr-Cyrl-RS"/>
              </w:rPr>
              <w:t>„продавац” јесте правно лице или предузетник регистрован у Републици Србији, односно физичко лице са пребивалиштем у Републици Србији, који потрошачима продају, изнајмљују, продају кроз закуп или приказују производе;</w:t>
            </w:r>
          </w:p>
        </w:tc>
        <w:tc>
          <w:tcPr>
            <w:tcW w:w="235" w:type="pct"/>
            <w:vAlign w:val="center"/>
          </w:tcPr>
          <w:p w14:paraId="46187E69" w14:textId="77777777" w:rsidR="00F01ECE" w:rsidRPr="004D2E7C" w:rsidRDefault="00F01ECE" w:rsidP="00F01ECE">
            <w:pPr>
              <w:jc w:val="center"/>
              <w:rPr>
                <w:rFonts w:cs="Times New Roman"/>
                <w:lang w:val="sr-Cyrl-RS"/>
              </w:rPr>
            </w:pPr>
            <w:r w:rsidRPr="004D2E7C">
              <w:rPr>
                <w:rFonts w:cs="Times New Roman"/>
                <w:lang w:val="sr-Cyrl-RS"/>
              </w:rPr>
              <w:lastRenderedPageBreak/>
              <w:t>ПУ</w:t>
            </w:r>
          </w:p>
        </w:tc>
        <w:tc>
          <w:tcPr>
            <w:tcW w:w="676" w:type="pct"/>
          </w:tcPr>
          <w:p w14:paraId="46187E6A" w14:textId="77777777" w:rsidR="00F01ECE" w:rsidRPr="004D2E7C" w:rsidRDefault="00F01ECE" w:rsidP="00F01ECE">
            <w:pPr>
              <w:rPr>
                <w:rFonts w:cs="Times New Roman"/>
                <w:lang w:val="sr-Cyrl-RS"/>
              </w:rPr>
            </w:pPr>
          </w:p>
        </w:tc>
        <w:tc>
          <w:tcPr>
            <w:tcW w:w="699" w:type="pct"/>
            <w:vAlign w:val="center"/>
          </w:tcPr>
          <w:p w14:paraId="46187E6B" w14:textId="77777777" w:rsidR="00F01ECE" w:rsidRPr="004D2E7C" w:rsidRDefault="00F01ECE" w:rsidP="00F01ECE">
            <w:pPr>
              <w:rPr>
                <w:rFonts w:cs="Times New Roman"/>
                <w:lang w:val="sr-Cyrl-RS"/>
              </w:rPr>
            </w:pPr>
          </w:p>
        </w:tc>
      </w:tr>
      <w:tr w:rsidR="00F01ECE" w:rsidRPr="004D2E7C" w14:paraId="46187E7C" w14:textId="77777777" w:rsidTr="006B3660">
        <w:trPr>
          <w:trHeight w:val="291"/>
        </w:trPr>
        <w:tc>
          <w:tcPr>
            <w:tcW w:w="280" w:type="pct"/>
            <w:shd w:val="clear" w:color="auto" w:fill="D9D9D9"/>
            <w:vAlign w:val="center"/>
          </w:tcPr>
          <w:p w14:paraId="46187E6D" w14:textId="77777777" w:rsidR="00F01ECE" w:rsidRPr="004D2E7C" w:rsidRDefault="00F01ECE" w:rsidP="00F01ECE">
            <w:pPr>
              <w:jc w:val="center"/>
              <w:rPr>
                <w:rFonts w:eastAsia="Times New Roman" w:cs="Times New Roman"/>
                <w:lang w:val="sr-Cyrl-RS"/>
              </w:rPr>
            </w:pPr>
            <w:r w:rsidRPr="004D2E7C">
              <w:rPr>
                <w:rFonts w:eastAsia="Times New Roman" w:cs="Times New Roman"/>
                <w:lang w:val="sr-Cyrl-RS"/>
              </w:rPr>
              <w:lastRenderedPageBreak/>
              <w:t>2.(14)</w:t>
            </w:r>
          </w:p>
        </w:tc>
        <w:tc>
          <w:tcPr>
            <w:tcW w:w="1489" w:type="pct"/>
            <w:shd w:val="clear" w:color="auto" w:fill="D9D9D9"/>
            <w:vAlign w:val="center"/>
          </w:tcPr>
          <w:p w14:paraId="46187E6E" w14:textId="77777777" w:rsidR="00F01ECE" w:rsidRPr="004D2E7C" w:rsidRDefault="00F01ECE" w:rsidP="00F01ECE">
            <w:pPr>
              <w:jc w:val="both"/>
              <w:rPr>
                <w:rFonts w:eastAsia="Times New Roman" w:cs="Times New Roman"/>
                <w:lang w:val="en-GB"/>
              </w:rPr>
            </w:pPr>
            <w:r w:rsidRPr="004D2E7C">
              <w:rPr>
                <w:rFonts w:cs="Times New Roman"/>
                <w:lang w:val="en-GB"/>
              </w:rPr>
              <w:t>‘supplier’ means a manufacturer established in the Union, the authorised representative of a manufacturer who is not established in the Union, or an importer, who places a product on the Union market;</w:t>
            </w:r>
          </w:p>
        </w:tc>
        <w:tc>
          <w:tcPr>
            <w:tcW w:w="325" w:type="pct"/>
          </w:tcPr>
          <w:p w14:paraId="46187E6F" w14:textId="77777777" w:rsidR="00F01ECE" w:rsidRPr="004D2E7C" w:rsidRDefault="00F01ECE" w:rsidP="00F01ECE">
            <w:pPr>
              <w:jc w:val="center"/>
              <w:rPr>
                <w:rFonts w:cs="Times New Roman"/>
                <w:b/>
                <w:bCs/>
                <w:lang w:val="sr-Cyrl-RS"/>
              </w:rPr>
            </w:pPr>
          </w:p>
          <w:p w14:paraId="46187E70" w14:textId="4D34CB63" w:rsidR="00F01ECE" w:rsidRPr="004D2E7C" w:rsidRDefault="00F01ECE" w:rsidP="00F01ECE">
            <w:pPr>
              <w:jc w:val="center"/>
              <w:rPr>
                <w:rFonts w:cs="Times New Roman"/>
                <w:b/>
                <w:bCs/>
                <w:lang w:val="sr-Cyrl-RS"/>
              </w:rPr>
            </w:pPr>
            <w:r w:rsidRPr="004D2E7C">
              <w:rPr>
                <w:rFonts w:cs="Times New Roman"/>
                <w:b/>
                <w:bCs/>
                <w:lang w:val="sr-Cyrl-RS"/>
              </w:rPr>
              <w:t>1.3.1.2</w:t>
            </w:r>
            <w:r w:rsidR="00C561D0">
              <w:rPr>
                <w:rFonts w:cs="Times New Roman"/>
                <w:b/>
                <w:bCs/>
              </w:rPr>
              <w:t>7</w:t>
            </w:r>
            <w:r w:rsidRPr="004D2E7C">
              <w:rPr>
                <w:rFonts w:cs="Times New Roman"/>
                <w:b/>
                <w:bCs/>
                <w:lang w:val="sr-Cyrl-RS"/>
              </w:rPr>
              <w:t>)</w:t>
            </w:r>
          </w:p>
          <w:p w14:paraId="46187E71" w14:textId="77777777" w:rsidR="00F01ECE" w:rsidRPr="004D2E7C" w:rsidRDefault="00F01ECE" w:rsidP="00F01ECE">
            <w:pPr>
              <w:jc w:val="center"/>
              <w:rPr>
                <w:rFonts w:cs="Times New Roman"/>
                <w:lang w:val="sr-Cyrl-RS"/>
              </w:rPr>
            </w:pPr>
          </w:p>
          <w:p w14:paraId="46187E72" w14:textId="77777777" w:rsidR="00F01ECE" w:rsidRPr="004D2E7C" w:rsidRDefault="00F01ECE" w:rsidP="00F01ECE">
            <w:pPr>
              <w:jc w:val="center"/>
              <w:rPr>
                <w:rFonts w:cs="Times New Roman"/>
                <w:lang w:val="sr-Cyrl-RS"/>
              </w:rPr>
            </w:pPr>
          </w:p>
          <w:p w14:paraId="46187E73" w14:textId="77777777" w:rsidR="00F01ECE" w:rsidRPr="004D2E7C" w:rsidRDefault="00F01ECE" w:rsidP="00F01ECE">
            <w:pPr>
              <w:jc w:val="center"/>
              <w:rPr>
                <w:rFonts w:cs="Times New Roman"/>
                <w:lang w:val="sr-Cyrl-RS"/>
              </w:rPr>
            </w:pPr>
          </w:p>
          <w:p w14:paraId="46187E74" w14:textId="77777777" w:rsidR="00F01ECE" w:rsidRPr="004D2E7C" w:rsidRDefault="00F01ECE" w:rsidP="00F01ECE">
            <w:pPr>
              <w:jc w:val="center"/>
              <w:rPr>
                <w:rFonts w:cs="Times New Roman"/>
                <w:lang w:val="sr-Cyrl-RS"/>
              </w:rPr>
            </w:pPr>
          </w:p>
          <w:p w14:paraId="46187E75" w14:textId="77777777" w:rsidR="00F01ECE" w:rsidRPr="004D2E7C" w:rsidRDefault="00F01ECE" w:rsidP="00F01ECE">
            <w:pPr>
              <w:jc w:val="center"/>
              <w:rPr>
                <w:rFonts w:cs="Times New Roman"/>
                <w:lang w:val="sr-Cyrl-RS"/>
              </w:rPr>
            </w:pPr>
            <w:r w:rsidRPr="004D2E7C">
              <w:rPr>
                <w:rFonts w:cs="Times New Roman"/>
                <w:lang w:val="sr-Cyrl-RS"/>
              </w:rPr>
              <w:t>2.4.7)</w:t>
            </w:r>
          </w:p>
        </w:tc>
        <w:tc>
          <w:tcPr>
            <w:tcW w:w="1296" w:type="pct"/>
          </w:tcPr>
          <w:p w14:paraId="46187E77" w14:textId="13217FE2" w:rsidR="00F01ECE" w:rsidRPr="004D2E7C" w:rsidRDefault="00F01ECE" w:rsidP="00F01ECE">
            <w:pPr>
              <w:jc w:val="both"/>
              <w:rPr>
                <w:rFonts w:eastAsia="Times New Roman" w:cs="Times New Roman"/>
                <w:iCs/>
                <w:lang w:val="sr-Cyrl-RS"/>
              </w:rPr>
            </w:pPr>
            <w:r w:rsidRPr="004D2E7C">
              <w:rPr>
                <w:rFonts w:eastAsia="Times New Roman" w:cs="Times New Roman"/>
                <w:i/>
                <w:lang w:val="sr-Cyrl-RS"/>
              </w:rPr>
              <w:t>испоручилац производа</w:t>
            </w:r>
            <w:r w:rsidRPr="004D2E7C">
              <w:rPr>
                <w:rFonts w:eastAsia="Times New Roman" w:cs="Times New Roman"/>
                <w:iCs/>
                <w:lang w:val="sr-Cyrl-RS"/>
              </w:rPr>
              <w:t xml:space="preserve"> је произвођач или његов заступник или увозник који ставља производ који утиче на потрошњу енергије на тржиште Републике Србије;</w:t>
            </w:r>
          </w:p>
          <w:p w14:paraId="0733AAD7" w14:textId="77777777" w:rsidR="00F01ECE" w:rsidRPr="00F01ECE" w:rsidRDefault="00F01ECE" w:rsidP="00F01ECE">
            <w:pPr>
              <w:jc w:val="both"/>
              <w:rPr>
                <w:rFonts w:cs="Times New Roman"/>
                <w:sz w:val="14"/>
                <w:szCs w:val="14"/>
                <w:lang w:val="sr-Cyrl-RS"/>
              </w:rPr>
            </w:pPr>
          </w:p>
          <w:p w14:paraId="46187E78" w14:textId="77777777" w:rsidR="00F01ECE" w:rsidRPr="004D2E7C" w:rsidRDefault="00F01ECE" w:rsidP="00F01ECE">
            <w:pPr>
              <w:jc w:val="both"/>
              <w:rPr>
                <w:rFonts w:cs="Times New Roman"/>
                <w:lang w:val="sr-Cyrl-RS"/>
              </w:rPr>
            </w:pPr>
            <w:r w:rsidRPr="004D2E7C">
              <w:rPr>
                <w:rFonts w:cs="Times New Roman"/>
                <w:lang w:val="sr-Cyrl-RS"/>
              </w:rPr>
              <w:t>„испоручилац” јесте произвођач, заступник или увозник. У њиховом одсуству, испоручиоцем ће се сматрати свако физичко или правно лице које ставља на тржиште или у употребу производе које обухвата ова уредба;</w:t>
            </w:r>
          </w:p>
        </w:tc>
        <w:tc>
          <w:tcPr>
            <w:tcW w:w="235" w:type="pct"/>
            <w:vAlign w:val="center"/>
          </w:tcPr>
          <w:p w14:paraId="46187E79" w14:textId="77777777" w:rsidR="00F01ECE" w:rsidRPr="004D2E7C" w:rsidRDefault="00F01ECE" w:rsidP="00F01ECE">
            <w:pPr>
              <w:jc w:val="center"/>
              <w:rPr>
                <w:rFonts w:cs="Times New Roman"/>
                <w:lang w:val="sr-Cyrl-RS"/>
              </w:rPr>
            </w:pPr>
            <w:r w:rsidRPr="004D2E7C">
              <w:rPr>
                <w:rFonts w:cs="Times New Roman"/>
                <w:lang w:val="sr-Cyrl-RS"/>
              </w:rPr>
              <w:t>ПУ</w:t>
            </w:r>
          </w:p>
        </w:tc>
        <w:tc>
          <w:tcPr>
            <w:tcW w:w="676" w:type="pct"/>
            <w:vAlign w:val="center"/>
          </w:tcPr>
          <w:p w14:paraId="46187E7A" w14:textId="4B28610A" w:rsidR="00F01ECE" w:rsidRPr="004D2E7C" w:rsidRDefault="00F01ECE" w:rsidP="00F01ECE">
            <w:pPr>
              <w:rPr>
                <w:rFonts w:cs="Times New Roman"/>
                <w:lang w:val="sr-Cyrl-RS"/>
              </w:rPr>
            </w:pPr>
          </w:p>
        </w:tc>
        <w:tc>
          <w:tcPr>
            <w:tcW w:w="699" w:type="pct"/>
            <w:vAlign w:val="center"/>
          </w:tcPr>
          <w:p w14:paraId="46187E7B" w14:textId="1D6DBD8E" w:rsidR="00F01ECE" w:rsidRPr="004D2E7C" w:rsidRDefault="00F01ECE" w:rsidP="00F01ECE">
            <w:pPr>
              <w:rPr>
                <w:rFonts w:cs="Times New Roman"/>
                <w:lang w:val="sr-Cyrl-RS"/>
              </w:rPr>
            </w:pPr>
            <w:r w:rsidRPr="004D2E7C">
              <w:rPr>
                <w:rFonts w:cs="Times New Roman"/>
                <w:lang w:val="sr-Cyrl-RS"/>
              </w:rPr>
              <w:t>У прелазним и завршним одредбама биће уређено да ће се након што Република Србија постане чланица ЕУ ова одредба односити на тржиште ЕУ.</w:t>
            </w:r>
          </w:p>
        </w:tc>
      </w:tr>
      <w:tr w:rsidR="009A4EE4" w:rsidRPr="004D2E7C" w14:paraId="46187E84" w14:textId="77777777" w:rsidTr="006B3660">
        <w:trPr>
          <w:trHeight w:val="291"/>
        </w:trPr>
        <w:tc>
          <w:tcPr>
            <w:tcW w:w="280" w:type="pct"/>
            <w:shd w:val="clear" w:color="auto" w:fill="D9D9D9"/>
            <w:vAlign w:val="center"/>
          </w:tcPr>
          <w:p w14:paraId="46187E7D" w14:textId="77777777" w:rsidR="009A4EE4" w:rsidRPr="004D2E7C" w:rsidRDefault="009A4EE4" w:rsidP="009A4EE4">
            <w:pPr>
              <w:jc w:val="center"/>
              <w:rPr>
                <w:rFonts w:eastAsia="Times New Roman" w:cs="Times New Roman"/>
                <w:lang w:val="sr-Cyrl-RS"/>
              </w:rPr>
            </w:pPr>
            <w:r w:rsidRPr="004D2E7C">
              <w:rPr>
                <w:rFonts w:eastAsia="Times New Roman" w:cs="Times New Roman"/>
                <w:lang w:val="sr-Cyrl-RS"/>
              </w:rPr>
              <w:t>2.(15)</w:t>
            </w:r>
          </w:p>
        </w:tc>
        <w:tc>
          <w:tcPr>
            <w:tcW w:w="1489" w:type="pct"/>
            <w:shd w:val="clear" w:color="auto" w:fill="D9D9D9"/>
            <w:vAlign w:val="center"/>
          </w:tcPr>
          <w:p w14:paraId="46187E7E" w14:textId="77777777" w:rsidR="009A4EE4" w:rsidRPr="004D2E7C" w:rsidRDefault="009A4EE4" w:rsidP="009A4EE4">
            <w:pPr>
              <w:jc w:val="both"/>
              <w:rPr>
                <w:rFonts w:eastAsia="Times New Roman" w:cs="Times New Roman"/>
                <w:lang w:val="en-GB"/>
              </w:rPr>
            </w:pPr>
            <w:r w:rsidRPr="004D2E7C">
              <w:rPr>
                <w:rFonts w:cs="Times New Roman"/>
                <w:lang w:val="en-GB"/>
              </w:rPr>
              <w:t>‘distance selling’ means the offer for sale, hire or hire purchase by mail order, catalogue, internet, telemarketing or by any other method by which the potential customer cannot be expected to see the product displayed;</w:t>
            </w:r>
          </w:p>
        </w:tc>
        <w:tc>
          <w:tcPr>
            <w:tcW w:w="325" w:type="pct"/>
            <w:vAlign w:val="center"/>
          </w:tcPr>
          <w:p w14:paraId="17993DD1" w14:textId="77777777" w:rsidR="009A4EE4" w:rsidRDefault="009A4EE4" w:rsidP="009A4EE4">
            <w:pPr>
              <w:jc w:val="center"/>
              <w:rPr>
                <w:rFonts w:cs="Times New Roman"/>
                <w:lang w:val="sr-Cyrl-RS"/>
              </w:rPr>
            </w:pPr>
            <w:r>
              <w:rPr>
                <w:rFonts w:cs="Times New Roman"/>
                <w:lang w:val="sr-Cyrl-RS"/>
              </w:rPr>
              <w:t>1.62.2</w:t>
            </w:r>
          </w:p>
          <w:p w14:paraId="46187E7F" w14:textId="6CE53E95" w:rsidR="009A4EE4" w:rsidRPr="004D2E7C" w:rsidRDefault="009A4EE4" w:rsidP="009A4EE4">
            <w:pPr>
              <w:jc w:val="center"/>
              <w:rPr>
                <w:rFonts w:cs="Times New Roman"/>
                <w:lang w:val="sr-Cyrl-RS"/>
              </w:rPr>
            </w:pPr>
            <w:r>
              <w:rPr>
                <w:rFonts w:cs="Times New Roman"/>
                <w:b/>
              </w:rPr>
              <w:t>1.150.2.</w:t>
            </w:r>
          </w:p>
        </w:tc>
        <w:tc>
          <w:tcPr>
            <w:tcW w:w="1296" w:type="pct"/>
          </w:tcPr>
          <w:p w14:paraId="319EDB28" w14:textId="77777777" w:rsidR="009A4EE4" w:rsidRPr="004D2E7C" w:rsidRDefault="009A4EE4" w:rsidP="009A4EE4">
            <w:pPr>
              <w:autoSpaceDE w:val="0"/>
              <w:autoSpaceDN w:val="0"/>
              <w:adjustRightInd w:val="0"/>
              <w:ind w:firstLine="567"/>
              <w:jc w:val="both"/>
              <w:rPr>
                <w:rFonts w:eastAsia="MS Mincho" w:cs="Times New Roman"/>
                <w:color w:val="000000" w:themeColor="text1"/>
                <w:lang w:val="sr-Cyrl-CS" w:eastAsia="ja-JP"/>
              </w:rPr>
            </w:pPr>
            <w:r w:rsidRPr="004D2E7C">
              <w:rPr>
                <w:rFonts w:eastAsia="MS Mincho" w:cs="Times New Roman"/>
                <w:color w:val="000000" w:themeColor="text1"/>
                <w:lang w:val="sr-Cyrl-CS" w:eastAsia="ja-JP"/>
              </w:rPr>
              <w:t>Влада ближе уређује обавезе испоручиоца производа, и продавца у погледу енергетског означавања производа, које се односе на: садржај енергетске ознаке, њеног исправног постављања и тачности података на ознаци, коришћење рекласираних ознака енергетске ефикасности и друге услове којима се обезбеђује примена захтева енергетског означавања за производе из става 1. овог члана.</w:t>
            </w:r>
          </w:p>
          <w:p w14:paraId="364A5F47" w14:textId="77777777" w:rsidR="009A4EE4" w:rsidRDefault="009A4EE4" w:rsidP="009A4EE4">
            <w:pPr>
              <w:tabs>
                <w:tab w:val="left" w:pos="1152"/>
              </w:tabs>
              <w:jc w:val="both"/>
              <w:rPr>
                <w:rFonts w:cs="Times New Roman"/>
                <w:lang w:val="sr-Cyrl-RS"/>
              </w:rPr>
            </w:pPr>
          </w:p>
          <w:p w14:paraId="46187E80" w14:textId="5E360726" w:rsidR="009A4EE4" w:rsidRPr="004D2E7C" w:rsidRDefault="009A4EE4" w:rsidP="009A4EE4">
            <w:pPr>
              <w:tabs>
                <w:tab w:val="left" w:pos="1152"/>
              </w:tabs>
              <w:rPr>
                <w:rFonts w:cs="Times New Roman"/>
                <w:lang w:val="sr-Cyrl-RS"/>
              </w:rPr>
            </w:pPr>
            <w:r w:rsidRPr="00C30E0B">
              <w:rPr>
                <w:rFonts w:eastAsia="Times New Roman" w:cs="Times New Roman"/>
                <w:sz w:val="24"/>
                <w:szCs w:val="24"/>
                <w:lang w:val="sr-Cyrl-CS"/>
              </w:rPr>
              <w:t>Прописи за спровођење овог закона из чл. 7-9. ,чл. 15 – 16., члана 21., чл. 23-24., чл. 26-27., члана 30., члана 36., чл. 37-40., члана 47., члана 51., чл. 54-55. члана 57., члана 59., чл. 61-62, чл. 64-66., члана 73., члана 80., члана 83., члана 90., чл. 93-94., чл. 96-98., члана 100., и чл. 107-109. овог закона биће донети у року од 18 месеци од дана ступања на снагу овог закона, изузев подзаконских аката из става 1. овог члана</w:t>
            </w:r>
          </w:p>
        </w:tc>
        <w:tc>
          <w:tcPr>
            <w:tcW w:w="235" w:type="pct"/>
            <w:vAlign w:val="center"/>
          </w:tcPr>
          <w:p w14:paraId="46187E81" w14:textId="497EA28E" w:rsidR="009A4EE4" w:rsidRPr="004D2E7C" w:rsidRDefault="009A4EE4" w:rsidP="009A4EE4">
            <w:pPr>
              <w:jc w:val="center"/>
              <w:rPr>
                <w:rFonts w:cs="Times New Roman"/>
                <w:lang w:val="sr-Cyrl-RS"/>
              </w:rPr>
            </w:pPr>
            <w:r>
              <w:rPr>
                <w:rFonts w:cs="Times New Roman"/>
                <w:lang w:val="sr-Cyrl-RS"/>
              </w:rPr>
              <w:lastRenderedPageBreak/>
              <w:t>Д</w:t>
            </w:r>
            <w:r w:rsidRPr="004D2E7C">
              <w:rPr>
                <w:rFonts w:cs="Times New Roman"/>
                <w:lang w:val="sr-Cyrl-RS"/>
              </w:rPr>
              <w:t>У</w:t>
            </w:r>
          </w:p>
        </w:tc>
        <w:tc>
          <w:tcPr>
            <w:tcW w:w="676" w:type="pct"/>
          </w:tcPr>
          <w:p w14:paraId="46187E82" w14:textId="1A2F1068" w:rsidR="009A4EE4" w:rsidRPr="004D2E7C" w:rsidRDefault="009A4EE4" w:rsidP="009A4EE4">
            <w:pPr>
              <w:rPr>
                <w:rFonts w:cs="Times New Roman"/>
                <w:lang w:val="sr-Cyrl-RS"/>
              </w:rPr>
            </w:pPr>
            <w:r>
              <w:rPr>
                <w:rFonts w:cs="Times New Roman"/>
                <w:spacing w:val="-6"/>
                <w:lang w:val="sr-Cyrl-RS"/>
              </w:rPr>
              <w:t>Усклађеност ће бити постигнута доношењем Уредбе из 1.62.2.</w:t>
            </w:r>
          </w:p>
        </w:tc>
        <w:tc>
          <w:tcPr>
            <w:tcW w:w="699" w:type="pct"/>
            <w:vAlign w:val="center"/>
          </w:tcPr>
          <w:p w14:paraId="46187E83" w14:textId="1A953210" w:rsidR="009A4EE4" w:rsidRPr="004D2E7C" w:rsidRDefault="009A4EE4" w:rsidP="009A4EE4">
            <w:pPr>
              <w:rPr>
                <w:rFonts w:cs="Times New Roman"/>
                <w:lang w:val="sr-Cyrl-RS"/>
              </w:rPr>
            </w:pPr>
          </w:p>
        </w:tc>
      </w:tr>
      <w:tr w:rsidR="00F01ECE" w:rsidRPr="004D2E7C" w14:paraId="46187E97" w14:textId="77777777" w:rsidTr="006B3660">
        <w:trPr>
          <w:trHeight w:val="291"/>
        </w:trPr>
        <w:tc>
          <w:tcPr>
            <w:tcW w:w="280" w:type="pct"/>
            <w:shd w:val="clear" w:color="auto" w:fill="D9D9D9"/>
            <w:vAlign w:val="center"/>
          </w:tcPr>
          <w:p w14:paraId="46187E85" w14:textId="77777777" w:rsidR="00F01ECE" w:rsidRPr="004D2E7C" w:rsidRDefault="00F01ECE" w:rsidP="00F01ECE">
            <w:pPr>
              <w:jc w:val="center"/>
              <w:rPr>
                <w:rFonts w:eastAsia="Times New Roman" w:cs="Times New Roman"/>
                <w:lang w:val="sr-Cyrl-RS"/>
              </w:rPr>
            </w:pPr>
            <w:r w:rsidRPr="004D2E7C">
              <w:rPr>
                <w:rFonts w:eastAsia="Times New Roman" w:cs="Times New Roman"/>
                <w:lang w:val="sr-Cyrl-RS"/>
              </w:rPr>
              <w:lastRenderedPageBreak/>
              <w:t>2.(16)</w:t>
            </w:r>
          </w:p>
        </w:tc>
        <w:tc>
          <w:tcPr>
            <w:tcW w:w="1489" w:type="pct"/>
            <w:shd w:val="clear" w:color="auto" w:fill="D9D9D9"/>
            <w:vAlign w:val="center"/>
          </w:tcPr>
          <w:p w14:paraId="46187E86" w14:textId="77777777" w:rsidR="00F01ECE" w:rsidRPr="004D2E7C" w:rsidRDefault="00F01ECE" w:rsidP="00F01ECE">
            <w:pPr>
              <w:jc w:val="both"/>
              <w:rPr>
                <w:rFonts w:eastAsia="Times New Roman" w:cs="Times New Roman"/>
                <w:lang w:val="en-GB"/>
              </w:rPr>
            </w:pPr>
            <w:r w:rsidRPr="004D2E7C">
              <w:rPr>
                <w:rFonts w:cs="Times New Roman"/>
                <w:lang w:val="en-GB"/>
              </w:rPr>
              <w:t>‘customer’ means a natural or legal person who buys, hires or receives a product for own use whether or not acting for purposes which are outside its trade, business, craft or profession;</w:t>
            </w:r>
          </w:p>
        </w:tc>
        <w:tc>
          <w:tcPr>
            <w:tcW w:w="325" w:type="pct"/>
          </w:tcPr>
          <w:p w14:paraId="46187E87" w14:textId="77777777" w:rsidR="00F01ECE" w:rsidRPr="004D2E7C" w:rsidRDefault="00F01ECE" w:rsidP="00F01ECE">
            <w:pPr>
              <w:jc w:val="center"/>
              <w:rPr>
                <w:rFonts w:cs="Times New Roman"/>
                <w:b/>
                <w:bCs/>
                <w:lang w:val="sr-Cyrl-RS"/>
              </w:rPr>
            </w:pPr>
          </w:p>
          <w:p w14:paraId="46187E88" w14:textId="77777777" w:rsidR="00F01ECE" w:rsidRPr="004D2E7C" w:rsidRDefault="00F01ECE" w:rsidP="00F01ECE">
            <w:pPr>
              <w:jc w:val="center"/>
              <w:rPr>
                <w:rFonts w:cs="Times New Roman"/>
                <w:b/>
                <w:bCs/>
                <w:lang w:val="sr-Cyrl-RS"/>
              </w:rPr>
            </w:pPr>
          </w:p>
          <w:p w14:paraId="46187E89" w14:textId="1D7B2707" w:rsidR="00F01ECE" w:rsidRPr="004D2E7C" w:rsidRDefault="00F01ECE" w:rsidP="00F01ECE">
            <w:pPr>
              <w:jc w:val="center"/>
              <w:rPr>
                <w:rFonts w:cs="Times New Roman"/>
                <w:b/>
                <w:bCs/>
                <w:lang w:val="sr-Cyrl-RS"/>
              </w:rPr>
            </w:pPr>
            <w:r w:rsidRPr="004D2E7C">
              <w:rPr>
                <w:rFonts w:cs="Times New Roman"/>
                <w:b/>
                <w:bCs/>
                <w:lang w:val="sr-Cyrl-RS"/>
              </w:rPr>
              <w:t>1.3.1.3</w:t>
            </w:r>
            <w:r w:rsidR="00C561D0">
              <w:rPr>
                <w:rFonts w:cs="Times New Roman"/>
                <w:b/>
                <w:bCs/>
              </w:rPr>
              <w:t>4</w:t>
            </w:r>
            <w:r w:rsidRPr="004D2E7C">
              <w:rPr>
                <w:rFonts w:cs="Times New Roman"/>
                <w:b/>
                <w:bCs/>
                <w:lang w:val="sr-Cyrl-RS"/>
              </w:rPr>
              <w:t>)</w:t>
            </w:r>
          </w:p>
          <w:p w14:paraId="46187E8A" w14:textId="77777777" w:rsidR="00F01ECE" w:rsidRPr="004D2E7C" w:rsidRDefault="00F01ECE" w:rsidP="00F01ECE">
            <w:pPr>
              <w:jc w:val="center"/>
              <w:rPr>
                <w:rFonts w:cs="Times New Roman"/>
                <w:lang w:val="sr-Cyrl-RS"/>
              </w:rPr>
            </w:pPr>
          </w:p>
          <w:p w14:paraId="46187E8B" w14:textId="77777777" w:rsidR="00F01ECE" w:rsidRPr="004D2E7C" w:rsidRDefault="00F01ECE" w:rsidP="00F01ECE">
            <w:pPr>
              <w:jc w:val="center"/>
              <w:rPr>
                <w:rFonts w:cs="Times New Roman"/>
                <w:lang w:val="sr-Cyrl-RS"/>
              </w:rPr>
            </w:pPr>
          </w:p>
          <w:p w14:paraId="46187E8C" w14:textId="77777777" w:rsidR="00F01ECE" w:rsidRPr="004D2E7C" w:rsidRDefault="00F01ECE" w:rsidP="00F01ECE">
            <w:pPr>
              <w:jc w:val="center"/>
              <w:rPr>
                <w:rFonts w:cs="Times New Roman"/>
                <w:lang w:val="sr-Cyrl-RS"/>
              </w:rPr>
            </w:pPr>
          </w:p>
          <w:p w14:paraId="46187E8D" w14:textId="77777777" w:rsidR="00F01ECE" w:rsidRPr="004D2E7C" w:rsidRDefault="00F01ECE" w:rsidP="00F01ECE">
            <w:pPr>
              <w:jc w:val="center"/>
              <w:rPr>
                <w:rFonts w:cs="Times New Roman"/>
                <w:lang w:val="sr-Cyrl-RS"/>
              </w:rPr>
            </w:pPr>
          </w:p>
          <w:p w14:paraId="71A4BB73" w14:textId="77777777" w:rsidR="00F01ECE" w:rsidRDefault="00F01ECE" w:rsidP="00F01ECE">
            <w:pPr>
              <w:jc w:val="center"/>
              <w:rPr>
                <w:rFonts w:cs="Times New Roman"/>
                <w:lang w:val="sr-Cyrl-RS"/>
              </w:rPr>
            </w:pPr>
          </w:p>
          <w:p w14:paraId="46187E8E" w14:textId="6BDBFDCE" w:rsidR="00F01ECE" w:rsidRPr="004D2E7C" w:rsidRDefault="00F01ECE" w:rsidP="00F01ECE">
            <w:pPr>
              <w:jc w:val="center"/>
              <w:rPr>
                <w:rFonts w:cs="Times New Roman"/>
                <w:lang w:val="sr-Cyrl-RS"/>
              </w:rPr>
            </w:pPr>
            <w:r w:rsidRPr="004D2E7C">
              <w:rPr>
                <w:rFonts w:cs="Times New Roman"/>
                <w:lang w:val="sr-Cyrl-RS"/>
              </w:rPr>
              <w:t>2.4.14)</w:t>
            </w:r>
          </w:p>
          <w:p w14:paraId="46187E8F" w14:textId="77777777" w:rsidR="00F01ECE" w:rsidRPr="004D2E7C" w:rsidRDefault="00F01ECE" w:rsidP="00F01ECE">
            <w:pPr>
              <w:jc w:val="center"/>
              <w:rPr>
                <w:rFonts w:cs="Times New Roman"/>
                <w:lang w:val="sr-Cyrl-RS"/>
              </w:rPr>
            </w:pPr>
          </w:p>
        </w:tc>
        <w:tc>
          <w:tcPr>
            <w:tcW w:w="1296" w:type="pct"/>
          </w:tcPr>
          <w:p w14:paraId="46187E91" w14:textId="22DCAE23" w:rsidR="00F01ECE" w:rsidRPr="004D2E7C" w:rsidRDefault="00F01ECE" w:rsidP="00F01ECE">
            <w:pPr>
              <w:jc w:val="both"/>
              <w:rPr>
                <w:rFonts w:eastAsia="Times New Roman" w:cs="Times New Roman"/>
                <w:iCs/>
                <w:lang w:val="sr-Cyrl-RS"/>
              </w:rPr>
            </w:pPr>
            <w:r w:rsidRPr="004D2E7C">
              <w:rPr>
                <w:rFonts w:eastAsia="Times New Roman" w:cs="Times New Roman"/>
                <w:i/>
                <w:lang w:val="sr-Cyrl-RS"/>
              </w:rPr>
              <w:t>купац производа</w:t>
            </w:r>
            <w:r w:rsidRPr="004D2E7C">
              <w:rPr>
                <w:rFonts w:eastAsia="Times New Roman" w:cs="Times New Roman"/>
                <w:iCs/>
                <w:lang w:val="sr-Cyrl-RS"/>
              </w:rPr>
              <w:t xml:space="preserve"> је физичко или правно лице или предузетник, који купује, изнајмљује или држи производ за сопствену употребу без обзира да ли поступа у оквиру или ван свог пословања, трговине, заната или професије;</w:t>
            </w:r>
          </w:p>
          <w:p w14:paraId="0711275F" w14:textId="77777777" w:rsidR="00F01ECE" w:rsidRPr="00F01ECE" w:rsidRDefault="00F01ECE" w:rsidP="00F01ECE">
            <w:pPr>
              <w:jc w:val="both"/>
              <w:rPr>
                <w:rFonts w:cs="Times New Roman"/>
                <w:sz w:val="14"/>
                <w:szCs w:val="14"/>
                <w:lang w:val="sr-Cyrl-RS"/>
              </w:rPr>
            </w:pPr>
          </w:p>
          <w:p w14:paraId="46187E93" w14:textId="5AF4F14F" w:rsidR="00F01ECE" w:rsidRPr="004D2E7C" w:rsidRDefault="00F01ECE" w:rsidP="00F01ECE">
            <w:pPr>
              <w:spacing w:after="120"/>
              <w:jc w:val="both"/>
              <w:rPr>
                <w:rFonts w:cs="Times New Roman"/>
                <w:lang w:val="sr-Cyrl-RS"/>
              </w:rPr>
            </w:pPr>
            <w:r w:rsidRPr="004D2E7C">
              <w:rPr>
                <w:rFonts w:cs="Times New Roman"/>
                <w:lang w:val="sr-Cyrl-RS"/>
              </w:rPr>
              <w:t>„потрошач” јесте правно лице, предузетник или физичко лице које купује или се очекује да купи производ који утиче на потрошњу енергије;</w:t>
            </w:r>
          </w:p>
        </w:tc>
        <w:tc>
          <w:tcPr>
            <w:tcW w:w="235" w:type="pct"/>
            <w:vAlign w:val="center"/>
          </w:tcPr>
          <w:p w14:paraId="46187E94" w14:textId="77777777" w:rsidR="00F01ECE" w:rsidRPr="004D2E7C" w:rsidRDefault="00F01ECE" w:rsidP="00F01ECE">
            <w:pPr>
              <w:jc w:val="center"/>
              <w:rPr>
                <w:rFonts w:cs="Times New Roman"/>
                <w:lang w:val="sr-Cyrl-RS"/>
              </w:rPr>
            </w:pPr>
            <w:r w:rsidRPr="004D2E7C">
              <w:rPr>
                <w:rFonts w:cs="Times New Roman"/>
                <w:lang w:val="sr-Cyrl-RS"/>
              </w:rPr>
              <w:t>ПУ</w:t>
            </w:r>
          </w:p>
        </w:tc>
        <w:tc>
          <w:tcPr>
            <w:tcW w:w="676" w:type="pct"/>
          </w:tcPr>
          <w:p w14:paraId="46187E95" w14:textId="77777777" w:rsidR="00F01ECE" w:rsidRPr="004D2E7C" w:rsidRDefault="00F01ECE" w:rsidP="00F01ECE">
            <w:pPr>
              <w:rPr>
                <w:rFonts w:cs="Times New Roman"/>
                <w:lang w:val="sr-Cyrl-RS"/>
              </w:rPr>
            </w:pPr>
          </w:p>
        </w:tc>
        <w:tc>
          <w:tcPr>
            <w:tcW w:w="699" w:type="pct"/>
            <w:vAlign w:val="center"/>
          </w:tcPr>
          <w:p w14:paraId="46187E96" w14:textId="77777777" w:rsidR="00F01ECE" w:rsidRPr="004D2E7C" w:rsidRDefault="00F01ECE" w:rsidP="00F01ECE">
            <w:pPr>
              <w:rPr>
                <w:rFonts w:cs="Times New Roman"/>
                <w:lang w:val="sr-Cyrl-RS"/>
              </w:rPr>
            </w:pPr>
          </w:p>
        </w:tc>
      </w:tr>
      <w:tr w:rsidR="00F01ECE" w:rsidRPr="004D2E7C" w14:paraId="46187EA0" w14:textId="77777777" w:rsidTr="006B3660">
        <w:trPr>
          <w:trHeight w:val="291"/>
        </w:trPr>
        <w:tc>
          <w:tcPr>
            <w:tcW w:w="280" w:type="pct"/>
            <w:shd w:val="clear" w:color="auto" w:fill="D9D9D9"/>
            <w:vAlign w:val="center"/>
          </w:tcPr>
          <w:p w14:paraId="46187E98" w14:textId="77777777" w:rsidR="00F01ECE" w:rsidRPr="004D2E7C" w:rsidRDefault="00F01ECE" w:rsidP="00F01ECE">
            <w:pPr>
              <w:jc w:val="center"/>
              <w:rPr>
                <w:rFonts w:eastAsia="Times New Roman" w:cs="Times New Roman"/>
                <w:lang w:val="sr-Cyrl-RS"/>
              </w:rPr>
            </w:pPr>
            <w:r w:rsidRPr="004D2E7C">
              <w:rPr>
                <w:rFonts w:eastAsia="Times New Roman" w:cs="Times New Roman"/>
                <w:lang w:val="sr-Cyrl-RS"/>
              </w:rPr>
              <w:t>2.(17)</w:t>
            </w:r>
          </w:p>
        </w:tc>
        <w:tc>
          <w:tcPr>
            <w:tcW w:w="1489" w:type="pct"/>
            <w:shd w:val="clear" w:color="auto" w:fill="D9D9D9"/>
            <w:vAlign w:val="center"/>
          </w:tcPr>
          <w:p w14:paraId="46187E99" w14:textId="77777777" w:rsidR="00F01ECE" w:rsidRPr="004D2E7C" w:rsidRDefault="00F01ECE" w:rsidP="00F01ECE">
            <w:pPr>
              <w:jc w:val="both"/>
              <w:rPr>
                <w:rFonts w:eastAsia="Times New Roman" w:cs="Times New Roman"/>
                <w:lang w:val="en-GB"/>
              </w:rPr>
            </w:pPr>
            <w:r w:rsidRPr="004D2E7C">
              <w:rPr>
                <w:rFonts w:cs="Times New Roman"/>
                <w:lang w:val="en-GB"/>
              </w:rPr>
              <w:t>‘energy efficiency’ means the ratio of output of performance, service, goods or energy to input of energy;</w:t>
            </w:r>
          </w:p>
        </w:tc>
        <w:tc>
          <w:tcPr>
            <w:tcW w:w="325" w:type="pct"/>
            <w:vAlign w:val="center"/>
          </w:tcPr>
          <w:p w14:paraId="46187E9A" w14:textId="4A88AE1F" w:rsidR="00F01ECE" w:rsidRPr="004D2E7C" w:rsidRDefault="00F01ECE" w:rsidP="00F01ECE">
            <w:pPr>
              <w:jc w:val="center"/>
              <w:rPr>
                <w:rFonts w:cs="Times New Roman"/>
                <w:b/>
                <w:bCs/>
                <w:lang w:val="sr-Cyrl-RS"/>
              </w:rPr>
            </w:pPr>
            <w:r w:rsidRPr="004D2E7C">
              <w:rPr>
                <w:rFonts w:cs="Times New Roman"/>
                <w:b/>
                <w:bCs/>
                <w:lang w:val="sr-Cyrl-RS"/>
              </w:rPr>
              <w:t>1.3.1.8)</w:t>
            </w:r>
          </w:p>
        </w:tc>
        <w:tc>
          <w:tcPr>
            <w:tcW w:w="1296" w:type="pct"/>
          </w:tcPr>
          <w:p w14:paraId="46187E9C" w14:textId="6A7EFD92" w:rsidR="00F01ECE" w:rsidRPr="00F01ECE" w:rsidRDefault="00F01ECE" w:rsidP="00F01ECE">
            <w:pPr>
              <w:spacing w:after="120"/>
              <w:jc w:val="both"/>
              <w:rPr>
                <w:rFonts w:eastAsia="Times New Roman" w:cs="Times New Roman"/>
                <w:iCs/>
                <w:lang w:val="sr-Cyrl-RS"/>
              </w:rPr>
            </w:pPr>
            <w:r w:rsidRPr="004D2E7C">
              <w:rPr>
                <w:rFonts w:eastAsia="Times New Roman" w:cs="Times New Roman"/>
                <w:i/>
                <w:lang w:val="sr-Cyrl-RS"/>
              </w:rPr>
              <w:t>енергетска ефикасност</w:t>
            </w:r>
            <w:r w:rsidRPr="004D2E7C">
              <w:rPr>
                <w:rFonts w:eastAsia="Times New Roman" w:cs="Times New Roman"/>
                <w:iCs/>
                <w:lang w:val="sr-Cyrl-RS"/>
              </w:rPr>
              <w:t xml:space="preserve"> је однос између оствареног резултата у услугама, добрима или енергији и за то утрошене енергије;</w:t>
            </w:r>
          </w:p>
        </w:tc>
        <w:tc>
          <w:tcPr>
            <w:tcW w:w="235" w:type="pct"/>
            <w:vAlign w:val="center"/>
          </w:tcPr>
          <w:p w14:paraId="46187E9D" w14:textId="77777777" w:rsidR="00F01ECE" w:rsidRPr="004D2E7C" w:rsidRDefault="00F01ECE" w:rsidP="00F01ECE">
            <w:pPr>
              <w:jc w:val="center"/>
              <w:rPr>
                <w:rFonts w:cs="Times New Roman"/>
                <w:lang w:val="sr-Cyrl-RS"/>
              </w:rPr>
            </w:pPr>
            <w:r w:rsidRPr="004D2E7C">
              <w:rPr>
                <w:rFonts w:cs="Times New Roman"/>
                <w:lang w:val="sr-Cyrl-RS"/>
              </w:rPr>
              <w:t>ПУ</w:t>
            </w:r>
          </w:p>
        </w:tc>
        <w:tc>
          <w:tcPr>
            <w:tcW w:w="676" w:type="pct"/>
          </w:tcPr>
          <w:p w14:paraId="46187E9E" w14:textId="77777777" w:rsidR="00F01ECE" w:rsidRPr="004D2E7C" w:rsidRDefault="00F01ECE" w:rsidP="00F01ECE">
            <w:pPr>
              <w:rPr>
                <w:rFonts w:cs="Times New Roman"/>
                <w:lang w:val="sr-Cyrl-RS"/>
              </w:rPr>
            </w:pPr>
          </w:p>
        </w:tc>
        <w:tc>
          <w:tcPr>
            <w:tcW w:w="699" w:type="pct"/>
            <w:vAlign w:val="center"/>
          </w:tcPr>
          <w:p w14:paraId="46187E9F" w14:textId="77777777" w:rsidR="00F01ECE" w:rsidRPr="004D2E7C" w:rsidRDefault="00F01ECE" w:rsidP="00F01ECE">
            <w:pPr>
              <w:rPr>
                <w:rFonts w:cs="Times New Roman"/>
                <w:lang w:val="sr-Cyrl-RS"/>
              </w:rPr>
            </w:pPr>
          </w:p>
        </w:tc>
      </w:tr>
      <w:tr w:rsidR="00F01ECE" w:rsidRPr="004D2E7C" w14:paraId="46187EA9" w14:textId="77777777" w:rsidTr="006B3660">
        <w:trPr>
          <w:trHeight w:val="291"/>
        </w:trPr>
        <w:tc>
          <w:tcPr>
            <w:tcW w:w="280" w:type="pct"/>
            <w:shd w:val="clear" w:color="auto" w:fill="D9D9D9"/>
            <w:vAlign w:val="center"/>
          </w:tcPr>
          <w:p w14:paraId="46187EA1" w14:textId="77777777" w:rsidR="00F01ECE" w:rsidRPr="004D2E7C" w:rsidRDefault="00F01ECE" w:rsidP="00F01ECE">
            <w:pPr>
              <w:jc w:val="center"/>
              <w:rPr>
                <w:rFonts w:eastAsia="Times New Roman" w:cs="Times New Roman"/>
                <w:lang w:val="sr-Cyrl-RS"/>
              </w:rPr>
            </w:pPr>
            <w:r w:rsidRPr="004D2E7C">
              <w:rPr>
                <w:rFonts w:eastAsia="Times New Roman" w:cs="Times New Roman"/>
                <w:lang w:val="sr-Cyrl-RS"/>
              </w:rPr>
              <w:t>2.(18)</w:t>
            </w:r>
          </w:p>
        </w:tc>
        <w:tc>
          <w:tcPr>
            <w:tcW w:w="1489" w:type="pct"/>
            <w:shd w:val="clear" w:color="auto" w:fill="D9D9D9"/>
            <w:vAlign w:val="center"/>
          </w:tcPr>
          <w:p w14:paraId="46187EA2" w14:textId="77777777" w:rsidR="00F01ECE" w:rsidRPr="004D2E7C" w:rsidRDefault="00F01ECE" w:rsidP="00F01ECE">
            <w:pPr>
              <w:jc w:val="both"/>
              <w:rPr>
                <w:rFonts w:eastAsia="Times New Roman" w:cs="Times New Roman"/>
                <w:lang w:val="en-GB"/>
              </w:rPr>
            </w:pPr>
            <w:r w:rsidRPr="004D2E7C">
              <w:rPr>
                <w:rFonts w:cs="Times New Roman"/>
                <w:lang w:val="en-GB"/>
              </w:rPr>
              <w:t>‘harmonised standard’ means standard as defined in point (c) of Article 2(1) of Regulation (EU) No 1025/2012 of the European Parliament and of the Council</w:t>
            </w:r>
            <w:hyperlink r:id="rId9" w:anchor="ntr11-L_2017198EN.01000101-E0011" w:history="1">
              <w:r w:rsidRPr="004D2E7C">
                <w:rPr>
                  <w:rStyle w:val="Hyperlink"/>
                  <w:rFonts w:cs="Times New Roman"/>
                  <w:color w:val="auto"/>
                  <w:lang w:val="en-GB"/>
                </w:rPr>
                <w:t> (</w:t>
              </w:r>
              <w:r w:rsidRPr="004D2E7C">
                <w:rPr>
                  <w:rStyle w:val="super"/>
                  <w:rFonts w:cs="Times New Roman"/>
                  <w:u w:val="single"/>
                  <w:vertAlign w:val="superscript"/>
                  <w:lang w:val="en-GB"/>
                </w:rPr>
                <w:t>11</w:t>
              </w:r>
              <w:r w:rsidRPr="004D2E7C">
                <w:rPr>
                  <w:rStyle w:val="Hyperlink"/>
                  <w:rFonts w:cs="Times New Roman"/>
                  <w:color w:val="auto"/>
                  <w:lang w:val="en-GB"/>
                </w:rPr>
                <w:t>)</w:t>
              </w:r>
            </w:hyperlink>
            <w:r w:rsidRPr="004D2E7C">
              <w:rPr>
                <w:rFonts w:cs="Times New Roman"/>
                <w:lang w:val="en-GB"/>
              </w:rPr>
              <w:t>;</w:t>
            </w:r>
          </w:p>
        </w:tc>
        <w:tc>
          <w:tcPr>
            <w:tcW w:w="325" w:type="pct"/>
            <w:vAlign w:val="center"/>
          </w:tcPr>
          <w:p w14:paraId="46187EA3" w14:textId="77777777" w:rsidR="00F01ECE" w:rsidRPr="004D2E7C" w:rsidRDefault="00F01ECE" w:rsidP="00F01ECE">
            <w:pPr>
              <w:jc w:val="center"/>
              <w:rPr>
                <w:rFonts w:cs="Times New Roman"/>
                <w:lang w:val="sr-Cyrl-RS"/>
              </w:rPr>
            </w:pPr>
            <w:r w:rsidRPr="004D2E7C">
              <w:rPr>
                <w:rFonts w:cs="Times New Roman"/>
                <w:lang w:val="sr-Cyrl-RS"/>
              </w:rPr>
              <w:t>3.3.1.5)</w:t>
            </w:r>
          </w:p>
        </w:tc>
        <w:tc>
          <w:tcPr>
            <w:tcW w:w="1296" w:type="pct"/>
          </w:tcPr>
          <w:p w14:paraId="46187EA5" w14:textId="77A3A261" w:rsidR="00F01ECE" w:rsidRPr="004D2E7C" w:rsidRDefault="00F01ECE" w:rsidP="00F01ECE">
            <w:pPr>
              <w:spacing w:after="120"/>
              <w:jc w:val="both"/>
              <w:rPr>
                <w:rFonts w:cs="Times New Roman"/>
                <w:lang w:val="sr-Cyrl-RS"/>
              </w:rPr>
            </w:pPr>
            <w:r w:rsidRPr="004D2E7C">
              <w:rPr>
                <w:rFonts w:cs="Times New Roman"/>
                <w:lang w:val="sr-Cyrl-RS"/>
              </w:rPr>
              <w:t xml:space="preserve">хармонизовани стандард је европски стандард који је донет на основу захтева Европске комисије за примену у </w:t>
            </w:r>
            <w:r w:rsidRPr="004D2E7C">
              <w:rPr>
                <w:rFonts w:cs="Times New Roman"/>
                <w:lang w:val="sr-Cyrl-RS"/>
              </w:rPr>
              <w:lastRenderedPageBreak/>
              <w:t>хармонизованом законодавству Европске уније;</w:t>
            </w:r>
          </w:p>
        </w:tc>
        <w:tc>
          <w:tcPr>
            <w:tcW w:w="235" w:type="pct"/>
            <w:vAlign w:val="center"/>
          </w:tcPr>
          <w:p w14:paraId="46187EA6" w14:textId="77777777" w:rsidR="00F01ECE" w:rsidRPr="004D2E7C" w:rsidRDefault="00F01ECE" w:rsidP="00F01ECE">
            <w:pPr>
              <w:jc w:val="center"/>
              <w:rPr>
                <w:rFonts w:cs="Times New Roman"/>
                <w:lang w:val="sr-Cyrl-RS"/>
              </w:rPr>
            </w:pPr>
            <w:r w:rsidRPr="004D2E7C">
              <w:rPr>
                <w:rFonts w:cs="Times New Roman"/>
                <w:lang w:val="sr-Cyrl-RS"/>
              </w:rPr>
              <w:lastRenderedPageBreak/>
              <w:t>ПУ</w:t>
            </w:r>
          </w:p>
        </w:tc>
        <w:tc>
          <w:tcPr>
            <w:tcW w:w="676" w:type="pct"/>
          </w:tcPr>
          <w:p w14:paraId="46187EA7" w14:textId="77777777" w:rsidR="00F01ECE" w:rsidRPr="004D2E7C" w:rsidRDefault="00F01ECE" w:rsidP="00F01ECE">
            <w:pPr>
              <w:rPr>
                <w:rFonts w:cs="Times New Roman"/>
                <w:lang w:val="sr-Cyrl-RS"/>
              </w:rPr>
            </w:pPr>
          </w:p>
        </w:tc>
        <w:tc>
          <w:tcPr>
            <w:tcW w:w="699" w:type="pct"/>
            <w:vAlign w:val="center"/>
          </w:tcPr>
          <w:p w14:paraId="46187EA8" w14:textId="77777777" w:rsidR="00F01ECE" w:rsidRPr="004D2E7C" w:rsidRDefault="00F01ECE" w:rsidP="00F01ECE">
            <w:pPr>
              <w:rPr>
                <w:rFonts w:cs="Times New Roman"/>
                <w:lang w:val="sr-Cyrl-RS"/>
              </w:rPr>
            </w:pPr>
          </w:p>
        </w:tc>
      </w:tr>
      <w:tr w:rsidR="00F01ECE" w:rsidRPr="004D2E7C" w14:paraId="46187EB3" w14:textId="77777777" w:rsidTr="006B3660">
        <w:trPr>
          <w:trHeight w:val="291"/>
        </w:trPr>
        <w:tc>
          <w:tcPr>
            <w:tcW w:w="280" w:type="pct"/>
            <w:shd w:val="clear" w:color="auto" w:fill="D9D9D9"/>
            <w:vAlign w:val="center"/>
          </w:tcPr>
          <w:p w14:paraId="46187EAA" w14:textId="77777777" w:rsidR="00F01ECE" w:rsidRPr="004D2E7C" w:rsidRDefault="00F01ECE" w:rsidP="00F01ECE">
            <w:pPr>
              <w:jc w:val="center"/>
              <w:rPr>
                <w:rFonts w:eastAsia="Times New Roman" w:cs="Times New Roman"/>
                <w:lang w:val="sr-Cyrl-RS"/>
              </w:rPr>
            </w:pPr>
            <w:r w:rsidRPr="004D2E7C">
              <w:rPr>
                <w:rFonts w:eastAsia="Times New Roman" w:cs="Times New Roman"/>
                <w:lang w:val="sr-Cyrl-RS"/>
              </w:rPr>
              <w:lastRenderedPageBreak/>
              <w:t>2.(19)</w:t>
            </w:r>
          </w:p>
        </w:tc>
        <w:tc>
          <w:tcPr>
            <w:tcW w:w="1489" w:type="pct"/>
            <w:shd w:val="clear" w:color="auto" w:fill="D9D9D9"/>
            <w:vAlign w:val="center"/>
          </w:tcPr>
          <w:p w14:paraId="46187EAB" w14:textId="77777777" w:rsidR="00F01ECE" w:rsidRPr="004D2E7C" w:rsidRDefault="00F01ECE" w:rsidP="00F01ECE">
            <w:pPr>
              <w:jc w:val="both"/>
              <w:rPr>
                <w:rFonts w:eastAsia="Times New Roman" w:cs="Times New Roman"/>
                <w:lang w:val="en-GB"/>
              </w:rPr>
            </w:pPr>
            <w:r w:rsidRPr="004D2E7C">
              <w:rPr>
                <w:rFonts w:cs="Times New Roman"/>
                <w:lang w:val="en-GB"/>
              </w:rPr>
              <w:t>‘label’ means a graphic diagram, either in printed or electronic form, including a closed scale using only letters from A to G, each letter representing a class and each class corresponding to energy savings, in seven different colours from dark green to red, in order to inform customers about energy efficiency and energy consumption; it includes rescaled labels and labels with fewer classes and colours in accordance with Article 11(10) and (11);</w:t>
            </w:r>
          </w:p>
        </w:tc>
        <w:tc>
          <w:tcPr>
            <w:tcW w:w="325" w:type="pct"/>
            <w:vAlign w:val="center"/>
          </w:tcPr>
          <w:p w14:paraId="46187EAC" w14:textId="54757D94" w:rsidR="00F01ECE" w:rsidRPr="004D2E7C" w:rsidRDefault="00F01ECE" w:rsidP="00F01ECE">
            <w:pPr>
              <w:jc w:val="center"/>
              <w:rPr>
                <w:rFonts w:cs="Times New Roman"/>
                <w:b/>
                <w:bCs/>
                <w:lang w:val="sr-Cyrl-RS"/>
              </w:rPr>
            </w:pPr>
            <w:r w:rsidRPr="004D2E7C">
              <w:rPr>
                <w:rFonts w:cs="Times New Roman"/>
                <w:b/>
                <w:bCs/>
                <w:lang w:val="sr-Cyrl-RS"/>
              </w:rPr>
              <w:t>1.3.1.9)</w:t>
            </w:r>
          </w:p>
          <w:p w14:paraId="46187EAD" w14:textId="77777777" w:rsidR="00F01ECE" w:rsidRPr="004D2E7C" w:rsidRDefault="00F01ECE" w:rsidP="00F01ECE">
            <w:pPr>
              <w:jc w:val="center"/>
              <w:rPr>
                <w:rFonts w:cs="Times New Roman"/>
                <w:lang w:val="sr-Cyrl-RS"/>
              </w:rPr>
            </w:pPr>
          </w:p>
        </w:tc>
        <w:tc>
          <w:tcPr>
            <w:tcW w:w="1296" w:type="pct"/>
          </w:tcPr>
          <w:p w14:paraId="46187EAF" w14:textId="24507174" w:rsidR="00F01ECE" w:rsidRPr="004D2E7C" w:rsidRDefault="00F01ECE" w:rsidP="00F01ECE">
            <w:pPr>
              <w:contextualSpacing/>
              <w:jc w:val="both"/>
              <w:rPr>
                <w:rFonts w:eastAsia="Times New Roman" w:cs="Times New Roman"/>
                <w:lang w:val="sr-Cyrl-RS"/>
              </w:rPr>
            </w:pPr>
            <w:r w:rsidRPr="004D2E7C">
              <w:rPr>
                <w:rFonts w:eastAsia="Times New Roman" w:cs="Times New Roman"/>
                <w:i/>
                <w:lang w:val="sr-Cyrl-RS"/>
              </w:rPr>
              <w:t>енергетска ознака</w:t>
            </w:r>
            <w:r w:rsidRPr="004D2E7C">
              <w:rPr>
                <w:rFonts w:eastAsia="Times New Roman" w:cs="Times New Roman"/>
                <w:iCs/>
                <w:lang w:val="sr-Cyrl-RS"/>
              </w:rPr>
              <w:t xml:space="preserve"> је графички дијаграм, било у штампаном или електронском облику, који укључује скалу слова латиничног писма од „А“ до „G“, где свако слово представља класу, а свака класа одговара уштеди енергије, исказана у седам различитих боја, од тамно зелене до црвене у циљу да информише купце производа о енергетској ефикасности и енергетској потрошњи; укључује рекласиране ознаке и ознаке са мање разреда и боја у складу са овим законом;</w:t>
            </w:r>
          </w:p>
        </w:tc>
        <w:tc>
          <w:tcPr>
            <w:tcW w:w="235" w:type="pct"/>
            <w:vAlign w:val="center"/>
          </w:tcPr>
          <w:p w14:paraId="46187EB0" w14:textId="77777777" w:rsidR="00F01ECE" w:rsidRPr="004D2E7C" w:rsidRDefault="00F01ECE" w:rsidP="00F01ECE">
            <w:pPr>
              <w:jc w:val="center"/>
              <w:rPr>
                <w:rFonts w:cs="Times New Roman"/>
                <w:lang w:val="sr-Cyrl-RS"/>
              </w:rPr>
            </w:pPr>
            <w:r w:rsidRPr="004D2E7C">
              <w:rPr>
                <w:rFonts w:cs="Times New Roman"/>
                <w:lang w:val="sr-Cyrl-RS"/>
              </w:rPr>
              <w:t>ПУ</w:t>
            </w:r>
          </w:p>
        </w:tc>
        <w:tc>
          <w:tcPr>
            <w:tcW w:w="676" w:type="pct"/>
          </w:tcPr>
          <w:p w14:paraId="46187EB1" w14:textId="77777777" w:rsidR="00F01ECE" w:rsidRPr="004D2E7C" w:rsidRDefault="00F01ECE" w:rsidP="00F01ECE">
            <w:pPr>
              <w:rPr>
                <w:rFonts w:cs="Times New Roman"/>
                <w:lang w:val="sr-Cyrl-RS"/>
              </w:rPr>
            </w:pPr>
          </w:p>
        </w:tc>
        <w:tc>
          <w:tcPr>
            <w:tcW w:w="699" w:type="pct"/>
            <w:vAlign w:val="center"/>
          </w:tcPr>
          <w:p w14:paraId="46187EB2" w14:textId="77777777" w:rsidR="00F01ECE" w:rsidRPr="004D2E7C" w:rsidRDefault="00F01ECE" w:rsidP="00F01ECE">
            <w:pPr>
              <w:rPr>
                <w:rFonts w:cs="Times New Roman"/>
                <w:lang w:val="sr-Cyrl-RS"/>
              </w:rPr>
            </w:pPr>
          </w:p>
        </w:tc>
      </w:tr>
      <w:tr w:rsidR="009A4EE4" w:rsidRPr="004D2E7C" w14:paraId="46187EBB" w14:textId="77777777" w:rsidTr="006B3660">
        <w:trPr>
          <w:trHeight w:val="291"/>
        </w:trPr>
        <w:tc>
          <w:tcPr>
            <w:tcW w:w="280" w:type="pct"/>
            <w:shd w:val="clear" w:color="auto" w:fill="D9D9D9"/>
            <w:vAlign w:val="center"/>
          </w:tcPr>
          <w:p w14:paraId="46187EB4" w14:textId="77777777" w:rsidR="009A4EE4" w:rsidRPr="004D2E7C" w:rsidRDefault="009A4EE4" w:rsidP="009A4EE4">
            <w:pPr>
              <w:jc w:val="center"/>
              <w:rPr>
                <w:rFonts w:eastAsia="Times New Roman" w:cs="Times New Roman"/>
                <w:lang w:val="sr-Cyrl-RS"/>
              </w:rPr>
            </w:pPr>
            <w:r w:rsidRPr="004D2E7C">
              <w:rPr>
                <w:rFonts w:eastAsia="Times New Roman" w:cs="Times New Roman"/>
                <w:lang w:val="sr-Cyrl-RS"/>
              </w:rPr>
              <w:t>2.(20)</w:t>
            </w:r>
          </w:p>
        </w:tc>
        <w:tc>
          <w:tcPr>
            <w:tcW w:w="1489" w:type="pct"/>
            <w:shd w:val="clear" w:color="auto" w:fill="D9D9D9"/>
            <w:vAlign w:val="center"/>
          </w:tcPr>
          <w:p w14:paraId="46187EB5" w14:textId="77777777" w:rsidR="009A4EE4" w:rsidRPr="004D2E7C" w:rsidRDefault="009A4EE4" w:rsidP="009A4EE4">
            <w:pPr>
              <w:spacing w:after="120"/>
              <w:jc w:val="both"/>
              <w:rPr>
                <w:rFonts w:eastAsia="Times New Roman" w:cs="Times New Roman"/>
                <w:lang w:val="en-GB"/>
              </w:rPr>
            </w:pPr>
            <w:r w:rsidRPr="004D2E7C">
              <w:rPr>
                <w:rFonts w:cs="Times New Roman"/>
                <w:lang w:val="en-GB"/>
              </w:rPr>
              <w:t>‘rescaling’ means an exercise making the requirements for achieving the energy class on a label for a particular product group more stringent;</w:t>
            </w:r>
          </w:p>
        </w:tc>
        <w:tc>
          <w:tcPr>
            <w:tcW w:w="325" w:type="pct"/>
            <w:vAlign w:val="center"/>
          </w:tcPr>
          <w:p w14:paraId="324CFCB5" w14:textId="77777777" w:rsidR="009A4EE4" w:rsidRDefault="009A4EE4" w:rsidP="009A4EE4">
            <w:pPr>
              <w:jc w:val="center"/>
              <w:rPr>
                <w:rFonts w:cs="Times New Roman"/>
                <w:lang w:val="sr-Cyrl-RS"/>
              </w:rPr>
            </w:pPr>
            <w:r>
              <w:rPr>
                <w:rFonts w:cs="Times New Roman"/>
                <w:lang w:val="sr-Cyrl-RS"/>
              </w:rPr>
              <w:t>1.62.2</w:t>
            </w:r>
          </w:p>
          <w:p w14:paraId="46187EB6" w14:textId="4E878392" w:rsidR="009A4EE4" w:rsidRPr="004D2E7C" w:rsidRDefault="009A4EE4" w:rsidP="009A4EE4">
            <w:pPr>
              <w:jc w:val="center"/>
              <w:rPr>
                <w:rFonts w:cs="Times New Roman"/>
                <w:lang w:val="sr-Cyrl-RS"/>
              </w:rPr>
            </w:pPr>
            <w:r>
              <w:rPr>
                <w:rFonts w:cs="Times New Roman"/>
                <w:b/>
              </w:rPr>
              <w:t>1.150.2.</w:t>
            </w:r>
          </w:p>
        </w:tc>
        <w:tc>
          <w:tcPr>
            <w:tcW w:w="1296" w:type="pct"/>
          </w:tcPr>
          <w:p w14:paraId="3FCF58E2" w14:textId="77777777" w:rsidR="009A4EE4" w:rsidRPr="004D2E7C" w:rsidRDefault="009A4EE4" w:rsidP="009A4EE4">
            <w:pPr>
              <w:autoSpaceDE w:val="0"/>
              <w:autoSpaceDN w:val="0"/>
              <w:adjustRightInd w:val="0"/>
              <w:ind w:firstLine="567"/>
              <w:jc w:val="both"/>
              <w:rPr>
                <w:rFonts w:eastAsia="MS Mincho" w:cs="Times New Roman"/>
                <w:color w:val="000000" w:themeColor="text1"/>
                <w:lang w:val="sr-Cyrl-CS" w:eastAsia="ja-JP"/>
              </w:rPr>
            </w:pPr>
            <w:r w:rsidRPr="004D2E7C">
              <w:rPr>
                <w:rFonts w:eastAsia="MS Mincho" w:cs="Times New Roman"/>
                <w:color w:val="000000" w:themeColor="text1"/>
                <w:lang w:val="sr-Cyrl-CS" w:eastAsia="ja-JP"/>
              </w:rPr>
              <w:t>Влада ближе уређује обавезе испоручиоца производа, и продавца у погледу енергетског означавања производа, које се односе на: садржај енергетске ознаке, њеног исправног постављања и тачности података на ознаци, коришћење рекласираних ознака енергетске ефикасности и друге услове којима се обезбеђује примена захтева енергетског означавања за производе из става 1. овог члана.</w:t>
            </w:r>
          </w:p>
          <w:p w14:paraId="1091BA5C" w14:textId="77777777" w:rsidR="009A4EE4" w:rsidRDefault="009A4EE4" w:rsidP="009A4EE4">
            <w:pPr>
              <w:tabs>
                <w:tab w:val="left" w:pos="1152"/>
              </w:tabs>
              <w:jc w:val="both"/>
              <w:rPr>
                <w:rFonts w:cs="Times New Roman"/>
                <w:lang w:val="sr-Cyrl-RS"/>
              </w:rPr>
            </w:pPr>
          </w:p>
          <w:p w14:paraId="46187EB7" w14:textId="41A7103F" w:rsidR="009A4EE4" w:rsidRPr="004D2E7C" w:rsidRDefault="009A4EE4" w:rsidP="009A4EE4">
            <w:pPr>
              <w:tabs>
                <w:tab w:val="left" w:pos="1152"/>
              </w:tabs>
              <w:rPr>
                <w:rFonts w:cs="Times New Roman"/>
                <w:lang w:val="sr-Cyrl-RS"/>
              </w:rPr>
            </w:pPr>
            <w:r w:rsidRPr="00C30E0B">
              <w:rPr>
                <w:rFonts w:eastAsia="Times New Roman" w:cs="Times New Roman"/>
                <w:sz w:val="24"/>
                <w:szCs w:val="24"/>
                <w:lang w:val="sr-Cyrl-CS"/>
              </w:rPr>
              <w:t xml:space="preserve">Прописи за спровођење овог закона из чл. 7-9. ,чл. 15 – 16., члана 21., чл. 23-24., чл. 26-27., члана 30., члана 36., чл. 37-40., члана 47., члана 51., чл. 54-55. члана 57., члана 59., чл. 61-62, чл. 64-66., члана 73., члана 80., члана 83., </w:t>
            </w:r>
            <w:r w:rsidRPr="00C30E0B">
              <w:rPr>
                <w:rFonts w:eastAsia="Times New Roman" w:cs="Times New Roman"/>
                <w:sz w:val="24"/>
                <w:szCs w:val="24"/>
                <w:lang w:val="sr-Cyrl-CS"/>
              </w:rPr>
              <w:lastRenderedPageBreak/>
              <w:t>члана 90., чл. 93-94., чл. 96-98., члана 100., и чл. 107-109. овог закона биће донети у року од 18 месеци од дана ступања на снагу овог закона, изузев подзаконских аката из става 1. овог члана</w:t>
            </w:r>
          </w:p>
        </w:tc>
        <w:tc>
          <w:tcPr>
            <w:tcW w:w="235" w:type="pct"/>
            <w:vAlign w:val="center"/>
          </w:tcPr>
          <w:p w14:paraId="46187EB8" w14:textId="148C7F7F" w:rsidR="009A4EE4" w:rsidRPr="0094454A" w:rsidRDefault="009A4EE4" w:rsidP="009A4EE4">
            <w:pPr>
              <w:jc w:val="center"/>
              <w:rPr>
                <w:rFonts w:cs="Times New Roman"/>
                <w:lang w:val="sr-Cyrl-RS"/>
              </w:rPr>
            </w:pPr>
            <w:r>
              <w:rPr>
                <w:rFonts w:cs="Times New Roman"/>
                <w:lang w:val="sr-Cyrl-RS"/>
              </w:rPr>
              <w:lastRenderedPageBreak/>
              <w:t>Д</w:t>
            </w:r>
            <w:r w:rsidRPr="004D2E7C">
              <w:rPr>
                <w:rFonts w:cs="Times New Roman"/>
                <w:lang w:val="sr-Cyrl-RS"/>
              </w:rPr>
              <w:t>У</w:t>
            </w:r>
          </w:p>
        </w:tc>
        <w:tc>
          <w:tcPr>
            <w:tcW w:w="676" w:type="pct"/>
          </w:tcPr>
          <w:p w14:paraId="46187EB9" w14:textId="6D03D9BD" w:rsidR="009A4EE4" w:rsidRPr="004D2E7C" w:rsidRDefault="009A4EE4" w:rsidP="009A4EE4">
            <w:pPr>
              <w:rPr>
                <w:rFonts w:cs="Times New Roman"/>
                <w:lang w:val="sr-Cyrl-RS"/>
              </w:rPr>
            </w:pPr>
            <w:r>
              <w:rPr>
                <w:rFonts w:cs="Times New Roman"/>
                <w:spacing w:val="-6"/>
                <w:lang w:val="sr-Cyrl-RS"/>
              </w:rPr>
              <w:t>Усклађеност ће бити постигнута доношењем Уредбе из 1.62.2.</w:t>
            </w:r>
          </w:p>
        </w:tc>
        <w:tc>
          <w:tcPr>
            <w:tcW w:w="699" w:type="pct"/>
            <w:vAlign w:val="center"/>
          </w:tcPr>
          <w:p w14:paraId="46187EBA" w14:textId="47C5271D" w:rsidR="009A4EE4" w:rsidRPr="004D2E7C" w:rsidRDefault="009A4EE4" w:rsidP="009A4EE4">
            <w:pPr>
              <w:rPr>
                <w:rFonts w:cs="Times New Roman"/>
                <w:lang w:val="sr-Cyrl-RS"/>
              </w:rPr>
            </w:pPr>
          </w:p>
        </w:tc>
      </w:tr>
      <w:tr w:rsidR="00F01ECE" w:rsidRPr="004D2E7C" w14:paraId="46187EC3" w14:textId="77777777" w:rsidTr="006B3660">
        <w:trPr>
          <w:trHeight w:val="291"/>
        </w:trPr>
        <w:tc>
          <w:tcPr>
            <w:tcW w:w="280" w:type="pct"/>
            <w:shd w:val="clear" w:color="auto" w:fill="D9D9D9"/>
            <w:vAlign w:val="center"/>
          </w:tcPr>
          <w:p w14:paraId="46187EBC" w14:textId="77777777" w:rsidR="00F01ECE" w:rsidRPr="004D2E7C" w:rsidRDefault="00F01ECE" w:rsidP="00F01ECE">
            <w:pPr>
              <w:jc w:val="center"/>
              <w:rPr>
                <w:rFonts w:eastAsia="Times New Roman" w:cs="Times New Roman"/>
                <w:lang w:val="sr-Cyrl-RS"/>
              </w:rPr>
            </w:pPr>
            <w:r w:rsidRPr="004D2E7C">
              <w:rPr>
                <w:rFonts w:eastAsia="Times New Roman" w:cs="Times New Roman"/>
                <w:lang w:val="sr-Cyrl-RS"/>
              </w:rPr>
              <w:lastRenderedPageBreak/>
              <w:t>2.(21)</w:t>
            </w:r>
          </w:p>
        </w:tc>
        <w:tc>
          <w:tcPr>
            <w:tcW w:w="1489" w:type="pct"/>
            <w:shd w:val="clear" w:color="auto" w:fill="D9D9D9"/>
            <w:vAlign w:val="center"/>
          </w:tcPr>
          <w:p w14:paraId="46187EBD" w14:textId="77777777" w:rsidR="00F01ECE" w:rsidRPr="004D2E7C" w:rsidRDefault="00F01ECE" w:rsidP="00F01ECE">
            <w:pPr>
              <w:jc w:val="both"/>
              <w:rPr>
                <w:rFonts w:eastAsia="Times New Roman" w:cs="Times New Roman"/>
                <w:lang w:val="en-GB"/>
              </w:rPr>
            </w:pPr>
            <w:r w:rsidRPr="004D2E7C">
              <w:rPr>
                <w:rFonts w:cs="Times New Roman"/>
                <w:lang w:val="en-GB"/>
              </w:rPr>
              <w:t>‘rescaled label’ means a label for a particular product group that has undergone rescaling and is distinguishable from labels before rescaling while preserving a visual and perceptible coherence of all labels;</w:t>
            </w:r>
          </w:p>
        </w:tc>
        <w:tc>
          <w:tcPr>
            <w:tcW w:w="325" w:type="pct"/>
            <w:vAlign w:val="center"/>
          </w:tcPr>
          <w:p w14:paraId="46187EBE" w14:textId="2675D48E" w:rsidR="00F01ECE" w:rsidRPr="004D2E7C" w:rsidRDefault="00F01ECE" w:rsidP="00F01ECE">
            <w:pPr>
              <w:jc w:val="center"/>
              <w:rPr>
                <w:rFonts w:cs="Times New Roman"/>
                <w:b/>
                <w:bCs/>
                <w:lang w:val="sr-Cyrl-RS"/>
              </w:rPr>
            </w:pPr>
            <w:r w:rsidRPr="004D2E7C">
              <w:rPr>
                <w:rFonts w:cs="Times New Roman"/>
                <w:b/>
                <w:bCs/>
                <w:lang w:val="sr-Cyrl-RS"/>
              </w:rPr>
              <w:t>1.3.1.</w:t>
            </w:r>
            <w:r>
              <w:rPr>
                <w:rFonts w:cs="Times New Roman"/>
                <w:b/>
                <w:bCs/>
                <w:lang w:val="sr-Cyrl-RS"/>
              </w:rPr>
              <w:t>6</w:t>
            </w:r>
            <w:r w:rsidR="00C561D0">
              <w:rPr>
                <w:rFonts w:cs="Times New Roman"/>
                <w:b/>
                <w:bCs/>
              </w:rPr>
              <w:t>1</w:t>
            </w:r>
            <w:r w:rsidRPr="004D2E7C">
              <w:rPr>
                <w:rFonts w:cs="Times New Roman"/>
                <w:b/>
                <w:bCs/>
                <w:lang w:val="sr-Cyrl-RS"/>
              </w:rPr>
              <w:t>)</w:t>
            </w:r>
          </w:p>
        </w:tc>
        <w:tc>
          <w:tcPr>
            <w:tcW w:w="1296" w:type="pct"/>
          </w:tcPr>
          <w:p w14:paraId="46187EBF" w14:textId="4B26CDD0" w:rsidR="00F01ECE" w:rsidRPr="00F01ECE" w:rsidRDefault="00F01ECE" w:rsidP="00F01ECE">
            <w:pPr>
              <w:tabs>
                <w:tab w:val="left" w:pos="993"/>
              </w:tabs>
              <w:jc w:val="both"/>
              <w:rPr>
                <w:rFonts w:cs="Times New Roman"/>
                <w:iCs/>
                <w:color w:val="000000" w:themeColor="text1"/>
                <w:lang w:val="sr-Cyrl-RS"/>
              </w:rPr>
            </w:pPr>
            <w:r w:rsidRPr="00F01ECE">
              <w:rPr>
                <w:i/>
                <w:color w:val="000000" w:themeColor="text1"/>
                <w:lang w:val="sr-Cyrl-RS"/>
              </w:rPr>
              <w:t>рекласирана ознака</w:t>
            </w:r>
            <w:r w:rsidRPr="00F01ECE">
              <w:rPr>
                <w:iCs/>
                <w:color w:val="000000" w:themeColor="text1"/>
                <w:lang w:val="sr-Cyrl-RS"/>
              </w:rPr>
              <w:t xml:space="preserve"> је енергетска ознака за одређену групу производа чија класа је промењена и може се разликовати од енергетске ознаке пре промене класе уз истовремено очување визуелне усклађености свих ознака;</w:t>
            </w:r>
          </w:p>
        </w:tc>
        <w:tc>
          <w:tcPr>
            <w:tcW w:w="235" w:type="pct"/>
            <w:vAlign w:val="center"/>
          </w:tcPr>
          <w:p w14:paraId="46187EC0" w14:textId="0174DB7B" w:rsidR="00F01ECE" w:rsidRPr="004D2E7C" w:rsidRDefault="00F01ECE" w:rsidP="00F01ECE">
            <w:pPr>
              <w:jc w:val="center"/>
              <w:rPr>
                <w:rFonts w:cs="Times New Roman"/>
                <w:lang w:val="sr-Cyrl-RS"/>
              </w:rPr>
            </w:pPr>
            <w:r w:rsidRPr="004D2E7C">
              <w:rPr>
                <w:rFonts w:cs="Times New Roman"/>
                <w:lang w:val="sr-Cyrl-RS"/>
              </w:rPr>
              <w:t>ПУ</w:t>
            </w:r>
          </w:p>
        </w:tc>
        <w:tc>
          <w:tcPr>
            <w:tcW w:w="676" w:type="pct"/>
          </w:tcPr>
          <w:p w14:paraId="46187EC1" w14:textId="77777777" w:rsidR="00F01ECE" w:rsidRPr="004D2E7C" w:rsidRDefault="00F01ECE" w:rsidP="00F01ECE">
            <w:pPr>
              <w:pStyle w:val="ListParagraph"/>
              <w:ind w:left="810"/>
              <w:rPr>
                <w:sz w:val="22"/>
                <w:szCs w:val="22"/>
                <w:lang w:val="sr-Cyrl-RS"/>
              </w:rPr>
            </w:pPr>
          </w:p>
        </w:tc>
        <w:tc>
          <w:tcPr>
            <w:tcW w:w="699" w:type="pct"/>
            <w:vAlign w:val="center"/>
          </w:tcPr>
          <w:p w14:paraId="46187EC2" w14:textId="77777777" w:rsidR="00F01ECE" w:rsidRPr="004D2E7C" w:rsidRDefault="00F01ECE" w:rsidP="00F01ECE">
            <w:pPr>
              <w:rPr>
                <w:rFonts w:cs="Times New Roman"/>
                <w:lang w:val="sr-Cyrl-RS"/>
              </w:rPr>
            </w:pPr>
          </w:p>
        </w:tc>
      </w:tr>
      <w:tr w:rsidR="00F01ECE" w:rsidRPr="004D2E7C" w14:paraId="46187ECE" w14:textId="77777777" w:rsidTr="006B3660">
        <w:trPr>
          <w:trHeight w:val="291"/>
        </w:trPr>
        <w:tc>
          <w:tcPr>
            <w:tcW w:w="280" w:type="pct"/>
            <w:shd w:val="clear" w:color="auto" w:fill="D9D9D9"/>
            <w:vAlign w:val="center"/>
          </w:tcPr>
          <w:p w14:paraId="46187EC4" w14:textId="77777777" w:rsidR="00F01ECE" w:rsidRPr="004D2E7C" w:rsidRDefault="00F01ECE" w:rsidP="00F01ECE">
            <w:pPr>
              <w:jc w:val="center"/>
              <w:rPr>
                <w:rFonts w:eastAsia="Times New Roman" w:cs="Times New Roman"/>
                <w:lang w:val="sr-Cyrl-RS"/>
              </w:rPr>
            </w:pPr>
            <w:r w:rsidRPr="004D2E7C">
              <w:rPr>
                <w:rFonts w:eastAsia="Times New Roman" w:cs="Times New Roman"/>
                <w:lang w:val="sr-Cyrl-RS"/>
              </w:rPr>
              <w:t>2.(22)</w:t>
            </w:r>
          </w:p>
        </w:tc>
        <w:tc>
          <w:tcPr>
            <w:tcW w:w="1489" w:type="pct"/>
            <w:shd w:val="clear" w:color="auto" w:fill="D9D9D9"/>
            <w:vAlign w:val="center"/>
          </w:tcPr>
          <w:p w14:paraId="46187EC5" w14:textId="77777777" w:rsidR="00F01ECE" w:rsidRPr="004D2E7C" w:rsidRDefault="00F01ECE" w:rsidP="00F01ECE">
            <w:pPr>
              <w:jc w:val="both"/>
              <w:rPr>
                <w:rFonts w:eastAsia="Times New Roman" w:cs="Times New Roman"/>
                <w:lang w:val="en-GB"/>
              </w:rPr>
            </w:pPr>
            <w:r w:rsidRPr="004D2E7C">
              <w:rPr>
                <w:rFonts w:cs="Times New Roman"/>
                <w:lang w:val="en-GB"/>
              </w:rPr>
              <w:t>‘product information sheet’ means a standard document containing information relating to a product, in printed or electronic form;</w:t>
            </w:r>
          </w:p>
        </w:tc>
        <w:tc>
          <w:tcPr>
            <w:tcW w:w="325" w:type="pct"/>
          </w:tcPr>
          <w:p w14:paraId="46187EC6" w14:textId="77777777" w:rsidR="00F01ECE" w:rsidRPr="004D2E7C" w:rsidRDefault="00F01ECE" w:rsidP="00F01ECE">
            <w:pPr>
              <w:jc w:val="center"/>
              <w:rPr>
                <w:rFonts w:cs="Times New Roman"/>
                <w:b/>
                <w:bCs/>
                <w:lang w:val="sr-Cyrl-RS"/>
              </w:rPr>
            </w:pPr>
          </w:p>
          <w:p w14:paraId="46187EC7" w14:textId="147FA86D" w:rsidR="00F01ECE" w:rsidRPr="004D2E7C" w:rsidRDefault="00F01ECE" w:rsidP="00F01ECE">
            <w:pPr>
              <w:jc w:val="center"/>
              <w:rPr>
                <w:rFonts w:cs="Times New Roman"/>
                <w:b/>
                <w:bCs/>
                <w:lang w:val="sr-Cyrl-RS"/>
              </w:rPr>
            </w:pPr>
            <w:r w:rsidRPr="004D2E7C">
              <w:rPr>
                <w:rFonts w:cs="Times New Roman"/>
                <w:b/>
                <w:bCs/>
                <w:lang w:val="sr-Cyrl-RS"/>
              </w:rPr>
              <w:t>1.3.</w:t>
            </w:r>
            <w:r w:rsidR="00C561D0">
              <w:rPr>
                <w:rFonts w:cs="Times New Roman"/>
                <w:b/>
                <w:bCs/>
              </w:rPr>
              <w:t>1.</w:t>
            </w:r>
            <w:r>
              <w:rPr>
                <w:rFonts w:cs="Times New Roman"/>
                <w:b/>
                <w:bCs/>
                <w:lang w:val="sr-Cyrl-RS"/>
              </w:rPr>
              <w:t>3</w:t>
            </w:r>
            <w:r w:rsidR="00C561D0">
              <w:rPr>
                <w:rFonts w:cs="Times New Roman"/>
                <w:b/>
                <w:bCs/>
              </w:rPr>
              <w:t>5</w:t>
            </w:r>
            <w:r w:rsidRPr="004D2E7C">
              <w:rPr>
                <w:rFonts w:cs="Times New Roman"/>
                <w:b/>
                <w:bCs/>
                <w:lang w:val="sr-Cyrl-RS"/>
              </w:rPr>
              <w:t>)</w:t>
            </w:r>
          </w:p>
          <w:p w14:paraId="46187EC8" w14:textId="77777777" w:rsidR="00F01ECE" w:rsidRPr="004D2E7C" w:rsidRDefault="00F01ECE" w:rsidP="00F01ECE">
            <w:pPr>
              <w:jc w:val="center"/>
              <w:rPr>
                <w:rFonts w:cs="Times New Roman"/>
                <w:b/>
                <w:bCs/>
                <w:lang w:val="sr-Cyrl-RS"/>
              </w:rPr>
            </w:pPr>
          </w:p>
          <w:p w14:paraId="46187EC9" w14:textId="77777777" w:rsidR="00F01ECE" w:rsidRPr="004D2E7C" w:rsidRDefault="00F01ECE" w:rsidP="00F01ECE">
            <w:pPr>
              <w:rPr>
                <w:rFonts w:cs="Times New Roman"/>
                <w:lang w:val="sr-Cyrl-RS"/>
              </w:rPr>
            </w:pPr>
          </w:p>
        </w:tc>
        <w:tc>
          <w:tcPr>
            <w:tcW w:w="1296" w:type="pct"/>
          </w:tcPr>
          <w:p w14:paraId="46187ECA" w14:textId="07398413" w:rsidR="00F01ECE" w:rsidRPr="004D2E7C" w:rsidRDefault="00F01ECE" w:rsidP="00F01ECE">
            <w:pPr>
              <w:contextualSpacing/>
              <w:jc w:val="both"/>
              <w:rPr>
                <w:rFonts w:eastAsia="Times New Roman" w:cs="Times New Roman"/>
                <w:lang w:val="sr-Cyrl-RS"/>
              </w:rPr>
            </w:pPr>
            <w:r w:rsidRPr="004D2E7C">
              <w:rPr>
                <w:rFonts w:eastAsia="Times New Roman" w:cs="Times New Roman"/>
                <w:i/>
                <w:lang w:val="sr-Cyrl-RS"/>
              </w:rPr>
              <w:t>листа са подацима</w:t>
            </w:r>
            <w:r w:rsidRPr="004D2E7C">
              <w:rPr>
                <w:rFonts w:eastAsia="Times New Roman" w:cs="Times New Roman"/>
                <w:iCs/>
                <w:lang w:val="sr-Cyrl-RS"/>
              </w:rPr>
              <w:t xml:space="preserve"> је стандардни документ који садржи информације о производу, у штампаном или електронском облику;</w:t>
            </w:r>
          </w:p>
        </w:tc>
        <w:tc>
          <w:tcPr>
            <w:tcW w:w="235" w:type="pct"/>
            <w:vAlign w:val="center"/>
          </w:tcPr>
          <w:p w14:paraId="46187ECB" w14:textId="77777777" w:rsidR="00F01ECE" w:rsidRPr="004D2E7C" w:rsidRDefault="00F01ECE" w:rsidP="00F01ECE">
            <w:pPr>
              <w:jc w:val="center"/>
              <w:rPr>
                <w:rFonts w:cs="Times New Roman"/>
                <w:lang w:val="sr-Cyrl-RS"/>
              </w:rPr>
            </w:pPr>
            <w:r w:rsidRPr="004D2E7C">
              <w:rPr>
                <w:rFonts w:cs="Times New Roman"/>
                <w:lang w:val="sr-Cyrl-RS"/>
              </w:rPr>
              <w:t>ПУ</w:t>
            </w:r>
          </w:p>
        </w:tc>
        <w:tc>
          <w:tcPr>
            <w:tcW w:w="676" w:type="pct"/>
          </w:tcPr>
          <w:p w14:paraId="46187ECC" w14:textId="77777777" w:rsidR="00F01ECE" w:rsidRPr="004D2E7C" w:rsidRDefault="00F01ECE" w:rsidP="00F01ECE">
            <w:pPr>
              <w:rPr>
                <w:rFonts w:cs="Times New Roman"/>
                <w:lang w:val="sr-Cyrl-RS"/>
              </w:rPr>
            </w:pPr>
          </w:p>
        </w:tc>
        <w:tc>
          <w:tcPr>
            <w:tcW w:w="699" w:type="pct"/>
            <w:vAlign w:val="center"/>
          </w:tcPr>
          <w:p w14:paraId="46187ECD" w14:textId="77777777" w:rsidR="00F01ECE" w:rsidRPr="004D2E7C" w:rsidRDefault="00F01ECE" w:rsidP="00F01ECE">
            <w:pPr>
              <w:rPr>
                <w:rFonts w:cs="Times New Roman"/>
                <w:lang w:val="sr-Cyrl-RS"/>
              </w:rPr>
            </w:pPr>
          </w:p>
        </w:tc>
      </w:tr>
      <w:tr w:rsidR="009A4EE4" w:rsidRPr="004D2E7C" w14:paraId="46187ED6" w14:textId="77777777" w:rsidTr="006B3660">
        <w:trPr>
          <w:trHeight w:val="291"/>
        </w:trPr>
        <w:tc>
          <w:tcPr>
            <w:tcW w:w="280" w:type="pct"/>
            <w:shd w:val="clear" w:color="auto" w:fill="D9D9D9"/>
            <w:vAlign w:val="center"/>
          </w:tcPr>
          <w:p w14:paraId="46187ECF" w14:textId="77777777" w:rsidR="009A4EE4" w:rsidRPr="004D2E7C" w:rsidRDefault="009A4EE4" w:rsidP="009A4EE4">
            <w:pPr>
              <w:jc w:val="center"/>
              <w:rPr>
                <w:rFonts w:eastAsia="Times New Roman" w:cs="Times New Roman"/>
                <w:lang w:val="sr-Cyrl-RS"/>
              </w:rPr>
            </w:pPr>
            <w:r w:rsidRPr="004D2E7C">
              <w:rPr>
                <w:rFonts w:eastAsia="Times New Roman" w:cs="Times New Roman"/>
                <w:lang w:val="sr-Cyrl-RS"/>
              </w:rPr>
              <w:t>2.(23)</w:t>
            </w:r>
          </w:p>
        </w:tc>
        <w:tc>
          <w:tcPr>
            <w:tcW w:w="1489" w:type="pct"/>
            <w:shd w:val="clear" w:color="auto" w:fill="D9D9D9"/>
            <w:vAlign w:val="center"/>
          </w:tcPr>
          <w:p w14:paraId="46187ED0" w14:textId="77777777" w:rsidR="009A4EE4" w:rsidRPr="004D2E7C" w:rsidRDefault="009A4EE4" w:rsidP="009A4EE4">
            <w:pPr>
              <w:jc w:val="both"/>
              <w:rPr>
                <w:rFonts w:eastAsia="Times New Roman" w:cs="Times New Roman"/>
                <w:lang w:val="en-GB"/>
              </w:rPr>
            </w:pPr>
            <w:r w:rsidRPr="004D2E7C">
              <w:rPr>
                <w:rFonts w:cs="Times New Roman"/>
                <w:lang w:val="en-GB"/>
              </w:rPr>
              <w:t>‘technical documentation’ means documentation sufficient to enable market surveillance authorities to assess the accuracy of the label and the product information sheet of a product, including test reports or similar technical evidence;</w:t>
            </w:r>
          </w:p>
        </w:tc>
        <w:tc>
          <w:tcPr>
            <w:tcW w:w="325" w:type="pct"/>
            <w:vAlign w:val="center"/>
          </w:tcPr>
          <w:p w14:paraId="1825A83C" w14:textId="77777777" w:rsidR="009A4EE4" w:rsidRDefault="009A4EE4" w:rsidP="009A4EE4">
            <w:pPr>
              <w:jc w:val="center"/>
              <w:rPr>
                <w:rFonts w:cs="Times New Roman"/>
                <w:lang w:val="sr-Cyrl-RS"/>
              </w:rPr>
            </w:pPr>
            <w:r>
              <w:rPr>
                <w:rFonts w:cs="Times New Roman"/>
                <w:lang w:val="sr-Cyrl-RS"/>
              </w:rPr>
              <w:t>1.62.2</w:t>
            </w:r>
          </w:p>
          <w:p w14:paraId="46187ED1" w14:textId="77B3B467" w:rsidR="009A4EE4" w:rsidRPr="004D2E7C" w:rsidRDefault="009A4EE4" w:rsidP="009A4EE4">
            <w:pPr>
              <w:jc w:val="center"/>
              <w:rPr>
                <w:rFonts w:cs="Times New Roman"/>
                <w:lang w:val="sr-Cyrl-RS"/>
              </w:rPr>
            </w:pPr>
            <w:r>
              <w:rPr>
                <w:rFonts w:cs="Times New Roman"/>
                <w:b/>
              </w:rPr>
              <w:t>1.150.2.</w:t>
            </w:r>
          </w:p>
        </w:tc>
        <w:tc>
          <w:tcPr>
            <w:tcW w:w="1296" w:type="pct"/>
          </w:tcPr>
          <w:p w14:paraId="441CBA55" w14:textId="77777777" w:rsidR="009A4EE4" w:rsidRPr="004D2E7C" w:rsidRDefault="009A4EE4" w:rsidP="009A4EE4">
            <w:pPr>
              <w:autoSpaceDE w:val="0"/>
              <w:autoSpaceDN w:val="0"/>
              <w:adjustRightInd w:val="0"/>
              <w:ind w:firstLine="567"/>
              <w:jc w:val="both"/>
              <w:rPr>
                <w:rFonts w:eastAsia="MS Mincho" w:cs="Times New Roman"/>
                <w:color w:val="000000" w:themeColor="text1"/>
                <w:lang w:val="sr-Cyrl-CS" w:eastAsia="ja-JP"/>
              </w:rPr>
            </w:pPr>
            <w:r w:rsidRPr="004D2E7C">
              <w:rPr>
                <w:rFonts w:eastAsia="MS Mincho" w:cs="Times New Roman"/>
                <w:color w:val="000000" w:themeColor="text1"/>
                <w:lang w:val="sr-Cyrl-CS" w:eastAsia="ja-JP"/>
              </w:rPr>
              <w:t>Влада ближе уређује обавезе испоручиоца производа, и продавца у погледу енергетског означавања производа, које се односе на: садржај енергетске ознаке, њеног исправног постављања и тачности података на ознаци, коришћење рекласираних ознака енергетске ефикасности и друге услове којима се обезбеђује примена захтева енергетског означавања за производе из става 1. овог члана.</w:t>
            </w:r>
          </w:p>
          <w:p w14:paraId="1D25281F" w14:textId="77777777" w:rsidR="009A4EE4" w:rsidRDefault="009A4EE4" w:rsidP="009A4EE4">
            <w:pPr>
              <w:tabs>
                <w:tab w:val="left" w:pos="1152"/>
              </w:tabs>
              <w:jc w:val="both"/>
              <w:rPr>
                <w:rFonts w:cs="Times New Roman"/>
                <w:lang w:val="sr-Cyrl-RS"/>
              </w:rPr>
            </w:pPr>
          </w:p>
          <w:p w14:paraId="46187ED2" w14:textId="3580ED8D" w:rsidR="009A4EE4" w:rsidRPr="004D2E7C" w:rsidRDefault="009A4EE4" w:rsidP="009A4EE4">
            <w:pPr>
              <w:tabs>
                <w:tab w:val="left" w:pos="1152"/>
              </w:tabs>
              <w:rPr>
                <w:rFonts w:cs="Times New Roman"/>
                <w:lang w:val="sr-Cyrl-RS"/>
              </w:rPr>
            </w:pPr>
            <w:r w:rsidRPr="00C30E0B">
              <w:rPr>
                <w:rFonts w:eastAsia="Times New Roman" w:cs="Times New Roman"/>
                <w:sz w:val="24"/>
                <w:szCs w:val="24"/>
                <w:lang w:val="sr-Cyrl-CS"/>
              </w:rPr>
              <w:t>Прописи за спровођење овог закона из чл. 7-9. ,чл. 15 – 16., члана 21., чл. 23-24., чл. 26-27., члана 30., члана 36., чл. 37-40., члана 47., члана 51., чл. 54-</w:t>
            </w:r>
            <w:r w:rsidRPr="00C30E0B">
              <w:rPr>
                <w:rFonts w:eastAsia="Times New Roman" w:cs="Times New Roman"/>
                <w:sz w:val="24"/>
                <w:szCs w:val="24"/>
                <w:lang w:val="sr-Cyrl-CS"/>
              </w:rPr>
              <w:lastRenderedPageBreak/>
              <w:t>55. члана 57., члана 59., чл. 61-62, чл. 64-66., члана 73., члана 80., члана 83., члана 90., чл. 93-94., чл. 96-98., члана 100., и чл. 107-109. овог закона биће донети у року од 18 месеци од дана ступања на снагу овог закона, изузев подзаконских аката из става 1. овог члана</w:t>
            </w:r>
          </w:p>
        </w:tc>
        <w:tc>
          <w:tcPr>
            <w:tcW w:w="235" w:type="pct"/>
            <w:vAlign w:val="center"/>
          </w:tcPr>
          <w:p w14:paraId="46187ED3" w14:textId="04FC4593" w:rsidR="009A4EE4" w:rsidRPr="004D2E7C" w:rsidRDefault="009A4EE4" w:rsidP="009A4EE4">
            <w:pPr>
              <w:jc w:val="center"/>
              <w:rPr>
                <w:rFonts w:cs="Times New Roman"/>
                <w:lang w:val="sr-Cyrl-RS"/>
              </w:rPr>
            </w:pPr>
            <w:r>
              <w:rPr>
                <w:rFonts w:cs="Times New Roman"/>
                <w:lang w:val="sr-Cyrl-RS"/>
              </w:rPr>
              <w:lastRenderedPageBreak/>
              <w:t>Д</w:t>
            </w:r>
            <w:r w:rsidRPr="004D2E7C">
              <w:rPr>
                <w:rFonts w:cs="Times New Roman"/>
                <w:lang w:val="sr-Cyrl-RS"/>
              </w:rPr>
              <w:t>У</w:t>
            </w:r>
          </w:p>
        </w:tc>
        <w:tc>
          <w:tcPr>
            <w:tcW w:w="676" w:type="pct"/>
          </w:tcPr>
          <w:p w14:paraId="46187ED4" w14:textId="5D05D9F7" w:rsidR="009A4EE4" w:rsidRPr="004D2E7C" w:rsidRDefault="009A4EE4" w:rsidP="009A4EE4">
            <w:pPr>
              <w:rPr>
                <w:rFonts w:cs="Times New Roman"/>
                <w:lang w:val="sr-Cyrl-RS"/>
              </w:rPr>
            </w:pPr>
            <w:r>
              <w:rPr>
                <w:rFonts w:cs="Times New Roman"/>
                <w:spacing w:val="-6"/>
                <w:lang w:val="sr-Cyrl-RS"/>
              </w:rPr>
              <w:t>Усклађеност ће бити постигнута доношењем Уредбе из 1.62.2.</w:t>
            </w:r>
          </w:p>
        </w:tc>
        <w:tc>
          <w:tcPr>
            <w:tcW w:w="699" w:type="pct"/>
            <w:vAlign w:val="center"/>
          </w:tcPr>
          <w:p w14:paraId="46187ED5" w14:textId="4487B019" w:rsidR="009A4EE4" w:rsidRPr="004D2E7C" w:rsidRDefault="009A4EE4" w:rsidP="009A4EE4">
            <w:pPr>
              <w:rPr>
                <w:rFonts w:cs="Times New Roman"/>
                <w:lang w:val="sr-Cyrl-RS"/>
              </w:rPr>
            </w:pPr>
          </w:p>
        </w:tc>
      </w:tr>
      <w:tr w:rsidR="00F01ECE" w:rsidRPr="004D2E7C" w14:paraId="46187EDF" w14:textId="77777777" w:rsidTr="006B3660">
        <w:trPr>
          <w:trHeight w:val="291"/>
        </w:trPr>
        <w:tc>
          <w:tcPr>
            <w:tcW w:w="280" w:type="pct"/>
            <w:shd w:val="clear" w:color="auto" w:fill="D9D9D9"/>
            <w:vAlign w:val="center"/>
          </w:tcPr>
          <w:p w14:paraId="46187ED7" w14:textId="77777777" w:rsidR="00F01ECE" w:rsidRPr="004D2E7C" w:rsidRDefault="00F01ECE" w:rsidP="00F01ECE">
            <w:pPr>
              <w:jc w:val="center"/>
              <w:rPr>
                <w:rFonts w:eastAsia="Times New Roman" w:cs="Times New Roman"/>
                <w:lang w:val="sr-Cyrl-RS"/>
              </w:rPr>
            </w:pPr>
            <w:r w:rsidRPr="004D2E7C">
              <w:rPr>
                <w:rFonts w:eastAsia="Times New Roman" w:cs="Times New Roman"/>
                <w:lang w:val="sr-Cyrl-RS"/>
              </w:rPr>
              <w:lastRenderedPageBreak/>
              <w:t>2.(24)</w:t>
            </w:r>
          </w:p>
        </w:tc>
        <w:tc>
          <w:tcPr>
            <w:tcW w:w="1489" w:type="pct"/>
            <w:shd w:val="clear" w:color="auto" w:fill="D9D9D9"/>
            <w:vAlign w:val="center"/>
          </w:tcPr>
          <w:p w14:paraId="46187ED8" w14:textId="77777777" w:rsidR="00F01ECE" w:rsidRPr="004D2E7C" w:rsidRDefault="00F01ECE" w:rsidP="00F01ECE">
            <w:pPr>
              <w:jc w:val="both"/>
              <w:rPr>
                <w:rFonts w:eastAsia="Times New Roman" w:cs="Times New Roman"/>
                <w:lang w:val="en-GB"/>
              </w:rPr>
            </w:pPr>
            <w:r w:rsidRPr="004D2E7C">
              <w:rPr>
                <w:rFonts w:cs="Times New Roman"/>
                <w:lang w:val="en-GB"/>
              </w:rPr>
              <w:t>‘supplementary information’ means information, as specified in a delegated act, on the functional and environmental performance of a product;</w:t>
            </w:r>
          </w:p>
        </w:tc>
        <w:tc>
          <w:tcPr>
            <w:tcW w:w="325" w:type="pct"/>
            <w:vAlign w:val="center"/>
          </w:tcPr>
          <w:p w14:paraId="46187ED9" w14:textId="77777777" w:rsidR="00F01ECE" w:rsidRPr="004D2E7C" w:rsidRDefault="00F01ECE" w:rsidP="00F01ECE">
            <w:pPr>
              <w:jc w:val="center"/>
              <w:rPr>
                <w:rFonts w:cs="Times New Roman"/>
                <w:lang w:val="sr-Cyrl-RS"/>
              </w:rPr>
            </w:pPr>
            <w:r w:rsidRPr="004D2E7C">
              <w:rPr>
                <w:rFonts w:cs="Times New Roman"/>
                <w:lang w:val="sr-Cyrl-RS"/>
              </w:rPr>
              <w:t>2.4.4)</w:t>
            </w:r>
          </w:p>
        </w:tc>
        <w:tc>
          <w:tcPr>
            <w:tcW w:w="1296" w:type="pct"/>
          </w:tcPr>
          <w:p w14:paraId="46187EDA" w14:textId="77777777" w:rsidR="00F01ECE" w:rsidRPr="004D2E7C" w:rsidRDefault="00F01ECE" w:rsidP="00F01ECE">
            <w:pPr>
              <w:jc w:val="both"/>
              <w:rPr>
                <w:rFonts w:cs="Times New Roman"/>
                <w:lang w:val="sr-Cyrl-RS"/>
              </w:rPr>
            </w:pPr>
            <w:r w:rsidRPr="004D2E7C">
              <w:rPr>
                <w:rFonts w:cs="Times New Roman"/>
                <w:lang w:val="sr-Cyrl-RS"/>
              </w:rPr>
              <w:t>„допунске информације” су остале информације о карактеристикама производа, које се односе на енергију или друге битне ресурсе које он користи, или помажу да се то оцени, а засноване су на мерљивим подацима;</w:t>
            </w:r>
          </w:p>
          <w:p w14:paraId="46187EDB" w14:textId="77777777" w:rsidR="00F01ECE" w:rsidRPr="004D2E7C" w:rsidRDefault="00F01ECE" w:rsidP="00F01ECE">
            <w:pPr>
              <w:rPr>
                <w:rFonts w:cs="Times New Roman"/>
                <w:lang w:val="sr-Cyrl-RS"/>
              </w:rPr>
            </w:pPr>
          </w:p>
        </w:tc>
        <w:tc>
          <w:tcPr>
            <w:tcW w:w="235" w:type="pct"/>
            <w:vAlign w:val="center"/>
          </w:tcPr>
          <w:p w14:paraId="46187EDC" w14:textId="77777777" w:rsidR="00F01ECE" w:rsidRPr="004D2E7C" w:rsidRDefault="00F01ECE" w:rsidP="00F01ECE">
            <w:pPr>
              <w:jc w:val="center"/>
              <w:rPr>
                <w:rFonts w:cs="Times New Roman"/>
                <w:lang w:val="sr-Cyrl-RS"/>
              </w:rPr>
            </w:pPr>
            <w:r w:rsidRPr="004D2E7C">
              <w:rPr>
                <w:rFonts w:cs="Times New Roman"/>
                <w:lang w:val="sr-Cyrl-RS"/>
              </w:rPr>
              <w:t>ПУ</w:t>
            </w:r>
          </w:p>
        </w:tc>
        <w:tc>
          <w:tcPr>
            <w:tcW w:w="676" w:type="pct"/>
          </w:tcPr>
          <w:p w14:paraId="46187EDD" w14:textId="77777777" w:rsidR="00F01ECE" w:rsidRPr="004D2E7C" w:rsidRDefault="00F01ECE" w:rsidP="00F01ECE">
            <w:pPr>
              <w:rPr>
                <w:rFonts w:cs="Times New Roman"/>
                <w:lang w:val="sr-Cyrl-RS"/>
              </w:rPr>
            </w:pPr>
          </w:p>
        </w:tc>
        <w:tc>
          <w:tcPr>
            <w:tcW w:w="699" w:type="pct"/>
            <w:vAlign w:val="center"/>
          </w:tcPr>
          <w:p w14:paraId="46187EDE" w14:textId="77777777" w:rsidR="00F01ECE" w:rsidRPr="004D2E7C" w:rsidRDefault="00F01ECE" w:rsidP="00F01ECE">
            <w:pPr>
              <w:rPr>
                <w:rFonts w:cs="Times New Roman"/>
                <w:lang w:val="sr-Cyrl-RS"/>
              </w:rPr>
            </w:pPr>
          </w:p>
        </w:tc>
      </w:tr>
      <w:tr w:rsidR="00F01ECE" w:rsidRPr="004D2E7C" w14:paraId="46187EE7" w14:textId="77777777" w:rsidTr="006B3660">
        <w:trPr>
          <w:trHeight w:val="291"/>
        </w:trPr>
        <w:tc>
          <w:tcPr>
            <w:tcW w:w="280" w:type="pct"/>
            <w:shd w:val="clear" w:color="auto" w:fill="D9D9D9"/>
            <w:vAlign w:val="center"/>
          </w:tcPr>
          <w:p w14:paraId="46187EE0" w14:textId="77777777" w:rsidR="00F01ECE" w:rsidRPr="004D2E7C" w:rsidRDefault="00F01ECE" w:rsidP="00F01ECE">
            <w:pPr>
              <w:jc w:val="center"/>
              <w:rPr>
                <w:rFonts w:eastAsia="Times New Roman" w:cs="Times New Roman"/>
                <w:lang w:val="sr-Cyrl-RS"/>
              </w:rPr>
            </w:pPr>
            <w:r w:rsidRPr="004D2E7C">
              <w:rPr>
                <w:rFonts w:eastAsia="Times New Roman" w:cs="Times New Roman"/>
                <w:lang w:val="sr-Cyrl-RS"/>
              </w:rPr>
              <w:t>2.(25)</w:t>
            </w:r>
          </w:p>
        </w:tc>
        <w:tc>
          <w:tcPr>
            <w:tcW w:w="1489" w:type="pct"/>
            <w:shd w:val="clear" w:color="auto" w:fill="D9D9D9"/>
            <w:vAlign w:val="center"/>
          </w:tcPr>
          <w:p w14:paraId="46187EE1" w14:textId="77777777" w:rsidR="00F01ECE" w:rsidRPr="004D2E7C" w:rsidRDefault="00F01ECE" w:rsidP="00F01ECE">
            <w:pPr>
              <w:spacing w:after="120"/>
              <w:jc w:val="both"/>
              <w:rPr>
                <w:rFonts w:eastAsia="Times New Roman" w:cs="Times New Roman"/>
                <w:lang w:val="en-GB"/>
              </w:rPr>
            </w:pPr>
            <w:r w:rsidRPr="004D2E7C">
              <w:rPr>
                <w:rFonts w:cs="Times New Roman"/>
                <w:lang w:val="en-GB"/>
              </w:rPr>
              <w:t>‘product database’ means a collection of data concerning products, which is arranged in a systematic manner and consists of a consumer-oriented public part, where information concerning individual product parameters is accessible by electronic means, an online portal for accessibility and a compliance part, with clearly specified accessibility and security requirements;</w:t>
            </w:r>
          </w:p>
        </w:tc>
        <w:tc>
          <w:tcPr>
            <w:tcW w:w="325" w:type="pct"/>
            <w:vAlign w:val="center"/>
          </w:tcPr>
          <w:p w14:paraId="46187EE2" w14:textId="77777777" w:rsidR="00F01ECE" w:rsidRPr="004D2E7C" w:rsidRDefault="00F01ECE" w:rsidP="00F01ECE">
            <w:pPr>
              <w:jc w:val="center"/>
              <w:rPr>
                <w:rFonts w:cs="Times New Roman"/>
                <w:lang w:val="sr-Cyrl-RS"/>
              </w:rPr>
            </w:pPr>
          </w:p>
        </w:tc>
        <w:tc>
          <w:tcPr>
            <w:tcW w:w="1296" w:type="pct"/>
            <w:vAlign w:val="center"/>
          </w:tcPr>
          <w:p w14:paraId="46187EE3" w14:textId="77777777" w:rsidR="00F01ECE" w:rsidRPr="004D2E7C" w:rsidRDefault="00F01ECE" w:rsidP="00F01ECE">
            <w:pPr>
              <w:tabs>
                <w:tab w:val="left" w:pos="1152"/>
              </w:tabs>
              <w:rPr>
                <w:rFonts w:cs="Times New Roman"/>
                <w:lang w:val="sr-Cyrl-RS"/>
              </w:rPr>
            </w:pPr>
          </w:p>
        </w:tc>
        <w:tc>
          <w:tcPr>
            <w:tcW w:w="235" w:type="pct"/>
            <w:vAlign w:val="center"/>
          </w:tcPr>
          <w:p w14:paraId="46187EE4" w14:textId="77777777" w:rsidR="00F01ECE" w:rsidRPr="004D2E7C" w:rsidRDefault="00F01ECE" w:rsidP="00F01ECE">
            <w:pPr>
              <w:jc w:val="center"/>
              <w:rPr>
                <w:rFonts w:cs="Times New Roman"/>
                <w:lang w:val="sr-Cyrl-RS"/>
              </w:rPr>
            </w:pPr>
            <w:r w:rsidRPr="004D2E7C">
              <w:rPr>
                <w:rFonts w:cs="Times New Roman"/>
                <w:lang w:val="sr-Cyrl-RS"/>
              </w:rPr>
              <w:t>НУ</w:t>
            </w:r>
          </w:p>
        </w:tc>
        <w:tc>
          <w:tcPr>
            <w:tcW w:w="676" w:type="pct"/>
            <w:vAlign w:val="center"/>
          </w:tcPr>
          <w:p w14:paraId="46187EE5" w14:textId="7B2360FF" w:rsidR="00F01ECE" w:rsidRPr="004D2E7C" w:rsidRDefault="00F01ECE" w:rsidP="00F01ECE">
            <w:pPr>
              <w:rPr>
                <w:rFonts w:cs="Times New Roman"/>
                <w:lang w:val="sr-Cyrl-RS"/>
              </w:rPr>
            </w:pPr>
            <w:r w:rsidRPr="004D2E7C">
              <w:rPr>
                <w:rFonts w:cs="Times New Roman"/>
                <w:lang w:val="sr-Cyrl-RS"/>
              </w:rPr>
              <w:t xml:space="preserve">База података се искључиво односи на производе пласиране на тржишту ЕУ, дакле у чланицама ЕУ. </w:t>
            </w:r>
          </w:p>
        </w:tc>
        <w:tc>
          <w:tcPr>
            <w:tcW w:w="699" w:type="pct"/>
            <w:vAlign w:val="center"/>
          </w:tcPr>
          <w:p w14:paraId="46187EE6" w14:textId="174D08FB" w:rsidR="00F01ECE" w:rsidRPr="004D2E7C" w:rsidRDefault="00F01ECE" w:rsidP="00F01ECE">
            <w:pPr>
              <w:rPr>
                <w:rFonts w:cs="Times New Roman"/>
                <w:lang w:val="sr-Cyrl-RS"/>
              </w:rPr>
            </w:pPr>
            <w:r w:rsidRPr="004D2E7C">
              <w:rPr>
                <w:rFonts w:cs="Times New Roman"/>
                <w:lang w:val="sr-Cyrl-RS"/>
              </w:rPr>
              <w:t>Потпуна усклађеност може бити постигнута по приступању ЕУ.</w:t>
            </w:r>
          </w:p>
        </w:tc>
      </w:tr>
      <w:tr w:rsidR="009A4EE4" w:rsidRPr="004D2E7C" w14:paraId="46187EF0" w14:textId="77777777" w:rsidTr="009A4EE4">
        <w:trPr>
          <w:trHeight w:val="291"/>
        </w:trPr>
        <w:tc>
          <w:tcPr>
            <w:tcW w:w="280" w:type="pct"/>
            <w:shd w:val="clear" w:color="auto" w:fill="D9D9D9"/>
            <w:vAlign w:val="center"/>
          </w:tcPr>
          <w:p w14:paraId="46187EE8" w14:textId="77777777" w:rsidR="009A4EE4" w:rsidRPr="004D2E7C" w:rsidRDefault="009A4EE4" w:rsidP="009A4EE4">
            <w:pPr>
              <w:jc w:val="center"/>
              <w:rPr>
                <w:rFonts w:eastAsia="Times New Roman" w:cs="Times New Roman"/>
                <w:lang w:val="sr-Cyrl-RS"/>
              </w:rPr>
            </w:pPr>
            <w:r w:rsidRPr="004D2E7C">
              <w:rPr>
                <w:rFonts w:eastAsia="Times New Roman" w:cs="Times New Roman"/>
                <w:lang w:val="sr-Cyrl-RS"/>
              </w:rPr>
              <w:t>2.(26)</w:t>
            </w:r>
          </w:p>
        </w:tc>
        <w:tc>
          <w:tcPr>
            <w:tcW w:w="1489" w:type="pct"/>
            <w:shd w:val="clear" w:color="auto" w:fill="D9D9D9"/>
            <w:vAlign w:val="center"/>
          </w:tcPr>
          <w:p w14:paraId="46187EEA" w14:textId="770EB165" w:rsidR="009A4EE4" w:rsidRPr="004D2E7C" w:rsidRDefault="009A4EE4" w:rsidP="009A4EE4">
            <w:pPr>
              <w:spacing w:after="120"/>
              <w:jc w:val="both"/>
              <w:rPr>
                <w:rFonts w:eastAsia="Times New Roman" w:cs="Times New Roman"/>
                <w:lang w:val="en-GB"/>
              </w:rPr>
            </w:pPr>
            <w:r w:rsidRPr="004D2E7C">
              <w:rPr>
                <w:rFonts w:cs="Times New Roman"/>
                <w:lang w:val="en-GB"/>
              </w:rPr>
              <w:t>‘verification tolerance’ means the maximum admissible deviation of the measurement and calculation results of the verification tests performed by, or on behalf of, market surveillance authorities, compared to the values of the declared or published parameters, reflecting deviation arising from interlaboratory variation.</w:t>
            </w:r>
          </w:p>
        </w:tc>
        <w:tc>
          <w:tcPr>
            <w:tcW w:w="325" w:type="pct"/>
            <w:vAlign w:val="center"/>
          </w:tcPr>
          <w:p w14:paraId="5E575368" w14:textId="77777777" w:rsidR="009A4EE4" w:rsidRDefault="009A4EE4" w:rsidP="009A4EE4">
            <w:pPr>
              <w:jc w:val="center"/>
              <w:rPr>
                <w:rFonts w:cs="Times New Roman"/>
                <w:lang w:val="sr-Cyrl-RS"/>
              </w:rPr>
            </w:pPr>
            <w:r>
              <w:rPr>
                <w:rFonts w:cs="Times New Roman"/>
                <w:lang w:val="sr-Cyrl-RS"/>
              </w:rPr>
              <w:t>1.62.2</w:t>
            </w:r>
          </w:p>
          <w:p w14:paraId="46187EEB" w14:textId="572796EB" w:rsidR="009A4EE4" w:rsidRPr="004D2E7C" w:rsidRDefault="009A4EE4" w:rsidP="009A4EE4">
            <w:pPr>
              <w:jc w:val="center"/>
              <w:rPr>
                <w:rFonts w:cs="Times New Roman"/>
                <w:lang w:val="sr-Cyrl-RS"/>
              </w:rPr>
            </w:pPr>
            <w:r>
              <w:rPr>
                <w:rFonts w:cs="Times New Roman"/>
                <w:b/>
              </w:rPr>
              <w:t>1.150.2.</w:t>
            </w:r>
          </w:p>
        </w:tc>
        <w:tc>
          <w:tcPr>
            <w:tcW w:w="1296" w:type="pct"/>
          </w:tcPr>
          <w:p w14:paraId="24D5A2EB" w14:textId="77777777" w:rsidR="009A4EE4" w:rsidRPr="004D2E7C" w:rsidRDefault="009A4EE4" w:rsidP="009A4EE4">
            <w:pPr>
              <w:autoSpaceDE w:val="0"/>
              <w:autoSpaceDN w:val="0"/>
              <w:adjustRightInd w:val="0"/>
              <w:ind w:firstLine="567"/>
              <w:jc w:val="both"/>
              <w:rPr>
                <w:rFonts w:eastAsia="MS Mincho" w:cs="Times New Roman"/>
                <w:color w:val="000000" w:themeColor="text1"/>
                <w:lang w:val="sr-Cyrl-CS" w:eastAsia="ja-JP"/>
              </w:rPr>
            </w:pPr>
            <w:r w:rsidRPr="004D2E7C">
              <w:rPr>
                <w:rFonts w:eastAsia="MS Mincho" w:cs="Times New Roman"/>
                <w:color w:val="000000" w:themeColor="text1"/>
                <w:lang w:val="sr-Cyrl-CS" w:eastAsia="ja-JP"/>
              </w:rPr>
              <w:t xml:space="preserve">Влада ближе уређује обавезе испоручиоца производа, и продавца у погледу енергетског означавања производа, које се односе на: садржај енергетске ознаке, њеног исправног постављања и тачности података на ознаци, коришћење рекласираних ознака енергетске ефикасности и друге услове којима се обезбеђује примена захтева </w:t>
            </w:r>
            <w:r w:rsidRPr="004D2E7C">
              <w:rPr>
                <w:rFonts w:eastAsia="MS Mincho" w:cs="Times New Roman"/>
                <w:color w:val="000000" w:themeColor="text1"/>
                <w:lang w:val="sr-Cyrl-CS" w:eastAsia="ja-JP"/>
              </w:rPr>
              <w:lastRenderedPageBreak/>
              <w:t>енергетског означавања за производе из става 1. овог члана.</w:t>
            </w:r>
          </w:p>
          <w:p w14:paraId="32D7DA47" w14:textId="77777777" w:rsidR="009A4EE4" w:rsidRDefault="009A4EE4" w:rsidP="009A4EE4">
            <w:pPr>
              <w:tabs>
                <w:tab w:val="left" w:pos="1152"/>
              </w:tabs>
              <w:jc w:val="both"/>
              <w:rPr>
                <w:rFonts w:cs="Times New Roman"/>
                <w:lang w:val="sr-Cyrl-RS"/>
              </w:rPr>
            </w:pPr>
          </w:p>
          <w:p w14:paraId="46187EEC" w14:textId="1DDDA585" w:rsidR="009A4EE4" w:rsidRPr="004D2E7C" w:rsidRDefault="009A4EE4" w:rsidP="009A4EE4">
            <w:pPr>
              <w:tabs>
                <w:tab w:val="left" w:pos="1152"/>
              </w:tabs>
              <w:rPr>
                <w:rFonts w:cs="Times New Roman"/>
                <w:lang w:val="sr-Cyrl-RS"/>
              </w:rPr>
            </w:pPr>
            <w:r w:rsidRPr="00C30E0B">
              <w:rPr>
                <w:rFonts w:eastAsia="Times New Roman" w:cs="Times New Roman"/>
                <w:sz w:val="24"/>
                <w:szCs w:val="24"/>
                <w:lang w:val="sr-Cyrl-CS"/>
              </w:rPr>
              <w:t>Прописи за спровођење овог закона из чл. 7-9. ,чл. 15 – 16., члана 21., чл. 23-24., чл. 26-27., члана 30., члана 36., чл. 37-40., члана 47., члана 51., чл. 54-55. члана 57., члана 59., чл. 61-62, чл. 64-66., члана 73., члана 80., члана 83., члана 90., чл. 93-94., чл. 96-98., члана 100., и чл. 107-109. овог закона биће донети у року од 18 месеци од дана ступања на снагу овог закона, изузев подзаконских аката из става 1. овог члана</w:t>
            </w:r>
          </w:p>
        </w:tc>
        <w:tc>
          <w:tcPr>
            <w:tcW w:w="235" w:type="pct"/>
            <w:vAlign w:val="center"/>
          </w:tcPr>
          <w:p w14:paraId="46187EED" w14:textId="004A35D5" w:rsidR="009A4EE4" w:rsidRPr="004D2E7C" w:rsidRDefault="009A4EE4" w:rsidP="009A4EE4">
            <w:pPr>
              <w:jc w:val="center"/>
              <w:rPr>
                <w:rFonts w:cs="Times New Roman"/>
                <w:lang w:val="sr-Cyrl-RS"/>
              </w:rPr>
            </w:pPr>
            <w:r>
              <w:rPr>
                <w:rFonts w:cs="Times New Roman"/>
                <w:lang w:val="sr-Cyrl-RS"/>
              </w:rPr>
              <w:lastRenderedPageBreak/>
              <w:t>Д</w:t>
            </w:r>
            <w:r w:rsidRPr="004D2E7C">
              <w:rPr>
                <w:rFonts w:cs="Times New Roman"/>
                <w:lang w:val="sr-Cyrl-RS"/>
              </w:rPr>
              <w:t>У</w:t>
            </w:r>
          </w:p>
        </w:tc>
        <w:tc>
          <w:tcPr>
            <w:tcW w:w="676" w:type="pct"/>
          </w:tcPr>
          <w:p w14:paraId="46187EEE" w14:textId="39FFEE64" w:rsidR="009A4EE4" w:rsidRPr="004D2E7C" w:rsidRDefault="009A4EE4" w:rsidP="009A4EE4">
            <w:pPr>
              <w:rPr>
                <w:rFonts w:cs="Times New Roman"/>
                <w:lang w:val="sr-Cyrl-RS"/>
              </w:rPr>
            </w:pPr>
            <w:r>
              <w:rPr>
                <w:rFonts w:cs="Times New Roman"/>
                <w:spacing w:val="-6"/>
                <w:lang w:val="sr-Cyrl-RS"/>
              </w:rPr>
              <w:t>Усклађеност ће бити постигнута доношењем Уредбе из 1.62.2.</w:t>
            </w:r>
          </w:p>
        </w:tc>
        <w:tc>
          <w:tcPr>
            <w:tcW w:w="699" w:type="pct"/>
            <w:vAlign w:val="center"/>
          </w:tcPr>
          <w:p w14:paraId="46187EEF" w14:textId="2A694D25" w:rsidR="009A4EE4" w:rsidRPr="004D2E7C" w:rsidRDefault="009A4EE4" w:rsidP="009A4EE4">
            <w:pPr>
              <w:rPr>
                <w:rFonts w:cs="Times New Roman"/>
                <w:lang w:val="sr-Cyrl-RS"/>
              </w:rPr>
            </w:pPr>
          </w:p>
        </w:tc>
      </w:tr>
      <w:tr w:rsidR="00F01ECE" w:rsidRPr="004D2E7C" w14:paraId="46187F25" w14:textId="77777777" w:rsidTr="006B3660">
        <w:tc>
          <w:tcPr>
            <w:tcW w:w="280" w:type="pct"/>
            <w:shd w:val="clear" w:color="auto" w:fill="D9D9D9"/>
            <w:vAlign w:val="center"/>
          </w:tcPr>
          <w:p w14:paraId="46187EF1" w14:textId="77777777" w:rsidR="00F01ECE" w:rsidRPr="004D2E7C" w:rsidRDefault="00F01ECE" w:rsidP="00F01ECE">
            <w:pPr>
              <w:jc w:val="center"/>
              <w:rPr>
                <w:rFonts w:eastAsia="Times New Roman" w:cs="Times New Roman"/>
                <w:lang w:val="sr-Cyrl-RS"/>
              </w:rPr>
            </w:pPr>
            <w:r w:rsidRPr="004D2E7C">
              <w:rPr>
                <w:rFonts w:eastAsia="Times New Roman" w:cs="Times New Roman"/>
                <w:lang w:val="sr-Cyrl-RS"/>
              </w:rPr>
              <w:lastRenderedPageBreak/>
              <w:t>3.1.</w:t>
            </w:r>
          </w:p>
        </w:tc>
        <w:tc>
          <w:tcPr>
            <w:tcW w:w="1489" w:type="pct"/>
            <w:shd w:val="clear" w:color="auto" w:fill="D9D9D9"/>
            <w:vAlign w:val="center"/>
          </w:tcPr>
          <w:p w14:paraId="46187EF2" w14:textId="77777777" w:rsidR="00F01ECE" w:rsidRPr="00D36211" w:rsidRDefault="00F01ECE" w:rsidP="00F01ECE">
            <w:pPr>
              <w:pStyle w:val="Normal1"/>
              <w:spacing w:before="0" w:beforeAutospacing="0" w:after="0" w:afterAutospacing="0"/>
              <w:jc w:val="both"/>
              <w:rPr>
                <w:b/>
                <w:bCs/>
                <w:sz w:val="14"/>
                <w:szCs w:val="14"/>
                <w:lang w:val="en-GB"/>
              </w:rPr>
            </w:pPr>
          </w:p>
          <w:p w14:paraId="46187EF3" w14:textId="2D53708E" w:rsidR="00F01ECE" w:rsidRPr="004D2E7C" w:rsidRDefault="00F01ECE" w:rsidP="00D36211">
            <w:pPr>
              <w:pStyle w:val="Normal1"/>
              <w:spacing w:before="0" w:beforeAutospacing="0" w:after="0" w:afterAutospacing="0"/>
              <w:rPr>
                <w:sz w:val="22"/>
                <w:szCs w:val="22"/>
                <w:lang w:val="en-GB"/>
              </w:rPr>
            </w:pPr>
            <w:r w:rsidRPr="004D2E7C">
              <w:rPr>
                <w:b/>
                <w:bCs/>
                <w:sz w:val="22"/>
                <w:szCs w:val="22"/>
                <w:lang w:val="en-GB"/>
              </w:rPr>
              <w:t>G</w:t>
            </w:r>
            <w:r w:rsidR="00D36211">
              <w:rPr>
                <w:b/>
                <w:bCs/>
                <w:sz w:val="22"/>
                <w:szCs w:val="22"/>
              </w:rPr>
              <w:t>ENERAL OBLIGATIONS OF SUPPLIERS</w:t>
            </w:r>
          </w:p>
          <w:p w14:paraId="46187EF4" w14:textId="77777777" w:rsidR="00F01ECE" w:rsidRPr="00D36211" w:rsidRDefault="00F01ECE" w:rsidP="00F01ECE">
            <w:pPr>
              <w:pStyle w:val="Normal1"/>
              <w:spacing w:before="0" w:beforeAutospacing="0" w:after="0" w:afterAutospacing="0"/>
              <w:jc w:val="both"/>
              <w:rPr>
                <w:sz w:val="14"/>
                <w:szCs w:val="14"/>
                <w:lang w:val="en-GB"/>
              </w:rPr>
            </w:pPr>
          </w:p>
          <w:p w14:paraId="46187EF5" w14:textId="77777777" w:rsidR="00F01ECE" w:rsidRPr="004D2E7C" w:rsidRDefault="00F01ECE" w:rsidP="00F01ECE">
            <w:pPr>
              <w:pStyle w:val="Normal1"/>
              <w:spacing w:before="0" w:beforeAutospacing="0" w:after="0" w:afterAutospacing="0"/>
              <w:jc w:val="both"/>
              <w:rPr>
                <w:sz w:val="22"/>
                <w:szCs w:val="22"/>
                <w:lang w:val="en-GB"/>
              </w:rPr>
            </w:pPr>
            <w:r w:rsidRPr="004D2E7C">
              <w:rPr>
                <w:sz w:val="22"/>
                <w:szCs w:val="22"/>
                <w:lang w:val="en-GB"/>
              </w:rPr>
              <w:t>The supplier shall ensure that products that are placed on the market are accompanied, for each individual unit, free of charge, with accurate printed labels and with product information sheets in accordance with this Regulation and the relevant delegated acts.</w:t>
            </w:r>
          </w:p>
          <w:p w14:paraId="46187EF6" w14:textId="77777777" w:rsidR="00F01ECE" w:rsidRPr="004D2E7C" w:rsidRDefault="00F01ECE" w:rsidP="00F01ECE">
            <w:pPr>
              <w:pStyle w:val="Normal1"/>
              <w:spacing w:before="0" w:beforeAutospacing="0" w:after="0" w:afterAutospacing="0"/>
              <w:jc w:val="both"/>
              <w:rPr>
                <w:sz w:val="22"/>
                <w:szCs w:val="22"/>
                <w:lang w:val="en-GB"/>
              </w:rPr>
            </w:pPr>
            <w:r w:rsidRPr="004D2E7C">
              <w:rPr>
                <w:sz w:val="22"/>
                <w:szCs w:val="22"/>
                <w:lang w:val="en-GB"/>
              </w:rPr>
              <w:t>As an alternative to supplying the product information sheet with the product, delegated acts referred to in point (h) of Article 16(3) may provide that it is sufficient for the supplier to enter the parameters of such product information sheet into the product database. In such a case, the supplier shall provide the product information sheet in printed form to the dealer on request.</w:t>
            </w:r>
          </w:p>
          <w:p w14:paraId="46187EF7" w14:textId="77777777" w:rsidR="00F01ECE" w:rsidRPr="004D2E7C" w:rsidRDefault="00F01ECE" w:rsidP="00F01ECE">
            <w:pPr>
              <w:pStyle w:val="Normal1"/>
              <w:spacing w:before="0" w:beforeAutospacing="0" w:after="0" w:afterAutospacing="0"/>
              <w:jc w:val="both"/>
              <w:rPr>
                <w:sz w:val="22"/>
                <w:szCs w:val="22"/>
                <w:lang w:val="en-GB"/>
              </w:rPr>
            </w:pPr>
            <w:r w:rsidRPr="004D2E7C">
              <w:rPr>
                <w:sz w:val="22"/>
                <w:szCs w:val="22"/>
                <w:lang w:val="en-GB"/>
              </w:rPr>
              <w:lastRenderedPageBreak/>
              <w:t>Delegated acts may provide that the label is printed on the packaging of the product.</w:t>
            </w:r>
          </w:p>
        </w:tc>
        <w:tc>
          <w:tcPr>
            <w:tcW w:w="325" w:type="pct"/>
          </w:tcPr>
          <w:p w14:paraId="46187EF8" w14:textId="77777777" w:rsidR="00F01ECE" w:rsidRPr="004D2E7C" w:rsidRDefault="00F01ECE" w:rsidP="00F01ECE">
            <w:pPr>
              <w:jc w:val="center"/>
              <w:rPr>
                <w:rFonts w:cs="Times New Roman"/>
                <w:b/>
                <w:bCs/>
                <w:lang w:val="sr-Cyrl-RS"/>
              </w:rPr>
            </w:pPr>
          </w:p>
          <w:p w14:paraId="46187EF9" w14:textId="05876DA8" w:rsidR="00F01ECE" w:rsidRPr="004D2E7C" w:rsidRDefault="00F01ECE" w:rsidP="00F01ECE">
            <w:pPr>
              <w:jc w:val="center"/>
              <w:rPr>
                <w:rFonts w:cs="Times New Roman"/>
                <w:b/>
                <w:bCs/>
                <w:lang w:val="sr-Cyrl-RS"/>
              </w:rPr>
            </w:pPr>
            <w:r w:rsidRPr="004D2E7C">
              <w:rPr>
                <w:rFonts w:cs="Times New Roman"/>
                <w:b/>
                <w:bCs/>
                <w:lang w:val="sr-Cyrl-RS"/>
              </w:rPr>
              <w:t>1.6</w:t>
            </w:r>
            <w:r w:rsidR="00D36211">
              <w:rPr>
                <w:rFonts w:cs="Times New Roman"/>
                <w:b/>
                <w:bCs/>
              </w:rPr>
              <w:t>2</w:t>
            </w:r>
            <w:r w:rsidRPr="004D2E7C">
              <w:rPr>
                <w:rFonts w:cs="Times New Roman"/>
                <w:b/>
                <w:bCs/>
                <w:lang w:val="sr-Cyrl-RS"/>
              </w:rPr>
              <w:t>.2.</w:t>
            </w:r>
          </w:p>
          <w:p w14:paraId="46187EFA" w14:textId="77777777" w:rsidR="00F01ECE" w:rsidRPr="004D2E7C" w:rsidRDefault="00F01ECE" w:rsidP="00F01ECE">
            <w:pPr>
              <w:jc w:val="center"/>
              <w:rPr>
                <w:rFonts w:cs="Times New Roman"/>
                <w:lang w:val="sr-Cyrl-RS"/>
              </w:rPr>
            </w:pPr>
          </w:p>
          <w:p w14:paraId="46187EFB" w14:textId="77777777" w:rsidR="00F01ECE" w:rsidRPr="004D2E7C" w:rsidRDefault="00F01ECE" w:rsidP="00F01ECE">
            <w:pPr>
              <w:jc w:val="center"/>
              <w:rPr>
                <w:rFonts w:cs="Times New Roman"/>
                <w:lang w:val="sr-Cyrl-RS"/>
              </w:rPr>
            </w:pPr>
          </w:p>
          <w:p w14:paraId="46187EFC" w14:textId="77777777" w:rsidR="00F01ECE" w:rsidRPr="004D2E7C" w:rsidRDefault="00F01ECE" w:rsidP="00F01ECE">
            <w:pPr>
              <w:jc w:val="center"/>
              <w:rPr>
                <w:rFonts w:cs="Times New Roman"/>
                <w:lang w:val="sr-Cyrl-RS"/>
              </w:rPr>
            </w:pPr>
          </w:p>
          <w:p w14:paraId="46187EFD" w14:textId="77777777" w:rsidR="00F01ECE" w:rsidRPr="004D2E7C" w:rsidRDefault="00F01ECE" w:rsidP="00F01ECE">
            <w:pPr>
              <w:jc w:val="center"/>
              <w:rPr>
                <w:rFonts w:cs="Times New Roman"/>
                <w:lang w:val="sr-Cyrl-RS"/>
              </w:rPr>
            </w:pPr>
          </w:p>
          <w:p w14:paraId="46187EFE" w14:textId="77777777" w:rsidR="00F01ECE" w:rsidRPr="004D2E7C" w:rsidRDefault="00F01ECE" w:rsidP="00F01ECE">
            <w:pPr>
              <w:jc w:val="center"/>
              <w:rPr>
                <w:rFonts w:cs="Times New Roman"/>
                <w:lang w:val="sr-Cyrl-RS"/>
              </w:rPr>
            </w:pPr>
          </w:p>
          <w:p w14:paraId="46187EFF" w14:textId="77777777" w:rsidR="00F01ECE" w:rsidRPr="004D2E7C" w:rsidRDefault="00F01ECE" w:rsidP="00F01ECE">
            <w:pPr>
              <w:jc w:val="center"/>
              <w:rPr>
                <w:rFonts w:cs="Times New Roman"/>
                <w:lang w:val="sr-Cyrl-RS"/>
              </w:rPr>
            </w:pPr>
          </w:p>
          <w:p w14:paraId="46187F00" w14:textId="77777777" w:rsidR="00F01ECE" w:rsidRPr="004D2E7C" w:rsidRDefault="00F01ECE" w:rsidP="00F01ECE">
            <w:pPr>
              <w:jc w:val="center"/>
              <w:rPr>
                <w:rFonts w:cs="Times New Roman"/>
                <w:lang w:val="sr-Cyrl-RS"/>
              </w:rPr>
            </w:pPr>
          </w:p>
          <w:p w14:paraId="46187F01" w14:textId="77777777" w:rsidR="00F01ECE" w:rsidRPr="004D2E7C" w:rsidRDefault="00F01ECE" w:rsidP="00F01ECE">
            <w:pPr>
              <w:jc w:val="center"/>
              <w:rPr>
                <w:rFonts w:cs="Times New Roman"/>
                <w:lang w:val="sr-Cyrl-RS"/>
              </w:rPr>
            </w:pPr>
          </w:p>
          <w:p w14:paraId="46187F02" w14:textId="77777777" w:rsidR="00F01ECE" w:rsidRPr="004D2E7C" w:rsidRDefault="00F01ECE" w:rsidP="00F01ECE">
            <w:pPr>
              <w:jc w:val="center"/>
              <w:rPr>
                <w:rFonts w:cs="Times New Roman"/>
                <w:lang w:val="sr-Cyrl-RS"/>
              </w:rPr>
            </w:pPr>
          </w:p>
          <w:p w14:paraId="287439BA" w14:textId="77777777" w:rsidR="00F01ECE" w:rsidRPr="004D2E7C" w:rsidRDefault="00F01ECE" w:rsidP="00F01ECE">
            <w:pPr>
              <w:jc w:val="center"/>
              <w:rPr>
                <w:rFonts w:cs="Times New Roman"/>
                <w:b/>
                <w:bCs/>
                <w:lang w:val="sr-Cyrl-RS"/>
              </w:rPr>
            </w:pPr>
          </w:p>
          <w:p w14:paraId="46187F03" w14:textId="3E7CFE6D" w:rsidR="00F01ECE" w:rsidRPr="004D2E7C" w:rsidRDefault="00F01ECE" w:rsidP="00F01ECE">
            <w:pPr>
              <w:jc w:val="center"/>
              <w:rPr>
                <w:rFonts w:cs="Times New Roman"/>
                <w:b/>
                <w:bCs/>
                <w:lang w:val="sr-Cyrl-RS"/>
              </w:rPr>
            </w:pPr>
            <w:r w:rsidRPr="004D2E7C">
              <w:rPr>
                <w:rFonts w:cs="Times New Roman"/>
                <w:b/>
                <w:bCs/>
                <w:lang w:val="sr-Cyrl-RS"/>
              </w:rPr>
              <w:t>1.6</w:t>
            </w:r>
            <w:r w:rsidR="00D36211">
              <w:rPr>
                <w:rFonts w:cs="Times New Roman"/>
                <w:b/>
                <w:bCs/>
              </w:rPr>
              <w:t>2</w:t>
            </w:r>
            <w:r w:rsidRPr="004D2E7C">
              <w:rPr>
                <w:rFonts w:cs="Times New Roman"/>
                <w:b/>
                <w:bCs/>
                <w:lang w:val="sr-Cyrl-RS"/>
              </w:rPr>
              <w:t>.3.</w:t>
            </w:r>
          </w:p>
          <w:p w14:paraId="46187F04" w14:textId="77777777" w:rsidR="00F01ECE" w:rsidRPr="004D2E7C" w:rsidRDefault="00F01ECE" w:rsidP="00F01ECE">
            <w:pPr>
              <w:jc w:val="center"/>
              <w:rPr>
                <w:rFonts w:cs="Times New Roman"/>
                <w:lang w:val="sr-Cyrl-RS"/>
              </w:rPr>
            </w:pPr>
          </w:p>
          <w:p w14:paraId="46187F05" w14:textId="77777777" w:rsidR="00F01ECE" w:rsidRPr="004D2E7C" w:rsidRDefault="00F01ECE" w:rsidP="00F01ECE">
            <w:pPr>
              <w:jc w:val="center"/>
              <w:rPr>
                <w:rFonts w:cs="Times New Roman"/>
                <w:lang w:val="sr-Cyrl-RS"/>
              </w:rPr>
            </w:pPr>
          </w:p>
          <w:p w14:paraId="46187F06" w14:textId="77777777" w:rsidR="00F01ECE" w:rsidRPr="004D2E7C" w:rsidRDefault="00F01ECE" w:rsidP="00F01ECE">
            <w:pPr>
              <w:jc w:val="center"/>
              <w:rPr>
                <w:rFonts w:cs="Times New Roman"/>
                <w:lang w:val="sr-Cyrl-RS"/>
              </w:rPr>
            </w:pPr>
          </w:p>
          <w:p w14:paraId="46187F07" w14:textId="77777777" w:rsidR="00F01ECE" w:rsidRPr="004D2E7C" w:rsidRDefault="00F01ECE" w:rsidP="00F01ECE">
            <w:pPr>
              <w:jc w:val="center"/>
              <w:rPr>
                <w:rFonts w:cs="Times New Roman"/>
                <w:lang w:val="sr-Cyrl-RS"/>
              </w:rPr>
            </w:pPr>
          </w:p>
          <w:p w14:paraId="46187F08" w14:textId="77777777" w:rsidR="00F01ECE" w:rsidRPr="004D2E7C" w:rsidRDefault="00F01ECE" w:rsidP="00F01ECE">
            <w:pPr>
              <w:jc w:val="center"/>
              <w:rPr>
                <w:rFonts w:cs="Times New Roman"/>
                <w:lang w:val="sr-Cyrl-RS"/>
              </w:rPr>
            </w:pPr>
          </w:p>
          <w:p w14:paraId="46187F09" w14:textId="77777777" w:rsidR="00F01ECE" w:rsidRPr="004D2E7C" w:rsidRDefault="00F01ECE" w:rsidP="00F01ECE">
            <w:pPr>
              <w:jc w:val="center"/>
              <w:rPr>
                <w:rFonts w:cs="Times New Roman"/>
                <w:lang w:val="sr-Cyrl-RS"/>
              </w:rPr>
            </w:pPr>
          </w:p>
          <w:p w14:paraId="46187F0A" w14:textId="77777777" w:rsidR="00F01ECE" w:rsidRPr="004D2E7C" w:rsidRDefault="00F01ECE" w:rsidP="00F01ECE">
            <w:pPr>
              <w:jc w:val="center"/>
              <w:rPr>
                <w:rFonts w:cs="Times New Roman"/>
                <w:lang w:val="sr-Cyrl-RS"/>
              </w:rPr>
            </w:pPr>
          </w:p>
          <w:p w14:paraId="46187F0B" w14:textId="77777777" w:rsidR="00F01ECE" w:rsidRPr="004D2E7C" w:rsidRDefault="00F01ECE" w:rsidP="00F01ECE">
            <w:pPr>
              <w:jc w:val="center"/>
              <w:rPr>
                <w:rFonts w:cs="Times New Roman"/>
                <w:lang w:val="sr-Cyrl-RS"/>
              </w:rPr>
            </w:pPr>
          </w:p>
          <w:p w14:paraId="46187F0C" w14:textId="77777777" w:rsidR="00F01ECE" w:rsidRPr="004D2E7C" w:rsidRDefault="00F01ECE" w:rsidP="00F01ECE">
            <w:pPr>
              <w:jc w:val="center"/>
              <w:rPr>
                <w:rFonts w:cs="Times New Roman"/>
                <w:lang w:val="sr-Cyrl-RS"/>
              </w:rPr>
            </w:pPr>
          </w:p>
          <w:p w14:paraId="46187F0D" w14:textId="77777777" w:rsidR="00F01ECE" w:rsidRPr="004D2E7C" w:rsidRDefault="00F01ECE" w:rsidP="00F01ECE">
            <w:pPr>
              <w:jc w:val="center"/>
              <w:rPr>
                <w:rFonts w:cs="Times New Roman"/>
                <w:lang w:val="sr-Cyrl-RS"/>
              </w:rPr>
            </w:pPr>
          </w:p>
          <w:p w14:paraId="46187F0E" w14:textId="77777777" w:rsidR="00F01ECE" w:rsidRPr="004D2E7C" w:rsidRDefault="00F01ECE" w:rsidP="00F01ECE">
            <w:pPr>
              <w:jc w:val="center"/>
              <w:rPr>
                <w:rFonts w:cs="Times New Roman"/>
                <w:lang w:val="sr-Cyrl-RS"/>
              </w:rPr>
            </w:pPr>
          </w:p>
          <w:p w14:paraId="46187F0F" w14:textId="77777777" w:rsidR="00F01ECE" w:rsidRPr="004D2E7C" w:rsidRDefault="00F01ECE" w:rsidP="00F01ECE">
            <w:pPr>
              <w:jc w:val="center"/>
              <w:rPr>
                <w:rFonts w:cs="Times New Roman"/>
                <w:lang w:val="sr-Cyrl-RS"/>
              </w:rPr>
            </w:pPr>
          </w:p>
          <w:p w14:paraId="46187F10" w14:textId="77777777" w:rsidR="00F01ECE" w:rsidRPr="004D2E7C" w:rsidRDefault="00F01ECE" w:rsidP="00F01ECE">
            <w:pPr>
              <w:jc w:val="center"/>
              <w:rPr>
                <w:rFonts w:cs="Times New Roman"/>
                <w:lang w:val="sr-Cyrl-RS"/>
              </w:rPr>
            </w:pPr>
          </w:p>
          <w:p w14:paraId="46187F11" w14:textId="77777777" w:rsidR="00F01ECE" w:rsidRPr="004D2E7C" w:rsidRDefault="00F01ECE" w:rsidP="00F01ECE">
            <w:pPr>
              <w:jc w:val="center"/>
              <w:rPr>
                <w:rFonts w:cs="Times New Roman"/>
                <w:lang w:val="sr-Cyrl-RS"/>
              </w:rPr>
            </w:pPr>
          </w:p>
          <w:p w14:paraId="46187F12" w14:textId="77777777" w:rsidR="00F01ECE" w:rsidRPr="004D2E7C" w:rsidRDefault="00F01ECE" w:rsidP="00F01ECE">
            <w:pPr>
              <w:jc w:val="center"/>
              <w:rPr>
                <w:rFonts w:cs="Times New Roman"/>
                <w:lang w:val="sr-Cyrl-RS"/>
              </w:rPr>
            </w:pPr>
          </w:p>
          <w:p w14:paraId="46187F13" w14:textId="77777777" w:rsidR="00F01ECE" w:rsidRPr="004D2E7C" w:rsidRDefault="00F01ECE" w:rsidP="00F01ECE">
            <w:pPr>
              <w:jc w:val="center"/>
              <w:rPr>
                <w:rFonts w:cs="Times New Roman"/>
                <w:lang w:val="sr-Cyrl-RS"/>
              </w:rPr>
            </w:pPr>
          </w:p>
          <w:p w14:paraId="46187F14" w14:textId="77777777" w:rsidR="00F01ECE" w:rsidRPr="004D2E7C" w:rsidRDefault="00F01ECE" w:rsidP="00F01ECE">
            <w:pPr>
              <w:jc w:val="center"/>
              <w:rPr>
                <w:rFonts w:cs="Times New Roman"/>
                <w:lang w:val="sr-Cyrl-RS"/>
              </w:rPr>
            </w:pPr>
          </w:p>
          <w:p w14:paraId="46187F15" w14:textId="77777777" w:rsidR="00F01ECE" w:rsidRPr="004D2E7C" w:rsidRDefault="00F01ECE" w:rsidP="00F01ECE">
            <w:pPr>
              <w:jc w:val="center"/>
              <w:rPr>
                <w:rFonts w:cs="Times New Roman"/>
                <w:lang w:val="sr-Cyrl-RS"/>
              </w:rPr>
            </w:pPr>
          </w:p>
          <w:p w14:paraId="21F39DC8" w14:textId="77777777" w:rsidR="00F01ECE" w:rsidRPr="004D2E7C" w:rsidRDefault="00F01ECE" w:rsidP="00F01ECE">
            <w:pPr>
              <w:jc w:val="center"/>
              <w:rPr>
                <w:rFonts w:cs="Times New Roman"/>
                <w:lang w:val="sr-Cyrl-RS"/>
              </w:rPr>
            </w:pPr>
          </w:p>
          <w:p w14:paraId="766BFDF5" w14:textId="77777777" w:rsidR="00F01ECE" w:rsidRPr="004D2E7C" w:rsidRDefault="00F01ECE" w:rsidP="00F01ECE">
            <w:pPr>
              <w:jc w:val="center"/>
              <w:rPr>
                <w:rFonts w:cs="Times New Roman"/>
                <w:lang w:val="sr-Cyrl-RS"/>
              </w:rPr>
            </w:pPr>
          </w:p>
          <w:p w14:paraId="5631318D" w14:textId="77777777" w:rsidR="00F01ECE" w:rsidRPr="004D2E7C" w:rsidRDefault="00F01ECE" w:rsidP="00F01ECE">
            <w:pPr>
              <w:jc w:val="center"/>
              <w:rPr>
                <w:rFonts w:cs="Times New Roman"/>
                <w:lang w:val="sr-Cyrl-RS"/>
              </w:rPr>
            </w:pPr>
          </w:p>
          <w:p w14:paraId="2027E038" w14:textId="77777777" w:rsidR="00D36211" w:rsidRDefault="00D36211" w:rsidP="00F01ECE">
            <w:pPr>
              <w:jc w:val="center"/>
              <w:rPr>
                <w:rFonts w:cs="Times New Roman"/>
                <w:lang w:val="sr-Cyrl-RS"/>
              </w:rPr>
            </w:pPr>
          </w:p>
          <w:p w14:paraId="6666BCFF" w14:textId="77777777" w:rsidR="00D36211" w:rsidRDefault="00D36211" w:rsidP="00F01ECE">
            <w:pPr>
              <w:jc w:val="center"/>
              <w:rPr>
                <w:rFonts w:cs="Times New Roman"/>
                <w:lang w:val="sr-Cyrl-RS"/>
              </w:rPr>
            </w:pPr>
          </w:p>
          <w:p w14:paraId="46187F16" w14:textId="34D18EF9" w:rsidR="00F01ECE" w:rsidRPr="004D2E7C" w:rsidRDefault="00F01ECE" w:rsidP="00F01ECE">
            <w:pPr>
              <w:jc w:val="center"/>
              <w:rPr>
                <w:rFonts w:cs="Times New Roman"/>
                <w:lang w:val="sr-Cyrl-RS"/>
              </w:rPr>
            </w:pPr>
            <w:r w:rsidRPr="004D2E7C">
              <w:rPr>
                <w:rFonts w:cs="Times New Roman"/>
                <w:lang w:val="sr-Cyrl-RS"/>
              </w:rPr>
              <w:t>2.5.</w:t>
            </w:r>
          </w:p>
          <w:p w14:paraId="46187F17" w14:textId="77777777" w:rsidR="00F01ECE" w:rsidRPr="004D2E7C" w:rsidRDefault="00F01ECE" w:rsidP="00F01ECE">
            <w:pPr>
              <w:jc w:val="center"/>
              <w:rPr>
                <w:rFonts w:cs="Times New Roman"/>
                <w:lang w:val="sr-Cyrl-RS"/>
              </w:rPr>
            </w:pPr>
          </w:p>
        </w:tc>
        <w:tc>
          <w:tcPr>
            <w:tcW w:w="1296" w:type="pct"/>
            <w:vAlign w:val="center"/>
          </w:tcPr>
          <w:p w14:paraId="541D360F" w14:textId="77777777" w:rsidR="00D36211" w:rsidRPr="00D36211" w:rsidRDefault="00D36211" w:rsidP="00D36211">
            <w:pPr>
              <w:autoSpaceDE w:val="0"/>
              <w:autoSpaceDN w:val="0"/>
              <w:adjustRightInd w:val="0"/>
              <w:ind w:firstLine="567"/>
              <w:jc w:val="both"/>
              <w:rPr>
                <w:rFonts w:eastAsia="MS Mincho" w:cs="Times New Roman"/>
                <w:color w:val="000000" w:themeColor="text1"/>
                <w:lang w:val="sr-Cyrl-CS" w:eastAsia="ja-JP"/>
              </w:rPr>
            </w:pPr>
            <w:r w:rsidRPr="00D36211">
              <w:rPr>
                <w:rFonts w:eastAsia="MS Mincho" w:cs="Times New Roman"/>
                <w:color w:val="000000" w:themeColor="text1"/>
                <w:lang w:val="sr-Cyrl-CS" w:eastAsia="ja-JP"/>
              </w:rPr>
              <w:lastRenderedPageBreak/>
              <w:t>Влада ближе уређује обавезе испоручиоца производа, и продавца у погледу енергетског означавања производа, које се односе на: садржај енергетске ознаке, њеног исправног постављања и тачности података на ознаци, коришћење рекласираних ознака енергетске ефикасности и друге услове којима се обезбеђује примена захтева енергетског означавања за производе из става 1. овог члана.</w:t>
            </w:r>
          </w:p>
          <w:p w14:paraId="7FAFBBA1" w14:textId="77777777" w:rsidR="00D36211" w:rsidRPr="00D36211" w:rsidRDefault="00D36211" w:rsidP="00D36211">
            <w:pPr>
              <w:autoSpaceDE w:val="0"/>
              <w:autoSpaceDN w:val="0"/>
              <w:adjustRightInd w:val="0"/>
              <w:ind w:firstLine="567"/>
              <w:jc w:val="both"/>
              <w:rPr>
                <w:rFonts w:eastAsia="MS Mincho" w:cs="Times New Roman"/>
                <w:color w:val="000000" w:themeColor="text1"/>
                <w:lang w:val="sr-Cyrl-CS" w:eastAsia="ja-JP"/>
              </w:rPr>
            </w:pPr>
            <w:r w:rsidRPr="00D36211">
              <w:rPr>
                <w:rFonts w:eastAsia="MS Mincho" w:cs="Times New Roman"/>
                <w:color w:val="000000" w:themeColor="text1"/>
                <w:lang w:val="sr-Cyrl-CS" w:eastAsia="ja-JP"/>
              </w:rPr>
              <w:t xml:space="preserve">Министар доноси техничке прописе којима се прописују захтеви енергетског означавања производа, ближе се утврђују обавезе испоручилаца производа и продаваца, прописује се врста производа на које се захтеви </w:t>
            </w:r>
            <w:r w:rsidRPr="00D36211">
              <w:rPr>
                <w:rFonts w:eastAsia="MS Mincho" w:cs="Times New Roman"/>
                <w:color w:val="000000" w:themeColor="text1"/>
                <w:lang w:val="sr-Cyrl-CS" w:eastAsia="ja-JP"/>
              </w:rPr>
              <w:lastRenderedPageBreak/>
              <w:t>односе, дефинишу се мерне методе, поступак провере</w:t>
            </w:r>
            <w:r w:rsidRPr="00D36211">
              <w:rPr>
                <w:rFonts w:eastAsia="MS Mincho" w:cs="Times New Roman"/>
                <w:color w:val="000000" w:themeColor="text1"/>
                <w:lang w:eastAsia="ja-JP"/>
              </w:rPr>
              <w:t xml:space="preserve"> </w:t>
            </w:r>
            <w:r w:rsidRPr="00D36211">
              <w:rPr>
                <w:rFonts w:eastAsia="MS Mincho" w:cs="Times New Roman"/>
                <w:color w:val="000000" w:themeColor="text1"/>
                <w:lang w:val="sr-Cyrl-CS" w:eastAsia="ja-JP"/>
              </w:rPr>
              <w:t>усаглашености производа са захтевима енергетског означавања у сврху тржишног надзора, поступак одређивања класе енергетске ефикасности, изглед дизајн и формат енергетске ознаке, листу са подацима, садржај техничке документације, информације које је потребно обезбедити приликом у визуелног оглашавања у техничким и промотивним материјалима приликом продаје на даљину и у телемаркетингу, информације које је потребно обезбедити у случају продаје на даљину преко интернета, као и друге захтеве у вези енергетског означавања за поједине врсте производа.</w:t>
            </w:r>
          </w:p>
          <w:p w14:paraId="46187F1B" w14:textId="77777777" w:rsidR="00F01ECE" w:rsidRPr="004D2E7C" w:rsidRDefault="00F01ECE" w:rsidP="00F01ECE">
            <w:pPr>
              <w:autoSpaceDE w:val="0"/>
              <w:autoSpaceDN w:val="0"/>
              <w:adjustRightInd w:val="0"/>
              <w:rPr>
                <w:rFonts w:eastAsia="MS Mincho" w:cs="Times New Roman"/>
                <w:sz w:val="14"/>
                <w:szCs w:val="14"/>
                <w:lang w:val="sr-Cyrl-RS" w:eastAsia="ja-JP"/>
              </w:rPr>
            </w:pPr>
          </w:p>
          <w:p w14:paraId="46187F1C" w14:textId="77777777" w:rsidR="00F01ECE" w:rsidRPr="004D2E7C" w:rsidRDefault="00F01ECE" w:rsidP="00F01ECE">
            <w:pPr>
              <w:autoSpaceDE w:val="0"/>
              <w:autoSpaceDN w:val="0"/>
              <w:adjustRightInd w:val="0"/>
              <w:jc w:val="both"/>
              <w:rPr>
                <w:rFonts w:cs="Times New Roman"/>
                <w:lang w:val="sr-Cyrl-RS"/>
              </w:rPr>
            </w:pPr>
            <w:r w:rsidRPr="004D2E7C">
              <w:rPr>
                <w:rFonts w:cs="Times New Roman"/>
                <w:lang w:val="sr-Cyrl-RS"/>
              </w:rPr>
              <w:t xml:space="preserve">Испоручиоци производа обавезни су да пре стављања на тржиште производа обезбеде да производи: </w:t>
            </w:r>
          </w:p>
          <w:p w14:paraId="46187F1D" w14:textId="77777777" w:rsidR="00F01ECE" w:rsidRPr="004D2E7C" w:rsidRDefault="00F01ECE" w:rsidP="00F01ECE">
            <w:pPr>
              <w:autoSpaceDE w:val="0"/>
              <w:autoSpaceDN w:val="0"/>
              <w:adjustRightInd w:val="0"/>
              <w:jc w:val="both"/>
              <w:rPr>
                <w:rFonts w:cs="Times New Roman"/>
                <w:lang w:val="sr-Cyrl-RS"/>
              </w:rPr>
            </w:pPr>
            <w:r w:rsidRPr="004D2E7C">
              <w:rPr>
                <w:rFonts w:cs="Times New Roman"/>
                <w:lang w:val="sr-Cyrl-RS"/>
              </w:rPr>
              <w:t xml:space="preserve">1) испуњавају захтеве прописане законом и овом уредбом; </w:t>
            </w:r>
          </w:p>
          <w:p w14:paraId="46187F1E" w14:textId="77777777" w:rsidR="00F01ECE" w:rsidRPr="004D2E7C" w:rsidRDefault="00F01ECE" w:rsidP="00F01ECE">
            <w:pPr>
              <w:autoSpaceDE w:val="0"/>
              <w:autoSpaceDN w:val="0"/>
              <w:adjustRightInd w:val="0"/>
              <w:jc w:val="both"/>
              <w:rPr>
                <w:rFonts w:cs="Times New Roman"/>
                <w:lang w:val="sr-Cyrl-RS"/>
              </w:rPr>
            </w:pPr>
            <w:r w:rsidRPr="004D2E7C">
              <w:rPr>
                <w:rFonts w:cs="Times New Roman"/>
                <w:lang w:val="sr-Cyrl-RS"/>
              </w:rPr>
              <w:t xml:space="preserve">2) који се испоручују буду означени одговарајућим ознакама енергетске ефикасности које описују класу њихове енергетске ефикасности и са листом са подацима о производу; </w:t>
            </w:r>
          </w:p>
          <w:p w14:paraId="46187F1F" w14:textId="77777777" w:rsidR="00F01ECE" w:rsidRPr="004D2E7C" w:rsidRDefault="00F01ECE" w:rsidP="00F01ECE">
            <w:pPr>
              <w:autoSpaceDE w:val="0"/>
              <w:autoSpaceDN w:val="0"/>
              <w:adjustRightInd w:val="0"/>
              <w:jc w:val="both"/>
              <w:rPr>
                <w:rFonts w:cs="Times New Roman"/>
                <w:lang w:val="sr-Cyrl-RS"/>
              </w:rPr>
            </w:pPr>
            <w:r w:rsidRPr="004D2E7C">
              <w:rPr>
                <w:rFonts w:cs="Times New Roman"/>
                <w:lang w:val="sr-Cyrl-RS"/>
              </w:rPr>
              <w:t xml:space="preserve">3) имају листу са подацима доступну у брошури или другом штампаном материјалу који прати производ; </w:t>
            </w:r>
          </w:p>
          <w:p w14:paraId="46187F21" w14:textId="0E6D7AFA" w:rsidR="00F01ECE" w:rsidRPr="00D36211" w:rsidRDefault="00F01ECE" w:rsidP="00D36211">
            <w:pPr>
              <w:autoSpaceDE w:val="0"/>
              <w:autoSpaceDN w:val="0"/>
              <w:adjustRightInd w:val="0"/>
              <w:spacing w:after="120"/>
              <w:jc w:val="both"/>
              <w:rPr>
                <w:rFonts w:cs="Times New Roman"/>
                <w:lang w:val="sr-Cyrl-RS"/>
              </w:rPr>
            </w:pPr>
            <w:r w:rsidRPr="004D2E7C">
              <w:rPr>
                <w:rFonts w:cs="Times New Roman"/>
                <w:lang w:val="sr-Cyrl-RS"/>
              </w:rPr>
              <w:t xml:space="preserve">4) имају техничку документацију, као и да технички приручници произвођача и промотивни материјали о производима, </w:t>
            </w:r>
            <w:r w:rsidRPr="004D2E7C">
              <w:rPr>
                <w:rFonts w:cs="Times New Roman"/>
                <w:lang w:val="sr-Cyrl-RS"/>
              </w:rPr>
              <w:lastRenderedPageBreak/>
              <w:t>приказани у било ком облику (штампани и слично) купцима пруже потребне информације о потрошњи енергије и класи енергетске ефикасности, на српском језику.</w:t>
            </w:r>
          </w:p>
        </w:tc>
        <w:tc>
          <w:tcPr>
            <w:tcW w:w="235" w:type="pct"/>
            <w:vAlign w:val="center"/>
          </w:tcPr>
          <w:p w14:paraId="46187F22" w14:textId="77777777" w:rsidR="00F01ECE" w:rsidRPr="004D2E7C" w:rsidRDefault="00F01ECE" w:rsidP="00F01ECE">
            <w:pPr>
              <w:jc w:val="center"/>
              <w:rPr>
                <w:rFonts w:cs="Times New Roman"/>
                <w:lang w:val="sr-Cyrl-RS"/>
              </w:rPr>
            </w:pPr>
            <w:r w:rsidRPr="004D2E7C">
              <w:rPr>
                <w:rFonts w:cs="Times New Roman"/>
                <w:lang w:val="sr-Cyrl-RS"/>
              </w:rPr>
              <w:lastRenderedPageBreak/>
              <w:t>ДУ</w:t>
            </w:r>
          </w:p>
        </w:tc>
        <w:tc>
          <w:tcPr>
            <w:tcW w:w="676" w:type="pct"/>
            <w:vAlign w:val="center"/>
          </w:tcPr>
          <w:p w14:paraId="46187F23" w14:textId="220AFE31" w:rsidR="00F01ECE" w:rsidRPr="004D2E7C" w:rsidRDefault="00F01ECE" w:rsidP="00F01ECE">
            <w:pPr>
              <w:rPr>
                <w:rFonts w:cs="Times New Roman"/>
                <w:lang w:val="sr-Cyrl-RS"/>
              </w:rPr>
            </w:pPr>
            <w:r w:rsidRPr="004D2E7C">
              <w:rPr>
                <w:rFonts w:cs="Times New Roman"/>
                <w:lang w:val="sr-Cyrl-RS"/>
              </w:rPr>
              <w:t xml:space="preserve">База података о производима није поменута у одредбама </w:t>
            </w:r>
            <w:r w:rsidR="002950D4">
              <w:rPr>
                <w:rFonts w:cs="Times New Roman"/>
                <w:lang w:val="sr-Cyrl-RS"/>
              </w:rPr>
              <w:t>Предлог</w:t>
            </w:r>
            <w:r w:rsidRPr="004D2E7C">
              <w:rPr>
                <w:rFonts w:cs="Times New Roman"/>
                <w:lang w:val="sr-Cyrl-RS"/>
              </w:rPr>
              <w:t xml:space="preserve">а ЗЕЕРУЕ јер није доступна корисницима из Републике Србије. </w:t>
            </w:r>
          </w:p>
        </w:tc>
        <w:tc>
          <w:tcPr>
            <w:tcW w:w="699" w:type="pct"/>
            <w:vAlign w:val="center"/>
          </w:tcPr>
          <w:p w14:paraId="46187F24" w14:textId="4A47676B" w:rsidR="00F01ECE" w:rsidRPr="004D2E7C" w:rsidRDefault="00F01ECE" w:rsidP="00F01ECE">
            <w:pPr>
              <w:rPr>
                <w:rFonts w:cs="Times New Roman"/>
                <w:lang w:val="sr-Cyrl-RS"/>
              </w:rPr>
            </w:pPr>
            <w:r w:rsidRPr="004D2E7C">
              <w:rPr>
                <w:rFonts w:cs="Times New Roman"/>
                <w:lang w:val="sr-Cyrl-RS"/>
              </w:rPr>
              <w:t xml:space="preserve">Потпуније усклађивање ће бити постигнуто када Република Србија приступи ЕУ и тиме добије приступ Бази података. </w:t>
            </w:r>
          </w:p>
        </w:tc>
      </w:tr>
      <w:tr w:rsidR="00F01ECE" w:rsidRPr="004D2E7C" w14:paraId="46187F30" w14:textId="77777777" w:rsidTr="006B3660">
        <w:tc>
          <w:tcPr>
            <w:tcW w:w="280" w:type="pct"/>
            <w:shd w:val="clear" w:color="auto" w:fill="D9D9D9"/>
            <w:vAlign w:val="center"/>
          </w:tcPr>
          <w:p w14:paraId="46187F26" w14:textId="77777777" w:rsidR="00F01ECE" w:rsidRPr="004D2E7C" w:rsidRDefault="00F01ECE" w:rsidP="00F01ECE">
            <w:pPr>
              <w:jc w:val="center"/>
              <w:rPr>
                <w:rFonts w:eastAsia="Times New Roman" w:cs="Times New Roman"/>
                <w:lang w:val="sr-Cyrl-RS"/>
              </w:rPr>
            </w:pPr>
            <w:r w:rsidRPr="004D2E7C">
              <w:rPr>
                <w:rFonts w:eastAsia="Times New Roman" w:cs="Times New Roman"/>
                <w:lang w:val="sr-Cyrl-RS"/>
              </w:rPr>
              <w:lastRenderedPageBreak/>
              <w:t>3.2.</w:t>
            </w:r>
          </w:p>
        </w:tc>
        <w:tc>
          <w:tcPr>
            <w:tcW w:w="1489" w:type="pct"/>
            <w:shd w:val="clear" w:color="auto" w:fill="D9D9D9"/>
            <w:vAlign w:val="center"/>
          </w:tcPr>
          <w:p w14:paraId="46187F27" w14:textId="77777777" w:rsidR="00F01ECE" w:rsidRPr="004D2E7C" w:rsidRDefault="00F01ECE" w:rsidP="00F01ECE">
            <w:pPr>
              <w:pStyle w:val="Normal1"/>
              <w:spacing w:before="0" w:beforeAutospacing="0" w:after="0" w:afterAutospacing="0"/>
              <w:jc w:val="both"/>
              <w:rPr>
                <w:sz w:val="22"/>
                <w:szCs w:val="22"/>
                <w:lang w:val="en-GB"/>
              </w:rPr>
            </w:pPr>
            <w:r w:rsidRPr="004D2E7C">
              <w:rPr>
                <w:sz w:val="22"/>
                <w:szCs w:val="22"/>
                <w:lang w:val="en-GB"/>
              </w:rPr>
              <w:t>The supplier shall deliver printed labels, including rescaled labels in accordance with Article 11(13), and product information sheets, to the dealer free of charge, promptly and in any event within five working days upon the dealer's request.</w:t>
            </w:r>
          </w:p>
        </w:tc>
        <w:tc>
          <w:tcPr>
            <w:tcW w:w="325" w:type="pct"/>
            <w:vAlign w:val="center"/>
          </w:tcPr>
          <w:p w14:paraId="46187F28" w14:textId="77777777" w:rsidR="00F01ECE" w:rsidRPr="004D2E7C" w:rsidRDefault="00F01ECE" w:rsidP="00F01ECE">
            <w:pPr>
              <w:jc w:val="center"/>
              <w:rPr>
                <w:rFonts w:cs="Times New Roman"/>
                <w:lang w:val="sr-Cyrl-RS"/>
              </w:rPr>
            </w:pPr>
            <w:r w:rsidRPr="004D2E7C">
              <w:rPr>
                <w:rFonts w:cs="Times New Roman"/>
                <w:lang w:val="sr-Cyrl-RS"/>
              </w:rPr>
              <w:t>2.7.2.</w:t>
            </w:r>
          </w:p>
        </w:tc>
        <w:tc>
          <w:tcPr>
            <w:tcW w:w="1296" w:type="pct"/>
          </w:tcPr>
          <w:p w14:paraId="46187F29" w14:textId="77777777" w:rsidR="00F01ECE" w:rsidRPr="004D2E7C" w:rsidRDefault="00F01ECE" w:rsidP="00F01ECE">
            <w:pPr>
              <w:jc w:val="both"/>
              <w:rPr>
                <w:rFonts w:cs="Times New Roman"/>
                <w:lang w:val="sr-Cyrl-RS"/>
              </w:rPr>
            </w:pPr>
            <w:r w:rsidRPr="004D2E7C">
              <w:rPr>
                <w:rFonts w:cs="Times New Roman"/>
                <w:lang w:val="sr-Cyrl-RS"/>
              </w:rPr>
              <w:t>Испоручиоци производа из члана 5. ове уредбе су дужни да за сваки производ појединачно, при његовој испоруци, без накнаде, обезбеде продавцу ознаку енергетске ефикасности и листу са подацима.</w:t>
            </w:r>
          </w:p>
          <w:p w14:paraId="46187F2A" w14:textId="77777777" w:rsidR="00F01ECE" w:rsidRPr="004D2E7C" w:rsidRDefault="00F01ECE" w:rsidP="00F01ECE">
            <w:pPr>
              <w:jc w:val="both"/>
              <w:rPr>
                <w:rFonts w:cs="Times New Roman"/>
                <w:lang w:val="sr-Cyrl-RS"/>
              </w:rPr>
            </w:pPr>
          </w:p>
        </w:tc>
        <w:tc>
          <w:tcPr>
            <w:tcW w:w="235" w:type="pct"/>
            <w:vAlign w:val="center"/>
          </w:tcPr>
          <w:p w14:paraId="46187F2B" w14:textId="77777777" w:rsidR="00F01ECE" w:rsidRPr="004D2E7C" w:rsidRDefault="00F01ECE" w:rsidP="00F01ECE">
            <w:pPr>
              <w:jc w:val="center"/>
              <w:rPr>
                <w:rFonts w:cs="Times New Roman"/>
                <w:lang w:val="sr-Cyrl-RS"/>
              </w:rPr>
            </w:pPr>
            <w:r w:rsidRPr="004D2E7C">
              <w:rPr>
                <w:rFonts w:cs="Times New Roman"/>
                <w:lang w:val="sr-Cyrl-RS"/>
              </w:rPr>
              <w:t>ДУ</w:t>
            </w:r>
          </w:p>
        </w:tc>
        <w:tc>
          <w:tcPr>
            <w:tcW w:w="676" w:type="pct"/>
            <w:vAlign w:val="center"/>
          </w:tcPr>
          <w:p w14:paraId="46187F2C" w14:textId="70911A0C" w:rsidR="00F01ECE" w:rsidRPr="004D2E7C" w:rsidRDefault="00F01ECE" w:rsidP="00F01ECE">
            <w:pPr>
              <w:rPr>
                <w:rFonts w:cs="Times New Roman"/>
                <w:lang w:val="sr-Cyrl-RS"/>
              </w:rPr>
            </w:pPr>
            <w:r w:rsidRPr="004D2E7C">
              <w:rPr>
                <w:rFonts w:cs="Times New Roman"/>
                <w:lang w:val="sr-Cyrl-RS"/>
              </w:rPr>
              <w:t>Промењена вредност је нова фаза у процесу означавања производа.</w:t>
            </w:r>
          </w:p>
          <w:p w14:paraId="46187F2E" w14:textId="68AD6F2A" w:rsidR="00F01ECE" w:rsidRPr="004D2E7C" w:rsidRDefault="00F01ECE" w:rsidP="00F01ECE">
            <w:pPr>
              <w:rPr>
                <w:rFonts w:cs="Times New Roman"/>
                <w:lang w:val="sr-Cyrl-RS"/>
              </w:rPr>
            </w:pPr>
          </w:p>
        </w:tc>
        <w:tc>
          <w:tcPr>
            <w:tcW w:w="699" w:type="pct"/>
            <w:vAlign w:val="center"/>
          </w:tcPr>
          <w:p w14:paraId="46187F2F" w14:textId="6A7786FB" w:rsidR="00F01ECE" w:rsidRPr="004D2E7C" w:rsidRDefault="00D36211" w:rsidP="00F01ECE">
            <w:pPr>
              <w:rPr>
                <w:rFonts w:cs="Times New Roman"/>
                <w:lang w:val="sr-Cyrl-RS"/>
              </w:rPr>
            </w:pPr>
            <w:r w:rsidRPr="008A4AD2">
              <w:rPr>
                <w:rFonts w:cs="Times New Roman"/>
                <w:lang w:val="sr-Cyrl-RS"/>
              </w:rPr>
              <w:t xml:space="preserve">Потпунија усклађеност биће постигнута </w:t>
            </w:r>
            <w:r>
              <w:rPr>
                <w:rFonts w:cs="Times New Roman"/>
                <w:lang w:val="sr-Cyrl-RS"/>
              </w:rPr>
              <w:t xml:space="preserve">кроз подзаконске акте и </w:t>
            </w:r>
            <w:r w:rsidRPr="008A4AD2">
              <w:rPr>
                <w:rFonts w:cs="Times New Roman"/>
                <w:lang w:val="sr-Cyrl-RS"/>
              </w:rPr>
              <w:t>техничк</w:t>
            </w:r>
            <w:r>
              <w:rPr>
                <w:rFonts w:cs="Times New Roman"/>
                <w:lang w:val="sr-Cyrl-RS"/>
              </w:rPr>
              <w:t>е прописе, на основу члана 6</w:t>
            </w:r>
            <w:r>
              <w:rPr>
                <w:rFonts w:cs="Times New Roman"/>
              </w:rPr>
              <w:t>2</w:t>
            </w:r>
            <w:r>
              <w:rPr>
                <w:rFonts w:cs="Times New Roman"/>
                <w:lang w:val="sr-Cyrl-RS"/>
              </w:rPr>
              <w:t>.</w:t>
            </w:r>
          </w:p>
        </w:tc>
      </w:tr>
      <w:tr w:rsidR="00F01ECE" w:rsidRPr="004D2E7C" w14:paraId="46187F3B" w14:textId="77777777" w:rsidTr="006B3660">
        <w:tc>
          <w:tcPr>
            <w:tcW w:w="280" w:type="pct"/>
            <w:shd w:val="clear" w:color="auto" w:fill="D9D9D9"/>
            <w:vAlign w:val="center"/>
          </w:tcPr>
          <w:p w14:paraId="46187F31" w14:textId="77777777" w:rsidR="00F01ECE" w:rsidRPr="004D2E7C" w:rsidRDefault="00F01ECE" w:rsidP="00F01ECE">
            <w:pPr>
              <w:jc w:val="center"/>
              <w:rPr>
                <w:rFonts w:eastAsia="Times New Roman" w:cs="Times New Roman"/>
                <w:lang w:val="sr-Cyrl-RS"/>
              </w:rPr>
            </w:pPr>
            <w:r w:rsidRPr="004D2E7C">
              <w:rPr>
                <w:rFonts w:eastAsia="Times New Roman" w:cs="Times New Roman"/>
                <w:lang w:val="sr-Cyrl-RS"/>
              </w:rPr>
              <w:t>3.3.</w:t>
            </w:r>
          </w:p>
        </w:tc>
        <w:tc>
          <w:tcPr>
            <w:tcW w:w="1489" w:type="pct"/>
            <w:shd w:val="clear" w:color="auto" w:fill="D9D9D9"/>
            <w:vAlign w:val="center"/>
          </w:tcPr>
          <w:p w14:paraId="46187F32" w14:textId="77777777" w:rsidR="00F01ECE" w:rsidRPr="004D2E7C" w:rsidRDefault="00F01ECE" w:rsidP="00F01ECE">
            <w:pPr>
              <w:pStyle w:val="Normal1"/>
              <w:spacing w:before="0" w:beforeAutospacing="0" w:after="0" w:afterAutospacing="0"/>
              <w:jc w:val="both"/>
              <w:rPr>
                <w:sz w:val="22"/>
                <w:szCs w:val="22"/>
                <w:lang w:val="en-GB"/>
              </w:rPr>
            </w:pPr>
            <w:r w:rsidRPr="004D2E7C">
              <w:rPr>
                <w:sz w:val="22"/>
                <w:szCs w:val="22"/>
                <w:lang w:val="en-GB"/>
              </w:rPr>
              <w:t>The supplier shall ensure the accuracy of the labels and product information sheets that it provides and shall produce technical documentation sufficient to enable the accuracy to be assessed.</w:t>
            </w:r>
          </w:p>
        </w:tc>
        <w:tc>
          <w:tcPr>
            <w:tcW w:w="325" w:type="pct"/>
            <w:vAlign w:val="center"/>
          </w:tcPr>
          <w:p w14:paraId="46187F33" w14:textId="77777777" w:rsidR="00F01ECE" w:rsidRPr="004D2E7C" w:rsidRDefault="00F01ECE" w:rsidP="00F01ECE">
            <w:pPr>
              <w:jc w:val="center"/>
              <w:rPr>
                <w:rFonts w:cs="Times New Roman"/>
                <w:lang w:val="sr-Cyrl-RS"/>
              </w:rPr>
            </w:pPr>
            <w:r w:rsidRPr="004D2E7C">
              <w:rPr>
                <w:rFonts w:cs="Times New Roman"/>
                <w:lang w:val="sr-Cyrl-RS"/>
              </w:rPr>
              <w:t>2.3.</w:t>
            </w:r>
          </w:p>
        </w:tc>
        <w:tc>
          <w:tcPr>
            <w:tcW w:w="1296" w:type="pct"/>
            <w:vAlign w:val="center"/>
          </w:tcPr>
          <w:p w14:paraId="46187F34" w14:textId="77777777" w:rsidR="00F01ECE" w:rsidRPr="004D2E7C" w:rsidRDefault="00F01ECE" w:rsidP="00F01ECE">
            <w:pPr>
              <w:jc w:val="both"/>
              <w:rPr>
                <w:rFonts w:cs="Times New Roman"/>
                <w:lang w:val="sr-Cyrl-RS"/>
              </w:rPr>
            </w:pPr>
            <w:r w:rsidRPr="004D2E7C">
              <w:rPr>
                <w:rFonts w:cs="Times New Roman"/>
                <w:lang w:val="sr-Cyrl-RS"/>
              </w:rPr>
              <w:t xml:space="preserve">Министарство надлежно за послове енергетике (у даљем тексту: Министарство) за начин означавања, садржину и изглед ознаке енергетске ефикасности, за сваки тип производа из члана 2. став 1. ове уредбе, прописује: </w:t>
            </w:r>
          </w:p>
          <w:p w14:paraId="46187F35" w14:textId="77777777" w:rsidR="00F01ECE" w:rsidRPr="004D2E7C" w:rsidRDefault="00F01ECE" w:rsidP="00F01ECE">
            <w:pPr>
              <w:jc w:val="both"/>
              <w:rPr>
                <w:rFonts w:cs="Times New Roman"/>
                <w:lang w:val="sr-Cyrl-RS"/>
              </w:rPr>
            </w:pPr>
            <w:r w:rsidRPr="004D2E7C">
              <w:rPr>
                <w:rFonts w:cs="Times New Roman"/>
                <w:lang w:val="sr-Cyrl-RS"/>
              </w:rPr>
              <w:t>1) обавезну техничку документацију, довољну да би се омогућила оцена тачности информација садржаних на ознаци енергетске ефикасности и листи са подацима о производу;</w:t>
            </w:r>
          </w:p>
          <w:p w14:paraId="46187F37" w14:textId="67FB9577" w:rsidR="00F01ECE" w:rsidRPr="004D2E7C" w:rsidRDefault="00F01ECE" w:rsidP="00F01ECE">
            <w:pPr>
              <w:jc w:val="both"/>
              <w:rPr>
                <w:rFonts w:cs="Times New Roman"/>
                <w:lang w:val="sr-Cyrl-RS"/>
              </w:rPr>
            </w:pPr>
            <w:r w:rsidRPr="004D2E7C">
              <w:rPr>
                <w:rFonts w:cs="Times New Roman"/>
                <w:lang w:val="sr-Cyrl-RS"/>
              </w:rPr>
              <w:t>2) ....</w:t>
            </w:r>
          </w:p>
        </w:tc>
        <w:tc>
          <w:tcPr>
            <w:tcW w:w="235" w:type="pct"/>
            <w:vAlign w:val="center"/>
          </w:tcPr>
          <w:p w14:paraId="46187F38" w14:textId="77777777" w:rsidR="00F01ECE" w:rsidRPr="004D2E7C" w:rsidRDefault="00F01ECE" w:rsidP="00F01ECE">
            <w:pPr>
              <w:jc w:val="center"/>
              <w:rPr>
                <w:rFonts w:cs="Times New Roman"/>
                <w:lang w:val="sr-Cyrl-RS"/>
              </w:rPr>
            </w:pPr>
            <w:r w:rsidRPr="004D2E7C">
              <w:rPr>
                <w:rFonts w:cs="Times New Roman"/>
                <w:lang w:val="sr-Cyrl-RS"/>
              </w:rPr>
              <w:t>ДУ</w:t>
            </w:r>
          </w:p>
        </w:tc>
        <w:tc>
          <w:tcPr>
            <w:tcW w:w="676" w:type="pct"/>
            <w:vAlign w:val="center"/>
          </w:tcPr>
          <w:p w14:paraId="46187F39" w14:textId="608E8E33" w:rsidR="00F01ECE" w:rsidRPr="004D2E7C" w:rsidRDefault="00F01ECE" w:rsidP="00F01ECE">
            <w:pPr>
              <w:rPr>
                <w:rFonts w:cs="Times New Roman"/>
                <w:lang w:val="sr-Cyrl-RS"/>
              </w:rPr>
            </w:pPr>
          </w:p>
        </w:tc>
        <w:tc>
          <w:tcPr>
            <w:tcW w:w="699" w:type="pct"/>
            <w:vAlign w:val="center"/>
          </w:tcPr>
          <w:p w14:paraId="46187F3A" w14:textId="68784998" w:rsidR="00F01ECE" w:rsidRPr="00D36211" w:rsidRDefault="00D36211" w:rsidP="00F01ECE">
            <w:pPr>
              <w:rPr>
                <w:rFonts w:cs="Times New Roman"/>
              </w:rPr>
            </w:pPr>
            <w:r w:rsidRPr="008A4AD2">
              <w:rPr>
                <w:rFonts w:cs="Times New Roman"/>
                <w:lang w:val="sr-Cyrl-RS"/>
              </w:rPr>
              <w:t xml:space="preserve">Потпунија усклађеност биће постигнута </w:t>
            </w:r>
            <w:r>
              <w:rPr>
                <w:rFonts w:cs="Times New Roman"/>
                <w:lang w:val="sr-Cyrl-RS"/>
              </w:rPr>
              <w:t xml:space="preserve">кроз подзаконске акте и </w:t>
            </w:r>
            <w:r w:rsidRPr="008A4AD2">
              <w:rPr>
                <w:rFonts w:cs="Times New Roman"/>
                <w:lang w:val="sr-Cyrl-RS"/>
              </w:rPr>
              <w:t>техничк</w:t>
            </w:r>
            <w:r>
              <w:rPr>
                <w:rFonts w:cs="Times New Roman"/>
                <w:lang w:val="sr-Cyrl-RS"/>
              </w:rPr>
              <w:t>е прописе, на основу члана 6</w:t>
            </w:r>
            <w:r>
              <w:rPr>
                <w:rFonts w:cs="Times New Roman"/>
              </w:rPr>
              <w:t>2.</w:t>
            </w:r>
          </w:p>
        </w:tc>
      </w:tr>
      <w:tr w:rsidR="009A4EE4" w:rsidRPr="004D2E7C" w14:paraId="46187F44" w14:textId="77777777" w:rsidTr="009A4EE4">
        <w:tc>
          <w:tcPr>
            <w:tcW w:w="280" w:type="pct"/>
            <w:shd w:val="clear" w:color="auto" w:fill="D9D9D9"/>
            <w:vAlign w:val="center"/>
          </w:tcPr>
          <w:p w14:paraId="46187F3C" w14:textId="77777777" w:rsidR="009A4EE4" w:rsidRPr="004D2E7C" w:rsidRDefault="009A4EE4" w:rsidP="009A4EE4">
            <w:pPr>
              <w:jc w:val="center"/>
              <w:rPr>
                <w:rFonts w:eastAsia="Times New Roman" w:cs="Times New Roman"/>
                <w:lang w:val="sr-Cyrl-RS"/>
              </w:rPr>
            </w:pPr>
            <w:r w:rsidRPr="004D2E7C">
              <w:rPr>
                <w:rFonts w:eastAsia="Times New Roman" w:cs="Times New Roman"/>
                <w:lang w:val="sr-Cyrl-RS"/>
              </w:rPr>
              <w:t>3.4.</w:t>
            </w:r>
          </w:p>
        </w:tc>
        <w:tc>
          <w:tcPr>
            <w:tcW w:w="1489" w:type="pct"/>
            <w:shd w:val="clear" w:color="auto" w:fill="D9D9D9"/>
            <w:vAlign w:val="center"/>
          </w:tcPr>
          <w:p w14:paraId="46187F3E" w14:textId="0DB13BB9" w:rsidR="009A4EE4" w:rsidRPr="004D2E7C" w:rsidRDefault="009A4EE4" w:rsidP="009A4EE4">
            <w:pPr>
              <w:jc w:val="both"/>
              <w:rPr>
                <w:rFonts w:eastAsia="Times New Roman" w:cs="Times New Roman"/>
                <w:lang w:val="en-GB"/>
              </w:rPr>
            </w:pPr>
            <w:r w:rsidRPr="004D2E7C">
              <w:rPr>
                <w:rFonts w:cs="Times New Roman"/>
                <w:lang w:val="en-GB"/>
              </w:rPr>
              <w:t xml:space="preserve">Once a unit of a model is in service, the supplier shall request explicit consent from the customer regarding any changes intended to be introduced to the unit by means of updates that would be detrimental to the parameters of the energy efficiency label for that unit, as set out in the relevant delegated act. The supplier shall inform the customer of the objective of the update and of the changes in the parameters, including any change in </w:t>
            </w:r>
            <w:r w:rsidRPr="004D2E7C">
              <w:rPr>
                <w:rFonts w:cs="Times New Roman"/>
                <w:lang w:val="en-GB"/>
              </w:rPr>
              <w:lastRenderedPageBreak/>
              <w:t>the label class. For a period proportionate to the average lifespan of the product, the supplier shall give the customer the option of refusing the update without avoidable loss of functionality.</w:t>
            </w:r>
          </w:p>
        </w:tc>
        <w:tc>
          <w:tcPr>
            <w:tcW w:w="325" w:type="pct"/>
            <w:vAlign w:val="center"/>
          </w:tcPr>
          <w:p w14:paraId="4AD3F972" w14:textId="77777777" w:rsidR="009A4EE4" w:rsidRDefault="009A4EE4" w:rsidP="009A4EE4">
            <w:pPr>
              <w:jc w:val="center"/>
              <w:rPr>
                <w:rFonts w:cs="Times New Roman"/>
                <w:lang w:val="sr-Cyrl-RS"/>
              </w:rPr>
            </w:pPr>
            <w:r>
              <w:rPr>
                <w:rFonts w:cs="Times New Roman"/>
                <w:lang w:val="sr-Cyrl-RS"/>
              </w:rPr>
              <w:lastRenderedPageBreak/>
              <w:t>1.62.2</w:t>
            </w:r>
          </w:p>
          <w:p w14:paraId="46187F3F" w14:textId="4115587D" w:rsidR="009A4EE4" w:rsidRPr="004D2E7C" w:rsidRDefault="009A4EE4" w:rsidP="009A4EE4">
            <w:pPr>
              <w:jc w:val="center"/>
              <w:rPr>
                <w:rFonts w:cs="Times New Roman"/>
                <w:lang w:val="sr-Cyrl-RS"/>
              </w:rPr>
            </w:pPr>
            <w:r>
              <w:rPr>
                <w:rFonts w:cs="Times New Roman"/>
                <w:b/>
              </w:rPr>
              <w:t>1.150.2.</w:t>
            </w:r>
          </w:p>
        </w:tc>
        <w:tc>
          <w:tcPr>
            <w:tcW w:w="1296" w:type="pct"/>
          </w:tcPr>
          <w:p w14:paraId="6AF09796" w14:textId="77777777" w:rsidR="009A4EE4" w:rsidRPr="004D2E7C" w:rsidRDefault="009A4EE4" w:rsidP="009A4EE4">
            <w:pPr>
              <w:autoSpaceDE w:val="0"/>
              <w:autoSpaceDN w:val="0"/>
              <w:adjustRightInd w:val="0"/>
              <w:ind w:firstLine="567"/>
              <w:jc w:val="both"/>
              <w:rPr>
                <w:rFonts w:eastAsia="MS Mincho" w:cs="Times New Roman"/>
                <w:color w:val="000000" w:themeColor="text1"/>
                <w:lang w:val="sr-Cyrl-CS" w:eastAsia="ja-JP"/>
              </w:rPr>
            </w:pPr>
            <w:r w:rsidRPr="004D2E7C">
              <w:rPr>
                <w:rFonts w:eastAsia="MS Mincho" w:cs="Times New Roman"/>
                <w:color w:val="000000" w:themeColor="text1"/>
                <w:lang w:val="sr-Cyrl-CS" w:eastAsia="ja-JP"/>
              </w:rPr>
              <w:t xml:space="preserve">Влада ближе уређује обавезе испоручиоца производа, и продавца у погледу енергетског означавања производа, које се односе на: садржај енергетске ознаке, њеног исправног постављања и тачности података на ознаци, коришћење рекласираних ознака енергетске ефикасности и друге услове којима се обезбеђује примена захтева </w:t>
            </w:r>
            <w:r w:rsidRPr="004D2E7C">
              <w:rPr>
                <w:rFonts w:eastAsia="MS Mincho" w:cs="Times New Roman"/>
                <w:color w:val="000000" w:themeColor="text1"/>
                <w:lang w:val="sr-Cyrl-CS" w:eastAsia="ja-JP"/>
              </w:rPr>
              <w:lastRenderedPageBreak/>
              <w:t>енергетског означавања за производе из става 1. овог члана.</w:t>
            </w:r>
          </w:p>
          <w:p w14:paraId="2AF45014" w14:textId="77777777" w:rsidR="009A4EE4" w:rsidRDefault="009A4EE4" w:rsidP="009A4EE4">
            <w:pPr>
              <w:tabs>
                <w:tab w:val="left" w:pos="1152"/>
              </w:tabs>
              <w:jc w:val="both"/>
              <w:rPr>
                <w:rFonts w:cs="Times New Roman"/>
                <w:lang w:val="sr-Cyrl-RS"/>
              </w:rPr>
            </w:pPr>
          </w:p>
          <w:p w14:paraId="46187F40" w14:textId="79B0C908" w:rsidR="009A4EE4" w:rsidRPr="004D2E7C" w:rsidRDefault="009A4EE4" w:rsidP="009A4EE4">
            <w:pPr>
              <w:rPr>
                <w:rFonts w:cs="Times New Roman"/>
                <w:lang w:val="sr-Cyrl-RS"/>
              </w:rPr>
            </w:pPr>
            <w:r w:rsidRPr="00C30E0B">
              <w:rPr>
                <w:rFonts w:eastAsia="Times New Roman" w:cs="Times New Roman"/>
                <w:sz w:val="24"/>
                <w:szCs w:val="24"/>
                <w:lang w:val="sr-Cyrl-CS"/>
              </w:rPr>
              <w:t>Прописи за спровођење овог закона из чл. 7-9. ,чл. 15 – 16., члана 21., чл. 23-24., чл. 26-27., члана 30., члана 36., чл. 37-40., члана 47., члана 51., чл. 54-55. члана 57., члана 59., чл. 61-62, чл. 64-66., члана 73., члана 80., члана 83., члана 90., чл. 93-94., чл. 96-98., члана 100., и чл. 107-109. овог закона биће донети у року од 18 месеци од дана ступања на снагу овог закона, изузев подзаконских аката из става 1. овог члана</w:t>
            </w:r>
          </w:p>
        </w:tc>
        <w:tc>
          <w:tcPr>
            <w:tcW w:w="235" w:type="pct"/>
            <w:vAlign w:val="center"/>
          </w:tcPr>
          <w:p w14:paraId="46187F41" w14:textId="12407906" w:rsidR="009A4EE4" w:rsidRPr="004D2E7C" w:rsidRDefault="009A4EE4" w:rsidP="009A4EE4">
            <w:pPr>
              <w:jc w:val="center"/>
              <w:rPr>
                <w:rFonts w:cs="Times New Roman"/>
                <w:lang w:val="sr-Cyrl-RS"/>
              </w:rPr>
            </w:pPr>
            <w:r>
              <w:rPr>
                <w:rFonts w:cs="Times New Roman"/>
                <w:lang w:val="sr-Cyrl-RS"/>
              </w:rPr>
              <w:lastRenderedPageBreak/>
              <w:t>Д</w:t>
            </w:r>
            <w:r w:rsidRPr="004D2E7C">
              <w:rPr>
                <w:rFonts w:cs="Times New Roman"/>
                <w:lang w:val="sr-Cyrl-RS"/>
              </w:rPr>
              <w:t>У</w:t>
            </w:r>
          </w:p>
        </w:tc>
        <w:tc>
          <w:tcPr>
            <w:tcW w:w="676" w:type="pct"/>
          </w:tcPr>
          <w:p w14:paraId="46187F42" w14:textId="4E6F8A16" w:rsidR="009A4EE4" w:rsidRPr="004D2E7C" w:rsidRDefault="009A4EE4" w:rsidP="009A4EE4">
            <w:pPr>
              <w:rPr>
                <w:rFonts w:cs="Times New Roman"/>
                <w:lang w:val="sr-Cyrl-RS"/>
              </w:rPr>
            </w:pPr>
            <w:r>
              <w:rPr>
                <w:rFonts w:cs="Times New Roman"/>
                <w:spacing w:val="-6"/>
                <w:lang w:val="sr-Cyrl-RS"/>
              </w:rPr>
              <w:t>Усклађеност ће бити постигнута доношењем Уредбе из 1.62.2.</w:t>
            </w:r>
          </w:p>
        </w:tc>
        <w:tc>
          <w:tcPr>
            <w:tcW w:w="699" w:type="pct"/>
            <w:vAlign w:val="center"/>
          </w:tcPr>
          <w:p w14:paraId="46187F43" w14:textId="28113C98" w:rsidR="009A4EE4" w:rsidRPr="00D36211" w:rsidRDefault="009A4EE4" w:rsidP="009A4EE4">
            <w:pPr>
              <w:rPr>
                <w:rFonts w:cs="Times New Roman"/>
              </w:rPr>
            </w:pPr>
          </w:p>
        </w:tc>
      </w:tr>
      <w:tr w:rsidR="00F01ECE" w:rsidRPr="004D2E7C" w14:paraId="46187F4E" w14:textId="77777777" w:rsidTr="006B3660">
        <w:tc>
          <w:tcPr>
            <w:tcW w:w="280" w:type="pct"/>
            <w:shd w:val="clear" w:color="auto" w:fill="D9D9D9"/>
            <w:vAlign w:val="center"/>
          </w:tcPr>
          <w:p w14:paraId="46187F45" w14:textId="77777777" w:rsidR="00F01ECE" w:rsidRPr="004D2E7C" w:rsidRDefault="00F01ECE" w:rsidP="00F01ECE">
            <w:pPr>
              <w:jc w:val="center"/>
              <w:rPr>
                <w:rFonts w:eastAsia="Times New Roman" w:cs="Times New Roman"/>
                <w:lang w:val="sr-Cyrl-RS"/>
              </w:rPr>
            </w:pPr>
            <w:r w:rsidRPr="004D2E7C">
              <w:rPr>
                <w:rFonts w:eastAsia="Times New Roman" w:cs="Times New Roman"/>
                <w:lang w:val="sr-Cyrl-RS"/>
              </w:rPr>
              <w:lastRenderedPageBreak/>
              <w:t>3.5.</w:t>
            </w:r>
          </w:p>
        </w:tc>
        <w:tc>
          <w:tcPr>
            <w:tcW w:w="1489" w:type="pct"/>
            <w:shd w:val="clear" w:color="auto" w:fill="D9D9D9"/>
            <w:vAlign w:val="center"/>
          </w:tcPr>
          <w:p w14:paraId="46187F47" w14:textId="51EE9809" w:rsidR="00F01ECE" w:rsidRPr="004D2E7C" w:rsidRDefault="00F01ECE" w:rsidP="00F01ECE">
            <w:pPr>
              <w:jc w:val="both"/>
              <w:rPr>
                <w:rFonts w:eastAsia="Times New Roman" w:cs="Times New Roman"/>
                <w:lang w:val="en-GB"/>
              </w:rPr>
            </w:pPr>
            <w:r w:rsidRPr="004D2E7C">
              <w:rPr>
                <w:rFonts w:cs="Times New Roman"/>
                <w:lang w:val="en-GB"/>
              </w:rPr>
              <w:t>The supplier shall not place on the market products that have been designed so that a model's performance is automatically altered in test conditions with the objective of reaching a more favourable level for any of the parameters specified in the relevant delegated act or included in any of the documentation provided with the product.</w:t>
            </w:r>
          </w:p>
        </w:tc>
        <w:tc>
          <w:tcPr>
            <w:tcW w:w="325" w:type="pct"/>
            <w:vAlign w:val="center"/>
          </w:tcPr>
          <w:p w14:paraId="46187F48" w14:textId="3C47AF7E" w:rsidR="00F01ECE" w:rsidRPr="004D2E7C" w:rsidRDefault="00F01ECE" w:rsidP="00F01ECE">
            <w:pPr>
              <w:jc w:val="center"/>
              <w:rPr>
                <w:rFonts w:cs="Times New Roman"/>
                <w:b/>
                <w:bCs/>
                <w:lang w:val="sr-Cyrl-RS"/>
              </w:rPr>
            </w:pPr>
            <w:r w:rsidRPr="004D2E7C">
              <w:rPr>
                <w:rFonts w:cs="Times New Roman"/>
                <w:b/>
                <w:bCs/>
                <w:lang w:val="sr-Cyrl-RS"/>
              </w:rPr>
              <w:t>1.6</w:t>
            </w:r>
            <w:r w:rsidR="00D36211">
              <w:rPr>
                <w:rFonts w:cs="Times New Roman"/>
                <w:b/>
                <w:bCs/>
              </w:rPr>
              <w:t>2</w:t>
            </w:r>
            <w:r w:rsidRPr="004D2E7C">
              <w:rPr>
                <w:rFonts w:cs="Times New Roman"/>
                <w:b/>
                <w:bCs/>
                <w:lang w:val="sr-Cyrl-RS"/>
              </w:rPr>
              <w:t>.4.</w:t>
            </w:r>
          </w:p>
        </w:tc>
        <w:tc>
          <w:tcPr>
            <w:tcW w:w="1296" w:type="pct"/>
            <w:vAlign w:val="center"/>
          </w:tcPr>
          <w:p w14:paraId="46187F4A" w14:textId="0986A731" w:rsidR="00F01ECE" w:rsidRPr="00D36211" w:rsidRDefault="00D36211" w:rsidP="00D36211">
            <w:pPr>
              <w:jc w:val="both"/>
              <w:rPr>
                <w:rFonts w:eastAsia="Times New Roman" w:cs="Times New Roman"/>
                <w:color w:val="000000" w:themeColor="text1"/>
                <w:lang w:val="sr-Cyrl-CS"/>
              </w:rPr>
            </w:pPr>
            <w:r w:rsidRPr="00D36211">
              <w:rPr>
                <w:rFonts w:eastAsia="Times New Roman" w:cs="Times New Roman"/>
                <w:color w:val="000000" w:themeColor="text1"/>
                <w:lang w:val="sr-Cyrl-CS"/>
              </w:rPr>
              <w:t>Испоручилац производа не сме ставити на тржиште производе који су дизајнирани тако да се својства модела аутоматски мењају у условима испитивања с циљем постизања повољнијег нивоа за било који од параметара наведених у релевантном техничком пропису или укључених у било који од докумената који се прилаже уз производ.</w:t>
            </w:r>
          </w:p>
        </w:tc>
        <w:tc>
          <w:tcPr>
            <w:tcW w:w="235" w:type="pct"/>
            <w:vAlign w:val="center"/>
          </w:tcPr>
          <w:p w14:paraId="46187F4B" w14:textId="77777777" w:rsidR="00F01ECE" w:rsidRPr="004D2E7C" w:rsidRDefault="00F01ECE" w:rsidP="00F01ECE">
            <w:pPr>
              <w:jc w:val="center"/>
              <w:rPr>
                <w:rFonts w:cs="Times New Roman"/>
                <w:lang w:val="sr-Cyrl-RS"/>
              </w:rPr>
            </w:pPr>
            <w:r w:rsidRPr="004D2E7C">
              <w:rPr>
                <w:rFonts w:cs="Times New Roman"/>
                <w:lang w:val="sr-Cyrl-RS"/>
              </w:rPr>
              <w:t>ПУ</w:t>
            </w:r>
          </w:p>
        </w:tc>
        <w:tc>
          <w:tcPr>
            <w:tcW w:w="676" w:type="pct"/>
            <w:vAlign w:val="center"/>
          </w:tcPr>
          <w:p w14:paraId="46187F4C" w14:textId="77777777" w:rsidR="00F01ECE" w:rsidRPr="004D2E7C" w:rsidRDefault="00F01ECE" w:rsidP="00F01ECE">
            <w:pPr>
              <w:rPr>
                <w:rFonts w:cs="Times New Roman"/>
                <w:lang w:val="sr-Cyrl-RS"/>
              </w:rPr>
            </w:pPr>
          </w:p>
        </w:tc>
        <w:tc>
          <w:tcPr>
            <w:tcW w:w="699" w:type="pct"/>
            <w:vAlign w:val="center"/>
          </w:tcPr>
          <w:p w14:paraId="46187F4D" w14:textId="77777777" w:rsidR="00F01ECE" w:rsidRPr="004D2E7C" w:rsidRDefault="00F01ECE" w:rsidP="00F01ECE">
            <w:pPr>
              <w:rPr>
                <w:rFonts w:cs="Times New Roman"/>
                <w:lang w:val="sr-Cyrl-RS"/>
              </w:rPr>
            </w:pPr>
          </w:p>
        </w:tc>
      </w:tr>
      <w:tr w:rsidR="00F01ECE" w:rsidRPr="004D2E7C" w14:paraId="46187F61" w14:textId="77777777" w:rsidTr="006B3660">
        <w:tc>
          <w:tcPr>
            <w:tcW w:w="280" w:type="pct"/>
            <w:shd w:val="clear" w:color="auto" w:fill="D9D9D9"/>
            <w:vAlign w:val="center"/>
          </w:tcPr>
          <w:p w14:paraId="46187F4F" w14:textId="77777777" w:rsidR="00F01ECE" w:rsidRPr="004D2E7C" w:rsidRDefault="00F01ECE" w:rsidP="00F01ECE">
            <w:pPr>
              <w:jc w:val="center"/>
              <w:rPr>
                <w:rFonts w:eastAsia="Times New Roman" w:cs="Times New Roman"/>
                <w:lang w:val="sr-Cyrl-RS"/>
              </w:rPr>
            </w:pPr>
            <w:r w:rsidRPr="004D2E7C">
              <w:rPr>
                <w:rFonts w:eastAsia="Times New Roman" w:cs="Times New Roman"/>
                <w:lang w:val="sr-Cyrl-RS"/>
              </w:rPr>
              <w:t>4.1 – 4.6.</w:t>
            </w:r>
          </w:p>
        </w:tc>
        <w:tc>
          <w:tcPr>
            <w:tcW w:w="1489" w:type="pct"/>
            <w:shd w:val="clear" w:color="auto" w:fill="D9D9D9"/>
            <w:vAlign w:val="center"/>
          </w:tcPr>
          <w:p w14:paraId="46187F51" w14:textId="77777777" w:rsidR="00F01ECE" w:rsidRPr="004D2E7C" w:rsidRDefault="00F01ECE" w:rsidP="00992FFA">
            <w:pPr>
              <w:spacing w:before="120"/>
              <w:jc w:val="both"/>
              <w:rPr>
                <w:rFonts w:cs="Times New Roman"/>
                <w:lang w:val="en-GB"/>
              </w:rPr>
            </w:pPr>
            <w:r w:rsidRPr="004D2E7C">
              <w:rPr>
                <w:rFonts w:cs="Times New Roman"/>
                <w:b/>
                <w:bCs/>
                <w:lang w:val="en-GB"/>
              </w:rPr>
              <w:t>Obligations of suppliers in relation to the product database</w:t>
            </w:r>
          </w:p>
          <w:p w14:paraId="46187F52" w14:textId="77777777" w:rsidR="00F01ECE" w:rsidRPr="004D2E7C" w:rsidRDefault="00F01ECE" w:rsidP="00F01ECE">
            <w:pPr>
              <w:jc w:val="both"/>
              <w:rPr>
                <w:rFonts w:cs="Times New Roman"/>
                <w:sz w:val="14"/>
                <w:szCs w:val="14"/>
                <w:lang w:val="en-GB"/>
              </w:rPr>
            </w:pPr>
          </w:p>
          <w:p w14:paraId="46187F53" w14:textId="77777777" w:rsidR="00F01ECE" w:rsidRPr="004D2E7C" w:rsidRDefault="00F01ECE" w:rsidP="00F01ECE">
            <w:pPr>
              <w:jc w:val="both"/>
              <w:rPr>
                <w:rFonts w:eastAsia="Times New Roman" w:cs="Times New Roman"/>
                <w:lang w:val="en-GB"/>
              </w:rPr>
            </w:pPr>
            <w:r w:rsidRPr="004D2E7C">
              <w:rPr>
                <w:rFonts w:cs="Times New Roman"/>
                <w:lang w:val="en-GB"/>
              </w:rPr>
              <w:t xml:space="preserve">1. As from 1 January 2019, the supplier shall, before placing on the market a unit of a new model covered by a delegated act, enter in the public and </w:t>
            </w:r>
            <w:r w:rsidRPr="004D2E7C">
              <w:rPr>
                <w:rFonts w:cs="Times New Roman"/>
                <w:lang w:val="en-GB"/>
              </w:rPr>
              <w:lastRenderedPageBreak/>
              <w:t>compliance parts of the product database the information for that model, as set out in Annex I.</w:t>
            </w:r>
          </w:p>
          <w:p w14:paraId="46187F54" w14:textId="77777777" w:rsidR="00F01ECE" w:rsidRPr="004D2E7C" w:rsidRDefault="00F01ECE" w:rsidP="00F01ECE">
            <w:pPr>
              <w:pStyle w:val="Normal1"/>
              <w:spacing w:before="0" w:beforeAutospacing="0" w:after="0" w:afterAutospacing="0"/>
              <w:jc w:val="both"/>
              <w:rPr>
                <w:sz w:val="22"/>
                <w:szCs w:val="22"/>
                <w:lang w:val="en-GB"/>
              </w:rPr>
            </w:pPr>
            <w:r w:rsidRPr="004D2E7C">
              <w:rPr>
                <w:sz w:val="22"/>
                <w:szCs w:val="22"/>
                <w:lang w:val="en-GB"/>
              </w:rPr>
              <w:t>2. Where units of models covered by a delegated act are placed on the market between 1 August 2017 and 1 January 2019, the supplier shall, by 30 June 2019, enter in the product database the information set out in Annex I in relation to those models.</w:t>
            </w:r>
          </w:p>
          <w:p w14:paraId="46187F55" w14:textId="77777777" w:rsidR="00F01ECE" w:rsidRPr="004D2E7C" w:rsidRDefault="00F01ECE" w:rsidP="00F01ECE">
            <w:pPr>
              <w:jc w:val="both"/>
              <w:rPr>
                <w:rFonts w:eastAsia="Times New Roman" w:cs="Times New Roman"/>
                <w:lang w:val="en-GB"/>
              </w:rPr>
            </w:pPr>
            <w:r w:rsidRPr="004D2E7C">
              <w:rPr>
                <w:rFonts w:eastAsia="Times New Roman" w:cs="Times New Roman"/>
                <w:lang w:val="en-GB"/>
              </w:rPr>
              <w:t>Until data entry in the product database, the supplier shall make an electronic version of the technical documentation available for inspection within 10 days of a request received from market surveillance authorities or the Commission.</w:t>
            </w:r>
          </w:p>
          <w:p w14:paraId="46187F56" w14:textId="77777777" w:rsidR="00F01ECE" w:rsidRPr="004D2E7C" w:rsidRDefault="00F01ECE" w:rsidP="00F01ECE">
            <w:pPr>
              <w:jc w:val="both"/>
              <w:rPr>
                <w:rFonts w:eastAsia="Times New Roman" w:cs="Times New Roman"/>
                <w:lang w:val="en-GB"/>
              </w:rPr>
            </w:pPr>
            <w:r w:rsidRPr="004D2E7C">
              <w:rPr>
                <w:rFonts w:cs="Times New Roman"/>
                <w:lang w:val="en-GB"/>
              </w:rPr>
              <w:t>3. The supplier may enter in the product database the information for models, as set out in Annex I, the units of which were exclusively placed on the market before 1 August 2017.</w:t>
            </w:r>
          </w:p>
          <w:p w14:paraId="46187F57" w14:textId="77777777" w:rsidR="00F01ECE" w:rsidRPr="004D2E7C" w:rsidRDefault="00F01ECE" w:rsidP="00F01ECE">
            <w:pPr>
              <w:jc w:val="both"/>
              <w:rPr>
                <w:rFonts w:eastAsia="Times New Roman" w:cs="Times New Roman"/>
                <w:lang w:val="en-GB"/>
              </w:rPr>
            </w:pPr>
            <w:r w:rsidRPr="004D2E7C">
              <w:rPr>
                <w:rFonts w:cs="Times New Roman"/>
                <w:lang w:val="en-GB"/>
              </w:rPr>
              <w:t>4. A product for which changes are made that are relevant for the label or the product information sheet shall be considered to be a new model. The supplier shall indicate in the database when it no longer places on the market units of a model.</w:t>
            </w:r>
          </w:p>
          <w:p w14:paraId="46187F58" w14:textId="77777777" w:rsidR="00F01ECE" w:rsidRPr="004D2E7C" w:rsidRDefault="00F01ECE" w:rsidP="00F01ECE">
            <w:pPr>
              <w:jc w:val="both"/>
              <w:rPr>
                <w:rFonts w:eastAsia="Times New Roman" w:cs="Times New Roman"/>
                <w:lang w:val="en-GB"/>
              </w:rPr>
            </w:pPr>
            <w:r w:rsidRPr="004D2E7C">
              <w:rPr>
                <w:rFonts w:cs="Times New Roman"/>
                <w:lang w:val="en-GB"/>
              </w:rPr>
              <w:t>5. The obligations referred to in paragraphs 1 and 2 of this Article shall not apply to packages of heaters referred to in Commission Delegated Regulations (EU) No 811/2013</w:t>
            </w:r>
            <w:hyperlink r:id="rId10" w:anchor="ntr12-L_2017198EN.01000101-E0012" w:history="1">
              <w:r w:rsidRPr="004D2E7C">
                <w:rPr>
                  <w:rStyle w:val="Hyperlink"/>
                  <w:rFonts w:cs="Times New Roman"/>
                  <w:color w:val="auto"/>
                  <w:lang w:val="en-GB"/>
                </w:rPr>
                <w:t> (</w:t>
              </w:r>
              <w:r w:rsidRPr="004D2E7C">
                <w:rPr>
                  <w:rStyle w:val="super"/>
                  <w:rFonts w:cs="Times New Roman"/>
                  <w:u w:val="single"/>
                  <w:vertAlign w:val="superscript"/>
                  <w:lang w:val="en-GB"/>
                </w:rPr>
                <w:t>12</w:t>
              </w:r>
              <w:r w:rsidRPr="004D2E7C">
                <w:rPr>
                  <w:rStyle w:val="Hyperlink"/>
                  <w:rFonts w:cs="Times New Roman"/>
                  <w:color w:val="auto"/>
                  <w:lang w:val="en-GB"/>
                </w:rPr>
                <w:t>)</w:t>
              </w:r>
            </w:hyperlink>
            <w:r w:rsidRPr="004D2E7C">
              <w:rPr>
                <w:rFonts w:cs="Times New Roman"/>
                <w:lang w:val="en-GB"/>
              </w:rPr>
              <w:t>, (EU) No 812/2013</w:t>
            </w:r>
            <w:hyperlink r:id="rId11" w:anchor="ntr13-L_2017198EN.01000101-E0013" w:history="1">
              <w:r w:rsidRPr="004D2E7C">
                <w:rPr>
                  <w:rStyle w:val="Hyperlink"/>
                  <w:rFonts w:cs="Times New Roman"/>
                  <w:color w:val="auto"/>
                  <w:lang w:val="en-GB"/>
                </w:rPr>
                <w:t> (</w:t>
              </w:r>
              <w:r w:rsidRPr="004D2E7C">
                <w:rPr>
                  <w:rStyle w:val="super"/>
                  <w:rFonts w:cs="Times New Roman"/>
                  <w:u w:val="single"/>
                  <w:vertAlign w:val="superscript"/>
                  <w:lang w:val="en-GB"/>
                </w:rPr>
                <w:t>13</w:t>
              </w:r>
              <w:r w:rsidRPr="004D2E7C">
                <w:rPr>
                  <w:rStyle w:val="Hyperlink"/>
                  <w:rFonts w:cs="Times New Roman"/>
                  <w:color w:val="auto"/>
                  <w:lang w:val="en-GB"/>
                </w:rPr>
                <w:t>)</w:t>
              </w:r>
            </w:hyperlink>
            <w:r w:rsidRPr="004D2E7C">
              <w:rPr>
                <w:rFonts w:cs="Times New Roman"/>
                <w:lang w:val="en-GB"/>
              </w:rPr>
              <w:t xml:space="preserve"> and (EU) 2015/1187</w:t>
            </w:r>
            <w:hyperlink r:id="rId12" w:anchor="ntr14-L_2017198EN.01000101-E0014" w:history="1">
              <w:r w:rsidRPr="004D2E7C">
                <w:rPr>
                  <w:rStyle w:val="Hyperlink"/>
                  <w:rFonts w:cs="Times New Roman"/>
                  <w:color w:val="auto"/>
                  <w:lang w:val="en-GB"/>
                </w:rPr>
                <w:t> (</w:t>
              </w:r>
              <w:r w:rsidRPr="004D2E7C">
                <w:rPr>
                  <w:rStyle w:val="super"/>
                  <w:rFonts w:cs="Times New Roman"/>
                  <w:u w:val="single"/>
                  <w:vertAlign w:val="superscript"/>
                  <w:lang w:val="en-GB"/>
                </w:rPr>
                <w:t>14</w:t>
              </w:r>
              <w:r w:rsidRPr="004D2E7C">
                <w:rPr>
                  <w:rStyle w:val="Hyperlink"/>
                  <w:rFonts w:cs="Times New Roman"/>
                  <w:color w:val="auto"/>
                  <w:lang w:val="en-GB"/>
                </w:rPr>
                <w:t>)</w:t>
              </w:r>
            </w:hyperlink>
            <w:r w:rsidRPr="004D2E7C">
              <w:rPr>
                <w:rFonts w:cs="Times New Roman"/>
                <w:lang w:val="en-GB"/>
              </w:rPr>
              <w:t>, where the provision of labels for those packages is the sole responsibility of the dealer.</w:t>
            </w:r>
          </w:p>
          <w:p w14:paraId="46187F5A" w14:textId="6F9DA13E" w:rsidR="00F01ECE" w:rsidRPr="004D2E7C" w:rsidRDefault="00F01ECE" w:rsidP="00992FFA">
            <w:pPr>
              <w:spacing w:after="120"/>
              <w:jc w:val="both"/>
              <w:rPr>
                <w:rFonts w:eastAsia="Times New Roman" w:cs="Times New Roman"/>
                <w:lang w:val="en-GB"/>
              </w:rPr>
            </w:pPr>
            <w:r w:rsidRPr="004D2E7C">
              <w:rPr>
                <w:rFonts w:cs="Times New Roman"/>
                <w:lang w:val="en-GB"/>
              </w:rPr>
              <w:t xml:space="preserve">6. After the final unit of a model has been placed on the market, the supplier shall keep the information concerning that model in the compliance part of the product database for a period of 15 years. Where appropriate in relation to the average life span of a </w:t>
            </w:r>
            <w:r w:rsidRPr="004D2E7C">
              <w:rPr>
                <w:rFonts w:cs="Times New Roman"/>
                <w:lang w:val="en-GB"/>
              </w:rPr>
              <w:lastRenderedPageBreak/>
              <w:t>product, a shorter retention period may be provided for pursuant to point (q) of Article 16(3). The information in the public part of the database shall not be deleted.</w:t>
            </w:r>
          </w:p>
        </w:tc>
        <w:tc>
          <w:tcPr>
            <w:tcW w:w="325" w:type="pct"/>
          </w:tcPr>
          <w:p w14:paraId="46187F5B" w14:textId="77777777" w:rsidR="00F01ECE" w:rsidRPr="004D2E7C" w:rsidRDefault="00F01ECE" w:rsidP="00F01ECE">
            <w:pPr>
              <w:rPr>
                <w:rFonts w:cs="Times New Roman"/>
                <w:lang w:val="sr-Cyrl-RS"/>
              </w:rPr>
            </w:pPr>
          </w:p>
        </w:tc>
        <w:tc>
          <w:tcPr>
            <w:tcW w:w="1296" w:type="pct"/>
            <w:vAlign w:val="center"/>
          </w:tcPr>
          <w:p w14:paraId="46187F5C" w14:textId="77777777" w:rsidR="00F01ECE" w:rsidRPr="004D2E7C" w:rsidRDefault="00F01ECE" w:rsidP="00F01ECE">
            <w:pPr>
              <w:rPr>
                <w:rFonts w:cs="Times New Roman"/>
                <w:lang w:val="sr-Cyrl-RS"/>
              </w:rPr>
            </w:pPr>
          </w:p>
        </w:tc>
        <w:tc>
          <w:tcPr>
            <w:tcW w:w="235" w:type="pct"/>
            <w:vAlign w:val="center"/>
          </w:tcPr>
          <w:p w14:paraId="46187F5D" w14:textId="77777777" w:rsidR="00F01ECE" w:rsidRPr="004D2E7C" w:rsidRDefault="00F01ECE" w:rsidP="00F01ECE">
            <w:pPr>
              <w:jc w:val="center"/>
              <w:rPr>
                <w:rFonts w:cs="Times New Roman"/>
                <w:lang w:val="sr-Cyrl-RS"/>
              </w:rPr>
            </w:pPr>
            <w:r w:rsidRPr="004D2E7C">
              <w:rPr>
                <w:rFonts w:cs="Times New Roman"/>
                <w:lang w:val="sr-Cyrl-RS"/>
              </w:rPr>
              <w:t>НП</w:t>
            </w:r>
          </w:p>
        </w:tc>
        <w:tc>
          <w:tcPr>
            <w:tcW w:w="676" w:type="pct"/>
            <w:vAlign w:val="center"/>
          </w:tcPr>
          <w:p w14:paraId="7BCDB6EC" w14:textId="77777777" w:rsidR="00F01ECE" w:rsidRPr="004D2E7C" w:rsidRDefault="00F01ECE" w:rsidP="00F01ECE">
            <w:pPr>
              <w:spacing w:before="120"/>
              <w:rPr>
                <w:rFonts w:cs="Times New Roman"/>
                <w:lang w:val="sr-Cyrl-RS"/>
              </w:rPr>
            </w:pPr>
            <w:r w:rsidRPr="004D2E7C">
              <w:rPr>
                <w:rFonts w:cs="Times New Roman"/>
                <w:lang w:val="sr-Cyrl-RS"/>
              </w:rPr>
              <w:t xml:space="preserve">Након разматрања појма „база података о производима“, сагледано је да у овом моменту није могуће користити </w:t>
            </w:r>
            <w:r w:rsidRPr="004D2E7C">
              <w:rPr>
                <w:rFonts w:cs="Times New Roman"/>
                <w:lang w:val="sr-Cyrl-RS"/>
              </w:rPr>
              <w:lastRenderedPageBreak/>
              <w:t xml:space="preserve">систем базе производа ЕУ.  </w:t>
            </w:r>
          </w:p>
          <w:p w14:paraId="46187F5F" w14:textId="77777777" w:rsidR="00F01ECE" w:rsidRPr="004D2E7C" w:rsidRDefault="00F01ECE" w:rsidP="00A35C98">
            <w:pPr>
              <w:spacing w:before="120"/>
              <w:rPr>
                <w:rFonts w:cs="Times New Roman"/>
                <w:lang w:val="sr-Cyrl-RS"/>
              </w:rPr>
            </w:pPr>
          </w:p>
        </w:tc>
        <w:tc>
          <w:tcPr>
            <w:tcW w:w="699" w:type="pct"/>
            <w:vAlign w:val="center"/>
          </w:tcPr>
          <w:p w14:paraId="46187F60" w14:textId="77777777" w:rsidR="00F01ECE" w:rsidRPr="004D2E7C" w:rsidRDefault="00F01ECE" w:rsidP="00F01ECE">
            <w:pPr>
              <w:rPr>
                <w:rFonts w:cs="Times New Roman"/>
                <w:lang w:val="sr-Cyrl-RS"/>
              </w:rPr>
            </w:pPr>
          </w:p>
        </w:tc>
      </w:tr>
      <w:tr w:rsidR="009A4EE4" w:rsidRPr="004D2E7C" w14:paraId="46187F92" w14:textId="77777777" w:rsidTr="006B3660">
        <w:tc>
          <w:tcPr>
            <w:tcW w:w="280" w:type="pct"/>
            <w:shd w:val="clear" w:color="auto" w:fill="D9D9D9"/>
            <w:vAlign w:val="center"/>
          </w:tcPr>
          <w:p w14:paraId="46187F62" w14:textId="77777777" w:rsidR="009A4EE4" w:rsidRPr="004D2E7C" w:rsidRDefault="009A4EE4" w:rsidP="009A4EE4">
            <w:pPr>
              <w:jc w:val="center"/>
              <w:rPr>
                <w:rFonts w:eastAsia="Times New Roman" w:cs="Times New Roman"/>
                <w:lang w:val="sr-Cyrl-RS"/>
              </w:rPr>
            </w:pPr>
            <w:r w:rsidRPr="004D2E7C">
              <w:rPr>
                <w:rFonts w:eastAsia="Times New Roman" w:cs="Times New Roman"/>
                <w:lang w:val="sr-Cyrl-RS"/>
              </w:rPr>
              <w:lastRenderedPageBreak/>
              <w:t>5.1.</w:t>
            </w:r>
          </w:p>
        </w:tc>
        <w:tc>
          <w:tcPr>
            <w:tcW w:w="1489" w:type="pct"/>
            <w:shd w:val="clear" w:color="auto" w:fill="D9D9D9"/>
            <w:vAlign w:val="center"/>
          </w:tcPr>
          <w:p w14:paraId="46187F63" w14:textId="5ED8A220" w:rsidR="009A4EE4" w:rsidRPr="004D2E7C" w:rsidRDefault="009A4EE4" w:rsidP="009A4EE4">
            <w:pPr>
              <w:pStyle w:val="Normal1"/>
              <w:tabs>
                <w:tab w:val="left" w:pos="150"/>
              </w:tabs>
              <w:spacing w:before="0" w:beforeAutospacing="0" w:after="0" w:afterAutospacing="0"/>
              <w:jc w:val="both"/>
              <w:rPr>
                <w:sz w:val="22"/>
                <w:szCs w:val="22"/>
                <w:lang w:val="en-GB"/>
              </w:rPr>
            </w:pPr>
            <w:r>
              <w:rPr>
                <w:b/>
                <w:bCs/>
                <w:sz w:val="22"/>
                <w:szCs w:val="22"/>
              </w:rPr>
              <w:t>OBLIGATIONS OF DEALERS</w:t>
            </w:r>
          </w:p>
          <w:p w14:paraId="46187F64" w14:textId="77777777" w:rsidR="009A4EE4" w:rsidRPr="004D2E7C" w:rsidRDefault="009A4EE4" w:rsidP="009A4EE4">
            <w:pPr>
              <w:pStyle w:val="Normal1"/>
              <w:tabs>
                <w:tab w:val="left" w:pos="150"/>
              </w:tabs>
              <w:spacing w:before="0" w:beforeAutospacing="0" w:after="0" w:afterAutospacing="0"/>
              <w:jc w:val="both"/>
              <w:rPr>
                <w:sz w:val="22"/>
                <w:szCs w:val="22"/>
                <w:lang w:val="en-GB"/>
              </w:rPr>
            </w:pPr>
          </w:p>
          <w:p w14:paraId="46187F65" w14:textId="77777777" w:rsidR="009A4EE4" w:rsidRPr="004D2E7C" w:rsidRDefault="009A4EE4" w:rsidP="009A4EE4">
            <w:pPr>
              <w:pStyle w:val="Normal1"/>
              <w:tabs>
                <w:tab w:val="left" w:pos="150"/>
              </w:tabs>
              <w:spacing w:before="0" w:beforeAutospacing="0" w:after="0" w:afterAutospacing="0"/>
              <w:jc w:val="both"/>
              <w:rPr>
                <w:sz w:val="22"/>
                <w:szCs w:val="22"/>
                <w:lang w:val="en-GB"/>
              </w:rPr>
            </w:pPr>
            <w:r w:rsidRPr="004D2E7C">
              <w:rPr>
                <w:sz w:val="22"/>
                <w:szCs w:val="22"/>
                <w:lang w:val="en-GB"/>
              </w:rPr>
              <w:t>The dealer shall:</w:t>
            </w:r>
          </w:p>
          <w:p w14:paraId="46187F66" w14:textId="77777777" w:rsidR="009A4EE4" w:rsidRPr="004D2E7C" w:rsidRDefault="009A4EE4" w:rsidP="009A4EE4">
            <w:pPr>
              <w:pStyle w:val="Normal1"/>
              <w:tabs>
                <w:tab w:val="left" w:pos="150"/>
              </w:tabs>
              <w:spacing w:before="0" w:beforeAutospacing="0" w:after="0" w:afterAutospacing="0"/>
              <w:jc w:val="both"/>
              <w:rPr>
                <w:sz w:val="22"/>
                <w:szCs w:val="22"/>
                <w:lang w:val="en-GB"/>
              </w:rPr>
            </w:pPr>
            <w:r w:rsidRPr="004D2E7C">
              <w:rPr>
                <w:sz w:val="22"/>
                <w:szCs w:val="22"/>
                <w:lang w:val="en-GB"/>
              </w:rPr>
              <w:t>(а) display, in a visible manner, including for online distance selling, the label provided by the supplier or made available in accordance with paragraph 2 for units of a model covered by the relevant delegated act; and</w:t>
            </w:r>
          </w:p>
          <w:p w14:paraId="46187F67" w14:textId="77777777" w:rsidR="009A4EE4" w:rsidRPr="004D2E7C" w:rsidRDefault="009A4EE4" w:rsidP="009A4EE4">
            <w:pPr>
              <w:pStyle w:val="Normal1"/>
              <w:tabs>
                <w:tab w:val="left" w:pos="150"/>
              </w:tabs>
              <w:spacing w:before="0" w:beforeAutospacing="0" w:after="0" w:afterAutospacing="0"/>
              <w:jc w:val="both"/>
              <w:rPr>
                <w:sz w:val="22"/>
                <w:szCs w:val="22"/>
                <w:lang w:val="en-GB"/>
              </w:rPr>
            </w:pPr>
            <w:r w:rsidRPr="004D2E7C">
              <w:rPr>
                <w:sz w:val="22"/>
                <w:szCs w:val="22"/>
                <w:lang w:val="en-GB"/>
              </w:rPr>
              <w:t>(b) make available to customers the product information sheet, including, upon request, in physical form at the point of sale.</w:t>
            </w:r>
          </w:p>
        </w:tc>
        <w:tc>
          <w:tcPr>
            <w:tcW w:w="325" w:type="pct"/>
          </w:tcPr>
          <w:p w14:paraId="46187F68" w14:textId="77777777" w:rsidR="009A4EE4" w:rsidRPr="004D2E7C" w:rsidRDefault="009A4EE4" w:rsidP="009A4EE4">
            <w:pPr>
              <w:jc w:val="center"/>
              <w:rPr>
                <w:rFonts w:cs="Times New Roman"/>
                <w:b/>
                <w:bCs/>
                <w:lang w:val="sr-Cyrl-RS"/>
              </w:rPr>
            </w:pPr>
          </w:p>
          <w:p w14:paraId="46187F69" w14:textId="77C3C640" w:rsidR="009A4EE4" w:rsidRPr="004D2E7C" w:rsidRDefault="009A4EE4" w:rsidP="009A4EE4">
            <w:pPr>
              <w:jc w:val="center"/>
              <w:rPr>
                <w:rFonts w:cs="Times New Roman"/>
                <w:b/>
                <w:bCs/>
                <w:lang w:val="sr-Cyrl-RS"/>
              </w:rPr>
            </w:pPr>
            <w:r w:rsidRPr="004D2E7C">
              <w:rPr>
                <w:rFonts w:cs="Times New Roman"/>
                <w:b/>
                <w:bCs/>
                <w:lang w:val="sr-Cyrl-RS"/>
              </w:rPr>
              <w:t>1.6</w:t>
            </w:r>
            <w:r>
              <w:rPr>
                <w:rFonts w:cs="Times New Roman"/>
                <w:b/>
                <w:bCs/>
                <w:lang w:val="sr-Cyrl-RS"/>
              </w:rPr>
              <w:t>2</w:t>
            </w:r>
            <w:r w:rsidRPr="004D2E7C">
              <w:rPr>
                <w:rFonts w:cs="Times New Roman"/>
                <w:b/>
                <w:bCs/>
                <w:lang w:val="sr-Cyrl-RS"/>
              </w:rPr>
              <w:t>.2.</w:t>
            </w:r>
          </w:p>
          <w:p w14:paraId="46187F6A" w14:textId="77777777" w:rsidR="009A4EE4" w:rsidRPr="004D2E7C" w:rsidRDefault="009A4EE4" w:rsidP="009A4EE4">
            <w:pPr>
              <w:jc w:val="center"/>
              <w:rPr>
                <w:rFonts w:cs="Times New Roman"/>
                <w:b/>
                <w:bCs/>
                <w:lang w:val="sr-Cyrl-RS"/>
              </w:rPr>
            </w:pPr>
          </w:p>
          <w:p w14:paraId="46187F6B" w14:textId="77777777" w:rsidR="009A4EE4" w:rsidRPr="004D2E7C" w:rsidRDefault="009A4EE4" w:rsidP="009A4EE4">
            <w:pPr>
              <w:jc w:val="center"/>
              <w:rPr>
                <w:rFonts w:cs="Times New Roman"/>
                <w:b/>
                <w:bCs/>
                <w:lang w:val="sr-Cyrl-RS"/>
              </w:rPr>
            </w:pPr>
          </w:p>
          <w:p w14:paraId="46187F6C" w14:textId="77777777" w:rsidR="009A4EE4" w:rsidRPr="004D2E7C" w:rsidRDefault="009A4EE4" w:rsidP="009A4EE4">
            <w:pPr>
              <w:jc w:val="center"/>
              <w:rPr>
                <w:rFonts w:cs="Times New Roman"/>
                <w:b/>
                <w:bCs/>
                <w:lang w:val="sr-Cyrl-RS"/>
              </w:rPr>
            </w:pPr>
          </w:p>
          <w:p w14:paraId="46187F6D" w14:textId="77777777" w:rsidR="009A4EE4" w:rsidRPr="004D2E7C" w:rsidRDefault="009A4EE4" w:rsidP="009A4EE4">
            <w:pPr>
              <w:jc w:val="center"/>
              <w:rPr>
                <w:rFonts w:cs="Times New Roman"/>
                <w:b/>
                <w:bCs/>
                <w:lang w:val="sr-Cyrl-RS"/>
              </w:rPr>
            </w:pPr>
          </w:p>
          <w:p w14:paraId="46187F6E" w14:textId="77777777" w:rsidR="009A4EE4" w:rsidRPr="004D2E7C" w:rsidRDefault="009A4EE4" w:rsidP="009A4EE4">
            <w:pPr>
              <w:jc w:val="center"/>
              <w:rPr>
                <w:rFonts w:cs="Times New Roman"/>
                <w:b/>
                <w:bCs/>
                <w:lang w:val="sr-Cyrl-RS"/>
              </w:rPr>
            </w:pPr>
          </w:p>
          <w:p w14:paraId="46187F6F" w14:textId="77777777" w:rsidR="009A4EE4" w:rsidRPr="004D2E7C" w:rsidRDefault="009A4EE4" w:rsidP="009A4EE4">
            <w:pPr>
              <w:jc w:val="center"/>
              <w:rPr>
                <w:rFonts w:cs="Times New Roman"/>
                <w:b/>
                <w:bCs/>
                <w:lang w:val="sr-Cyrl-RS"/>
              </w:rPr>
            </w:pPr>
          </w:p>
          <w:p w14:paraId="46187F70" w14:textId="77777777" w:rsidR="009A4EE4" w:rsidRPr="004D2E7C" w:rsidRDefault="009A4EE4" w:rsidP="009A4EE4">
            <w:pPr>
              <w:jc w:val="center"/>
              <w:rPr>
                <w:rFonts w:cs="Times New Roman"/>
                <w:b/>
                <w:bCs/>
                <w:lang w:val="sr-Cyrl-RS"/>
              </w:rPr>
            </w:pPr>
          </w:p>
          <w:p w14:paraId="46187F71" w14:textId="77777777" w:rsidR="009A4EE4" w:rsidRPr="004D2E7C" w:rsidRDefault="009A4EE4" w:rsidP="009A4EE4">
            <w:pPr>
              <w:jc w:val="center"/>
              <w:rPr>
                <w:rFonts w:cs="Times New Roman"/>
                <w:b/>
                <w:bCs/>
                <w:lang w:val="sr-Cyrl-RS"/>
              </w:rPr>
            </w:pPr>
          </w:p>
          <w:p w14:paraId="46187F72" w14:textId="77777777" w:rsidR="009A4EE4" w:rsidRPr="004D2E7C" w:rsidRDefault="009A4EE4" w:rsidP="009A4EE4">
            <w:pPr>
              <w:jc w:val="center"/>
              <w:rPr>
                <w:rFonts w:cs="Times New Roman"/>
                <w:b/>
                <w:bCs/>
                <w:lang w:val="sr-Cyrl-RS"/>
              </w:rPr>
            </w:pPr>
          </w:p>
          <w:p w14:paraId="57E4454D" w14:textId="77777777" w:rsidR="009A4EE4" w:rsidRDefault="009A4EE4" w:rsidP="009A4EE4">
            <w:pPr>
              <w:jc w:val="center"/>
              <w:rPr>
                <w:rFonts w:cs="Times New Roman"/>
                <w:b/>
                <w:bCs/>
                <w:lang w:val="sr-Cyrl-RS"/>
              </w:rPr>
            </w:pPr>
          </w:p>
          <w:p w14:paraId="46187F73" w14:textId="37D094AB" w:rsidR="009A4EE4" w:rsidRPr="004D2E7C" w:rsidRDefault="009A4EE4" w:rsidP="009A4EE4">
            <w:pPr>
              <w:jc w:val="center"/>
              <w:rPr>
                <w:rFonts w:cs="Times New Roman"/>
                <w:b/>
                <w:bCs/>
                <w:lang w:val="sr-Cyrl-RS"/>
              </w:rPr>
            </w:pPr>
            <w:r w:rsidRPr="004D2E7C">
              <w:rPr>
                <w:rFonts w:cs="Times New Roman"/>
                <w:b/>
                <w:bCs/>
                <w:lang w:val="sr-Cyrl-RS"/>
              </w:rPr>
              <w:t>1.6</w:t>
            </w:r>
            <w:r>
              <w:rPr>
                <w:rFonts w:cs="Times New Roman"/>
                <w:b/>
                <w:bCs/>
                <w:lang w:val="sr-Cyrl-RS"/>
              </w:rPr>
              <w:t>2</w:t>
            </w:r>
            <w:r w:rsidRPr="004D2E7C">
              <w:rPr>
                <w:rFonts w:cs="Times New Roman"/>
                <w:b/>
                <w:bCs/>
                <w:lang w:val="sr-Cyrl-RS"/>
              </w:rPr>
              <w:t>.3.</w:t>
            </w:r>
          </w:p>
          <w:p w14:paraId="46187F74" w14:textId="77777777" w:rsidR="009A4EE4" w:rsidRPr="004D2E7C" w:rsidRDefault="009A4EE4" w:rsidP="009A4EE4">
            <w:pPr>
              <w:jc w:val="center"/>
              <w:rPr>
                <w:rFonts w:cs="Times New Roman"/>
                <w:lang w:val="sr-Cyrl-RS"/>
              </w:rPr>
            </w:pPr>
          </w:p>
          <w:p w14:paraId="46187F75" w14:textId="77777777" w:rsidR="009A4EE4" w:rsidRPr="004D2E7C" w:rsidRDefault="009A4EE4" w:rsidP="009A4EE4">
            <w:pPr>
              <w:jc w:val="center"/>
              <w:rPr>
                <w:rFonts w:cs="Times New Roman"/>
                <w:lang w:val="sr-Cyrl-RS"/>
              </w:rPr>
            </w:pPr>
          </w:p>
          <w:p w14:paraId="46187F76" w14:textId="77777777" w:rsidR="009A4EE4" w:rsidRPr="004D2E7C" w:rsidRDefault="009A4EE4" w:rsidP="009A4EE4">
            <w:pPr>
              <w:jc w:val="center"/>
              <w:rPr>
                <w:rFonts w:cs="Times New Roman"/>
                <w:lang w:val="sr-Cyrl-RS"/>
              </w:rPr>
            </w:pPr>
          </w:p>
          <w:p w14:paraId="46187F77" w14:textId="77777777" w:rsidR="009A4EE4" w:rsidRPr="004D2E7C" w:rsidRDefault="009A4EE4" w:rsidP="009A4EE4">
            <w:pPr>
              <w:jc w:val="center"/>
              <w:rPr>
                <w:rFonts w:cs="Times New Roman"/>
                <w:lang w:val="sr-Cyrl-RS"/>
              </w:rPr>
            </w:pPr>
          </w:p>
          <w:p w14:paraId="46187F78" w14:textId="77777777" w:rsidR="009A4EE4" w:rsidRPr="004D2E7C" w:rsidRDefault="009A4EE4" w:rsidP="009A4EE4">
            <w:pPr>
              <w:jc w:val="center"/>
              <w:rPr>
                <w:rFonts w:cs="Times New Roman"/>
                <w:lang w:val="sr-Cyrl-RS"/>
              </w:rPr>
            </w:pPr>
          </w:p>
          <w:p w14:paraId="46187F79" w14:textId="77777777" w:rsidR="009A4EE4" w:rsidRPr="004D2E7C" w:rsidRDefault="009A4EE4" w:rsidP="009A4EE4">
            <w:pPr>
              <w:jc w:val="center"/>
              <w:rPr>
                <w:rFonts w:cs="Times New Roman"/>
                <w:lang w:val="sr-Cyrl-RS"/>
              </w:rPr>
            </w:pPr>
          </w:p>
          <w:p w14:paraId="46187F7A" w14:textId="77777777" w:rsidR="009A4EE4" w:rsidRPr="004D2E7C" w:rsidRDefault="009A4EE4" w:rsidP="009A4EE4">
            <w:pPr>
              <w:jc w:val="center"/>
              <w:rPr>
                <w:rFonts w:cs="Times New Roman"/>
                <w:lang w:val="sr-Cyrl-RS"/>
              </w:rPr>
            </w:pPr>
          </w:p>
          <w:p w14:paraId="46187F7B" w14:textId="77777777" w:rsidR="009A4EE4" w:rsidRPr="004D2E7C" w:rsidRDefault="009A4EE4" w:rsidP="009A4EE4">
            <w:pPr>
              <w:jc w:val="center"/>
              <w:rPr>
                <w:rFonts w:cs="Times New Roman"/>
                <w:lang w:val="sr-Cyrl-RS"/>
              </w:rPr>
            </w:pPr>
          </w:p>
          <w:p w14:paraId="46187F7C" w14:textId="77777777" w:rsidR="009A4EE4" w:rsidRPr="004D2E7C" w:rsidRDefault="009A4EE4" w:rsidP="009A4EE4">
            <w:pPr>
              <w:jc w:val="center"/>
              <w:rPr>
                <w:rFonts w:cs="Times New Roman"/>
                <w:lang w:val="sr-Cyrl-RS"/>
              </w:rPr>
            </w:pPr>
          </w:p>
          <w:p w14:paraId="46187F7D" w14:textId="77777777" w:rsidR="009A4EE4" w:rsidRPr="004D2E7C" w:rsidRDefault="009A4EE4" w:rsidP="009A4EE4">
            <w:pPr>
              <w:jc w:val="center"/>
              <w:rPr>
                <w:rFonts w:cs="Times New Roman"/>
                <w:lang w:val="sr-Cyrl-RS"/>
              </w:rPr>
            </w:pPr>
          </w:p>
          <w:p w14:paraId="46187F7E" w14:textId="77777777" w:rsidR="009A4EE4" w:rsidRPr="004D2E7C" w:rsidRDefault="009A4EE4" w:rsidP="009A4EE4">
            <w:pPr>
              <w:jc w:val="center"/>
              <w:rPr>
                <w:rFonts w:cs="Times New Roman"/>
                <w:lang w:val="sr-Cyrl-RS"/>
              </w:rPr>
            </w:pPr>
          </w:p>
          <w:p w14:paraId="46187F7F" w14:textId="77777777" w:rsidR="009A4EE4" w:rsidRPr="004D2E7C" w:rsidRDefault="009A4EE4" w:rsidP="009A4EE4">
            <w:pPr>
              <w:jc w:val="center"/>
              <w:rPr>
                <w:rFonts w:cs="Times New Roman"/>
                <w:lang w:val="sr-Cyrl-RS"/>
              </w:rPr>
            </w:pPr>
          </w:p>
          <w:p w14:paraId="46187F80" w14:textId="77777777" w:rsidR="009A4EE4" w:rsidRPr="004D2E7C" w:rsidRDefault="009A4EE4" w:rsidP="009A4EE4">
            <w:pPr>
              <w:jc w:val="center"/>
              <w:rPr>
                <w:rFonts w:cs="Times New Roman"/>
                <w:lang w:val="sr-Cyrl-RS"/>
              </w:rPr>
            </w:pPr>
          </w:p>
          <w:p w14:paraId="46187F81" w14:textId="77777777" w:rsidR="009A4EE4" w:rsidRPr="004D2E7C" w:rsidRDefault="009A4EE4" w:rsidP="009A4EE4">
            <w:pPr>
              <w:jc w:val="center"/>
              <w:rPr>
                <w:rFonts w:cs="Times New Roman"/>
                <w:lang w:val="sr-Cyrl-RS"/>
              </w:rPr>
            </w:pPr>
          </w:p>
          <w:p w14:paraId="46187F82" w14:textId="77777777" w:rsidR="009A4EE4" w:rsidRPr="004D2E7C" w:rsidRDefault="009A4EE4" w:rsidP="009A4EE4">
            <w:pPr>
              <w:jc w:val="center"/>
              <w:rPr>
                <w:rFonts w:cs="Times New Roman"/>
                <w:lang w:val="sr-Cyrl-RS"/>
              </w:rPr>
            </w:pPr>
          </w:p>
          <w:p w14:paraId="46187F83" w14:textId="77777777" w:rsidR="009A4EE4" w:rsidRPr="004D2E7C" w:rsidRDefault="009A4EE4" w:rsidP="009A4EE4">
            <w:pPr>
              <w:jc w:val="center"/>
              <w:rPr>
                <w:rFonts w:cs="Times New Roman"/>
                <w:lang w:val="sr-Cyrl-RS"/>
              </w:rPr>
            </w:pPr>
          </w:p>
          <w:p w14:paraId="46187F84" w14:textId="77777777" w:rsidR="009A4EE4" w:rsidRPr="004D2E7C" w:rsidRDefault="009A4EE4" w:rsidP="009A4EE4">
            <w:pPr>
              <w:jc w:val="center"/>
              <w:rPr>
                <w:rFonts w:cs="Times New Roman"/>
                <w:lang w:val="sr-Cyrl-RS"/>
              </w:rPr>
            </w:pPr>
          </w:p>
          <w:p w14:paraId="46187F85" w14:textId="77777777" w:rsidR="009A4EE4" w:rsidRPr="004D2E7C" w:rsidRDefault="009A4EE4" w:rsidP="009A4EE4">
            <w:pPr>
              <w:jc w:val="center"/>
              <w:rPr>
                <w:rFonts w:cs="Times New Roman"/>
                <w:lang w:val="sr-Cyrl-RS"/>
              </w:rPr>
            </w:pPr>
          </w:p>
          <w:p w14:paraId="24D96CF2" w14:textId="77777777" w:rsidR="009A4EE4" w:rsidRPr="004D2E7C" w:rsidRDefault="009A4EE4" w:rsidP="009A4EE4">
            <w:pPr>
              <w:jc w:val="center"/>
              <w:rPr>
                <w:rFonts w:cs="Times New Roman"/>
                <w:lang w:val="sr-Cyrl-RS"/>
              </w:rPr>
            </w:pPr>
          </w:p>
          <w:p w14:paraId="4A237C6E" w14:textId="77777777" w:rsidR="009A4EE4" w:rsidRPr="004D2E7C" w:rsidRDefault="009A4EE4" w:rsidP="009A4EE4">
            <w:pPr>
              <w:jc w:val="center"/>
              <w:rPr>
                <w:rFonts w:cs="Times New Roman"/>
                <w:lang w:val="sr-Cyrl-RS"/>
              </w:rPr>
            </w:pPr>
          </w:p>
          <w:p w14:paraId="396CE314" w14:textId="77777777" w:rsidR="009A4EE4" w:rsidRPr="004D2E7C" w:rsidRDefault="009A4EE4" w:rsidP="009A4EE4">
            <w:pPr>
              <w:jc w:val="center"/>
              <w:rPr>
                <w:rFonts w:cs="Times New Roman"/>
                <w:lang w:val="sr-Cyrl-RS"/>
              </w:rPr>
            </w:pPr>
          </w:p>
          <w:p w14:paraId="46187F86" w14:textId="4E69519D" w:rsidR="009A4EE4" w:rsidRPr="004D2E7C" w:rsidRDefault="009A4EE4" w:rsidP="009A4EE4">
            <w:pPr>
              <w:jc w:val="center"/>
              <w:rPr>
                <w:rFonts w:cs="Times New Roman"/>
                <w:lang w:val="sr-Cyrl-RS"/>
              </w:rPr>
            </w:pPr>
            <w:r w:rsidRPr="004D2E7C">
              <w:rPr>
                <w:rFonts w:cs="Times New Roman"/>
                <w:lang w:val="sr-Cyrl-RS"/>
              </w:rPr>
              <w:t>2.9.</w:t>
            </w:r>
          </w:p>
        </w:tc>
        <w:tc>
          <w:tcPr>
            <w:tcW w:w="1296" w:type="pct"/>
            <w:vAlign w:val="center"/>
          </w:tcPr>
          <w:p w14:paraId="5B80DD2B" w14:textId="77777777" w:rsidR="009A4EE4" w:rsidRPr="004D2E7C" w:rsidRDefault="009A4EE4" w:rsidP="009A4EE4">
            <w:pPr>
              <w:autoSpaceDE w:val="0"/>
              <w:autoSpaceDN w:val="0"/>
              <w:adjustRightInd w:val="0"/>
              <w:ind w:firstLine="567"/>
              <w:jc w:val="both"/>
              <w:rPr>
                <w:rFonts w:eastAsia="MS Mincho" w:cs="Times New Roman"/>
                <w:lang w:val="sr-Cyrl-RS" w:eastAsia="ja-JP"/>
              </w:rPr>
            </w:pPr>
            <w:r w:rsidRPr="004D2E7C">
              <w:rPr>
                <w:rFonts w:eastAsia="MS Mincho" w:cs="Times New Roman"/>
                <w:lang w:val="sr-Cyrl-RS" w:eastAsia="ja-JP"/>
              </w:rPr>
              <w:lastRenderedPageBreak/>
              <w:t>Влада ближе уређује обавезе испоручиоца производа, и продавца у погледу енергетског означавања производа, које се односе на: садржај енергетске ознаке, њеног исправног постављања и тачности података на ознаци, коришћење рекласираних ознака енергетске ефикасности и друге услове којима се обезбеђује примена захтева енергетског означавања за производе из става 1. овог члана.</w:t>
            </w:r>
          </w:p>
          <w:p w14:paraId="79B1A4DE" w14:textId="77777777" w:rsidR="009A4EE4" w:rsidRPr="004D2E7C" w:rsidRDefault="009A4EE4" w:rsidP="009A4EE4">
            <w:pPr>
              <w:autoSpaceDE w:val="0"/>
              <w:autoSpaceDN w:val="0"/>
              <w:adjustRightInd w:val="0"/>
              <w:ind w:firstLine="567"/>
              <w:jc w:val="both"/>
              <w:rPr>
                <w:rFonts w:eastAsia="MS Mincho" w:cs="Times New Roman"/>
                <w:lang w:val="sr-Cyrl-RS" w:eastAsia="ja-JP"/>
              </w:rPr>
            </w:pPr>
            <w:r w:rsidRPr="004D2E7C">
              <w:rPr>
                <w:rFonts w:eastAsia="MS Mincho" w:cs="Times New Roman"/>
                <w:lang w:val="sr-Cyrl-RS" w:eastAsia="ja-JP"/>
              </w:rPr>
              <w:t xml:space="preserve">Министар доноси техничке прописе којима се прописују захтеви енергетског означавања производа, ближе се утврђују обавезе испоручилаца производа и продаваца, дефинишу се мерне методе, поступак провере усаглашености производа са захтевима енергетског означавања у сврху тржишног надзора, поступак одређивања класе енергетске ефикасности, изглед дизајн и формат енергетске ознаке, листу са подацима, садржај техничке документације, информације које је потребно обезбедити приликом у визуелног оглашавања у техничким и промотивним материјалима приликом продаје на даљину и у телемаркетингу, информације које је потребно обезбедити </w:t>
            </w:r>
            <w:r w:rsidRPr="004D2E7C">
              <w:rPr>
                <w:rFonts w:eastAsia="MS Mincho" w:cs="Times New Roman"/>
                <w:lang w:val="sr-Cyrl-RS" w:eastAsia="ja-JP"/>
              </w:rPr>
              <w:lastRenderedPageBreak/>
              <w:t>у случају продаје на даљину преко интернета, као и друге захтеве у вези енергетског означавања за поједине врсте производа.</w:t>
            </w:r>
          </w:p>
          <w:p w14:paraId="46187F8A" w14:textId="77777777" w:rsidR="009A4EE4" w:rsidRPr="004D2E7C" w:rsidRDefault="009A4EE4" w:rsidP="009A4EE4">
            <w:pPr>
              <w:rPr>
                <w:rFonts w:cs="Times New Roman"/>
                <w:sz w:val="14"/>
                <w:szCs w:val="14"/>
                <w:lang w:val="sr-Cyrl-RS"/>
              </w:rPr>
            </w:pPr>
          </w:p>
          <w:p w14:paraId="46187F8B" w14:textId="77777777" w:rsidR="009A4EE4" w:rsidRPr="004D2E7C" w:rsidRDefault="009A4EE4" w:rsidP="009A4EE4">
            <w:pPr>
              <w:jc w:val="both"/>
              <w:rPr>
                <w:rFonts w:cs="Times New Roman"/>
                <w:lang w:val="sr-Cyrl-RS"/>
              </w:rPr>
            </w:pPr>
            <w:r w:rsidRPr="004D2E7C">
              <w:rPr>
                <w:rFonts w:cs="Times New Roman"/>
                <w:lang w:val="sr-Cyrl-RS"/>
              </w:rPr>
              <w:t xml:space="preserve">У случају продаје, изнајмљивања или куповине на рате производа из члана 2. став 1. ове уредбе преко интернета, каталога или на други сличан начин продаје на даљину, продавац је дужан да купцу, пре куповине производа, пружи податке о ознаци енергетске ефикасности производа и листу са подацима о производу. </w:t>
            </w:r>
          </w:p>
          <w:p w14:paraId="46187F8D" w14:textId="6B438B5D" w:rsidR="009A4EE4" w:rsidRPr="004D2E7C" w:rsidRDefault="009A4EE4" w:rsidP="009A4EE4">
            <w:pPr>
              <w:spacing w:after="120"/>
              <w:jc w:val="both"/>
              <w:rPr>
                <w:rFonts w:cs="Times New Roman"/>
                <w:lang w:val="sr-Cyrl-RS"/>
              </w:rPr>
            </w:pPr>
            <w:r w:rsidRPr="004D2E7C">
              <w:rPr>
                <w:rFonts w:cs="Times New Roman"/>
                <w:lang w:val="sr-Cyrl-RS"/>
              </w:rPr>
              <w:t>При оглашавању производа из става 1. овог члана продавац, односно испоручилац је дужан да прикаже податке и да информације из члана 7. став 1 ове уредбе.</w:t>
            </w:r>
          </w:p>
        </w:tc>
        <w:tc>
          <w:tcPr>
            <w:tcW w:w="235" w:type="pct"/>
            <w:vAlign w:val="center"/>
          </w:tcPr>
          <w:p w14:paraId="46187F8E" w14:textId="77777777" w:rsidR="009A4EE4" w:rsidRPr="004D2E7C" w:rsidRDefault="009A4EE4" w:rsidP="009A4EE4">
            <w:pPr>
              <w:jc w:val="center"/>
              <w:rPr>
                <w:rFonts w:cs="Times New Roman"/>
                <w:lang w:val="sr-Cyrl-RS"/>
              </w:rPr>
            </w:pPr>
            <w:r w:rsidRPr="004D2E7C">
              <w:rPr>
                <w:rFonts w:cs="Times New Roman"/>
                <w:lang w:val="sr-Cyrl-RS"/>
              </w:rPr>
              <w:lastRenderedPageBreak/>
              <w:t>ДУ</w:t>
            </w:r>
          </w:p>
        </w:tc>
        <w:tc>
          <w:tcPr>
            <w:tcW w:w="676" w:type="pct"/>
          </w:tcPr>
          <w:p w14:paraId="46187F8F" w14:textId="77777777" w:rsidR="009A4EE4" w:rsidRPr="004D2E7C" w:rsidRDefault="009A4EE4" w:rsidP="009A4EE4">
            <w:pPr>
              <w:rPr>
                <w:rFonts w:cs="Times New Roman"/>
                <w:lang w:val="sr-Cyrl-RS"/>
              </w:rPr>
            </w:pPr>
          </w:p>
        </w:tc>
        <w:tc>
          <w:tcPr>
            <w:tcW w:w="699" w:type="pct"/>
            <w:vAlign w:val="center"/>
          </w:tcPr>
          <w:p w14:paraId="46187F91" w14:textId="65C50442" w:rsidR="009A4EE4" w:rsidRPr="004D2E7C" w:rsidRDefault="009A4EE4" w:rsidP="009A4EE4">
            <w:pPr>
              <w:rPr>
                <w:rFonts w:cs="Times New Roman"/>
                <w:lang w:val="sr-Cyrl-RS"/>
              </w:rPr>
            </w:pPr>
            <w:r w:rsidRPr="008A4AD2">
              <w:rPr>
                <w:rFonts w:cs="Times New Roman"/>
                <w:lang w:val="sr-Cyrl-RS"/>
              </w:rPr>
              <w:t xml:space="preserve">Потпунија усклађеност биће постигнута </w:t>
            </w:r>
            <w:r>
              <w:rPr>
                <w:rFonts w:cs="Times New Roman"/>
                <w:lang w:val="sr-Cyrl-RS"/>
              </w:rPr>
              <w:t xml:space="preserve">кроз подзаконске акте и </w:t>
            </w:r>
            <w:r w:rsidRPr="008A4AD2">
              <w:rPr>
                <w:rFonts w:cs="Times New Roman"/>
                <w:lang w:val="sr-Cyrl-RS"/>
              </w:rPr>
              <w:t>техничк</w:t>
            </w:r>
            <w:r>
              <w:rPr>
                <w:rFonts w:cs="Times New Roman"/>
                <w:lang w:val="sr-Cyrl-RS"/>
              </w:rPr>
              <w:t>е прописе, на основу члана 6</w:t>
            </w:r>
            <w:r>
              <w:rPr>
                <w:rFonts w:cs="Times New Roman"/>
              </w:rPr>
              <w:t>2.</w:t>
            </w:r>
          </w:p>
        </w:tc>
      </w:tr>
      <w:tr w:rsidR="009A4EE4" w:rsidRPr="004D2E7C" w14:paraId="46187F9B" w14:textId="77777777" w:rsidTr="009A4EE4">
        <w:tc>
          <w:tcPr>
            <w:tcW w:w="280" w:type="pct"/>
            <w:shd w:val="clear" w:color="auto" w:fill="D9D9D9"/>
            <w:vAlign w:val="center"/>
          </w:tcPr>
          <w:p w14:paraId="46187F93" w14:textId="77777777" w:rsidR="009A4EE4" w:rsidRPr="004D2E7C" w:rsidRDefault="009A4EE4" w:rsidP="009A4EE4">
            <w:pPr>
              <w:jc w:val="center"/>
              <w:rPr>
                <w:rFonts w:eastAsia="Times New Roman" w:cs="Times New Roman"/>
                <w:lang w:val="sr-Cyrl-RS"/>
              </w:rPr>
            </w:pPr>
            <w:r w:rsidRPr="004D2E7C">
              <w:rPr>
                <w:rFonts w:eastAsia="Times New Roman" w:cs="Times New Roman"/>
                <w:lang w:val="sr-Cyrl-RS"/>
              </w:rPr>
              <w:lastRenderedPageBreak/>
              <w:t>5.2.</w:t>
            </w:r>
          </w:p>
        </w:tc>
        <w:tc>
          <w:tcPr>
            <w:tcW w:w="1489" w:type="pct"/>
            <w:shd w:val="clear" w:color="auto" w:fill="D9D9D9"/>
            <w:vAlign w:val="center"/>
          </w:tcPr>
          <w:p w14:paraId="46187F94" w14:textId="77777777" w:rsidR="009A4EE4" w:rsidRPr="004D2E7C" w:rsidRDefault="009A4EE4" w:rsidP="009A4EE4">
            <w:pPr>
              <w:jc w:val="both"/>
              <w:rPr>
                <w:rFonts w:eastAsia="Times New Roman" w:cs="Times New Roman"/>
                <w:lang w:val="en-GB"/>
              </w:rPr>
            </w:pPr>
            <w:r w:rsidRPr="004D2E7C">
              <w:rPr>
                <w:rFonts w:cs="Times New Roman"/>
                <w:lang w:val="en-GB"/>
              </w:rPr>
              <w:t>Where, notwithstanding Article 3(1), the dealer does not have a label, it shall request one from the supplier in accordance with Article 3(2).</w:t>
            </w:r>
          </w:p>
        </w:tc>
        <w:tc>
          <w:tcPr>
            <w:tcW w:w="325" w:type="pct"/>
            <w:vAlign w:val="center"/>
          </w:tcPr>
          <w:p w14:paraId="7099BB51" w14:textId="77777777" w:rsidR="009A4EE4" w:rsidRDefault="009A4EE4" w:rsidP="009A4EE4">
            <w:pPr>
              <w:jc w:val="center"/>
              <w:rPr>
                <w:rFonts w:cs="Times New Roman"/>
                <w:lang w:val="sr-Cyrl-RS"/>
              </w:rPr>
            </w:pPr>
            <w:r>
              <w:rPr>
                <w:rFonts w:cs="Times New Roman"/>
                <w:lang w:val="sr-Cyrl-RS"/>
              </w:rPr>
              <w:t>1.62.2</w:t>
            </w:r>
          </w:p>
          <w:p w14:paraId="46187F95" w14:textId="54B4061D" w:rsidR="009A4EE4" w:rsidRPr="004D2E7C" w:rsidRDefault="009A4EE4" w:rsidP="009A4EE4">
            <w:pPr>
              <w:jc w:val="center"/>
              <w:rPr>
                <w:rFonts w:cs="Times New Roman"/>
                <w:lang w:val="sr-Cyrl-RS"/>
              </w:rPr>
            </w:pPr>
            <w:r>
              <w:rPr>
                <w:rFonts w:cs="Times New Roman"/>
                <w:b/>
              </w:rPr>
              <w:t>1.150.2.</w:t>
            </w:r>
          </w:p>
        </w:tc>
        <w:tc>
          <w:tcPr>
            <w:tcW w:w="1296" w:type="pct"/>
          </w:tcPr>
          <w:p w14:paraId="195B71C3" w14:textId="77777777" w:rsidR="009A4EE4" w:rsidRPr="004D2E7C" w:rsidRDefault="009A4EE4" w:rsidP="009A4EE4">
            <w:pPr>
              <w:autoSpaceDE w:val="0"/>
              <w:autoSpaceDN w:val="0"/>
              <w:adjustRightInd w:val="0"/>
              <w:ind w:firstLine="567"/>
              <w:jc w:val="both"/>
              <w:rPr>
                <w:rFonts w:eastAsia="MS Mincho" w:cs="Times New Roman"/>
                <w:color w:val="000000" w:themeColor="text1"/>
                <w:lang w:val="sr-Cyrl-CS" w:eastAsia="ja-JP"/>
              </w:rPr>
            </w:pPr>
            <w:r w:rsidRPr="004D2E7C">
              <w:rPr>
                <w:rFonts w:eastAsia="MS Mincho" w:cs="Times New Roman"/>
                <w:color w:val="000000" w:themeColor="text1"/>
                <w:lang w:val="sr-Cyrl-CS" w:eastAsia="ja-JP"/>
              </w:rPr>
              <w:t>Влада ближе уређује обавезе испоручиоца производа, и продавца у погледу енергетског означавања производа, које се односе на: садржај енергетске ознаке, њеног исправног постављања и тачности података на ознаци, коришћење рекласираних ознака енергетске ефикасности и друге услове којима се обезбеђује примена захтева енергетског означавања за производе из става 1. овог члана.</w:t>
            </w:r>
          </w:p>
          <w:p w14:paraId="6427F68B" w14:textId="77777777" w:rsidR="009A4EE4" w:rsidRDefault="009A4EE4" w:rsidP="009A4EE4">
            <w:pPr>
              <w:tabs>
                <w:tab w:val="left" w:pos="1152"/>
              </w:tabs>
              <w:jc w:val="both"/>
              <w:rPr>
                <w:rFonts w:cs="Times New Roman"/>
                <w:lang w:val="sr-Cyrl-RS"/>
              </w:rPr>
            </w:pPr>
          </w:p>
          <w:p w14:paraId="46187F97" w14:textId="6C2A0EE1" w:rsidR="009A4EE4" w:rsidRPr="004D2E7C" w:rsidRDefault="009A4EE4" w:rsidP="009A4EE4">
            <w:pPr>
              <w:jc w:val="both"/>
              <w:rPr>
                <w:rFonts w:cs="Times New Roman"/>
                <w:lang w:val="sr-Cyrl-RS"/>
              </w:rPr>
            </w:pPr>
            <w:r w:rsidRPr="00C30E0B">
              <w:rPr>
                <w:rFonts w:eastAsia="Times New Roman" w:cs="Times New Roman"/>
                <w:sz w:val="24"/>
                <w:szCs w:val="24"/>
                <w:lang w:val="sr-Cyrl-CS"/>
              </w:rPr>
              <w:t>Прописи за спровођење овог закона из чл. 7-9. ,чл. 15 – 16., члана 21., чл. 23-</w:t>
            </w:r>
            <w:r w:rsidRPr="00C30E0B">
              <w:rPr>
                <w:rFonts w:eastAsia="Times New Roman" w:cs="Times New Roman"/>
                <w:sz w:val="24"/>
                <w:szCs w:val="24"/>
                <w:lang w:val="sr-Cyrl-CS"/>
              </w:rPr>
              <w:lastRenderedPageBreak/>
              <w:t>24., чл. 26-27., члана 30., члана 36., чл. 37-40., члана 47., члана 51., чл. 54-55. члана 57., члана 59., чл. 61-62, чл. 64-66., члана 73., члана 80., члана 83., члана 90., чл. 93-94., чл. 96-98., члана 100., и чл. 107-109. овог закона биће донети у року од 18 месеци од дана ступања на снагу овог закона, изузев подзаконских аката из става 1. овог члана</w:t>
            </w:r>
          </w:p>
        </w:tc>
        <w:tc>
          <w:tcPr>
            <w:tcW w:w="235" w:type="pct"/>
            <w:vAlign w:val="center"/>
          </w:tcPr>
          <w:p w14:paraId="46187F98" w14:textId="5577CAAE" w:rsidR="009A4EE4" w:rsidRPr="004D2E7C" w:rsidRDefault="009A4EE4" w:rsidP="009A4EE4">
            <w:pPr>
              <w:jc w:val="center"/>
              <w:rPr>
                <w:rFonts w:cs="Times New Roman"/>
                <w:lang w:val="sr-Cyrl-RS"/>
              </w:rPr>
            </w:pPr>
            <w:r>
              <w:rPr>
                <w:rFonts w:cs="Times New Roman"/>
                <w:lang w:val="sr-Cyrl-RS"/>
              </w:rPr>
              <w:lastRenderedPageBreak/>
              <w:t>Д</w:t>
            </w:r>
            <w:r w:rsidRPr="004D2E7C">
              <w:rPr>
                <w:rFonts w:cs="Times New Roman"/>
                <w:lang w:val="sr-Cyrl-RS"/>
              </w:rPr>
              <w:t>У</w:t>
            </w:r>
          </w:p>
        </w:tc>
        <w:tc>
          <w:tcPr>
            <w:tcW w:w="676" w:type="pct"/>
          </w:tcPr>
          <w:p w14:paraId="46187F99" w14:textId="00BB9575" w:rsidR="009A4EE4" w:rsidRPr="004D2E7C" w:rsidRDefault="009A4EE4" w:rsidP="009A4EE4">
            <w:pPr>
              <w:rPr>
                <w:rFonts w:cs="Times New Roman"/>
                <w:lang w:val="sr-Cyrl-RS"/>
              </w:rPr>
            </w:pPr>
            <w:r>
              <w:rPr>
                <w:rFonts w:cs="Times New Roman"/>
                <w:spacing w:val="-6"/>
                <w:lang w:val="sr-Cyrl-RS"/>
              </w:rPr>
              <w:t>Усклађеност ће бити постигнута доношењем Уредбе из 1.62.2.</w:t>
            </w:r>
          </w:p>
        </w:tc>
        <w:tc>
          <w:tcPr>
            <w:tcW w:w="699" w:type="pct"/>
            <w:vAlign w:val="center"/>
          </w:tcPr>
          <w:p w14:paraId="46187F9A" w14:textId="2269366C" w:rsidR="009A4EE4" w:rsidRPr="004D2E7C" w:rsidRDefault="009A4EE4" w:rsidP="009A4EE4">
            <w:pPr>
              <w:rPr>
                <w:rFonts w:cs="Times New Roman"/>
                <w:lang w:val="sr-Cyrl-RS"/>
              </w:rPr>
            </w:pPr>
          </w:p>
        </w:tc>
      </w:tr>
      <w:tr w:rsidR="009A4EE4" w:rsidRPr="004D2E7C" w14:paraId="46187FA4" w14:textId="77777777" w:rsidTr="009A4EE4">
        <w:tc>
          <w:tcPr>
            <w:tcW w:w="280" w:type="pct"/>
            <w:shd w:val="clear" w:color="auto" w:fill="D9D9D9"/>
            <w:vAlign w:val="center"/>
          </w:tcPr>
          <w:p w14:paraId="46187F9C" w14:textId="77777777" w:rsidR="009A4EE4" w:rsidRPr="004D2E7C" w:rsidRDefault="009A4EE4" w:rsidP="009A4EE4">
            <w:pPr>
              <w:jc w:val="center"/>
              <w:rPr>
                <w:rFonts w:eastAsia="Times New Roman" w:cs="Times New Roman"/>
                <w:lang w:val="sr-Cyrl-RS"/>
              </w:rPr>
            </w:pPr>
            <w:r w:rsidRPr="004D2E7C">
              <w:rPr>
                <w:rFonts w:eastAsia="Times New Roman" w:cs="Times New Roman"/>
                <w:lang w:val="sr-Cyrl-RS"/>
              </w:rPr>
              <w:lastRenderedPageBreak/>
              <w:t>5.3.</w:t>
            </w:r>
          </w:p>
        </w:tc>
        <w:tc>
          <w:tcPr>
            <w:tcW w:w="1489" w:type="pct"/>
            <w:shd w:val="clear" w:color="auto" w:fill="D9D9D9"/>
            <w:vAlign w:val="center"/>
          </w:tcPr>
          <w:p w14:paraId="46187F9E" w14:textId="0B7AB76E" w:rsidR="009A4EE4" w:rsidRPr="004D2E7C" w:rsidRDefault="009A4EE4" w:rsidP="009A4EE4">
            <w:pPr>
              <w:spacing w:after="120"/>
              <w:jc w:val="both"/>
              <w:rPr>
                <w:rFonts w:eastAsia="Times New Roman" w:cs="Times New Roman"/>
                <w:lang w:val="en-GB"/>
              </w:rPr>
            </w:pPr>
            <w:r w:rsidRPr="004D2E7C">
              <w:rPr>
                <w:rFonts w:cs="Times New Roman"/>
                <w:lang w:val="en-GB"/>
              </w:rPr>
              <w:t>Where, notwithstanding Article 3(1), the dealer does not have a product information sheet, it shall request one from the supplier in accordance with Article 3(2); or, if it chooses to do so, print or download one for electronic display from the product database, if those functions are available for the relevant product.</w:t>
            </w:r>
          </w:p>
        </w:tc>
        <w:tc>
          <w:tcPr>
            <w:tcW w:w="325" w:type="pct"/>
            <w:vAlign w:val="center"/>
          </w:tcPr>
          <w:p w14:paraId="667C003F" w14:textId="77777777" w:rsidR="009A4EE4" w:rsidRDefault="009A4EE4" w:rsidP="009A4EE4">
            <w:pPr>
              <w:jc w:val="center"/>
              <w:rPr>
                <w:rFonts w:cs="Times New Roman"/>
                <w:lang w:val="sr-Cyrl-RS"/>
              </w:rPr>
            </w:pPr>
            <w:r>
              <w:rPr>
                <w:rFonts w:cs="Times New Roman"/>
                <w:lang w:val="sr-Cyrl-RS"/>
              </w:rPr>
              <w:t>1.62.2</w:t>
            </w:r>
          </w:p>
          <w:p w14:paraId="46187F9F" w14:textId="3E22622E" w:rsidR="009A4EE4" w:rsidRPr="004D2E7C" w:rsidRDefault="009A4EE4" w:rsidP="009A4EE4">
            <w:pPr>
              <w:jc w:val="center"/>
              <w:rPr>
                <w:rFonts w:cs="Times New Roman"/>
                <w:lang w:val="sr-Cyrl-RS"/>
              </w:rPr>
            </w:pPr>
            <w:r>
              <w:rPr>
                <w:rFonts w:cs="Times New Roman"/>
                <w:b/>
              </w:rPr>
              <w:t>1.150.2.</w:t>
            </w:r>
          </w:p>
        </w:tc>
        <w:tc>
          <w:tcPr>
            <w:tcW w:w="1296" w:type="pct"/>
          </w:tcPr>
          <w:p w14:paraId="26CA02B1" w14:textId="77777777" w:rsidR="009A4EE4" w:rsidRPr="004D2E7C" w:rsidRDefault="009A4EE4" w:rsidP="009A4EE4">
            <w:pPr>
              <w:autoSpaceDE w:val="0"/>
              <w:autoSpaceDN w:val="0"/>
              <w:adjustRightInd w:val="0"/>
              <w:ind w:firstLine="567"/>
              <w:jc w:val="both"/>
              <w:rPr>
                <w:rFonts w:eastAsia="MS Mincho" w:cs="Times New Roman"/>
                <w:color w:val="000000" w:themeColor="text1"/>
                <w:lang w:val="sr-Cyrl-CS" w:eastAsia="ja-JP"/>
              </w:rPr>
            </w:pPr>
            <w:r w:rsidRPr="004D2E7C">
              <w:rPr>
                <w:rFonts w:eastAsia="MS Mincho" w:cs="Times New Roman"/>
                <w:color w:val="000000" w:themeColor="text1"/>
                <w:lang w:val="sr-Cyrl-CS" w:eastAsia="ja-JP"/>
              </w:rPr>
              <w:t>Влада ближе уређује обавезе испоручиоца производа, и продавца у погледу енергетског означавања производа, које се односе на: садржај енергетске ознаке, њеног исправног постављања и тачности података на ознаци, коришћење рекласираних ознака енергетске ефикасности и друге услове којима се обезбеђује примена захтева енергетског означавања за производе из става 1. овог члана.</w:t>
            </w:r>
          </w:p>
          <w:p w14:paraId="2ED610B3" w14:textId="77777777" w:rsidR="009A4EE4" w:rsidRDefault="009A4EE4" w:rsidP="009A4EE4">
            <w:pPr>
              <w:tabs>
                <w:tab w:val="left" w:pos="1152"/>
              </w:tabs>
              <w:jc w:val="both"/>
              <w:rPr>
                <w:rFonts w:cs="Times New Roman"/>
                <w:lang w:val="sr-Cyrl-RS"/>
              </w:rPr>
            </w:pPr>
          </w:p>
          <w:p w14:paraId="46187FA0" w14:textId="654B790B" w:rsidR="009A4EE4" w:rsidRPr="004D2E7C" w:rsidRDefault="009A4EE4" w:rsidP="009A4EE4">
            <w:pPr>
              <w:jc w:val="both"/>
              <w:rPr>
                <w:rFonts w:cs="Times New Roman"/>
                <w:lang w:val="sr-Cyrl-RS"/>
              </w:rPr>
            </w:pPr>
            <w:r w:rsidRPr="00C30E0B">
              <w:rPr>
                <w:rFonts w:eastAsia="Times New Roman" w:cs="Times New Roman"/>
                <w:sz w:val="24"/>
                <w:szCs w:val="24"/>
                <w:lang w:val="sr-Cyrl-CS"/>
              </w:rPr>
              <w:t xml:space="preserve">Прописи за спровођење овог закона из чл. 7-9. ,чл. 15 – 16., члана 21., чл. 23-24., чл. 26-27., члана 30., члана 36., чл. 37-40., члана 47., члана 51., чл. 54-55. члана 57., члана 59., чл. 61-62, чл. 64-66., члана 73., члана 80., члана 83., члана 90., чл. 93-94., чл. 96-98., члана 100., и чл. 107-109. овог закона биће донети у року од 18 месеци од дана ступања на снагу овог закона, изузев </w:t>
            </w:r>
            <w:r w:rsidRPr="00C30E0B">
              <w:rPr>
                <w:rFonts w:eastAsia="Times New Roman" w:cs="Times New Roman"/>
                <w:sz w:val="24"/>
                <w:szCs w:val="24"/>
                <w:lang w:val="sr-Cyrl-CS"/>
              </w:rPr>
              <w:lastRenderedPageBreak/>
              <w:t>подзаконских аката из става 1. овог члана</w:t>
            </w:r>
          </w:p>
        </w:tc>
        <w:tc>
          <w:tcPr>
            <w:tcW w:w="235" w:type="pct"/>
            <w:vAlign w:val="center"/>
          </w:tcPr>
          <w:p w14:paraId="46187FA1" w14:textId="20E464C2" w:rsidR="009A4EE4" w:rsidRPr="004D2E7C" w:rsidRDefault="009A4EE4" w:rsidP="009A4EE4">
            <w:pPr>
              <w:jc w:val="center"/>
              <w:rPr>
                <w:rFonts w:cs="Times New Roman"/>
                <w:lang w:val="sr-Cyrl-RS"/>
              </w:rPr>
            </w:pPr>
            <w:r>
              <w:rPr>
                <w:rFonts w:cs="Times New Roman"/>
                <w:lang w:val="sr-Cyrl-RS"/>
              </w:rPr>
              <w:lastRenderedPageBreak/>
              <w:t>Д</w:t>
            </w:r>
            <w:r w:rsidRPr="004D2E7C">
              <w:rPr>
                <w:rFonts w:cs="Times New Roman"/>
                <w:lang w:val="sr-Cyrl-RS"/>
              </w:rPr>
              <w:t>У</w:t>
            </w:r>
          </w:p>
        </w:tc>
        <w:tc>
          <w:tcPr>
            <w:tcW w:w="676" w:type="pct"/>
          </w:tcPr>
          <w:p w14:paraId="46187FA2" w14:textId="3AE7AA1F" w:rsidR="009A4EE4" w:rsidRPr="004D2E7C" w:rsidRDefault="009A4EE4" w:rsidP="009A4EE4">
            <w:pPr>
              <w:rPr>
                <w:rFonts w:cs="Times New Roman"/>
                <w:lang w:val="sr-Cyrl-RS"/>
              </w:rPr>
            </w:pPr>
            <w:r>
              <w:rPr>
                <w:rFonts w:cs="Times New Roman"/>
                <w:spacing w:val="-6"/>
                <w:lang w:val="sr-Cyrl-RS"/>
              </w:rPr>
              <w:t>Усклађеност ће бити постигнута доношењем Уредбе из 1.62.2.</w:t>
            </w:r>
          </w:p>
        </w:tc>
        <w:tc>
          <w:tcPr>
            <w:tcW w:w="699" w:type="pct"/>
            <w:vAlign w:val="center"/>
          </w:tcPr>
          <w:p w14:paraId="46187FA3" w14:textId="3AA5AC8A" w:rsidR="009A4EE4" w:rsidRPr="004D2E7C" w:rsidRDefault="009A4EE4" w:rsidP="009A4EE4">
            <w:pPr>
              <w:rPr>
                <w:rFonts w:cs="Times New Roman"/>
                <w:lang w:val="sr-Cyrl-RS"/>
              </w:rPr>
            </w:pPr>
          </w:p>
        </w:tc>
      </w:tr>
      <w:tr w:rsidR="009A4EE4" w:rsidRPr="004D2E7C" w14:paraId="46187FB7" w14:textId="77777777" w:rsidTr="009A4EE4">
        <w:tc>
          <w:tcPr>
            <w:tcW w:w="280" w:type="pct"/>
            <w:shd w:val="clear" w:color="auto" w:fill="D9D9D9"/>
            <w:vAlign w:val="center"/>
          </w:tcPr>
          <w:p w14:paraId="46187FA5" w14:textId="77777777" w:rsidR="009A4EE4" w:rsidRPr="004D2E7C" w:rsidRDefault="009A4EE4" w:rsidP="009A4EE4">
            <w:pPr>
              <w:jc w:val="center"/>
              <w:rPr>
                <w:rFonts w:cs="Times New Roman"/>
                <w:lang w:val="sr-Cyrl-RS"/>
              </w:rPr>
            </w:pPr>
            <w:r w:rsidRPr="004D2E7C">
              <w:rPr>
                <w:rFonts w:cs="Times New Roman"/>
                <w:lang w:val="sr-Cyrl-RS"/>
              </w:rPr>
              <w:lastRenderedPageBreak/>
              <w:t>6.</w:t>
            </w:r>
          </w:p>
        </w:tc>
        <w:tc>
          <w:tcPr>
            <w:tcW w:w="1489" w:type="pct"/>
            <w:shd w:val="clear" w:color="auto" w:fill="D9D9D9"/>
            <w:vAlign w:val="center"/>
          </w:tcPr>
          <w:p w14:paraId="46187FA6" w14:textId="77777777" w:rsidR="009A4EE4" w:rsidRPr="00992FFA" w:rsidRDefault="009A4EE4" w:rsidP="009A4EE4">
            <w:pPr>
              <w:jc w:val="both"/>
              <w:rPr>
                <w:rFonts w:cs="Times New Roman"/>
                <w:b/>
                <w:bCs/>
                <w:sz w:val="14"/>
                <w:szCs w:val="14"/>
                <w:lang w:val="en-GB"/>
              </w:rPr>
            </w:pPr>
          </w:p>
          <w:p w14:paraId="46187FA7" w14:textId="2E06EF08" w:rsidR="009A4EE4" w:rsidRPr="004D2E7C" w:rsidRDefault="009A4EE4" w:rsidP="009A4EE4">
            <w:pPr>
              <w:rPr>
                <w:rFonts w:cs="Times New Roman"/>
                <w:b/>
                <w:bCs/>
                <w:lang w:val="en-GB"/>
              </w:rPr>
            </w:pPr>
            <w:r w:rsidRPr="004D2E7C">
              <w:rPr>
                <w:rFonts w:cs="Times New Roman"/>
                <w:b/>
                <w:bCs/>
                <w:lang w:val="en-GB"/>
              </w:rPr>
              <w:t>O</w:t>
            </w:r>
            <w:r>
              <w:rPr>
                <w:rFonts w:cs="Times New Roman"/>
                <w:b/>
                <w:bCs/>
                <w:lang w:val="en-GB"/>
              </w:rPr>
              <w:t>THER OBLIGATIONS OF SUPPLIERS AND DEALERS</w:t>
            </w:r>
          </w:p>
          <w:p w14:paraId="46187FA8" w14:textId="77777777" w:rsidR="009A4EE4" w:rsidRPr="004D2E7C" w:rsidRDefault="009A4EE4" w:rsidP="009A4EE4">
            <w:pPr>
              <w:jc w:val="both"/>
              <w:rPr>
                <w:rFonts w:cs="Times New Roman"/>
                <w:sz w:val="14"/>
                <w:szCs w:val="14"/>
                <w:lang w:val="en-GB"/>
              </w:rPr>
            </w:pPr>
          </w:p>
          <w:p w14:paraId="46187FA9" w14:textId="77777777" w:rsidR="009A4EE4" w:rsidRPr="004D2E7C" w:rsidRDefault="009A4EE4" w:rsidP="009A4EE4">
            <w:pPr>
              <w:jc w:val="both"/>
              <w:rPr>
                <w:rFonts w:cs="Times New Roman"/>
                <w:lang w:val="en-GB"/>
              </w:rPr>
            </w:pPr>
            <w:r w:rsidRPr="004D2E7C">
              <w:rPr>
                <w:rFonts w:cs="Times New Roman"/>
                <w:lang w:val="en-GB"/>
              </w:rPr>
              <w:t>The supplier and the dealer shall:</w:t>
            </w:r>
          </w:p>
          <w:p w14:paraId="46187FAA" w14:textId="77777777" w:rsidR="009A4EE4" w:rsidRPr="004D2E7C" w:rsidRDefault="009A4EE4" w:rsidP="009A4EE4">
            <w:pPr>
              <w:jc w:val="both"/>
              <w:rPr>
                <w:rFonts w:cs="Times New Roman"/>
                <w:lang w:val="en-GB"/>
              </w:rPr>
            </w:pPr>
            <w:r w:rsidRPr="004D2E7C">
              <w:rPr>
                <w:rFonts w:cs="Times New Roman"/>
                <w:lang w:val="en-GB"/>
              </w:rPr>
              <w:t>(a) make reference to the energy efficiency class of the product and the range of the efficiency classes available on the label in visual advertisements or technical promotional material for a specific model in accordance with the relevant delegated act;</w:t>
            </w:r>
          </w:p>
          <w:p w14:paraId="46187FAB" w14:textId="77777777" w:rsidR="009A4EE4" w:rsidRPr="004D2E7C" w:rsidRDefault="009A4EE4" w:rsidP="009A4EE4">
            <w:pPr>
              <w:jc w:val="both"/>
              <w:rPr>
                <w:rFonts w:cs="Times New Roman"/>
                <w:lang w:val="en-GB"/>
              </w:rPr>
            </w:pPr>
            <w:r w:rsidRPr="004D2E7C">
              <w:rPr>
                <w:rFonts w:cs="Times New Roman"/>
                <w:lang w:val="en-GB"/>
              </w:rPr>
              <w:t>(b) cooperate with market surveillance authorities and take immediate action to remedy any case of non-compliance with the requirements set out in this Regulation and the relevant delegated acts, which falls under their responsibility, at their own initiative or when required to do so by market surveillance authorities;</w:t>
            </w:r>
          </w:p>
          <w:p w14:paraId="46187FAC" w14:textId="77777777" w:rsidR="009A4EE4" w:rsidRPr="004D2E7C" w:rsidRDefault="009A4EE4" w:rsidP="009A4EE4">
            <w:pPr>
              <w:jc w:val="both"/>
              <w:rPr>
                <w:rFonts w:cs="Times New Roman"/>
                <w:lang w:val="en-GB"/>
              </w:rPr>
            </w:pPr>
            <w:r w:rsidRPr="004D2E7C">
              <w:rPr>
                <w:rFonts w:cs="Times New Roman"/>
                <w:lang w:val="en-GB"/>
              </w:rPr>
              <w:t>(c) for products covered by delegated acts, not provide or display other labels, marks, symbols or inscriptions which do not comply with the requirements of this Regulation and the relevant delegated acts, if doing so would be likely to mislead or confuse customers with respect to the consumption of energy or other resources during use;</w:t>
            </w:r>
          </w:p>
          <w:p w14:paraId="46187FAD" w14:textId="77777777" w:rsidR="009A4EE4" w:rsidRPr="004D2E7C" w:rsidRDefault="009A4EE4" w:rsidP="009A4EE4">
            <w:pPr>
              <w:jc w:val="both"/>
              <w:rPr>
                <w:rFonts w:cs="Times New Roman"/>
                <w:lang w:val="en-GB"/>
              </w:rPr>
            </w:pPr>
            <w:r w:rsidRPr="004D2E7C">
              <w:rPr>
                <w:rFonts w:cs="Times New Roman"/>
                <w:lang w:val="en-GB"/>
              </w:rPr>
              <w:t>(d) for products not covered by delegated acts, not supply or display labels which mimic the labels provided for under this Regulation and the relevant delegated acts;</w:t>
            </w:r>
          </w:p>
          <w:p w14:paraId="46187FAE" w14:textId="77777777" w:rsidR="009A4EE4" w:rsidRPr="004D2E7C" w:rsidRDefault="009A4EE4" w:rsidP="009A4EE4">
            <w:pPr>
              <w:jc w:val="both"/>
              <w:rPr>
                <w:rFonts w:cs="Times New Roman"/>
                <w:lang w:val="en-GB"/>
              </w:rPr>
            </w:pPr>
            <w:r w:rsidRPr="004D2E7C">
              <w:rPr>
                <w:rFonts w:cs="Times New Roman"/>
                <w:lang w:val="en-GB"/>
              </w:rPr>
              <w:t>(e) for non-energy related products, not supply or display labels which mimic the labels provided for in this Regulation or in delegated acts.</w:t>
            </w:r>
          </w:p>
          <w:p w14:paraId="46187FB0" w14:textId="144AA3E1" w:rsidR="009A4EE4" w:rsidRPr="004D2E7C" w:rsidRDefault="009A4EE4" w:rsidP="009A4EE4">
            <w:pPr>
              <w:spacing w:after="120"/>
              <w:jc w:val="both"/>
              <w:rPr>
                <w:rFonts w:cs="Times New Roman"/>
                <w:lang w:val="en-GB"/>
              </w:rPr>
            </w:pPr>
            <w:r w:rsidRPr="004D2E7C">
              <w:rPr>
                <w:rFonts w:cs="Times New Roman"/>
                <w:lang w:val="en-GB"/>
              </w:rPr>
              <w:lastRenderedPageBreak/>
              <w:t>Point (d) in the first subparagraph shall not affect labels provided for in national law, unless those labels are provided for in delegated acts.</w:t>
            </w:r>
          </w:p>
        </w:tc>
        <w:tc>
          <w:tcPr>
            <w:tcW w:w="325" w:type="pct"/>
            <w:vAlign w:val="center"/>
          </w:tcPr>
          <w:p w14:paraId="16B58095" w14:textId="77777777" w:rsidR="009A4EE4" w:rsidRDefault="009A4EE4" w:rsidP="009A4EE4">
            <w:pPr>
              <w:jc w:val="center"/>
              <w:rPr>
                <w:rFonts w:cs="Times New Roman"/>
                <w:lang w:val="sr-Cyrl-RS"/>
              </w:rPr>
            </w:pPr>
            <w:r>
              <w:rPr>
                <w:rFonts w:cs="Times New Roman"/>
                <w:lang w:val="sr-Cyrl-RS"/>
              </w:rPr>
              <w:lastRenderedPageBreak/>
              <w:t>1.62.2</w:t>
            </w:r>
          </w:p>
          <w:p w14:paraId="46187FB1" w14:textId="4C128641" w:rsidR="009A4EE4" w:rsidRPr="004D2E7C" w:rsidRDefault="009A4EE4" w:rsidP="009A4EE4">
            <w:pPr>
              <w:rPr>
                <w:rFonts w:cs="Times New Roman"/>
                <w:lang w:val="sr-Cyrl-RS"/>
              </w:rPr>
            </w:pPr>
            <w:r>
              <w:rPr>
                <w:rFonts w:cs="Times New Roman"/>
                <w:b/>
              </w:rPr>
              <w:t>1.150.2.</w:t>
            </w:r>
          </w:p>
        </w:tc>
        <w:tc>
          <w:tcPr>
            <w:tcW w:w="1296" w:type="pct"/>
          </w:tcPr>
          <w:p w14:paraId="7DB5594E" w14:textId="77777777" w:rsidR="009A4EE4" w:rsidRPr="004D2E7C" w:rsidRDefault="009A4EE4" w:rsidP="009A4EE4">
            <w:pPr>
              <w:autoSpaceDE w:val="0"/>
              <w:autoSpaceDN w:val="0"/>
              <w:adjustRightInd w:val="0"/>
              <w:ind w:firstLine="567"/>
              <w:jc w:val="both"/>
              <w:rPr>
                <w:rFonts w:eastAsia="MS Mincho" w:cs="Times New Roman"/>
                <w:color w:val="000000" w:themeColor="text1"/>
                <w:lang w:val="sr-Cyrl-CS" w:eastAsia="ja-JP"/>
              </w:rPr>
            </w:pPr>
            <w:r w:rsidRPr="004D2E7C">
              <w:rPr>
                <w:rFonts w:eastAsia="MS Mincho" w:cs="Times New Roman"/>
                <w:color w:val="000000" w:themeColor="text1"/>
                <w:lang w:val="sr-Cyrl-CS" w:eastAsia="ja-JP"/>
              </w:rPr>
              <w:t>Влада ближе уређује обавезе испоручиоца производа, и продавца у погледу енергетског означавања производа, које се односе на: садржај енергетске ознаке, њеног исправног постављања и тачности података на ознаци, коришћење рекласираних ознака енергетске ефикасности и друге услове којима се обезбеђује примена захтева енергетског означавања за производе из става 1. овог члана.</w:t>
            </w:r>
          </w:p>
          <w:p w14:paraId="3130028B" w14:textId="77777777" w:rsidR="009A4EE4" w:rsidRDefault="009A4EE4" w:rsidP="009A4EE4">
            <w:pPr>
              <w:tabs>
                <w:tab w:val="left" w:pos="1152"/>
              </w:tabs>
              <w:jc w:val="both"/>
              <w:rPr>
                <w:rFonts w:cs="Times New Roman"/>
                <w:lang w:val="sr-Cyrl-RS"/>
              </w:rPr>
            </w:pPr>
          </w:p>
          <w:p w14:paraId="46187FB2" w14:textId="19DE560E" w:rsidR="009A4EE4" w:rsidRPr="004D2E7C" w:rsidRDefault="009A4EE4" w:rsidP="009A4EE4">
            <w:pPr>
              <w:rPr>
                <w:rFonts w:cs="Times New Roman"/>
                <w:lang w:val="sr-Cyrl-RS"/>
              </w:rPr>
            </w:pPr>
            <w:r w:rsidRPr="00C30E0B">
              <w:rPr>
                <w:rFonts w:eastAsia="Times New Roman" w:cs="Times New Roman"/>
                <w:sz w:val="24"/>
                <w:szCs w:val="24"/>
                <w:lang w:val="sr-Cyrl-CS"/>
              </w:rPr>
              <w:t>Прописи за спровођење овог закона из чл. 7-9. ,чл. 15 – 16., члана 21., чл. 23-24., чл. 26-27., члана 30., члана 36., чл. 37-40., члана 47., члана 51., чл. 54-55. члана 57., члана 59., чл. 61-62, чл. 64-66., члана 73., члана 80., члана 83., члана 90., чл. 93-94., чл. 96-98., члана 100., и чл. 107-109. овог закона биће донети у року од 18 месеци од дана ступања на снагу овог закона, изузев подзаконских аката из става 1. овог члана</w:t>
            </w:r>
          </w:p>
        </w:tc>
        <w:tc>
          <w:tcPr>
            <w:tcW w:w="235" w:type="pct"/>
            <w:vAlign w:val="center"/>
          </w:tcPr>
          <w:p w14:paraId="46187FB3" w14:textId="43890913" w:rsidR="009A4EE4" w:rsidRPr="004D2E7C" w:rsidRDefault="009A4EE4" w:rsidP="009A4EE4">
            <w:pPr>
              <w:jc w:val="center"/>
              <w:rPr>
                <w:rFonts w:cs="Times New Roman"/>
                <w:lang w:val="sr-Cyrl-RS"/>
              </w:rPr>
            </w:pPr>
            <w:r>
              <w:rPr>
                <w:rFonts w:cs="Times New Roman"/>
                <w:lang w:val="sr-Cyrl-RS"/>
              </w:rPr>
              <w:t>Д</w:t>
            </w:r>
            <w:r w:rsidRPr="004D2E7C">
              <w:rPr>
                <w:rFonts w:cs="Times New Roman"/>
                <w:lang w:val="sr-Cyrl-RS"/>
              </w:rPr>
              <w:t>У</w:t>
            </w:r>
          </w:p>
        </w:tc>
        <w:tc>
          <w:tcPr>
            <w:tcW w:w="676" w:type="pct"/>
          </w:tcPr>
          <w:p w14:paraId="46187FB4" w14:textId="7B2E03CD" w:rsidR="009A4EE4" w:rsidRPr="004D2E7C" w:rsidRDefault="009A4EE4" w:rsidP="009A4EE4">
            <w:pPr>
              <w:rPr>
                <w:rFonts w:cs="Times New Roman"/>
                <w:lang w:val="sr-Cyrl-RS"/>
              </w:rPr>
            </w:pPr>
            <w:r>
              <w:rPr>
                <w:rFonts w:cs="Times New Roman"/>
                <w:spacing w:val="-6"/>
                <w:lang w:val="sr-Cyrl-RS"/>
              </w:rPr>
              <w:t>Усклађеност ће бити постигнута доношењем Уредбе из 1.62.2.</w:t>
            </w:r>
          </w:p>
        </w:tc>
        <w:tc>
          <w:tcPr>
            <w:tcW w:w="699" w:type="pct"/>
            <w:vAlign w:val="center"/>
          </w:tcPr>
          <w:p w14:paraId="46187FB6" w14:textId="1E6C30CC" w:rsidR="009A4EE4" w:rsidRPr="004D2E7C" w:rsidRDefault="009A4EE4" w:rsidP="009A4EE4">
            <w:pPr>
              <w:rPr>
                <w:rFonts w:cs="Times New Roman"/>
                <w:lang w:val="sr-Cyrl-RS"/>
              </w:rPr>
            </w:pPr>
          </w:p>
        </w:tc>
      </w:tr>
      <w:tr w:rsidR="00F01ECE" w:rsidRPr="004D2E7C" w14:paraId="46187FC3" w14:textId="77777777" w:rsidTr="006B3660">
        <w:tc>
          <w:tcPr>
            <w:tcW w:w="280" w:type="pct"/>
            <w:shd w:val="clear" w:color="auto" w:fill="D9D9D9"/>
            <w:vAlign w:val="center"/>
          </w:tcPr>
          <w:p w14:paraId="46187FB8" w14:textId="77777777" w:rsidR="00F01ECE" w:rsidRPr="004D2E7C" w:rsidRDefault="00F01ECE" w:rsidP="00F01ECE">
            <w:pPr>
              <w:jc w:val="center"/>
              <w:rPr>
                <w:rFonts w:eastAsia="Times New Roman" w:cs="Times New Roman"/>
                <w:lang w:val="sr-Cyrl-RS"/>
              </w:rPr>
            </w:pPr>
            <w:r w:rsidRPr="004D2E7C">
              <w:rPr>
                <w:rFonts w:eastAsia="Times New Roman" w:cs="Times New Roman"/>
                <w:lang w:val="sr-Cyrl-RS"/>
              </w:rPr>
              <w:lastRenderedPageBreak/>
              <w:t>7.1</w:t>
            </w:r>
          </w:p>
        </w:tc>
        <w:tc>
          <w:tcPr>
            <w:tcW w:w="1489" w:type="pct"/>
            <w:shd w:val="clear" w:color="auto" w:fill="D9D9D9"/>
            <w:vAlign w:val="center"/>
          </w:tcPr>
          <w:p w14:paraId="46187FB9" w14:textId="77777777" w:rsidR="00F01ECE" w:rsidRPr="00992FFA" w:rsidRDefault="00F01ECE" w:rsidP="00F01ECE">
            <w:pPr>
              <w:jc w:val="both"/>
              <w:rPr>
                <w:rFonts w:cs="Times New Roman"/>
                <w:sz w:val="14"/>
                <w:szCs w:val="14"/>
                <w:lang w:val="en-GB"/>
              </w:rPr>
            </w:pPr>
          </w:p>
          <w:p w14:paraId="46187FBA" w14:textId="3AAE8C33" w:rsidR="00F01ECE" w:rsidRPr="004D2E7C" w:rsidRDefault="00F01ECE" w:rsidP="00992FFA">
            <w:pPr>
              <w:rPr>
                <w:rFonts w:cs="Times New Roman"/>
                <w:b/>
                <w:bCs/>
                <w:lang w:val="en-GB"/>
              </w:rPr>
            </w:pPr>
            <w:r w:rsidRPr="004D2E7C">
              <w:rPr>
                <w:rFonts w:cs="Times New Roman"/>
                <w:b/>
                <w:bCs/>
                <w:lang w:val="en-GB"/>
              </w:rPr>
              <w:t>O</w:t>
            </w:r>
            <w:r w:rsidR="00992FFA">
              <w:rPr>
                <w:rFonts w:cs="Times New Roman"/>
                <w:b/>
                <w:bCs/>
                <w:lang w:val="en-GB"/>
              </w:rPr>
              <w:t>BLIGATIONS OF MEMBER STATES</w:t>
            </w:r>
          </w:p>
          <w:p w14:paraId="46187FBB" w14:textId="77777777" w:rsidR="00F01ECE" w:rsidRPr="00992FFA" w:rsidRDefault="00F01ECE" w:rsidP="00F01ECE">
            <w:pPr>
              <w:jc w:val="both"/>
              <w:rPr>
                <w:rFonts w:cs="Times New Roman"/>
                <w:sz w:val="14"/>
                <w:szCs w:val="14"/>
                <w:lang w:val="en-GB"/>
              </w:rPr>
            </w:pPr>
          </w:p>
          <w:p w14:paraId="46187FBC" w14:textId="77777777" w:rsidR="00F01ECE" w:rsidRPr="004D2E7C" w:rsidRDefault="00F01ECE" w:rsidP="00F01ECE">
            <w:pPr>
              <w:jc w:val="both"/>
              <w:rPr>
                <w:rFonts w:eastAsia="Times New Roman" w:cs="Times New Roman"/>
                <w:lang w:val="en-GB"/>
              </w:rPr>
            </w:pPr>
            <w:r w:rsidRPr="004D2E7C">
              <w:rPr>
                <w:rFonts w:cs="Times New Roman"/>
                <w:lang w:val="en-GB"/>
              </w:rPr>
              <w:t>Member States shall not impede the placing on the market or putting into service, within their territories, of products which comply with this Regulation and the relevant delegated acts.</w:t>
            </w:r>
          </w:p>
        </w:tc>
        <w:tc>
          <w:tcPr>
            <w:tcW w:w="325" w:type="pct"/>
            <w:vAlign w:val="center"/>
          </w:tcPr>
          <w:p w14:paraId="46187FBD" w14:textId="75E3BA4C" w:rsidR="00F01ECE" w:rsidRPr="004D2E7C" w:rsidRDefault="00F01ECE" w:rsidP="00F01ECE">
            <w:pPr>
              <w:jc w:val="center"/>
              <w:rPr>
                <w:rFonts w:cs="Times New Roman"/>
                <w:b/>
                <w:bCs/>
                <w:lang w:val="sr-Cyrl-RS"/>
              </w:rPr>
            </w:pPr>
            <w:r w:rsidRPr="004D2E7C">
              <w:rPr>
                <w:rFonts w:cs="Times New Roman"/>
                <w:b/>
                <w:bCs/>
                <w:lang w:val="sr-Cyrl-RS"/>
              </w:rPr>
              <w:t>1.6</w:t>
            </w:r>
            <w:r w:rsidR="00992FFA">
              <w:rPr>
                <w:rFonts w:cs="Times New Roman"/>
                <w:b/>
                <w:bCs/>
              </w:rPr>
              <w:t>2</w:t>
            </w:r>
            <w:r w:rsidRPr="004D2E7C">
              <w:rPr>
                <w:rFonts w:cs="Times New Roman"/>
                <w:b/>
                <w:bCs/>
                <w:lang w:val="sr-Cyrl-RS"/>
              </w:rPr>
              <w:t>.1.</w:t>
            </w:r>
          </w:p>
        </w:tc>
        <w:tc>
          <w:tcPr>
            <w:tcW w:w="1296" w:type="pct"/>
          </w:tcPr>
          <w:p w14:paraId="02A76119" w14:textId="77777777" w:rsidR="00F01ECE" w:rsidRPr="004D2E7C" w:rsidRDefault="00F01ECE" w:rsidP="00F01ECE">
            <w:pPr>
              <w:autoSpaceDE w:val="0"/>
              <w:autoSpaceDN w:val="0"/>
              <w:adjustRightInd w:val="0"/>
              <w:ind w:firstLine="567"/>
              <w:jc w:val="both"/>
              <w:rPr>
                <w:rFonts w:eastAsia="MS Mincho" w:cs="Times New Roman"/>
                <w:lang w:val="sr-Cyrl-RS" w:eastAsia="ja-JP"/>
              </w:rPr>
            </w:pPr>
            <w:r w:rsidRPr="004D2E7C">
              <w:rPr>
                <w:rFonts w:eastAsia="MS Mincho" w:cs="Times New Roman"/>
                <w:lang w:val="sr-Cyrl-RS" w:eastAsia="ja-JP"/>
              </w:rPr>
              <w:t xml:space="preserve">Производи који утичу на потрошњу енергије за које су прописани захтеви у погледу у енергетског означавања могу се ставити на тржиште и/или пустити у рад само ако имају ознаку енергетске ефикасности, као и ако испуњавају друге захтеве прописане овим законом техничким и другим прописима. </w:t>
            </w:r>
          </w:p>
          <w:p w14:paraId="46187FBF" w14:textId="77777777" w:rsidR="00F01ECE" w:rsidRPr="004D2E7C" w:rsidRDefault="00F01ECE" w:rsidP="00F01ECE">
            <w:pPr>
              <w:autoSpaceDE w:val="0"/>
              <w:autoSpaceDN w:val="0"/>
              <w:adjustRightInd w:val="0"/>
              <w:rPr>
                <w:rFonts w:eastAsia="MS Mincho" w:cs="Times New Roman"/>
                <w:lang w:val="sr-Cyrl-RS" w:eastAsia="ja-JP"/>
              </w:rPr>
            </w:pPr>
          </w:p>
        </w:tc>
        <w:tc>
          <w:tcPr>
            <w:tcW w:w="235" w:type="pct"/>
            <w:vAlign w:val="center"/>
          </w:tcPr>
          <w:p w14:paraId="46187FC0" w14:textId="77777777" w:rsidR="00F01ECE" w:rsidRPr="004D2E7C" w:rsidRDefault="00F01ECE" w:rsidP="00F01ECE">
            <w:pPr>
              <w:jc w:val="center"/>
              <w:rPr>
                <w:rFonts w:cs="Times New Roman"/>
                <w:lang w:val="sr-Cyrl-RS"/>
              </w:rPr>
            </w:pPr>
            <w:r w:rsidRPr="004D2E7C">
              <w:rPr>
                <w:rFonts w:cs="Times New Roman"/>
                <w:lang w:val="sr-Cyrl-RS"/>
              </w:rPr>
              <w:t>ПУ</w:t>
            </w:r>
          </w:p>
        </w:tc>
        <w:tc>
          <w:tcPr>
            <w:tcW w:w="676" w:type="pct"/>
            <w:vAlign w:val="center"/>
          </w:tcPr>
          <w:p w14:paraId="46187FC1" w14:textId="76D66F2A" w:rsidR="00F01ECE" w:rsidRPr="004D2E7C" w:rsidRDefault="00F01ECE" w:rsidP="00F01ECE">
            <w:pPr>
              <w:rPr>
                <w:rFonts w:cs="Times New Roman"/>
                <w:lang w:val="sr-Cyrl-RS"/>
              </w:rPr>
            </w:pPr>
            <w:r w:rsidRPr="004D2E7C">
              <w:rPr>
                <w:rFonts w:cs="Times New Roman"/>
                <w:lang w:val="sr-Cyrl-RS"/>
              </w:rPr>
              <w:t>У погледу слободе трговине, уколико одређени производ није супротан прописима Републике Србије може се слободно продавати на тржишту Републике Србије.</w:t>
            </w:r>
          </w:p>
        </w:tc>
        <w:tc>
          <w:tcPr>
            <w:tcW w:w="699" w:type="pct"/>
            <w:vAlign w:val="center"/>
          </w:tcPr>
          <w:p w14:paraId="46187FC2" w14:textId="77777777" w:rsidR="00F01ECE" w:rsidRPr="004D2E7C" w:rsidRDefault="00F01ECE" w:rsidP="00F01ECE">
            <w:pPr>
              <w:rPr>
                <w:rFonts w:cs="Times New Roman"/>
                <w:lang w:val="sr-Cyrl-RS"/>
              </w:rPr>
            </w:pPr>
          </w:p>
        </w:tc>
      </w:tr>
      <w:tr w:rsidR="00F01ECE" w:rsidRPr="004D2E7C" w14:paraId="46187FCC" w14:textId="77777777" w:rsidTr="006B3660">
        <w:tc>
          <w:tcPr>
            <w:tcW w:w="280" w:type="pct"/>
            <w:shd w:val="clear" w:color="auto" w:fill="D9D9D9"/>
            <w:vAlign w:val="center"/>
          </w:tcPr>
          <w:p w14:paraId="46187FC4" w14:textId="77777777" w:rsidR="00F01ECE" w:rsidRPr="004D2E7C" w:rsidRDefault="00F01ECE" w:rsidP="00F01ECE">
            <w:pPr>
              <w:jc w:val="center"/>
              <w:rPr>
                <w:rFonts w:eastAsia="Times New Roman" w:cs="Times New Roman"/>
                <w:lang w:val="sr-Cyrl-RS"/>
              </w:rPr>
            </w:pPr>
            <w:r w:rsidRPr="004D2E7C">
              <w:rPr>
                <w:rFonts w:eastAsia="Times New Roman" w:cs="Times New Roman"/>
                <w:lang w:val="sr-Cyrl-RS"/>
              </w:rPr>
              <w:t>7.2</w:t>
            </w:r>
          </w:p>
        </w:tc>
        <w:tc>
          <w:tcPr>
            <w:tcW w:w="1489" w:type="pct"/>
            <w:shd w:val="clear" w:color="auto" w:fill="D9D9D9"/>
            <w:vAlign w:val="center"/>
          </w:tcPr>
          <w:p w14:paraId="46187FC5" w14:textId="77777777" w:rsidR="00F01ECE" w:rsidRPr="004D2E7C" w:rsidRDefault="00F01ECE" w:rsidP="00F01ECE">
            <w:pPr>
              <w:jc w:val="both"/>
              <w:rPr>
                <w:rFonts w:eastAsia="Times New Roman" w:cs="Times New Roman"/>
                <w:lang w:val="en-GB"/>
              </w:rPr>
            </w:pPr>
            <w:r w:rsidRPr="004D2E7C">
              <w:rPr>
                <w:rFonts w:cs="Times New Roman"/>
                <w:lang w:val="en-GB"/>
              </w:rPr>
              <w:t>Where Member States provide incentives for a product specified in a delegated act, those incentives shall aim at the highest two significantly populated classes of energy efficiency, or at higher classes as laid down in that delegated act.</w:t>
            </w:r>
          </w:p>
        </w:tc>
        <w:tc>
          <w:tcPr>
            <w:tcW w:w="325" w:type="pct"/>
            <w:vAlign w:val="center"/>
          </w:tcPr>
          <w:p w14:paraId="46187FC6" w14:textId="60833B80" w:rsidR="00F01ECE" w:rsidRPr="004D2E7C" w:rsidRDefault="00F01ECE" w:rsidP="00F01ECE">
            <w:pPr>
              <w:jc w:val="center"/>
              <w:rPr>
                <w:rFonts w:cs="Times New Roman"/>
                <w:b/>
                <w:bCs/>
                <w:lang w:val="sr-Cyrl-RS"/>
              </w:rPr>
            </w:pPr>
            <w:r w:rsidRPr="004D2E7C">
              <w:rPr>
                <w:rFonts w:cs="Times New Roman"/>
                <w:b/>
                <w:bCs/>
                <w:lang w:val="sr-Cyrl-RS"/>
              </w:rPr>
              <w:t>1.6</w:t>
            </w:r>
            <w:r w:rsidR="00992FFA">
              <w:rPr>
                <w:rFonts w:cs="Times New Roman"/>
                <w:b/>
                <w:bCs/>
              </w:rPr>
              <w:t>3</w:t>
            </w:r>
            <w:r w:rsidRPr="004D2E7C">
              <w:rPr>
                <w:rFonts w:cs="Times New Roman"/>
                <w:b/>
                <w:bCs/>
                <w:lang w:val="sr-Cyrl-RS"/>
              </w:rPr>
              <w:t>.</w:t>
            </w:r>
          </w:p>
        </w:tc>
        <w:tc>
          <w:tcPr>
            <w:tcW w:w="1296" w:type="pct"/>
            <w:vAlign w:val="center"/>
          </w:tcPr>
          <w:p w14:paraId="5DF5B129" w14:textId="4EE46178" w:rsidR="00F01ECE" w:rsidRPr="004D2E7C" w:rsidRDefault="00F01ECE" w:rsidP="00F01ECE">
            <w:pPr>
              <w:jc w:val="center"/>
              <w:rPr>
                <w:rFonts w:eastAsia="Times New Roman" w:cs="Times New Roman"/>
                <w:b/>
                <w:lang w:val="sr-Cyrl-RS"/>
              </w:rPr>
            </w:pPr>
            <w:r w:rsidRPr="004D2E7C">
              <w:rPr>
                <w:rFonts w:eastAsia="Times New Roman" w:cs="Times New Roman"/>
                <w:b/>
                <w:lang w:val="sr-Cyrl-RS"/>
              </w:rPr>
              <w:t>Подстицаји за поједине енергетски означене производе</w:t>
            </w:r>
          </w:p>
          <w:p w14:paraId="359A5B19" w14:textId="74F8BBD8" w:rsidR="00F01ECE" w:rsidRPr="00992FFA" w:rsidRDefault="00F01ECE" w:rsidP="00F01ECE">
            <w:pPr>
              <w:jc w:val="center"/>
              <w:rPr>
                <w:rFonts w:eastAsia="Times New Roman" w:cs="Times New Roman"/>
                <w:b/>
                <w:sz w:val="14"/>
                <w:szCs w:val="14"/>
                <w:lang w:val="sr-Cyrl-RS"/>
              </w:rPr>
            </w:pPr>
          </w:p>
          <w:p w14:paraId="46187FC8" w14:textId="19E3F7A5" w:rsidR="00F01ECE" w:rsidRPr="004D2E7C" w:rsidRDefault="00F01ECE" w:rsidP="00992FFA">
            <w:pPr>
              <w:spacing w:after="120"/>
              <w:ind w:firstLine="547"/>
              <w:jc w:val="both"/>
              <w:rPr>
                <w:rFonts w:eastAsia="Times New Roman" w:cs="Times New Roman"/>
                <w:b/>
                <w:color w:val="0000FF"/>
                <w:lang w:val="sr-Cyrl-RS"/>
              </w:rPr>
            </w:pPr>
            <w:r w:rsidRPr="004D2E7C">
              <w:rPr>
                <w:rFonts w:eastAsia="Times New Roman" w:cs="Times New Roman"/>
                <w:lang w:val="sr-Cyrl-RS"/>
              </w:rPr>
              <w:t>Влада на предлог Министра може утврдити подстицаје за производе који припадају највишим двема класама енергетске ефикасности које имају производи који су највише заступљени на тржишту или припадају вишим класама енергетске ефикасности за производе из члана 6</w:t>
            </w:r>
            <w:r w:rsidR="00992FFA">
              <w:rPr>
                <w:rFonts w:eastAsia="Times New Roman" w:cs="Times New Roman"/>
              </w:rPr>
              <w:t>2</w:t>
            </w:r>
            <w:r w:rsidRPr="004D2E7C">
              <w:rPr>
                <w:rFonts w:eastAsia="Times New Roman" w:cs="Times New Roman"/>
                <w:lang w:val="sr-Cyrl-RS"/>
              </w:rPr>
              <w:t>. став 3. овог закона.</w:t>
            </w:r>
          </w:p>
        </w:tc>
        <w:tc>
          <w:tcPr>
            <w:tcW w:w="235" w:type="pct"/>
            <w:vAlign w:val="center"/>
          </w:tcPr>
          <w:p w14:paraId="46187FC9" w14:textId="77777777" w:rsidR="00F01ECE" w:rsidRPr="004D2E7C" w:rsidRDefault="00F01ECE" w:rsidP="00F01ECE">
            <w:pPr>
              <w:jc w:val="center"/>
              <w:rPr>
                <w:rFonts w:cs="Times New Roman"/>
                <w:lang w:val="sr-Cyrl-RS"/>
              </w:rPr>
            </w:pPr>
            <w:r w:rsidRPr="004D2E7C">
              <w:rPr>
                <w:rFonts w:cs="Times New Roman"/>
                <w:lang w:val="sr-Cyrl-RS"/>
              </w:rPr>
              <w:t>ПУ</w:t>
            </w:r>
          </w:p>
        </w:tc>
        <w:tc>
          <w:tcPr>
            <w:tcW w:w="676" w:type="pct"/>
            <w:vAlign w:val="center"/>
          </w:tcPr>
          <w:p w14:paraId="46187FCA" w14:textId="77777777" w:rsidR="00F01ECE" w:rsidRPr="004D2E7C" w:rsidRDefault="00F01ECE" w:rsidP="00F01ECE">
            <w:pPr>
              <w:rPr>
                <w:rFonts w:cs="Times New Roman"/>
                <w:lang w:val="sr-Cyrl-RS"/>
              </w:rPr>
            </w:pPr>
          </w:p>
        </w:tc>
        <w:tc>
          <w:tcPr>
            <w:tcW w:w="699" w:type="pct"/>
            <w:vAlign w:val="center"/>
          </w:tcPr>
          <w:p w14:paraId="46187FCB" w14:textId="77777777" w:rsidR="00F01ECE" w:rsidRPr="004D2E7C" w:rsidRDefault="00F01ECE" w:rsidP="00F01ECE">
            <w:pPr>
              <w:rPr>
                <w:rFonts w:cs="Times New Roman"/>
                <w:lang w:val="sr-Cyrl-RS"/>
              </w:rPr>
            </w:pPr>
          </w:p>
        </w:tc>
      </w:tr>
      <w:tr w:rsidR="00F01ECE" w:rsidRPr="004D2E7C" w14:paraId="46187FD7" w14:textId="77777777" w:rsidTr="00A35C98">
        <w:tc>
          <w:tcPr>
            <w:tcW w:w="280" w:type="pct"/>
            <w:shd w:val="clear" w:color="auto" w:fill="auto"/>
            <w:vAlign w:val="center"/>
          </w:tcPr>
          <w:p w14:paraId="46187FCD" w14:textId="77777777" w:rsidR="00F01ECE" w:rsidRPr="00A35C98" w:rsidRDefault="00F01ECE" w:rsidP="00F01ECE">
            <w:pPr>
              <w:jc w:val="center"/>
              <w:rPr>
                <w:rFonts w:eastAsia="Times New Roman" w:cs="Times New Roman"/>
                <w:lang w:val="sr-Cyrl-RS"/>
              </w:rPr>
            </w:pPr>
            <w:r w:rsidRPr="00A35C98">
              <w:rPr>
                <w:rFonts w:eastAsia="Times New Roman" w:cs="Times New Roman"/>
                <w:lang w:val="sr-Cyrl-RS"/>
              </w:rPr>
              <w:t>7.3</w:t>
            </w:r>
          </w:p>
        </w:tc>
        <w:tc>
          <w:tcPr>
            <w:tcW w:w="1489" w:type="pct"/>
            <w:shd w:val="clear" w:color="auto" w:fill="auto"/>
            <w:vAlign w:val="center"/>
          </w:tcPr>
          <w:p w14:paraId="46187FCE" w14:textId="77777777" w:rsidR="00F01ECE" w:rsidRPr="00A35C98" w:rsidRDefault="00F01ECE" w:rsidP="00F01ECE">
            <w:pPr>
              <w:jc w:val="both"/>
              <w:rPr>
                <w:rFonts w:eastAsia="Times New Roman" w:cs="Times New Roman"/>
                <w:lang w:val="en-GB"/>
              </w:rPr>
            </w:pPr>
            <w:r w:rsidRPr="00A35C98">
              <w:rPr>
                <w:rFonts w:cs="Times New Roman"/>
                <w:lang w:val="en-GB"/>
              </w:rPr>
              <w:t>Member States shall ensure that the introduction of labels and rescaling of labels is accompanied by educational and promotional information campaigns on energy labelling, if appropriate in cooperation with suppliers and dealers. The Commission shall support cooperation and the exchange of best practices in relation to those campaigns, including through the recommendation of common key messages.</w:t>
            </w:r>
          </w:p>
        </w:tc>
        <w:tc>
          <w:tcPr>
            <w:tcW w:w="325" w:type="pct"/>
            <w:shd w:val="clear" w:color="auto" w:fill="auto"/>
            <w:vAlign w:val="center"/>
          </w:tcPr>
          <w:p w14:paraId="46187FCF" w14:textId="37694149" w:rsidR="00F01ECE" w:rsidRPr="00A35C98" w:rsidRDefault="00F01ECE" w:rsidP="00F01ECE">
            <w:pPr>
              <w:jc w:val="center"/>
              <w:rPr>
                <w:rFonts w:cs="Times New Roman"/>
                <w:b/>
                <w:bCs/>
                <w:lang w:val="sr-Cyrl-RS"/>
              </w:rPr>
            </w:pPr>
            <w:r w:rsidRPr="00A35C98">
              <w:rPr>
                <w:rFonts w:cs="Times New Roman"/>
                <w:b/>
                <w:bCs/>
                <w:lang w:val="sr-Cyrl-RS"/>
              </w:rPr>
              <w:t>1.12.8) – 9)</w:t>
            </w:r>
          </w:p>
        </w:tc>
        <w:tc>
          <w:tcPr>
            <w:tcW w:w="1296" w:type="pct"/>
            <w:shd w:val="clear" w:color="auto" w:fill="auto"/>
          </w:tcPr>
          <w:p w14:paraId="46187FD0" w14:textId="77777777" w:rsidR="00F01ECE" w:rsidRPr="00A35C98" w:rsidRDefault="00F01ECE" w:rsidP="00F01ECE">
            <w:pPr>
              <w:jc w:val="both"/>
              <w:rPr>
                <w:rFonts w:eastAsia="Times New Roman" w:cs="Times New Roman"/>
                <w:lang w:val="sr-Cyrl-RS"/>
              </w:rPr>
            </w:pPr>
            <w:r w:rsidRPr="00A35C98">
              <w:rPr>
                <w:rFonts w:eastAsia="Times New Roman" w:cs="Times New Roman"/>
                <w:lang w:val="sr-Cyrl-RS"/>
              </w:rPr>
              <w:t>Министарство уређује, организује, спроводи и прати функционисање  и реализацију циљева система енергетског менаџмента, и то:</w:t>
            </w:r>
          </w:p>
          <w:p w14:paraId="46187FD1" w14:textId="77777777" w:rsidR="00F01ECE" w:rsidRPr="00A35C98" w:rsidRDefault="00F01ECE" w:rsidP="00F01ECE">
            <w:pPr>
              <w:jc w:val="both"/>
              <w:rPr>
                <w:rFonts w:eastAsia="Times New Roman" w:cs="Times New Roman"/>
                <w:lang w:val="sr-Cyrl-RS"/>
              </w:rPr>
            </w:pPr>
            <w:r w:rsidRPr="00A35C98">
              <w:rPr>
                <w:rFonts w:eastAsia="Times New Roman" w:cs="Times New Roman"/>
                <w:lang w:val="sr-Cyrl-RS"/>
              </w:rPr>
              <w:t>....</w:t>
            </w:r>
          </w:p>
          <w:p w14:paraId="74B0B052" w14:textId="77777777" w:rsidR="00F01ECE" w:rsidRPr="00A35C98" w:rsidRDefault="00F01ECE" w:rsidP="00F01ECE">
            <w:pPr>
              <w:jc w:val="both"/>
              <w:rPr>
                <w:rFonts w:eastAsia="Times New Roman" w:cs="Times New Roman"/>
                <w:lang w:val="sr-Cyrl-RS"/>
              </w:rPr>
            </w:pPr>
            <w:r w:rsidRPr="00A35C98">
              <w:rPr>
                <w:rFonts w:eastAsia="Times New Roman" w:cs="Times New Roman"/>
                <w:lang w:val="sr-Cyrl-RS"/>
              </w:rPr>
              <w:t>8) доноси Програм подизања свести из области енергетске ефикасности;</w:t>
            </w:r>
          </w:p>
          <w:p w14:paraId="39692456" w14:textId="77777777" w:rsidR="00F01ECE" w:rsidRPr="00A35C98" w:rsidRDefault="00F01ECE" w:rsidP="00F01ECE">
            <w:pPr>
              <w:jc w:val="both"/>
              <w:rPr>
                <w:rFonts w:eastAsia="Times New Roman" w:cs="Times New Roman"/>
                <w:lang w:val="sr-Cyrl-RS"/>
              </w:rPr>
            </w:pPr>
            <w:r w:rsidRPr="00A35C98">
              <w:rPr>
                <w:rFonts w:eastAsia="Times New Roman" w:cs="Times New Roman"/>
                <w:lang w:val="sr-Cyrl-RS"/>
              </w:rPr>
              <w:t>9) спроводи промотивне активности у циљу повећања енергетске ефикасности;</w:t>
            </w:r>
          </w:p>
          <w:p w14:paraId="46187FD3" w14:textId="77777777" w:rsidR="00F01ECE" w:rsidRPr="00A35C98" w:rsidRDefault="00F01ECE" w:rsidP="00F01ECE">
            <w:pPr>
              <w:jc w:val="both"/>
              <w:rPr>
                <w:rFonts w:cs="Times New Roman"/>
                <w:lang w:val="sr-Cyrl-RS"/>
              </w:rPr>
            </w:pPr>
            <w:r w:rsidRPr="00A35C98">
              <w:rPr>
                <w:rFonts w:cs="Times New Roman"/>
                <w:lang w:val="sr-Cyrl-RS"/>
              </w:rPr>
              <w:lastRenderedPageBreak/>
              <w:t xml:space="preserve">.... </w:t>
            </w:r>
          </w:p>
        </w:tc>
        <w:tc>
          <w:tcPr>
            <w:tcW w:w="235" w:type="pct"/>
            <w:shd w:val="clear" w:color="auto" w:fill="auto"/>
            <w:vAlign w:val="center"/>
          </w:tcPr>
          <w:p w14:paraId="46187FD4" w14:textId="77777777" w:rsidR="00F01ECE" w:rsidRPr="00A35C98" w:rsidRDefault="00F01ECE" w:rsidP="00F01ECE">
            <w:pPr>
              <w:jc w:val="center"/>
              <w:rPr>
                <w:rFonts w:cs="Times New Roman"/>
                <w:lang w:val="sr-Cyrl-RS"/>
              </w:rPr>
            </w:pPr>
            <w:r w:rsidRPr="00A35C98">
              <w:rPr>
                <w:rFonts w:cs="Times New Roman"/>
                <w:lang w:val="sr-Cyrl-RS"/>
              </w:rPr>
              <w:lastRenderedPageBreak/>
              <w:t>ДУ</w:t>
            </w:r>
          </w:p>
        </w:tc>
        <w:tc>
          <w:tcPr>
            <w:tcW w:w="676" w:type="pct"/>
            <w:shd w:val="clear" w:color="auto" w:fill="auto"/>
          </w:tcPr>
          <w:p w14:paraId="46187FD5" w14:textId="77777777" w:rsidR="00F01ECE" w:rsidRPr="00A35C98" w:rsidRDefault="00F01ECE" w:rsidP="00F01ECE">
            <w:pPr>
              <w:rPr>
                <w:rFonts w:cs="Times New Roman"/>
                <w:lang w:val="sr-Cyrl-RS"/>
              </w:rPr>
            </w:pPr>
          </w:p>
        </w:tc>
        <w:tc>
          <w:tcPr>
            <w:tcW w:w="699" w:type="pct"/>
            <w:shd w:val="clear" w:color="auto" w:fill="auto"/>
            <w:vAlign w:val="center"/>
          </w:tcPr>
          <w:p w14:paraId="46187FD6" w14:textId="1B84B179" w:rsidR="00F01ECE" w:rsidRPr="00514173" w:rsidRDefault="00765935" w:rsidP="00F01ECE">
            <w:pPr>
              <w:rPr>
                <w:rFonts w:cs="Times New Roman"/>
                <w:bCs/>
                <w:lang w:val="sr-Cyrl-RS"/>
              </w:rPr>
            </w:pPr>
            <w:r w:rsidRPr="00A35C98">
              <w:rPr>
                <w:rFonts w:cs="Times New Roman"/>
                <w:bCs/>
                <w:lang w:val="sr-Cyrl-RS"/>
              </w:rPr>
              <w:t>Министарство спроводи промотивне и информативне активности и кроз пројекте</w:t>
            </w:r>
            <w:r w:rsidR="00514173" w:rsidRPr="00A35C98">
              <w:rPr>
                <w:rFonts w:cs="Times New Roman"/>
                <w:bCs/>
                <w:lang w:val="sr-Cyrl-RS"/>
              </w:rPr>
              <w:t>.</w:t>
            </w:r>
            <w:r w:rsidR="00514173" w:rsidRPr="004D2E7C">
              <w:rPr>
                <w:rFonts w:cs="Times New Roman"/>
                <w:bCs/>
                <w:lang w:val="sr-Cyrl-RS"/>
              </w:rPr>
              <w:t xml:space="preserve"> </w:t>
            </w:r>
          </w:p>
        </w:tc>
      </w:tr>
      <w:tr w:rsidR="00F01ECE" w:rsidRPr="004D2E7C" w14:paraId="46187FE1" w14:textId="77777777" w:rsidTr="006B3660">
        <w:tc>
          <w:tcPr>
            <w:tcW w:w="280" w:type="pct"/>
            <w:shd w:val="clear" w:color="auto" w:fill="D9D9D9"/>
            <w:vAlign w:val="center"/>
          </w:tcPr>
          <w:p w14:paraId="46187FD8" w14:textId="77777777" w:rsidR="00F01ECE" w:rsidRPr="004D2E7C" w:rsidRDefault="00F01ECE" w:rsidP="00F01ECE">
            <w:pPr>
              <w:jc w:val="center"/>
              <w:rPr>
                <w:rFonts w:eastAsia="Times New Roman" w:cs="Times New Roman"/>
                <w:lang w:val="sr-Cyrl-RS"/>
              </w:rPr>
            </w:pPr>
            <w:r w:rsidRPr="004D2E7C">
              <w:rPr>
                <w:rFonts w:eastAsia="Times New Roman" w:cs="Times New Roman"/>
                <w:lang w:val="sr-Cyrl-RS"/>
              </w:rPr>
              <w:lastRenderedPageBreak/>
              <w:t>7.4</w:t>
            </w:r>
          </w:p>
        </w:tc>
        <w:tc>
          <w:tcPr>
            <w:tcW w:w="1489" w:type="pct"/>
            <w:shd w:val="clear" w:color="auto" w:fill="D9D9D9"/>
            <w:vAlign w:val="center"/>
          </w:tcPr>
          <w:p w14:paraId="46187FD9" w14:textId="766110FD" w:rsidR="00F01ECE" w:rsidRPr="004D2E7C" w:rsidRDefault="00F01ECE" w:rsidP="00F01ECE">
            <w:pPr>
              <w:jc w:val="both"/>
              <w:rPr>
                <w:rFonts w:eastAsia="Times New Roman" w:cs="Times New Roman"/>
                <w:lang w:val="en-GB"/>
              </w:rPr>
            </w:pPr>
            <w:r w:rsidRPr="004D2E7C">
              <w:rPr>
                <w:rFonts w:cs="Times New Roman"/>
                <w:lang w:val="en-GB"/>
              </w:rPr>
              <w:t>Member States shall lay down the rules on penalties and enforcement mechanisms applicable to infringements of this Regulation and the delegated acts and shall take all measures necessary to ensure that they are implemented. The penalties provided for shall be effective, proportionate and dissuasive. Rules which fulfil the requirements of Article 15 of Directive 2010/30/EU shall be considered to fulfil the requirements of this paragraph as regards penalties.</w:t>
            </w:r>
          </w:p>
        </w:tc>
        <w:tc>
          <w:tcPr>
            <w:tcW w:w="325" w:type="pct"/>
            <w:vAlign w:val="center"/>
          </w:tcPr>
          <w:p w14:paraId="46187FDA" w14:textId="77777777" w:rsidR="00F01ECE" w:rsidRPr="004D2E7C" w:rsidRDefault="00F01ECE" w:rsidP="00F01ECE">
            <w:pPr>
              <w:jc w:val="center"/>
              <w:rPr>
                <w:rFonts w:cs="Times New Roman"/>
                <w:lang w:val="sr-Cyrl-RS"/>
              </w:rPr>
            </w:pPr>
          </w:p>
        </w:tc>
        <w:tc>
          <w:tcPr>
            <w:tcW w:w="1296" w:type="pct"/>
            <w:vAlign w:val="center"/>
          </w:tcPr>
          <w:p w14:paraId="46187FDB" w14:textId="77777777" w:rsidR="00F01ECE" w:rsidRPr="004D2E7C" w:rsidRDefault="00F01ECE" w:rsidP="00F01ECE">
            <w:pPr>
              <w:rPr>
                <w:rFonts w:cs="Times New Roman"/>
                <w:lang w:val="sr-Cyrl-RS"/>
              </w:rPr>
            </w:pPr>
          </w:p>
        </w:tc>
        <w:tc>
          <w:tcPr>
            <w:tcW w:w="235" w:type="pct"/>
            <w:vAlign w:val="center"/>
          </w:tcPr>
          <w:p w14:paraId="46187FDE" w14:textId="77777777" w:rsidR="00F01ECE" w:rsidRPr="004D2E7C" w:rsidRDefault="00F01ECE" w:rsidP="00F01ECE">
            <w:pPr>
              <w:jc w:val="center"/>
              <w:rPr>
                <w:rFonts w:cs="Times New Roman"/>
                <w:lang w:val="sr-Cyrl-RS"/>
              </w:rPr>
            </w:pPr>
            <w:r w:rsidRPr="004D2E7C">
              <w:rPr>
                <w:rFonts w:cs="Times New Roman"/>
                <w:lang w:val="sr-Cyrl-RS"/>
              </w:rPr>
              <w:t>НП</w:t>
            </w:r>
          </w:p>
        </w:tc>
        <w:tc>
          <w:tcPr>
            <w:tcW w:w="676" w:type="pct"/>
            <w:vAlign w:val="center"/>
          </w:tcPr>
          <w:p w14:paraId="46187FDF" w14:textId="7C9BBAC2" w:rsidR="00F01ECE" w:rsidRPr="004D2E7C" w:rsidRDefault="00F01ECE" w:rsidP="00F01ECE">
            <w:pPr>
              <w:rPr>
                <w:rFonts w:cs="Times New Roman"/>
                <w:lang w:val="sr-Cyrl-RS"/>
              </w:rPr>
            </w:pPr>
            <w:r w:rsidRPr="004D2E7C">
              <w:rPr>
                <w:rFonts w:cs="Times New Roman"/>
                <w:lang w:val="sr-Cyrl-RS"/>
              </w:rPr>
              <w:t>Ова одредба се односи на државе чланице Европске уније</w:t>
            </w:r>
          </w:p>
        </w:tc>
        <w:tc>
          <w:tcPr>
            <w:tcW w:w="699" w:type="pct"/>
            <w:vAlign w:val="center"/>
          </w:tcPr>
          <w:p w14:paraId="46187FE0" w14:textId="77777777" w:rsidR="00F01ECE" w:rsidRPr="004D2E7C" w:rsidRDefault="00F01ECE" w:rsidP="00F01ECE">
            <w:pPr>
              <w:rPr>
                <w:rFonts w:cs="Times New Roman"/>
                <w:lang w:val="sr-Cyrl-RS"/>
              </w:rPr>
            </w:pPr>
          </w:p>
        </w:tc>
      </w:tr>
      <w:tr w:rsidR="00F01ECE" w:rsidRPr="004D2E7C" w14:paraId="46187FEA" w14:textId="77777777" w:rsidTr="006B3660">
        <w:tc>
          <w:tcPr>
            <w:tcW w:w="280" w:type="pct"/>
            <w:shd w:val="clear" w:color="auto" w:fill="D9D9D9"/>
            <w:vAlign w:val="center"/>
          </w:tcPr>
          <w:p w14:paraId="46187FE2" w14:textId="77777777" w:rsidR="00F01ECE" w:rsidRPr="00A35C98" w:rsidRDefault="00F01ECE" w:rsidP="00F01ECE">
            <w:pPr>
              <w:jc w:val="center"/>
              <w:rPr>
                <w:rFonts w:eastAsia="Times New Roman" w:cs="Times New Roman"/>
                <w:lang w:val="sr-Cyrl-RS"/>
              </w:rPr>
            </w:pPr>
            <w:r w:rsidRPr="00A35C98">
              <w:rPr>
                <w:rFonts w:eastAsia="Times New Roman" w:cs="Times New Roman"/>
                <w:lang w:val="sr-Cyrl-RS"/>
              </w:rPr>
              <w:t>7.5</w:t>
            </w:r>
          </w:p>
        </w:tc>
        <w:tc>
          <w:tcPr>
            <w:tcW w:w="1489" w:type="pct"/>
            <w:shd w:val="clear" w:color="auto" w:fill="D9D9D9"/>
            <w:vAlign w:val="center"/>
          </w:tcPr>
          <w:p w14:paraId="46187FE4" w14:textId="7BFAF040" w:rsidR="00F01ECE" w:rsidRPr="00A35C98" w:rsidRDefault="00F01ECE" w:rsidP="00F01ECE">
            <w:pPr>
              <w:jc w:val="both"/>
              <w:rPr>
                <w:rFonts w:eastAsia="Times New Roman" w:cs="Times New Roman"/>
                <w:lang w:val="en-GB"/>
              </w:rPr>
            </w:pPr>
            <w:r w:rsidRPr="00A35C98">
              <w:rPr>
                <w:rFonts w:cs="Times New Roman"/>
                <w:lang w:val="en-GB"/>
              </w:rPr>
              <w:t>Member States shall, by 1 August 2017, notify the Commission of the rules referred to in the first subparagraph that have not previously been notified to the Commission, and shall notify the Commission, without delay, of any subsequent amendment affecting them.</w:t>
            </w:r>
          </w:p>
        </w:tc>
        <w:tc>
          <w:tcPr>
            <w:tcW w:w="325" w:type="pct"/>
            <w:vAlign w:val="center"/>
          </w:tcPr>
          <w:p w14:paraId="46187FE5" w14:textId="77777777" w:rsidR="00F01ECE" w:rsidRPr="00A35C98" w:rsidRDefault="00F01ECE" w:rsidP="00F01ECE">
            <w:pPr>
              <w:jc w:val="center"/>
              <w:rPr>
                <w:rFonts w:cs="Times New Roman"/>
                <w:lang w:val="sr-Cyrl-RS"/>
              </w:rPr>
            </w:pPr>
          </w:p>
        </w:tc>
        <w:tc>
          <w:tcPr>
            <w:tcW w:w="1296" w:type="pct"/>
            <w:vAlign w:val="center"/>
          </w:tcPr>
          <w:p w14:paraId="46187FE6" w14:textId="77777777" w:rsidR="00F01ECE" w:rsidRPr="00A35C98" w:rsidRDefault="00F01ECE" w:rsidP="00F01ECE">
            <w:pPr>
              <w:rPr>
                <w:rFonts w:cs="Times New Roman"/>
                <w:lang w:val="sr-Cyrl-RS"/>
              </w:rPr>
            </w:pPr>
          </w:p>
        </w:tc>
        <w:tc>
          <w:tcPr>
            <w:tcW w:w="235" w:type="pct"/>
            <w:vAlign w:val="center"/>
          </w:tcPr>
          <w:p w14:paraId="46187FE7" w14:textId="77777777" w:rsidR="00F01ECE" w:rsidRPr="00A35C98" w:rsidRDefault="00F01ECE" w:rsidP="00F01ECE">
            <w:pPr>
              <w:jc w:val="center"/>
              <w:rPr>
                <w:rFonts w:cs="Times New Roman"/>
                <w:lang w:val="sr-Cyrl-RS"/>
              </w:rPr>
            </w:pPr>
            <w:r w:rsidRPr="00A35C98">
              <w:rPr>
                <w:rFonts w:cs="Times New Roman"/>
                <w:lang w:val="sr-Cyrl-RS"/>
              </w:rPr>
              <w:t>НП</w:t>
            </w:r>
          </w:p>
        </w:tc>
        <w:tc>
          <w:tcPr>
            <w:tcW w:w="676" w:type="pct"/>
            <w:vAlign w:val="center"/>
          </w:tcPr>
          <w:p w14:paraId="46187FE8" w14:textId="56380401" w:rsidR="00F01ECE" w:rsidRPr="00A35C98" w:rsidRDefault="00F01ECE" w:rsidP="00F01ECE">
            <w:pPr>
              <w:rPr>
                <w:rFonts w:cs="Times New Roman"/>
                <w:lang w:val="sr-Cyrl-RS"/>
              </w:rPr>
            </w:pPr>
            <w:r w:rsidRPr="00A35C98">
              <w:rPr>
                <w:rFonts w:cs="Times New Roman"/>
                <w:lang w:val="sr-Cyrl-RS"/>
              </w:rPr>
              <w:t>Ова одредба се односи на обавезе</w:t>
            </w:r>
            <w:r w:rsidR="00765935" w:rsidRPr="00A35C98">
              <w:rPr>
                <w:rFonts w:cs="Times New Roman"/>
                <w:lang w:val="sr-Cyrl-RS"/>
              </w:rPr>
              <w:t xml:space="preserve"> према</w:t>
            </w:r>
            <w:r w:rsidRPr="00A35C98">
              <w:rPr>
                <w:rFonts w:cs="Times New Roman"/>
                <w:lang w:val="sr-Cyrl-RS"/>
              </w:rPr>
              <w:t xml:space="preserve"> Европск</w:t>
            </w:r>
            <w:r w:rsidR="00765935" w:rsidRPr="00A35C98">
              <w:rPr>
                <w:rFonts w:cs="Times New Roman"/>
                <w:lang w:val="sr-Cyrl-RS"/>
              </w:rPr>
              <w:t>ој</w:t>
            </w:r>
            <w:r w:rsidRPr="00A35C98">
              <w:rPr>
                <w:rFonts w:cs="Times New Roman"/>
                <w:lang w:val="sr-Cyrl-RS"/>
              </w:rPr>
              <w:t xml:space="preserve"> комисиј</w:t>
            </w:r>
            <w:r w:rsidR="00765935" w:rsidRPr="00A35C98">
              <w:rPr>
                <w:rFonts w:cs="Times New Roman"/>
                <w:lang w:val="sr-Cyrl-RS"/>
              </w:rPr>
              <w:t>и</w:t>
            </w:r>
            <w:r w:rsidRPr="00A35C98">
              <w:rPr>
                <w:rFonts w:cs="Times New Roman"/>
                <w:lang w:val="sr-Cyrl-RS"/>
              </w:rPr>
              <w:t>.</w:t>
            </w:r>
          </w:p>
        </w:tc>
        <w:tc>
          <w:tcPr>
            <w:tcW w:w="699" w:type="pct"/>
            <w:vAlign w:val="center"/>
          </w:tcPr>
          <w:p w14:paraId="46187FE9" w14:textId="77777777" w:rsidR="00F01ECE" w:rsidRPr="004D2E7C" w:rsidRDefault="00F01ECE" w:rsidP="00F01ECE">
            <w:pPr>
              <w:rPr>
                <w:rFonts w:cs="Times New Roman"/>
                <w:lang w:val="sr-Cyrl-RS"/>
              </w:rPr>
            </w:pPr>
          </w:p>
        </w:tc>
      </w:tr>
      <w:tr w:rsidR="00F01ECE" w:rsidRPr="004D2E7C" w14:paraId="46187FF5" w14:textId="77777777" w:rsidTr="006B3660">
        <w:tc>
          <w:tcPr>
            <w:tcW w:w="280" w:type="pct"/>
            <w:shd w:val="clear" w:color="auto" w:fill="D9D9D9"/>
            <w:vAlign w:val="center"/>
          </w:tcPr>
          <w:p w14:paraId="46187FEB" w14:textId="77777777" w:rsidR="00F01ECE" w:rsidRPr="00A35C98" w:rsidRDefault="00F01ECE" w:rsidP="00F01ECE">
            <w:pPr>
              <w:jc w:val="center"/>
              <w:rPr>
                <w:rFonts w:eastAsia="Times New Roman" w:cs="Times New Roman"/>
                <w:lang w:val="sr-Cyrl-RS"/>
              </w:rPr>
            </w:pPr>
            <w:r w:rsidRPr="00A35C98">
              <w:rPr>
                <w:rFonts w:eastAsia="Times New Roman" w:cs="Times New Roman"/>
                <w:lang w:val="sr-Cyrl-RS"/>
              </w:rPr>
              <w:t>8.1.</w:t>
            </w:r>
          </w:p>
        </w:tc>
        <w:tc>
          <w:tcPr>
            <w:tcW w:w="1489" w:type="pct"/>
            <w:shd w:val="clear" w:color="auto" w:fill="D9D9D9"/>
            <w:vAlign w:val="center"/>
          </w:tcPr>
          <w:p w14:paraId="46187FEC" w14:textId="77777777" w:rsidR="00F01ECE" w:rsidRPr="00A35C98" w:rsidRDefault="00F01ECE" w:rsidP="00F01ECE">
            <w:pPr>
              <w:jc w:val="both"/>
              <w:rPr>
                <w:rFonts w:cs="Times New Roman"/>
                <w:sz w:val="14"/>
                <w:szCs w:val="14"/>
                <w:lang w:val="en-GB"/>
              </w:rPr>
            </w:pPr>
          </w:p>
          <w:p w14:paraId="46187FED" w14:textId="77777777" w:rsidR="00F01ECE" w:rsidRPr="00A35C98" w:rsidRDefault="00F01ECE" w:rsidP="00F01ECE">
            <w:pPr>
              <w:jc w:val="both"/>
              <w:rPr>
                <w:rFonts w:cs="Times New Roman"/>
                <w:b/>
                <w:bCs/>
                <w:lang w:val="en-GB"/>
              </w:rPr>
            </w:pPr>
            <w:r w:rsidRPr="00A35C98">
              <w:rPr>
                <w:rFonts w:cs="Times New Roman"/>
                <w:b/>
                <w:bCs/>
                <w:lang w:val="en-GB"/>
              </w:rPr>
              <w:t>Union market surveillance and control of products entering the Union market</w:t>
            </w:r>
          </w:p>
          <w:p w14:paraId="46187FEE" w14:textId="77777777" w:rsidR="00F01ECE" w:rsidRPr="00A35C98" w:rsidRDefault="00F01ECE" w:rsidP="00F01ECE">
            <w:pPr>
              <w:jc w:val="both"/>
              <w:rPr>
                <w:rFonts w:cs="Times New Roman"/>
                <w:lang w:val="en-GB"/>
              </w:rPr>
            </w:pPr>
          </w:p>
          <w:p w14:paraId="46187FEF" w14:textId="77777777" w:rsidR="00F01ECE" w:rsidRPr="00A35C98" w:rsidRDefault="00F01ECE" w:rsidP="00F01ECE">
            <w:pPr>
              <w:jc w:val="both"/>
              <w:rPr>
                <w:rFonts w:eastAsia="Times New Roman" w:cs="Times New Roman"/>
                <w:lang w:val="en-GB"/>
              </w:rPr>
            </w:pPr>
            <w:r w:rsidRPr="00A35C98">
              <w:rPr>
                <w:rFonts w:cs="Times New Roman"/>
                <w:lang w:val="en-GB"/>
              </w:rPr>
              <w:t>Articles 16 to 29 of Regulation (EC) No 765/2008 shall apply to products covered by this Regulation and by the relevant delegated acts.</w:t>
            </w:r>
          </w:p>
        </w:tc>
        <w:tc>
          <w:tcPr>
            <w:tcW w:w="325" w:type="pct"/>
            <w:vAlign w:val="center"/>
          </w:tcPr>
          <w:p w14:paraId="46187FF0" w14:textId="77777777" w:rsidR="00F01ECE" w:rsidRPr="00A35C98" w:rsidRDefault="00F01ECE" w:rsidP="00F01ECE">
            <w:pPr>
              <w:jc w:val="center"/>
              <w:rPr>
                <w:rFonts w:cs="Times New Roman"/>
                <w:lang w:val="sr-Cyrl-RS"/>
              </w:rPr>
            </w:pPr>
          </w:p>
        </w:tc>
        <w:tc>
          <w:tcPr>
            <w:tcW w:w="1296" w:type="pct"/>
            <w:vAlign w:val="center"/>
          </w:tcPr>
          <w:p w14:paraId="46187FF1" w14:textId="77777777" w:rsidR="00F01ECE" w:rsidRPr="00A35C98" w:rsidRDefault="00F01ECE" w:rsidP="00F01ECE">
            <w:pPr>
              <w:rPr>
                <w:rFonts w:cs="Times New Roman"/>
                <w:lang w:val="sr-Cyrl-RS"/>
              </w:rPr>
            </w:pPr>
          </w:p>
        </w:tc>
        <w:tc>
          <w:tcPr>
            <w:tcW w:w="235" w:type="pct"/>
            <w:vAlign w:val="center"/>
          </w:tcPr>
          <w:p w14:paraId="46187FF2" w14:textId="77777777" w:rsidR="00F01ECE" w:rsidRPr="00A35C98" w:rsidRDefault="00F01ECE" w:rsidP="00F01ECE">
            <w:pPr>
              <w:jc w:val="center"/>
              <w:rPr>
                <w:rFonts w:cs="Times New Roman"/>
                <w:lang w:val="sr-Cyrl-RS"/>
              </w:rPr>
            </w:pPr>
            <w:r w:rsidRPr="00A35C98">
              <w:rPr>
                <w:rFonts w:cs="Times New Roman"/>
                <w:lang w:val="sr-Cyrl-RS"/>
              </w:rPr>
              <w:t>ДУ</w:t>
            </w:r>
          </w:p>
        </w:tc>
        <w:tc>
          <w:tcPr>
            <w:tcW w:w="676" w:type="pct"/>
            <w:vAlign w:val="center"/>
          </w:tcPr>
          <w:p w14:paraId="46187FF3" w14:textId="4F310F6D" w:rsidR="00F01ECE" w:rsidRPr="00A35C98" w:rsidRDefault="00F01ECE" w:rsidP="00F01ECE">
            <w:pPr>
              <w:rPr>
                <w:rFonts w:cs="Times New Roman"/>
                <w:lang w:val="sr-Cyrl-RS"/>
              </w:rPr>
            </w:pPr>
            <w:r w:rsidRPr="00A35C98">
              <w:rPr>
                <w:rFonts w:cs="Times New Roman"/>
                <w:lang w:val="sr-Cyrl-RS"/>
              </w:rPr>
              <w:t>Закон о техничким захтевима за производе и оцену усаглашености, Закон о акредитацији и Закон о тржишном надзору су делом пренели Уредбу (ЕЗ) 765/2008.</w:t>
            </w:r>
          </w:p>
        </w:tc>
        <w:tc>
          <w:tcPr>
            <w:tcW w:w="699" w:type="pct"/>
            <w:vAlign w:val="center"/>
          </w:tcPr>
          <w:p w14:paraId="46187FF4" w14:textId="3BC65DFD" w:rsidR="00F01ECE" w:rsidRPr="00A35C98" w:rsidRDefault="00F01ECE" w:rsidP="00F01ECE">
            <w:pPr>
              <w:rPr>
                <w:rFonts w:cs="Times New Roman"/>
              </w:rPr>
            </w:pPr>
            <w:r w:rsidRPr="00A35C98">
              <w:rPr>
                <w:rFonts w:cs="Times New Roman"/>
                <w:lang w:val="sr-Cyrl-RS"/>
              </w:rPr>
              <w:t>Потпун</w:t>
            </w:r>
            <w:r w:rsidR="00FF65C5" w:rsidRPr="00A35C98">
              <w:rPr>
                <w:rFonts w:cs="Times New Roman"/>
                <w:lang w:val="sr-Cyrl-RS"/>
              </w:rPr>
              <w:t>а</w:t>
            </w:r>
            <w:r w:rsidRPr="00A35C98">
              <w:rPr>
                <w:rFonts w:cs="Times New Roman"/>
                <w:lang w:val="sr-Cyrl-RS"/>
              </w:rPr>
              <w:t xml:space="preserve"> усклађеност ће бити постигнута кад ови прописи буду </w:t>
            </w:r>
            <w:r w:rsidR="00FF65C5" w:rsidRPr="00A35C98">
              <w:rPr>
                <w:rFonts w:cs="Times New Roman"/>
                <w:lang w:val="sr-Cyrl-RS"/>
              </w:rPr>
              <w:t>у потпуности усклађени са наведеном Уредбом</w:t>
            </w:r>
            <w:r w:rsidRPr="00A35C98">
              <w:rPr>
                <w:rFonts w:cs="Times New Roman"/>
                <w:lang w:val="sr-Cyrl-RS"/>
              </w:rPr>
              <w:t>.</w:t>
            </w:r>
            <w:r w:rsidR="00514173" w:rsidRPr="00A35C98">
              <w:rPr>
                <w:rFonts w:cs="Times New Roman"/>
              </w:rPr>
              <w:t xml:space="preserve"> </w:t>
            </w:r>
          </w:p>
        </w:tc>
      </w:tr>
      <w:tr w:rsidR="00F01ECE" w:rsidRPr="004D2E7C" w14:paraId="46187FFD" w14:textId="77777777" w:rsidTr="006B3660">
        <w:tc>
          <w:tcPr>
            <w:tcW w:w="280" w:type="pct"/>
            <w:shd w:val="clear" w:color="auto" w:fill="D9D9D9"/>
            <w:vAlign w:val="center"/>
          </w:tcPr>
          <w:p w14:paraId="46187FF6" w14:textId="77777777" w:rsidR="00F01ECE" w:rsidRPr="004D2E7C" w:rsidRDefault="00F01ECE" w:rsidP="00F01ECE">
            <w:pPr>
              <w:jc w:val="center"/>
              <w:rPr>
                <w:rFonts w:eastAsia="Times New Roman" w:cs="Times New Roman"/>
                <w:lang w:val="sr-Cyrl-RS"/>
              </w:rPr>
            </w:pPr>
            <w:r w:rsidRPr="004D2E7C">
              <w:rPr>
                <w:rFonts w:eastAsia="Times New Roman" w:cs="Times New Roman"/>
                <w:lang w:val="sr-Cyrl-RS"/>
              </w:rPr>
              <w:t>8.2.</w:t>
            </w:r>
          </w:p>
        </w:tc>
        <w:tc>
          <w:tcPr>
            <w:tcW w:w="1489" w:type="pct"/>
            <w:shd w:val="clear" w:color="auto" w:fill="D9D9D9"/>
            <w:vAlign w:val="center"/>
          </w:tcPr>
          <w:p w14:paraId="46187FF7" w14:textId="77777777" w:rsidR="00F01ECE" w:rsidRPr="004D2E7C" w:rsidRDefault="00F01ECE" w:rsidP="00F01ECE">
            <w:pPr>
              <w:jc w:val="both"/>
              <w:rPr>
                <w:rFonts w:eastAsia="Times New Roman" w:cs="Times New Roman"/>
                <w:lang w:val="en-GB"/>
              </w:rPr>
            </w:pPr>
            <w:r w:rsidRPr="004D2E7C">
              <w:rPr>
                <w:rFonts w:cs="Times New Roman"/>
                <w:lang w:val="en-GB"/>
              </w:rPr>
              <w:t xml:space="preserve">The Commission shall encourage and support cooperation and the exchange of information on market surveillance relating to the labelling of products between national authorities of the Member States that are responsible for market surveillance or in charge of the control of products entering the Union market and between them and </w:t>
            </w:r>
            <w:r w:rsidRPr="004D2E7C">
              <w:rPr>
                <w:rFonts w:cs="Times New Roman"/>
                <w:lang w:val="en-GB"/>
              </w:rPr>
              <w:lastRenderedPageBreak/>
              <w:t>the Commission, inter alia, by involving more closely the AdCos on Ecodesign and Energy Labelling. Such exchanges of information shall also be conducted when test results indicate that the product complies with this Regulation and the relevant delegated act.</w:t>
            </w:r>
          </w:p>
        </w:tc>
        <w:tc>
          <w:tcPr>
            <w:tcW w:w="325" w:type="pct"/>
            <w:vAlign w:val="center"/>
          </w:tcPr>
          <w:p w14:paraId="46187FF8" w14:textId="77777777" w:rsidR="00F01ECE" w:rsidRPr="004D2E7C" w:rsidRDefault="00F01ECE" w:rsidP="00F01ECE">
            <w:pPr>
              <w:jc w:val="center"/>
              <w:rPr>
                <w:rFonts w:cs="Times New Roman"/>
                <w:lang w:val="sr-Cyrl-RS"/>
              </w:rPr>
            </w:pPr>
          </w:p>
        </w:tc>
        <w:tc>
          <w:tcPr>
            <w:tcW w:w="1296" w:type="pct"/>
            <w:vAlign w:val="center"/>
          </w:tcPr>
          <w:p w14:paraId="46187FF9" w14:textId="77777777" w:rsidR="00F01ECE" w:rsidRPr="004D2E7C" w:rsidRDefault="00F01ECE" w:rsidP="00F01ECE">
            <w:pPr>
              <w:rPr>
                <w:rFonts w:cs="Times New Roman"/>
                <w:lang w:val="sr-Cyrl-RS"/>
              </w:rPr>
            </w:pPr>
          </w:p>
        </w:tc>
        <w:tc>
          <w:tcPr>
            <w:tcW w:w="235" w:type="pct"/>
            <w:vAlign w:val="center"/>
          </w:tcPr>
          <w:p w14:paraId="46187FFA" w14:textId="77777777" w:rsidR="00F01ECE" w:rsidRPr="004D2E7C" w:rsidRDefault="00F01ECE" w:rsidP="00F01ECE">
            <w:pPr>
              <w:jc w:val="center"/>
              <w:rPr>
                <w:rFonts w:cs="Times New Roman"/>
                <w:lang w:val="sr-Cyrl-RS"/>
              </w:rPr>
            </w:pPr>
            <w:r w:rsidRPr="004D2E7C">
              <w:rPr>
                <w:rFonts w:cs="Times New Roman"/>
                <w:lang w:val="sr-Cyrl-RS"/>
              </w:rPr>
              <w:t>НП</w:t>
            </w:r>
          </w:p>
        </w:tc>
        <w:tc>
          <w:tcPr>
            <w:tcW w:w="676" w:type="pct"/>
            <w:vAlign w:val="center"/>
          </w:tcPr>
          <w:p w14:paraId="46187FFB" w14:textId="77777777" w:rsidR="00F01ECE" w:rsidRPr="004D2E7C" w:rsidRDefault="00F01ECE" w:rsidP="00F01ECE">
            <w:pPr>
              <w:rPr>
                <w:rFonts w:cs="Times New Roman"/>
                <w:spacing w:val="-6"/>
                <w:lang w:val="sr-Cyrl-RS"/>
              </w:rPr>
            </w:pPr>
            <w:r w:rsidRPr="004D2E7C">
              <w:rPr>
                <w:rFonts w:cs="Times New Roman"/>
                <w:spacing w:val="-6"/>
                <w:lang w:val="sr-Cyrl-RS"/>
              </w:rPr>
              <w:t>Ова одредба се односи на обавезе Европске комисије</w:t>
            </w:r>
          </w:p>
        </w:tc>
        <w:tc>
          <w:tcPr>
            <w:tcW w:w="699" w:type="pct"/>
            <w:vAlign w:val="center"/>
          </w:tcPr>
          <w:p w14:paraId="46187FFC" w14:textId="77777777" w:rsidR="00F01ECE" w:rsidRPr="004D2E7C" w:rsidRDefault="00F01ECE" w:rsidP="00F01ECE">
            <w:pPr>
              <w:rPr>
                <w:rFonts w:cs="Times New Roman"/>
                <w:lang w:val="sr-Cyrl-RS"/>
              </w:rPr>
            </w:pPr>
          </w:p>
        </w:tc>
      </w:tr>
      <w:tr w:rsidR="00F01ECE" w:rsidRPr="004D2E7C" w14:paraId="46188005" w14:textId="77777777" w:rsidTr="006B3660">
        <w:tc>
          <w:tcPr>
            <w:tcW w:w="280" w:type="pct"/>
            <w:shd w:val="clear" w:color="auto" w:fill="D9D9D9"/>
            <w:vAlign w:val="center"/>
          </w:tcPr>
          <w:p w14:paraId="46187FFE" w14:textId="77777777" w:rsidR="00F01ECE" w:rsidRPr="004D2E7C" w:rsidRDefault="00F01ECE" w:rsidP="00F01ECE">
            <w:pPr>
              <w:jc w:val="center"/>
              <w:rPr>
                <w:rFonts w:eastAsia="Times New Roman" w:cs="Times New Roman"/>
                <w:lang w:val="sr-Cyrl-RS"/>
              </w:rPr>
            </w:pPr>
            <w:r w:rsidRPr="004D2E7C">
              <w:rPr>
                <w:rFonts w:eastAsia="Times New Roman" w:cs="Times New Roman"/>
                <w:lang w:val="sr-Cyrl-RS"/>
              </w:rPr>
              <w:lastRenderedPageBreak/>
              <w:t>8.3.</w:t>
            </w:r>
          </w:p>
        </w:tc>
        <w:tc>
          <w:tcPr>
            <w:tcW w:w="1489" w:type="pct"/>
            <w:shd w:val="clear" w:color="auto" w:fill="D9D9D9"/>
            <w:vAlign w:val="center"/>
          </w:tcPr>
          <w:p w14:paraId="46187FFF" w14:textId="77777777" w:rsidR="00F01ECE" w:rsidRPr="004D2E7C" w:rsidRDefault="00F01ECE" w:rsidP="00F01ECE">
            <w:pPr>
              <w:jc w:val="both"/>
              <w:rPr>
                <w:rFonts w:eastAsia="Times New Roman" w:cs="Times New Roman"/>
                <w:lang w:val="en-GB"/>
              </w:rPr>
            </w:pPr>
            <w:r w:rsidRPr="004D2E7C">
              <w:rPr>
                <w:rFonts w:cs="Times New Roman"/>
                <w:lang w:val="en-GB"/>
              </w:rPr>
              <w:t>Member States' general market surveillance programmes or sector specific programmes established pursuant to Article 18 of Regulation (EC) No 765/2008 shall include actions to ensure the effective enforcement of this Regulation.</w:t>
            </w:r>
          </w:p>
        </w:tc>
        <w:tc>
          <w:tcPr>
            <w:tcW w:w="325" w:type="pct"/>
          </w:tcPr>
          <w:p w14:paraId="7AA2AB74" w14:textId="4D98828B" w:rsidR="00F01ECE" w:rsidRPr="004D2E7C" w:rsidRDefault="00F01ECE" w:rsidP="00F01ECE">
            <w:pPr>
              <w:jc w:val="center"/>
              <w:rPr>
                <w:rFonts w:cs="Times New Roman"/>
                <w:lang w:val="sr-Cyrl-RS"/>
              </w:rPr>
            </w:pPr>
          </w:p>
          <w:p w14:paraId="6ED4DCA5" w14:textId="77219116" w:rsidR="00F01ECE" w:rsidRPr="004D2E7C" w:rsidRDefault="00F01ECE" w:rsidP="00F01ECE">
            <w:pPr>
              <w:jc w:val="center"/>
              <w:rPr>
                <w:rFonts w:cs="Times New Roman"/>
                <w:lang w:val="sr-Cyrl-RS"/>
              </w:rPr>
            </w:pPr>
          </w:p>
          <w:p w14:paraId="5DC7EF9A" w14:textId="679BC126" w:rsidR="00F01ECE" w:rsidRPr="004D2E7C" w:rsidRDefault="00F01ECE" w:rsidP="00F01ECE">
            <w:pPr>
              <w:jc w:val="center"/>
              <w:rPr>
                <w:rFonts w:cs="Times New Roman"/>
                <w:b/>
                <w:bCs/>
                <w:lang w:val="sr-Cyrl-RS"/>
              </w:rPr>
            </w:pPr>
            <w:r w:rsidRPr="004D2E7C">
              <w:rPr>
                <w:rFonts w:cs="Times New Roman"/>
                <w:b/>
                <w:bCs/>
                <w:lang w:val="sr-Cyrl-RS"/>
              </w:rPr>
              <w:t>1.</w:t>
            </w:r>
            <w:r w:rsidR="00514173">
              <w:rPr>
                <w:rFonts w:cs="Times New Roman"/>
                <w:b/>
                <w:bCs/>
              </w:rPr>
              <w:t>124</w:t>
            </w:r>
            <w:r w:rsidRPr="004D2E7C">
              <w:rPr>
                <w:rFonts w:cs="Times New Roman"/>
                <w:b/>
                <w:bCs/>
                <w:lang w:val="sr-Cyrl-RS"/>
              </w:rPr>
              <w:t>.</w:t>
            </w:r>
          </w:p>
          <w:p w14:paraId="4F7C56A7" w14:textId="70153369" w:rsidR="00F01ECE" w:rsidRPr="004D2E7C" w:rsidRDefault="00F01ECE" w:rsidP="00F01ECE">
            <w:pPr>
              <w:jc w:val="center"/>
              <w:rPr>
                <w:rFonts w:cs="Times New Roman"/>
                <w:lang w:val="sr-Cyrl-RS"/>
              </w:rPr>
            </w:pPr>
          </w:p>
          <w:p w14:paraId="78622ED0" w14:textId="69AAE283" w:rsidR="00F01ECE" w:rsidRPr="004D2E7C" w:rsidRDefault="00F01ECE" w:rsidP="00F01ECE">
            <w:pPr>
              <w:jc w:val="center"/>
              <w:rPr>
                <w:rFonts w:cs="Times New Roman"/>
                <w:lang w:val="sr-Cyrl-RS"/>
              </w:rPr>
            </w:pPr>
          </w:p>
          <w:p w14:paraId="5BC0ACA8" w14:textId="09AC868C" w:rsidR="00F01ECE" w:rsidRPr="004D2E7C" w:rsidRDefault="00F01ECE" w:rsidP="00F01ECE">
            <w:pPr>
              <w:jc w:val="center"/>
              <w:rPr>
                <w:rFonts w:cs="Times New Roman"/>
                <w:lang w:val="sr-Cyrl-RS"/>
              </w:rPr>
            </w:pPr>
          </w:p>
          <w:p w14:paraId="3AB25059" w14:textId="65C1359B" w:rsidR="00F01ECE" w:rsidRPr="004D2E7C" w:rsidRDefault="00F01ECE" w:rsidP="00F01ECE">
            <w:pPr>
              <w:jc w:val="center"/>
              <w:rPr>
                <w:rFonts w:cs="Times New Roman"/>
                <w:lang w:val="sr-Cyrl-RS"/>
              </w:rPr>
            </w:pPr>
          </w:p>
          <w:p w14:paraId="40325BE4" w14:textId="66FC18D6" w:rsidR="00F01ECE" w:rsidRPr="004D2E7C" w:rsidRDefault="00F01ECE" w:rsidP="00F01ECE">
            <w:pPr>
              <w:jc w:val="center"/>
              <w:rPr>
                <w:rFonts w:cs="Times New Roman"/>
                <w:lang w:val="sr-Cyrl-RS"/>
              </w:rPr>
            </w:pPr>
          </w:p>
          <w:p w14:paraId="7051AFDE" w14:textId="08D4C798" w:rsidR="00F01ECE" w:rsidRPr="004D2E7C" w:rsidRDefault="00F01ECE" w:rsidP="00F01ECE">
            <w:pPr>
              <w:jc w:val="center"/>
              <w:rPr>
                <w:rFonts w:cs="Times New Roman"/>
                <w:lang w:val="sr-Cyrl-RS"/>
              </w:rPr>
            </w:pPr>
          </w:p>
          <w:p w14:paraId="65F9D414" w14:textId="3C49F682" w:rsidR="00F01ECE" w:rsidRPr="004D2E7C" w:rsidRDefault="00F01ECE" w:rsidP="00F01ECE">
            <w:pPr>
              <w:jc w:val="center"/>
              <w:rPr>
                <w:rFonts w:cs="Times New Roman"/>
                <w:lang w:val="sr-Cyrl-RS"/>
              </w:rPr>
            </w:pPr>
          </w:p>
          <w:p w14:paraId="7C829AA3" w14:textId="39734F02" w:rsidR="00F01ECE" w:rsidRPr="004D2E7C" w:rsidRDefault="00F01ECE" w:rsidP="00F01ECE">
            <w:pPr>
              <w:jc w:val="center"/>
              <w:rPr>
                <w:rFonts w:cs="Times New Roman"/>
                <w:lang w:val="sr-Cyrl-RS"/>
              </w:rPr>
            </w:pPr>
          </w:p>
          <w:p w14:paraId="17AAD9DE" w14:textId="1074E0D5" w:rsidR="00F01ECE" w:rsidRPr="004D2E7C" w:rsidRDefault="00F01ECE" w:rsidP="00F01ECE">
            <w:pPr>
              <w:jc w:val="center"/>
              <w:rPr>
                <w:rFonts w:cs="Times New Roman"/>
                <w:lang w:val="sr-Cyrl-RS"/>
              </w:rPr>
            </w:pPr>
          </w:p>
          <w:p w14:paraId="6EE21448" w14:textId="7231043E" w:rsidR="00F01ECE" w:rsidRPr="004D2E7C" w:rsidRDefault="00F01ECE" w:rsidP="00F01ECE">
            <w:pPr>
              <w:jc w:val="center"/>
              <w:rPr>
                <w:rFonts w:cs="Times New Roman"/>
                <w:lang w:val="sr-Cyrl-RS"/>
              </w:rPr>
            </w:pPr>
          </w:p>
          <w:p w14:paraId="5D7CA28D" w14:textId="1174E7F2" w:rsidR="00F01ECE" w:rsidRPr="004D2E7C" w:rsidRDefault="00F01ECE" w:rsidP="00F01ECE">
            <w:pPr>
              <w:jc w:val="center"/>
              <w:rPr>
                <w:rFonts w:cs="Times New Roman"/>
                <w:lang w:val="sr-Cyrl-RS"/>
              </w:rPr>
            </w:pPr>
          </w:p>
          <w:p w14:paraId="4CF2F7E5" w14:textId="201CE2E3" w:rsidR="00F01ECE" w:rsidRPr="004D2E7C" w:rsidRDefault="00F01ECE" w:rsidP="00F01ECE">
            <w:pPr>
              <w:jc w:val="center"/>
              <w:rPr>
                <w:rFonts w:cs="Times New Roman"/>
                <w:lang w:val="sr-Cyrl-RS"/>
              </w:rPr>
            </w:pPr>
          </w:p>
          <w:p w14:paraId="0F38D803" w14:textId="12C3B1C0" w:rsidR="00F01ECE" w:rsidRPr="004D2E7C" w:rsidRDefault="00F01ECE" w:rsidP="00F01ECE">
            <w:pPr>
              <w:jc w:val="center"/>
              <w:rPr>
                <w:rFonts w:cs="Times New Roman"/>
                <w:lang w:val="sr-Cyrl-RS"/>
              </w:rPr>
            </w:pPr>
          </w:p>
          <w:p w14:paraId="7886D13D" w14:textId="6715FDBB" w:rsidR="00F01ECE" w:rsidRPr="004D2E7C" w:rsidRDefault="00F01ECE" w:rsidP="00F01ECE">
            <w:pPr>
              <w:jc w:val="center"/>
              <w:rPr>
                <w:rFonts w:cs="Times New Roman"/>
                <w:lang w:val="sr-Cyrl-RS"/>
              </w:rPr>
            </w:pPr>
          </w:p>
          <w:p w14:paraId="51B3D06A" w14:textId="7A4F5868" w:rsidR="00F01ECE" w:rsidRPr="004D2E7C" w:rsidRDefault="00F01ECE" w:rsidP="00F01ECE">
            <w:pPr>
              <w:jc w:val="center"/>
              <w:rPr>
                <w:rFonts w:cs="Times New Roman"/>
                <w:lang w:val="sr-Cyrl-RS"/>
              </w:rPr>
            </w:pPr>
          </w:p>
          <w:p w14:paraId="50FF8F2F" w14:textId="7724CC39" w:rsidR="00F01ECE" w:rsidRPr="004D2E7C" w:rsidRDefault="00F01ECE" w:rsidP="00F01ECE">
            <w:pPr>
              <w:jc w:val="center"/>
              <w:rPr>
                <w:rFonts w:cs="Times New Roman"/>
                <w:lang w:val="sr-Cyrl-RS"/>
              </w:rPr>
            </w:pPr>
          </w:p>
          <w:p w14:paraId="49782611" w14:textId="77777777" w:rsidR="00514173" w:rsidRDefault="00514173" w:rsidP="00F01ECE">
            <w:pPr>
              <w:jc w:val="center"/>
              <w:rPr>
                <w:rFonts w:cs="Times New Roman"/>
                <w:lang w:val="sr-Cyrl-RS"/>
              </w:rPr>
            </w:pPr>
          </w:p>
          <w:p w14:paraId="46188000" w14:textId="3595A8C4" w:rsidR="00F01ECE" w:rsidRPr="004D2E7C" w:rsidRDefault="00F01ECE" w:rsidP="00F01ECE">
            <w:pPr>
              <w:jc w:val="center"/>
              <w:rPr>
                <w:rFonts w:cs="Times New Roman"/>
                <w:lang w:val="sr-Cyrl-RS"/>
              </w:rPr>
            </w:pPr>
            <w:r w:rsidRPr="004D2E7C">
              <w:rPr>
                <w:rFonts w:cs="Times New Roman"/>
                <w:lang w:val="sr-Cyrl-RS"/>
              </w:rPr>
              <w:t>4.1.</w:t>
            </w:r>
          </w:p>
        </w:tc>
        <w:tc>
          <w:tcPr>
            <w:tcW w:w="1296" w:type="pct"/>
            <w:vAlign w:val="center"/>
          </w:tcPr>
          <w:p w14:paraId="14731733" w14:textId="223F4E68" w:rsidR="00F01ECE" w:rsidRPr="004D2E7C" w:rsidRDefault="00F01ECE" w:rsidP="00F01ECE">
            <w:pPr>
              <w:jc w:val="center"/>
              <w:rPr>
                <w:rFonts w:eastAsia="Times New Roman" w:cs="Times New Roman"/>
                <w:b/>
                <w:lang w:val="sr-Cyrl-RS"/>
              </w:rPr>
            </w:pPr>
            <w:r w:rsidRPr="004D2E7C">
              <w:rPr>
                <w:rFonts w:cs="Times New Roman"/>
                <w:b/>
                <w:lang w:val="sr-Cyrl-RS"/>
              </w:rPr>
              <w:t>Тржишни надзор</w:t>
            </w:r>
          </w:p>
          <w:p w14:paraId="1E4DB148" w14:textId="27236C28" w:rsidR="00F01ECE" w:rsidRPr="00514173" w:rsidRDefault="00F01ECE" w:rsidP="00F01ECE">
            <w:pPr>
              <w:jc w:val="center"/>
              <w:rPr>
                <w:rFonts w:eastAsia="Times New Roman" w:cs="Times New Roman"/>
                <w:sz w:val="14"/>
                <w:szCs w:val="14"/>
                <w:lang w:val="sr-Cyrl-RS"/>
              </w:rPr>
            </w:pPr>
          </w:p>
          <w:p w14:paraId="4E1208E9" w14:textId="77777777" w:rsidR="00514173" w:rsidRPr="00514173" w:rsidRDefault="00514173" w:rsidP="00514173">
            <w:pPr>
              <w:ind w:firstLine="540"/>
              <w:jc w:val="both"/>
              <w:rPr>
                <w:rFonts w:eastAsia="Times New Roman" w:cs="Times New Roman"/>
                <w:color w:val="000000" w:themeColor="text1"/>
                <w:lang w:val="sr-Cyrl-CS"/>
              </w:rPr>
            </w:pPr>
            <w:r w:rsidRPr="00514173">
              <w:rPr>
                <w:rFonts w:eastAsia="Times New Roman" w:cs="Times New Roman"/>
                <w:color w:val="000000" w:themeColor="text1"/>
                <w:lang w:val="sr-Cyrl-CS"/>
              </w:rPr>
              <w:t xml:space="preserve">Надзор над спровођењем одредаба овог закона које се односе на енергетско означавање и еко-дизајн производа који утичу на потрошњу енергије врши министарство надлежно за послове трговине преко тржишних инспектора, односно органи надлежни за надзор над спровођењем прописа који се односе на техничке захтеве за производе, у складу са законом којим се уређује тржишни надзор, овим законом и подзаконским актима донетим на основу овог закона. </w:t>
            </w:r>
          </w:p>
          <w:p w14:paraId="24ECA524" w14:textId="77777777" w:rsidR="00514173" w:rsidRPr="00514173" w:rsidRDefault="00514173" w:rsidP="00514173">
            <w:pPr>
              <w:ind w:firstLine="540"/>
              <w:jc w:val="both"/>
              <w:rPr>
                <w:rFonts w:eastAsia="Times New Roman" w:cs="Times New Roman"/>
                <w:color w:val="000000" w:themeColor="text1"/>
                <w:lang w:val="sr-Cyrl-CS"/>
              </w:rPr>
            </w:pPr>
            <w:r w:rsidRPr="00514173">
              <w:rPr>
                <w:rFonts w:eastAsia="Times New Roman" w:cs="Times New Roman"/>
                <w:color w:val="000000" w:themeColor="text1"/>
                <w:lang w:val="sr-Cyrl-CS"/>
              </w:rPr>
              <w:t>Органи из става 1. овог члана поступају у складу са општим захтевима и програмом тржишног надзора и предузимају потребне мере тржишног надзора.</w:t>
            </w:r>
          </w:p>
          <w:p w14:paraId="2FE2375F" w14:textId="77777777" w:rsidR="00F01ECE" w:rsidRPr="00514173" w:rsidRDefault="00F01ECE" w:rsidP="00F01ECE">
            <w:pPr>
              <w:pStyle w:val="1tekst"/>
              <w:ind w:left="0" w:right="24" w:firstLine="0"/>
              <w:rPr>
                <w:rFonts w:ascii="Times New Roman" w:eastAsia="Calibri" w:hAnsi="Times New Roman" w:cs="Times New Roman"/>
                <w:sz w:val="14"/>
                <w:szCs w:val="14"/>
                <w:lang w:val="sr-Cyrl-RS"/>
              </w:rPr>
            </w:pPr>
          </w:p>
          <w:p w14:paraId="46188001" w14:textId="1E1BE9BA" w:rsidR="00F01ECE" w:rsidRPr="004D2E7C" w:rsidRDefault="00F01ECE" w:rsidP="00F01ECE">
            <w:pPr>
              <w:pStyle w:val="1tekst"/>
              <w:ind w:left="0" w:right="24" w:firstLine="0"/>
              <w:rPr>
                <w:rFonts w:ascii="Times New Roman" w:hAnsi="Times New Roman" w:cs="Times New Roman"/>
                <w:sz w:val="22"/>
                <w:szCs w:val="22"/>
                <w:lang w:val="sr-Cyrl-RS"/>
              </w:rPr>
            </w:pPr>
            <w:r w:rsidRPr="004D2E7C">
              <w:rPr>
                <w:rFonts w:ascii="Times New Roman" w:eastAsia="Calibri" w:hAnsi="Times New Roman" w:cs="Times New Roman"/>
                <w:sz w:val="22"/>
                <w:szCs w:val="22"/>
                <w:lang w:val="sr-Cyrl-RS"/>
              </w:rPr>
              <w:t xml:space="preserve">Овим законом уређује се област тржишног надзора коју врше надлежни органи тржишног надзора у прописаном делокругу, општа правила за спровођење активности и предузимање мера тржишног надзора, сарадња органа тржишног надзора и царинског органа, размена информација и комуникација са </w:t>
            </w:r>
            <w:r w:rsidRPr="004D2E7C">
              <w:rPr>
                <w:rFonts w:ascii="Times New Roman" w:eastAsia="Calibri" w:hAnsi="Times New Roman" w:cs="Times New Roman"/>
                <w:sz w:val="22"/>
                <w:szCs w:val="22"/>
                <w:lang w:val="sr-Cyrl-RS"/>
              </w:rPr>
              <w:lastRenderedPageBreak/>
              <w:t xml:space="preserve">заинтересованим странама, општа начела за примену знака усаглашености, планирање и праћење активности тржишног надзора и координација у тој области. </w:t>
            </w:r>
          </w:p>
        </w:tc>
        <w:tc>
          <w:tcPr>
            <w:tcW w:w="235" w:type="pct"/>
            <w:vAlign w:val="center"/>
          </w:tcPr>
          <w:p w14:paraId="46188002" w14:textId="77777777" w:rsidR="00F01ECE" w:rsidRPr="004D2E7C" w:rsidRDefault="00F01ECE" w:rsidP="00F01ECE">
            <w:pPr>
              <w:jc w:val="center"/>
              <w:rPr>
                <w:rFonts w:cs="Times New Roman"/>
                <w:lang w:val="sr-Cyrl-RS"/>
              </w:rPr>
            </w:pPr>
            <w:r w:rsidRPr="004D2E7C">
              <w:rPr>
                <w:rFonts w:cs="Times New Roman"/>
                <w:lang w:val="sr-Cyrl-RS"/>
              </w:rPr>
              <w:lastRenderedPageBreak/>
              <w:t>ПУ</w:t>
            </w:r>
          </w:p>
        </w:tc>
        <w:tc>
          <w:tcPr>
            <w:tcW w:w="676" w:type="pct"/>
            <w:vAlign w:val="center"/>
          </w:tcPr>
          <w:p w14:paraId="46188003" w14:textId="77777777" w:rsidR="00F01ECE" w:rsidRPr="004D2E7C" w:rsidRDefault="00F01ECE" w:rsidP="00F01ECE">
            <w:pPr>
              <w:rPr>
                <w:rFonts w:cs="Times New Roman"/>
                <w:lang w:val="sr-Cyrl-RS"/>
              </w:rPr>
            </w:pPr>
          </w:p>
        </w:tc>
        <w:tc>
          <w:tcPr>
            <w:tcW w:w="699" w:type="pct"/>
            <w:vAlign w:val="center"/>
          </w:tcPr>
          <w:p w14:paraId="46188004" w14:textId="77777777" w:rsidR="00F01ECE" w:rsidRPr="004D2E7C" w:rsidRDefault="00F01ECE" w:rsidP="00F01ECE">
            <w:pPr>
              <w:rPr>
                <w:rFonts w:cs="Times New Roman"/>
                <w:lang w:val="sr-Cyrl-RS"/>
              </w:rPr>
            </w:pPr>
          </w:p>
        </w:tc>
      </w:tr>
      <w:tr w:rsidR="00F01ECE" w:rsidRPr="004D2E7C" w14:paraId="4618800D" w14:textId="77777777" w:rsidTr="006B3660">
        <w:tc>
          <w:tcPr>
            <w:tcW w:w="280" w:type="pct"/>
            <w:shd w:val="clear" w:color="auto" w:fill="D9D9D9"/>
            <w:vAlign w:val="center"/>
          </w:tcPr>
          <w:p w14:paraId="46188006" w14:textId="77777777" w:rsidR="00F01ECE" w:rsidRPr="004D2E7C" w:rsidRDefault="00F01ECE" w:rsidP="00F01ECE">
            <w:pPr>
              <w:jc w:val="center"/>
              <w:rPr>
                <w:rFonts w:eastAsia="Times New Roman" w:cs="Times New Roman"/>
                <w:lang w:val="sr-Cyrl-RS"/>
              </w:rPr>
            </w:pPr>
            <w:r w:rsidRPr="004D2E7C">
              <w:rPr>
                <w:rFonts w:eastAsia="Times New Roman" w:cs="Times New Roman"/>
                <w:lang w:val="sr-Cyrl-RS"/>
              </w:rPr>
              <w:lastRenderedPageBreak/>
              <w:t>8.4.</w:t>
            </w:r>
          </w:p>
        </w:tc>
        <w:tc>
          <w:tcPr>
            <w:tcW w:w="1489" w:type="pct"/>
            <w:shd w:val="clear" w:color="auto" w:fill="D9D9D9"/>
            <w:vAlign w:val="center"/>
          </w:tcPr>
          <w:p w14:paraId="46188007" w14:textId="77777777" w:rsidR="00F01ECE" w:rsidRPr="004D2E7C" w:rsidRDefault="00F01ECE" w:rsidP="00F01ECE">
            <w:pPr>
              <w:jc w:val="both"/>
              <w:rPr>
                <w:rFonts w:eastAsia="Times New Roman" w:cs="Times New Roman"/>
                <w:lang w:val="en-GB"/>
              </w:rPr>
            </w:pPr>
            <w:r w:rsidRPr="004D2E7C">
              <w:rPr>
                <w:rFonts w:cs="Times New Roman"/>
                <w:lang w:val="en-GB"/>
              </w:rPr>
              <w:t>The Commission shall, in cooperation with the AdCos on Ecodesign and Energy Labelling, elaborate guidelines for the enforcement of this Regulation, in particular as regards best practices for product testing and the sharing of information between national market surveillance authorities and the Commission.</w:t>
            </w:r>
          </w:p>
        </w:tc>
        <w:tc>
          <w:tcPr>
            <w:tcW w:w="325" w:type="pct"/>
            <w:vAlign w:val="center"/>
          </w:tcPr>
          <w:p w14:paraId="46188008" w14:textId="77777777" w:rsidR="00F01ECE" w:rsidRPr="004D2E7C" w:rsidRDefault="00F01ECE" w:rsidP="00F01ECE">
            <w:pPr>
              <w:jc w:val="center"/>
              <w:rPr>
                <w:rFonts w:cs="Times New Roman"/>
                <w:lang w:val="sr-Cyrl-RS"/>
              </w:rPr>
            </w:pPr>
          </w:p>
        </w:tc>
        <w:tc>
          <w:tcPr>
            <w:tcW w:w="1296" w:type="pct"/>
            <w:vAlign w:val="center"/>
          </w:tcPr>
          <w:p w14:paraId="46188009" w14:textId="77777777" w:rsidR="00F01ECE" w:rsidRPr="004D2E7C" w:rsidRDefault="00F01ECE" w:rsidP="00F01ECE">
            <w:pPr>
              <w:rPr>
                <w:rFonts w:cs="Times New Roman"/>
                <w:lang w:val="sr-Cyrl-RS"/>
              </w:rPr>
            </w:pPr>
          </w:p>
        </w:tc>
        <w:tc>
          <w:tcPr>
            <w:tcW w:w="235" w:type="pct"/>
            <w:vAlign w:val="center"/>
          </w:tcPr>
          <w:p w14:paraId="4618800A" w14:textId="77777777" w:rsidR="00F01ECE" w:rsidRPr="004D2E7C" w:rsidRDefault="00F01ECE" w:rsidP="00F01ECE">
            <w:pPr>
              <w:jc w:val="center"/>
              <w:rPr>
                <w:rFonts w:cs="Times New Roman"/>
                <w:lang w:val="sr-Cyrl-RS"/>
              </w:rPr>
            </w:pPr>
            <w:r w:rsidRPr="004D2E7C">
              <w:rPr>
                <w:rFonts w:cs="Times New Roman"/>
                <w:lang w:val="sr-Cyrl-RS"/>
              </w:rPr>
              <w:t>НП</w:t>
            </w:r>
          </w:p>
        </w:tc>
        <w:tc>
          <w:tcPr>
            <w:tcW w:w="676" w:type="pct"/>
            <w:vAlign w:val="center"/>
          </w:tcPr>
          <w:p w14:paraId="4618800B" w14:textId="77777777" w:rsidR="00F01ECE" w:rsidRPr="004D2E7C" w:rsidRDefault="00F01ECE" w:rsidP="00F01ECE">
            <w:pPr>
              <w:rPr>
                <w:rFonts w:cs="Times New Roman"/>
                <w:lang w:val="sr-Cyrl-RS"/>
              </w:rPr>
            </w:pPr>
            <w:r w:rsidRPr="004D2E7C">
              <w:rPr>
                <w:rFonts w:cs="Times New Roman"/>
                <w:lang w:val="sr-Cyrl-RS"/>
              </w:rPr>
              <w:t>Ова одредба се односи на обавезе Европске комисије</w:t>
            </w:r>
          </w:p>
        </w:tc>
        <w:tc>
          <w:tcPr>
            <w:tcW w:w="699" w:type="pct"/>
            <w:vAlign w:val="center"/>
          </w:tcPr>
          <w:p w14:paraId="4618800C" w14:textId="77777777" w:rsidR="00F01ECE" w:rsidRPr="004D2E7C" w:rsidRDefault="00F01ECE" w:rsidP="00F01ECE">
            <w:pPr>
              <w:rPr>
                <w:rFonts w:cs="Times New Roman"/>
                <w:lang w:val="sr-Cyrl-RS"/>
              </w:rPr>
            </w:pPr>
          </w:p>
        </w:tc>
      </w:tr>
      <w:tr w:rsidR="00F01ECE" w:rsidRPr="004D2E7C" w14:paraId="46188016" w14:textId="77777777" w:rsidTr="006B3660">
        <w:tc>
          <w:tcPr>
            <w:tcW w:w="280" w:type="pct"/>
            <w:shd w:val="clear" w:color="auto" w:fill="D9D9D9"/>
            <w:vAlign w:val="center"/>
          </w:tcPr>
          <w:p w14:paraId="4618800E" w14:textId="77777777" w:rsidR="00F01ECE" w:rsidRPr="004D2E7C" w:rsidRDefault="00F01ECE" w:rsidP="00F01ECE">
            <w:pPr>
              <w:jc w:val="center"/>
              <w:rPr>
                <w:rFonts w:eastAsia="Times New Roman" w:cs="Times New Roman"/>
                <w:lang w:val="sr-Cyrl-RS"/>
              </w:rPr>
            </w:pPr>
            <w:r w:rsidRPr="004D2E7C">
              <w:rPr>
                <w:rFonts w:eastAsia="Times New Roman" w:cs="Times New Roman"/>
                <w:lang w:val="sr-Cyrl-RS"/>
              </w:rPr>
              <w:t>8.5.</w:t>
            </w:r>
          </w:p>
        </w:tc>
        <w:tc>
          <w:tcPr>
            <w:tcW w:w="1489" w:type="pct"/>
            <w:shd w:val="clear" w:color="auto" w:fill="D9D9D9"/>
            <w:vAlign w:val="center"/>
          </w:tcPr>
          <w:p w14:paraId="4618800F" w14:textId="77777777" w:rsidR="00F01ECE" w:rsidRPr="004D2E7C" w:rsidRDefault="00F01ECE" w:rsidP="00F01ECE">
            <w:pPr>
              <w:pStyle w:val="Normal1"/>
              <w:spacing w:before="0" w:beforeAutospacing="0" w:after="0" w:afterAutospacing="0"/>
              <w:jc w:val="both"/>
              <w:rPr>
                <w:sz w:val="22"/>
                <w:szCs w:val="22"/>
                <w:lang w:val="en-GB"/>
              </w:rPr>
            </w:pPr>
            <w:r w:rsidRPr="004D2E7C">
              <w:rPr>
                <w:sz w:val="22"/>
                <w:szCs w:val="22"/>
                <w:lang w:val="en-GB"/>
              </w:rPr>
              <w:t>Market surveillance authorities shall have the right to recover from the supplier the costs of document inspection and physical product testing in case of non-compliance with this Regulation or the relevant delegated acts.</w:t>
            </w:r>
          </w:p>
          <w:p w14:paraId="46188010" w14:textId="77777777" w:rsidR="00F01ECE" w:rsidRPr="004D2E7C" w:rsidRDefault="00F01ECE" w:rsidP="00F01ECE">
            <w:pPr>
              <w:pStyle w:val="Normal1"/>
              <w:spacing w:before="0" w:beforeAutospacing="0" w:after="0" w:afterAutospacing="0"/>
              <w:jc w:val="both"/>
              <w:rPr>
                <w:sz w:val="22"/>
                <w:szCs w:val="22"/>
                <w:lang w:val="en-GB"/>
              </w:rPr>
            </w:pPr>
          </w:p>
        </w:tc>
        <w:tc>
          <w:tcPr>
            <w:tcW w:w="325" w:type="pct"/>
            <w:vAlign w:val="center"/>
          </w:tcPr>
          <w:p w14:paraId="46188011" w14:textId="77777777" w:rsidR="00F01ECE" w:rsidRPr="004D2E7C" w:rsidRDefault="00F01ECE" w:rsidP="00F01ECE">
            <w:pPr>
              <w:jc w:val="center"/>
              <w:rPr>
                <w:rFonts w:cs="Times New Roman"/>
                <w:lang w:val="sr-Cyrl-RS"/>
              </w:rPr>
            </w:pPr>
            <w:r w:rsidRPr="004D2E7C">
              <w:rPr>
                <w:rFonts w:cs="Times New Roman"/>
                <w:lang w:val="sr-Cyrl-RS"/>
              </w:rPr>
              <w:t>4.10.8.</w:t>
            </w:r>
          </w:p>
        </w:tc>
        <w:tc>
          <w:tcPr>
            <w:tcW w:w="1296" w:type="pct"/>
            <w:vAlign w:val="center"/>
          </w:tcPr>
          <w:p w14:paraId="46188012" w14:textId="13C23548" w:rsidR="00F01ECE" w:rsidRPr="00514173" w:rsidRDefault="00F01ECE" w:rsidP="00514173">
            <w:pPr>
              <w:pStyle w:val="1tekst"/>
              <w:spacing w:after="120"/>
              <w:ind w:left="0" w:right="29" w:firstLine="0"/>
              <w:rPr>
                <w:rFonts w:ascii="Times New Roman" w:eastAsia="Calibri" w:hAnsi="Times New Roman" w:cs="Times New Roman"/>
                <w:sz w:val="22"/>
                <w:szCs w:val="22"/>
                <w:lang w:val="sr-Cyrl-RS"/>
              </w:rPr>
            </w:pPr>
            <w:r w:rsidRPr="004D2E7C">
              <w:rPr>
                <w:rFonts w:ascii="Times New Roman" w:eastAsia="Calibri" w:hAnsi="Times New Roman" w:cs="Times New Roman"/>
                <w:sz w:val="22"/>
                <w:szCs w:val="22"/>
                <w:lang w:val="sr-Cyrl-RS"/>
              </w:rPr>
              <w:t xml:space="preserve">Трошкове провере и испитивања усаглашености производа, као и друге трошкове који настану у поступку предузимања мера тржишног надзора из делокруга надлежних органа тржишног надзора, сноси привредни субјект, ако се утврди да производ није усаглашен са прописаним захтевима. </w:t>
            </w:r>
          </w:p>
        </w:tc>
        <w:tc>
          <w:tcPr>
            <w:tcW w:w="235" w:type="pct"/>
            <w:vAlign w:val="center"/>
          </w:tcPr>
          <w:p w14:paraId="46188013" w14:textId="77777777" w:rsidR="00F01ECE" w:rsidRPr="004D2E7C" w:rsidRDefault="00F01ECE" w:rsidP="00F01ECE">
            <w:pPr>
              <w:jc w:val="center"/>
              <w:rPr>
                <w:rFonts w:cs="Times New Roman"/>
                <w:lang w:val="sr-Cyrl-RS"/>
              </w:rPr>
            </w:pPr>
            <w:r w:rsidRPr="004D2E7C">
              <w:rPr>
                <w:rFonts w:cs="Times New Roman"/>
                <w:lang w:val="sr-Cyrl-RS"/>
              </w:rPr>
              <w:t>ПУ</w:t>
            </w:r>
          </w:p>
        </w:tc>
        <w:tc>
          <w:tcPr>
            <w:tcW w:w="676" w:type="pct"/>
            <w:vAlign w:val="center"/>
          </w:tcPr>
          <w:p w14:paraId="46188014" w14:textId="77777777" w:rsidR="00F01ECE" w:rsidRPr="004D2E7C" w:rsidRDefault="00F01ECE" w:rsidP="00F01ECE">
            <w:pPr>
              <w:rPr>
                <w:rFonts w:cs="Times New Roman"/>
                <w:lang w:val="sr-Cyrl-RS"/>
              </w:rPr>
            </w:pPr>
          </w:p>
        </w:tc>
        <w:tc>
          <w:tcPr>
            <w:tcW w:w="699" w:type="pct"/>
            <w:vAlign w:val="center"/>
          </w:tcPr>
          <w:p w14:paraId="46188015" w14:textId="77777777" w:rsidR="00F01ECE" w:rsidRPr="004D2E7C" w:rsidRDefault="00F01ECE" w:rsidP="00F01ECE">
            <w:pPr>
              <w:rPr>
                <w:rFonts w:cs="Times New Roman"/>
                <w:lang w:val="sr-Cyrl-RS"/>
              </w:rPr>
            </w:pPr>
          </w:p>
        </w:tc>
      </w:tr>
      <w:tr w:rsidR="00F01ECE" w:rsidRPr="004D2E7C" w14:paraId="46188023" w14:textId="77777777" w:rsidTr="006B3660">
        <w:tc>
          <w:tcPr>
            <w:tcW w:w="280" w:type="pct"/>
            <w:shd w:val="clear" w:color="auto" w:fill="D9D9D9"/>
            <w:vAlign w:val="center"/>
          </w:tcPr>
          <w:p w14:paraId="46188017" w14:textId="77777777" w:rsidR="00F01ECE" w:rsidRPr="004D2E7C" w:rsidRDefault="00F01ECE" w:rsidP="00F01ECE">
            <w:pPr>
              <w:jc w:val="center"/>
              <w:rPr>
                <w:rFonts w:eastAsia="Times New Roman" w:cs="Times New Roman"/>
                <w:lang w:val="sr-Cyrl-RS"/>
              </w:rPr>
            </w:pPr>
            <w:r w:rsidRPr="004D2E7C">
              <w:rPr>
                <w:rFonts w:eastAsia="Times New Roman" w:cs="Times New Roman"/>
                <w:lang w:val="sr-Cyrl-RS"/>
              </w:rPr>
              <w:t>9.1</w:t>
            </w:r>
          </w:p>
        </w:tc>
        <w:tc>
          <w:tcPr>
            <w:tcW w:w="1489" w:type="pct"/>
            <w:shd w:val="clear" w:color="auto" w:fill="D9D9D9"/>
            <w:vAlign w:val="center"/>
          </w:tcPr>
          <w:p w14:paraId="46188019" w14:textId="23F174AE" w:rsidR="00F01ECE" w:rsidRPr="004D2E7C" w:rsidRDefault="00F01ECE" w:rsidP="00247AA9">
            <w:pPr>
              <w:pStyle w:val="Normal1"/>
              <w:spacing w:before="0" w:beforeAutospacing="0" w:after="0" w:afterAutospacing="0"/>
              <w:rPr>
                <w:b/>
                <w:bCs/>
                <w:sz w:val="22"/>
                <w:szCs w:val="22"/>
                <w:lang w:val="en-GB"/>
              </w:rPr>
            </w:pPr>
            <w:r w:rsidRPr="004D2E7C">
              <w:rPr>
                <w:b/>
                <w:bCs/>
                <w:sz w:val="22"/>
                <w:szCs w:val="22"/>
                <w:lang w:val="en-GB"/>
              </w:rPr>
              <w:t>P</w:t>
            </w:r>
            <w:r w:rsidR="00247AA9">
              <w:rPr>
                <w:b/>
                <w:bCs/>
                <w:sz w:val="22"/>
                <w:szCs w:val="22"/>
                <w:lang w:val="en-GB"/>
              </w:rPr>
              <w:t>ROCEDURE AT NATIONAL LEVEL FOR DEALING WITH PRODUCTS PRESENTING A RISK</w:t>
            </w:r>
          </w:p>
          <w:p w14:paraId="4618801A" w14:textId="77777777" w:rsidR="00F01ECE" w:rsidRPr="004D2E7C" w:rsidRDefault="00F01ECE" w:rsidP="00F01ECE">
            <w:pPr>
              <w:pStyle w:val="Normal1"/>
              <w:spacing w:before="0" w:beforeAutospacing="0" w:after="0" w:afterAutospacing="0"/>
              <w:jc w:val="both"/>
              <w:rPr>
                <w:sz w:val="22"/>
                <w:szCs w:val="22"/>
                <w:lang w:val="en-GB"/>
              </w:rPr>
            </w:pPr>
          </w:p>
          <w:p w14:paraId="4618801B" w14:textId="4283CA2D" w:rsidR="00F01ECE" w:rsidRPr="004D2E7C" w:rsidRDefault="00F01ECE" w:rsidP="00F01ECE">
            <w:pPr>
              <w:pStyle w:val="Normal1"/>
              <w:spacing w:before="0" w:beforeAutospacing="0" w:after="0" w:afterAutospacing="0"/>
              <w:jc w:val="both"/>
              <w:rPr>
                <w:sz w:val="22"/>
                <w:szCs w:val="22"/>
                <w:lang w:val="en-GB"/>
              </w:rPr>
            </w:pPr>
            <w:r w:rsidRPr="004D2E7C">
              <w:rPr>
                <w:sz w:val="22"/>
                <w:szCs w:val="22"/>
                <w:lang w:val="en-GB"/>
              </w:rPr>
              <w:t xml:space="preserve">Where the market surveillance authorities of one Member State have sufficient reason to believe that a product covered by this Regulation presents a risk to aspects of public interest protection covered by this Regulation, such as environmental and consumer protection aspects, they shall carry out an evaluation in relation to the product concerned covering all energy labelling requirements relevant to the risk and laid down in this Regulation or in the </w:t>
            </w:r>
            <w:r w:rsidRPr="004D2E7C">
              <w:rPr>
                <w:sz w:val="22"/>
                <w:szCs w:val="22"/>
                <w:lang w:val="en-GB"/>
              </w:rPr>
              <w:lastRenderedPageBreak/>
              <w:t>relevant delegated act. Suppliers and dealers shall cooperate as necessary with the market surveillance authorities for the purpose of that evaluation.</w:t>
            </w:r>
          </w:p>
          <w:p w14:paraId="4618801C" w14:textId="77777777" w:rsidR="00F01ECE" w:rsidRPr="004D2E7C" w:rsidRDefault="00F01ECE" w:rsidP="00F01ECE">
            <w:pPr>
              <w:pStyle w:val="Normal1"/>
              <w:spacing w:before="0" w:beforeAutospacing="0" w:after="0" w:afterAutospacing="0"/>
              <w:jc w:val="both"/>
              <w:rPr>
                <w:sz w:val="22"/>
                <w:szCs w:val="22"/>
                <w:lang w:val="en-GB"/>
              </w:rPr>
            </w:pPr>
          </w:p>
        </w:tc>
        <w:tc>
          <w:tcPr>
            <w:tcW w:w="325" w:type="pct"/>
          </w:tcPr>
          <w:p w14:paraId="785925BF" w14:textId="77777777" w:rsidR="00F01ECE" w:rsidRPr="004D2E7C" w:rsidRDefault="00F01ECE" w:rsidP="00F01ECE">
            <w:pPr>
              <w:jc w:val="center"/>
              <w:rPr>
                <w:rFonts w:cs="Times New Roman"/>
                <w:b/>
                <w:bCs/>
                <w:lang w:val="sr-Cyrl-RS"/>
              </w:rPr>
            </w:pPr>
          </w:p>
          <w:p w14:paraId="0CD868E3" w14:textId="77777777" w:rsidR="00F01ECE" w:rsidRPr="004D2E7C" w:rsidRDefault="00F01ECE" w:rsidP="00F01ECE">
            <w:pPr>
              <w:jc w:val="center"/>
              <w:rPr>
                <w:rFonts w:cs="Times New Roman"/>
                <w:b/>
                <w:bCs/>
                <w:lang w:val="sr-Cyrl-RS"/>
              </w:rPr>
            </w:pPr>
          </w:p>
          <w:p w14:paraId="5CD4346B" w14:textId="77777777" w:rsidR="00F01ECE" w:rsidRPr="004D2E7C" w:rsidRDefault="00F01ECE" w:rsidP="00F01ECE">
            <w:pPr>
              <w:jc w:val="center"/>
              <w:rPr>
                <w:rFonts w:cs="Times New Roman"/>
                <w:b/>
                <w:bCs/>
                <w:lang w:val="sr-Cyrl-RS"/>
              </w:rPr>
            </w:pPr>
          </w:p>
          <w:p w14:paraId="1BE1AFDD" w14:textId="52D76575" w:rsidR="00F01ECE" w:rsidRPr="00514173" w:rsidRDefault="00F01ECE" w:rsidP="00F01ECE">
            <w:pPr>
              <w:jc w:val="center"/>
              <w:rPr>
                <w:rFonts w:cs="Times New Roman"/>
                <w:b/>
                <w:bCs/>
              </w:rPr>
            </w:pPr>
            <w:r w:rsidRPr="004D2E7C">
              <w:rPr>
                <w:rFonts w:cs="Times New Roman"/>
                <w:b/>
                <w:bCs/>
                <w:lang w:val="sr-Cyrl-RS"/>
              </w:rPr>
              <w:t>1.</w:t>
            </w:r>
            <w:r w:rsidR="00514173">
              <w:rPr>
                <w:rFonts w:cs="Times New Roman"/>
                <w:b/>
                <w:bCs/>
              </w:rPr>
              <w:t>124.</w:t>
            </w:r>
          </w:p>
          <w:p w14:paraId="5C56F1B5" w14:textId="77777777" w:rsidR="00F01ECE" w:rsidRPr="004D2E7C" w:rsidRDefault="00F01ECE" w:rsidP="00F01ECE">
            <w:pPr>
              <w:jc w:val="center"/>
              <w:rPr>
                <w:rFonts w:cs="Times New Roman"/>
                <w:b/>
                <w:bCs/>
                <w:lang w:val="sr-Cyrl-RS"/>
              </w:rPr>
            </w:pPr>
          </w:p>
          <w:p w14:paraId="68D78F7B" w14:textId="77777777" w:rsidR="00F01ECE" w:rsidRPr="004D2E7C" w:rsidRDefault="00F01ECE" w:rsidP="00F01ECE">
            <w:pPr>
              <w:jc w:val="center"/>
              <w:rPr>
                <w:rFonts w:cs="Times New Roman"/>
                <w:b/>
                <w:bCs/>
                <w:lang w:val="sr-Cyrl-RS"/>
              </w:rPr>
            </w:pPr>
          </w:p>
          <w:p w14:paraId="44225145" w14:textId="77777777" w:rsidR="00F01ECE" w:rsidRPr="004D2E7C" w:rsidRDefault="00F01ECE" w:rsidP="00F01ECE">
            <w:pPr>
              <w:jc w:val="center"/>
              <w:rPr>
                <w:rFonts w:cs="Times New Roman"/>
                <w:b/>
                <w:bCs/>
                <w:lang w:val="sr-Cyrl-RS"/>
              </w:rPr>
            </w:pPr>
          </w:p>
          <w:p w14:paraId="27947DCA" w14:textId="77777777" w:rsidR="00F01ECE" w:rsidRPr="004D2E7C" w:rsidRDefault="00F01ECE" w:rsidP="00F01ECE">
            <w:pPr>
              <w:jc w:val="center"/>
              <w:rPr>
                <w:rFonts w:cs="Times New Roman"/>
                <w:b/>
                <w:bCs/>
                <w:lang w:val="sr-Cyrl-RS"/>
              </w:rPr>
            </w:pPr>
          </w:p>
          <w:p w14:paraId="575B42D3" w14:textId="77777777" w:rsidR="00F01ECE" w:rsidRPr="004D2E7C" w:rsidRDefault="00F01ECE" w:rsidP="00F01ECE">
            <w:pPr>
              <w:jc w:val="center"/>
              <w:rPr>
                <w:rFonts w:cs="Times New Roman"/>
                <w:b/>
                <w:bCs/>
                <w:lang w:val="sr-Cyrl-RS"/>
              </w:rPr>
            </w:pPr>
          </w:p>
          <w:p w14:paraId="4C7D2F25" w14:textId="77777777" w:rsidR="00F01ECE" w:rsidRPr="004D2E7C" w:rsidRDefault="00F01ECE" w:rsidP="00F01ECE">
            <w:pPr>
              <w:jc w:val="center"/>
              <w:rPr>
                <w:rFonts w:cs="Times New Roman"/>
                <w:b/>
                <w:bCs/>
                <w:lang w:val="sr-Cyrl-RS"/>
              </w:rPr>
            </w:pPr>
          </w:p>
          <w:p w14:paraId="39CF10A7" w14:textId="77777777" w:rsidR="00F01ECE" w:rsidRPr="004D2E7C" w:rsidRDefault="00F01ECE" w:rsidP="00F01ECE">
            <w:pPr>
              <w:jc w:val="center"/>
              <w:rPr>
                <w:rFonts w:cs="Times New Roman"/>
                <w:b/>
                <w:bCs/>
                <w:lang w:val="sr-Cyrl-RS"/>
              </w:rPr>
            </w:pPr>
          </w:p>
          <w:p w14:paraId="4838CBE6" w14:textId="77777777" w:rsidR="00F01ECE" w:rsidRPr="004D2E7C" w:rsidRDefault="00F01ECE" w:rsidP="00F01ECE">
            <w:pPr>
              <w:jc w:val="center"/>
              <w:rPr>
                <w:rFonts w:cs="Times New Roman"/>
                <w:b/>
                <w:bCs/>
                <w:lang w:val="sr-Cyrl-RS"/>
              </w:rPr>
            </w:pPr>
          </w:p>
          <w:p w14:paraId="1B5DE69F" w14:textId="77777777" w:rsidR="00F01ECE" w:rsidRPr="004D2E7C" w:rsidRDefault="00F01ECE" w:rsidP="00F01ECE">
            <w:pPr>
              <w:jc w:val="center"/>
              <w:rPr>
                <w:rFonts w:cs="Times New Roman"/>
                <w:b/>
                <w:bCs/>
                <w:lang w:val="sr-Cyrl-RS"/>
              </w:rPr>
            </w:pPr>
          </w:p>
          <w:p w14:paraId="4E8A8435" w14:textId="77777777" w:rsidR="00F01ECE" w:rsidRPr="004D2E7C" w:rsidRDefault="00F01ECE" w:rsidP="00F01ECE">
            <w:pPr>
              <w:jc w:val="center"/>
              <w:rPr>
                <w:rFonts w:cs="Times New Roman"/>
                <w:b/>
                <w:bCs/>
                <w:lang w:val="sr-Cyrl-RS"/>
              </w:rPr>
            </w:pPr>
          </w:p>
          <w:p w14:paraId="74F82ABA" w14:textId="77777777" w:rsidR="00F01ECE" w:rsidRPr="004D2E7C" w:rsidRDefault="00F01ECE" w:rsidP="00F01ECE">
            <w:pPr>
              <w:jc w:val="center"/>
              <w:rPr>
                <w:rFonts w:cs="Times New Roman"/>
                <w:b/>
                <w:bCs/>
                <w:lang w:val="sr-Cyrl-RS"/>
              </w:rPr>
            </w:pPr>
          </w:p>
          <w:p w14:paraId="6F1DAD7C" w14:textId="77777777" w:rsidR="00F01ECE" w:rsidRPr="004D2E7C" w:rsidRDefault="00F01ECE" w:rsidP="00F01ECE">
            <w:pPr>
              <w:jc w:val="center"/>
              <w:rPr>
                <w:rFonts w:cs="Times New Roman"/>
                <w:b/>
                <w:bCs/>
                <w:lang w:val="sr-Cyrl-RS"/>
              </w:rPr>
            </w:pPr>
          </w:p>
          <w:p w14:paraId="5B2FD2FC" w14:textId="77777777" w:rsidR="00F01ECE" w:rsidRPr="004D2E7C" w:rsidRDefault="00F01ECE" w:rsidP="00F01ECE">
            <w:pPr>
              <w:jc w:val="center"/>
              <w:rPr>
                <w:rFonts w:cs="Times New Roman"/>
                <w:b/>
                <w:bCs/>
                <w:lang w:val="sr-Cyrl-RS"/>
              </w:rPr>
            </w:pPr>
          </w:p>
          <w:p w14:paraId="166ADB3B" w14:textId="77777777" w:rsidR="00F01ECE" w:rsidRPr="004D2E7C" w:rsidRDefault="00F01ECE" w:rsidP="00F01ECE">
            <w:pPr>
              <w:jc w:val="center"/>
              <w:rPr>
                <w:rFonts w:cs="Times New Roman"/>
                <w:b/>
                <w:bCs/>
                <w:lang w:val="sr-Cyrl-RS"/>
              </w:rPr>
            </w:pPr>
          </w:p>
          <w:p w14:paraId="0A35CD3D" w14:textId="77777777" w:rsidR="00F01ECE" w:rsidRPr="004D2E7C" w:rsidRDefault="00F01ECE" w:rsidP="00F01ECE">
            <w:pPr>
              <w:jc w:val="center"/>
              <w:rPr>
                <w:rFonts w:cs="Times New Roman"/>
                <w:b/>
                <w:bCs/>
                <w:lang w:val="sr-Cyrl-RS"/>
              </w:rPr>
            </w:pPr>
          </w:p>
          <w:p w14:paraId="24DDC318" w14:textId="77777777" w:rsidR="00514173" w:rsidRDefault="00514173" w:rsidP="00F01ECE">
            <w:pPr>
              <w:jc w:val="center"/>
              <w:rPr>
                <w:rFonts w:cs="Times New Roman"/>
                <w:b/>
                <w:bCs/>
                <w:lang w:val="sr-Cyrl-RS"/>
              </w:rPr>
            </w:pPr>
          </w:p>
          <w:p w14:paraId="61070014" w14:textId="649AE205" w:rsidR="00514173" w:rsidRDefault="00F01ECE" w:rsidP="00F01ECE">
            <w:pPr>
              <w:jc w:val="center"/>
              <w:rPr>
                <w:rFonts w:cs="Times New Roman"/>
                <w:b/>
                <w:bCs/>
                <w:lang w:val="sr-Cyrl-RS"/>
              </w:rPr>
            </w:pPr>
            <w:r w:rsidRPr="004D2E7C">
              <w:rPr>
                <w:rFonts w:cs="Times New Roman"/>
                <w:b/>
                <w:bCs/>
                <w:lang w:val="sr-Cyrl-RS"/>
              </w:rPr>
              <w:t>1</w:t>
            </w:r>
            <w:r w:rsidR="00514173">
              <w:rPr>
                <w:rFonts w:cs="Times New Roman"/>
                <w:b/>
                <w:bCs/>
              </w:rPr>
              <w:t>.125</w:t>
            </w:r>
            <w:r w:rsidRPr="004D2E7C">
              <w:rPr>
                <w:rFonts w:cs="Times New Roman"/>
                <w:b/>
                <w:bCs/>
                <w:lang w:val="sr-Cyrl-RS"/>
              </w:rPr>
              <w:t>.</w:t>
            </w:r>
          </w:p>
          <w:p w14:paraId="4618801D" w14:textId="1F60D639" w:rsidR="00F01ECE" w:rsidRPr="004D2E7C" w:rsidRDefault="00F01ECE" w:rsidP="00F01ECE">
            <w:pPr>
              <w:jc w:val="center"/>
              <w:rPr>
                <w:rFonts w:cs="Times New Roman"/>
                <w:b/>
                <w:bCs/>
                <w:lang w:val="sr-Cyrl-RS"/>
              </w:rPr>
            </w:pPr>
            <w:r w:rsidRPr="004D2E7C">
              <w:rPr>
                <w:rFonts w:cs="Times New Roman"/>
                <w:b/>
                <w:bCs/>
                <w:lang w:val="sr-Cyrl-RS"/>
              </w:rPr>
              <w:t>1-2.</w:t>
            </w:r>
          </w:p>
        </w:tc>
        <w:tc>
          <w:tcPr>
            <w:tcW w:w="1296" w:type="pct"/>
            <w:vAlign w:val="center"/>
          </w:tcPr>
          <w:p w14:paraId="614DC66D" w14:textId="3D2A193F" w:rsidR="00F01ECE" w:rsidRPr="004D2E7C" w:rsidRDefault="00F01ECE" w:rsidP="00F01ECE">
            <w:pPr>
              <w:jc w:val="center"/>
              <w:rPr>
                <w:rFonts w:eastAsia="Times New Roman" w:cs="Times New Roman"/>
                <w:b/>
                <w:lang w:val="sr-Cyrl-RS"/>
              </w:rPr>
            </w:pPr>
            <w:r w:rsidRPr="004D2E7C">
              <w:rPr>
                <w:rFonts w:cs="Times New Roman"/>
                <w:b/>
                <w:lang w:val="sr-Cyrl-RS"/>
              </w:rPr>
              <w:lastRenderedPageBreak/>
              <w:t>Тржишни надзор</w:t>
            </w:r>
          </w:p>
          <w:p w14:paraId="7FC2218E" w14:textId="351EE01A" w:rsidR="00F01ECE" w:rsidRPr="00514173" w:rsidRDefault="00F01ECE" w:rsidP="00F01ECE">
            <w:pPr>
              <w:jc w:val="center"/>
              <w:rPr>
                <w:rFonts w:eastAsia="Times New Roman" w:cs="Times New Roman"/>
                <w:sz w:val="14"/>
                <w:szCs w:val="14"/>
                <w:lang w:val="sr-Cyrl-RS"/>
              </w:rPr>
            </w:pPr>
          </w:p>
          <w:p w14:paraId="2159433A" w14:textId="77777777" w:rsidR="00514173" w:rsidRPr="00514173" w:rsidRDefault="00514173" w:rsidP="00514173">
            <w:pPr>
              <w:ind w:firstLine="540"/>
              <w:jc w:val="both"/>
              <w:rPr>
                <w:rFonts w:eastAsia="Times New Roman" w:cs="Times New Roman"/>
                <w:color w:val="000000" w:themeColor="text1"/>
                <w:lang w:val="sr-Cyrl-CS"/>
              </w:rPr>
            </w:pPr>
            <w:r w:rsidRPr="00514173">
              <w:rPr>
                <w:rFonts w:eastAsia="Times New Roman" w:cs="Times New Roman"/>
                <w:color w:val="000000" w:themeColor="text1"/>
                <w:lang w:val="sr-Cyrl-CS"/>
              </w:rPr>
              <w:t xml:space="preserve">Надзор над спровођењем одредаба овог закона које се односе на енергетско означавање и еко-дизајн производа који утичу на потрошњу енергије врши министарство надлежно за послове трговине преко тржишних инспектора, односно органи надлежни за надзор над спровођењем прописа који се односе на техничке захтеве за производе, у складу са законом којим се уређује тржишни </w:t>
            </w:r>
            <w:r w:rsidRPr="00514173">
              <w:rPr>
                <w:rFonts w:eastAsia="Times New Roman" w:cs="Times New Roman"/>
                <w:color w:val="000000" w:themeColor="text1"/>
                <w:lang w:val="sr-Cyrl-CS"/>
              </w:rPr>
              <w:lastRenderedPageBreak/>
              <w:t xml:space="preserve">надзор, овим законом и подзаконским актима донетим на основу овог закона. </w:t>
            </w:r>
          </w:p>
          <w:p w14:paraId="7874D4DE" w14:textId="77777777" w:rsidR="00514173" w:rsidRPr="00514173" w:rsidRDefault="00514173" w:rsidP="00514173">
            <w:pPr>
              <w:ind w:firstLine="540"/>
              <w:jc w:val="both"/>
              <w:rPr>
                <w:rFonts w:eastAsia="Times New Roman" w:cs="Times New Roman"/>
                <w:color w:val="000000" w:themeColor="text1"/>
                <w:lang w:val="sr-Cyrl-CS"/>
              </w:rPr>
            </w:pPr>
            <w:r w:rsidRPr="00514173">
              <w:rPr>
                <w:rFonts w:eastAsia="Times New Roman" w:cs="Times New Roman"/>
                <w:color w:val="000000" w:themeColor="text1"/>
                <w:lang w:val="sr-Cyrl-CS"/>
              </w:rPr>
              <w:t>Органи из става 1. овог члана поступају у складу са општим захтевима и програмом тржишног надзора и предузимају потребне мере тржишног надзора.</w:t>
            </w:r>
          </w:p>
          <w:p w14:paraId="07430EE6" w14:textId="77777777" w:rsidR="00F01ECE" w:rsidRPr="00514173" w:rsidRDefault="00F01ECE" w:rsidP="00F01ECE">
            <w:pPr>
              <w:rPr>
                <w:rFonts w:eastAsia="Times New Roman" w:cs="Times New Roman"/>
                <w:sz w:val="16"/>
                <w:szCs w:val="16"/>
                <w:lang w:val="sr-Cyrl-RS"/>
              </w:rPr>
            </w:pPr>
          </w:p>
          <w:p w14:paraId="1BE8EB84" w14:textId="77777777" w:rsidR="00514173" w:rsidRPr="00514173" w:rsidRDefault="00514173" w:rsidP="00514173">
            <w:pPr>
              <w:ind w:firstLine="720"/>
              <w:jc w:val="both"/>
              <w:rPr>
                <w:rFonts w:eastAsia="Times New Roman" w:cs="Times New Roman"/>
                <w:color w:val="000000" w:themeColor="text1"/>
                <w:lang w:val="sr-Cyrl-RS"/>
              </w:rPr>
            </w:pPr>
            <w:r w:rsidRPr="00514173">
              <w:rPr>
                <w:rFonts w:eastAsia="Times New Roman" w:cs="Times New Roman"/>
                <w:color w:val="000000" w:themeColor="text1"/>
                <w:lang w:val="sr-Cyrl-RS"/>
              </w:rPr>
              <w:t>Ако се утврди да производ из члана 62. овог закона и који се користи у складу са наменом, не задовољава прописане затхеве енергетског означавања, испоручилац или продавац имају обавезу да ускладе производ са тим захтевима.</w:t>
            </w:r>
          </w:p>
          <w:p w14:paraId="4618801F" w14:textId="3FBA0F17" w:rsidR="00F01ECE" w:rsidRPr="00514173" w:rsidRDefault="00514173" w:rsidP="00514173">
            <w:pPr>
              <w:spacing w:after="120"/>
              <w:ind w:firstLine="720"/>
              <w:jc w:val="both"/>
              <w:rPr>
                <w:rFonts w:eastAsia="Times New Roman" w:cs="Times New Roman"/>
                <w:color w:val="000000" w:themeColor="text1"/>
                <w:lang w:val="sr-Cyrl-RS"/>
              </w:rPr>
            </w:pPr>
            <w:r w:rsidRPr="00514173">
              <w:rPr>
                <w:rFonts w:eastAsia="Times New Roman" w:cs="Times New Roman"/>
                <w:color w:val="000000" w:themeColor="text1"/>
                <w:lang w:val="sr-Cyrl-RS"/>
              </w:rPr>
              <w:t>Ако тржишни инспектор има основа да верује да енергетски означен производ из члана 62. и 64. представља ризик са аспекта заштите јавног интереса који се тиче заштите животне средине и/или заштите потрошача, он спроводи поступак оцењивања производа којим су обухваћени сви захтеви за енергетско означавање који су релевантни за ризик и прописани подзаконским актима из члана 62. ст. 2. и 3. и члана 64. став 2. овог закона, а испоручилац производа и/или продавац су дужни да сарађују са тржишним инспектором у сврху оцењивања, уколико он процени да је потребно.</w:t>
            </w:r>
          </w:p>
        </w:tc>
        <w:tc>
          <w:tcPr>
            <w:tcW w:w="235" w:type="pct"/>
            <w:vAlign w:val="center"/>
          </w:tcPr>
          <w:p w14:paraId="46188020" w14:textId="77777777" w:rsidR="00F01ECE" w:rsidRPr="004D2E7C" w:rsidRDefault="00F01ECE" w:rsidP="00F01ECE">
            <w:pPr>
              <w:jc w:val="center"/>
              <w:rPr>
                <w:rFonts w:cs="Times New Roman"/>
                <w:lang w:val="sr-Cyrl-RS"/>
              </w:rPr>
            </w:pPr>
            <w:r w:rsidRPr="004D2E7C">
              <w:rPr>
                <w:rFonts w:cs="Times New Roman"/>
                <w:lang w:val="sr-Cyrl-RS"/>
              </w:rPr>
              <w:lastRenderedPageBreak/>
              <w:t>ПУ</w:t>
            </w:r>
          </w:p>
        </w:tc>
        <w:tc>
          <w:tcPr>
            <w:tcW w:w="676" w:type="pct"/>
            <w:vAlign w:val="center"/>
          </w:tcPr>
          <w:p w14:paraId="46188021" w14:textId="77777777" w:rsidR="00F01ECE" w:rsidRPr="004D2E7C" w:rsidRDefault="00F01ECE" w:rsidP="00F01ECE">
            <w:pPr>
              <w:rPr>
                <w:rFonts w:cs="Times New Roman"/>
                <w:spacing w:val="-6"/>
                <w:lang w:val="sr-Cyrl-RS"/>
              </w:rPr>
            </w:pPr>
          </w:p>
        </w:tc>
        <w:tc>
          <w:tcPr>
            <w:tcW w:w="699" w:type="pct"/>
            <w:vAlign w:val="center"/>
          </w:tcPr>
          <w:p w14:paraId="46188022" w14:textId="77777777" w:rsidR="00F01ECE" w:rsidRPr="004D2E7C" w:rsidRDefault="00F01ECE" w:rsidP="00F01ECE">
            <w:pPr>
              <w:rPr>
                <w:rFonts w:cs="Times New Roman"/>
                <w:lang w:val="sr-Cyrl-RS"/>
              </w:rPr>
            </w:pPr>
          </w:p>
        </w:tc>
      </w:tr>
      <w:tr w:rsidR="00F01ECE" w:rsidRPr="004D2E7C" w14:paraId="4618802F" w14:textId="77777777" w:rsidTr="006B3660">
        <w:tc>
          <w:tcPr>
            <w:tcW w:w="280" w:type="pct"/>
            <w:shd w:val="clear" w:color="auto" w:fill="D9D9D9"/>
            <w:vAlign w:val="center"/>
          </w:tcPr>
          <w:p w14:paraId="46188024" w14:textId="77777777" w:rsidR="00F01ECE" w:rsidRPr="004D2E7C" w:rsidRDefault="00F01ECE" w:rsidP="00F01ECE">
            <w:pPr>
              <w:jc w:val="center"/>
              <w:rPr>
                <w:rFonts w:eastAsia="Times New Roman" w:cs="Times New Roman"/>
                <w:lang w:val="sr-Cyrl-RS"/>
              </w:rPr>
            </w:pPr>
            <w:r w:rsidRPr="004D2E7C">
              <w:rPr>
                <w:rFonts w:eastAsia="Times New Roman" w:cs="Times New Roman"/>
                <w:lang w:val="sr-Cyrl-RS"/>
              </w:rPr>
              <w:lastRenderedPageBreak/>
              <w:t>9.2.</w:t>
            </w:r>
          </w:p>
        </w:tc>
        <w:tc>
          <w:tcPr>
            <w:tcW w:w="1489" w:type="pct"/>
            <w:shd w:val="clear" w:color="auto" w:fill="D9D9D9"/>
            <w:vAlign w:val="center"/>
          </w:tcPr>
          <w:p w14:paraId="46188025" w14:textId="77777777" w:rsidR="00F01ECE" w:rsidRPr="004D2E7C" w:rsidRDefault="00F01ECE" w:rsidP="00F01ECE">
            <w:pPr>
              <w:pStyle w:val="Normal1"/>
              <w:spacing w:before="0" w:beforeAutospacing="0" w:after="0" w:afterAutospacing="0"/>
              <w:jc w:val="both"/>
              <w:rPr>
                <w:sz w:val="22"/>
                <w:szCs w:val="22"/>
                <w:lang w:val="en-GB"/>
              </w:rPr>
            </w:pPr>
            <w:r w:rsidRPr="004D2E7C">
              <w:rPr>
                <w:sz w:val="22"/>
                <w:szCs w:val="22"/>
                <w:lang w:val="en-GB"/>
              </w:rPr>
              <w:t xml:space="preserve">Where, in the course of the evaluation referred to in paragraph 1, the market surveillance authorities </w:t>
            </w:r>
            <w:r w:rsidRPr="004D2E7C">
              <w:rPr>
                <w:sz w:val="22"/>
                <w:szCs w:val="22"/>
                <w:lang w:val="en-GB"/>
              </w:rPr>
              <w:lastRenderedPageBreak/>
              <w:t>find that the product does not comply with the requirements laid down in this Regulation or in the relevant delegated act, they shall without delay require the supplier, or where appropriate, the dealer, to take all appropriate corrective action to bring the product into compliance with those requirements, where appropriate to withdraw the product from the market, or where appropriate, to recall it within a reasonable period, commensurate with the nature of the risk as they may prescribe.</w:t>
            </w:r>
          </w:p>
          <w:p w14:paraId="46188026" w14:textId="77777777" w:rsidR="00F01ECE" w:rsidRPr="004D2E7C" w:rsidRDefault="00F01ECE" w:rsidP="00F01ECE">
            <w:pPr>
              <w:pStyle w:val="Normal1"/>
              <w:spacing w:before="0" w:beforeAutospacing="0" w:after="0" w:afterAutospacing="0"/>
              <w:jc w:val="both"/>
              <w:rPr>
                <w:sz w:val="22"/>
                <w:szCs w:val="22"/>
                <w:lang w:val="en-GB"/>
              </w:rPr>
            </w:pPr>
          </w:p>
          <w:p w14:paraId="46188027" w14:textId="3BF6585F" w:rsidR="00F01ECE" w:rsidRPr="004D2E7C" w:rsidRDefault="00F01ECE" w:rsidP="00514173">
            <w:pPr>
              <w:pStyle w:val="Normal1"/>
              <w:spacing w:before="0" w:beforeAutospacing="0" w:after="120" w:afterAutospacing="0"/>
              <w:jc w:val="both"/>
              <w:rPr>
                <w:sz w:val="22"/>
                <w:szCs w:val="22"/>
                <w:lang w:val="en-GB"/>
              </w:rPr>
            </w:pPr>
            <w:r w:rsidRPr="004D2E7C">
              <w:rPr>
                <w:sz w:val="22"/>
                <w:szCs w:val="22"/>
                <w:lang w:val="en-GB"/>
              </w:rPr>
              <w:t>Article 21 of Regulation (EC) No 765/2008 shall apply to the measures referred to in this paragraph</w:t>
            </w:r>
            <w:r w:rsidR="00514173">
              <w:rPr>
                <w:sz w:val="22"/>
                <w:szCs w:val="22"/>
                <w:lang w:val="en-GB"/>
              </w:rPr>
              <w:t>.</w:t>
            </w:r>
          </w:p>
        </w:tc>
        <w:tc>
          <w:tcPr>
            <w:tcW w:w="325" w:type="pct"/>
            <w:vAlign w:val="center"/>
          </w:tcPr>
          <w:p w14:paraId="46188028" w14:textId="699B6112" w:rsidR="00F01ECE" w:rsidRPr="004D2E7C" w:rsidRDefault="00F01ECE" w:rsidP="00F01ECE">
            <w:pPr>
              <w:jc w:val="center"/>
              <w:rPr>
                <w:rFonts w:cs="Times New Roman"/>
                <w:b/>
                <w:bCs/>
                <w:lang w:val="sr-Cyrl-RS"/>
              </w:rPr>
            </w:pPr>
            <w:r w:rsidRPr="004D2E7C">
              <w:rPr>
                <w:rFonts w:cs="Times New Roman"/>
                <w:b/>
                <w:bCs/>
                <w:lang w:val="sr-Cyrl-RS"/>
              </w:rPr>
              <w:lastRenderedPageBreak/>
              <w:t>1.</w:t>
            </w:r>
            <w:r w:rsidR="00514173">
              <w:rPr>
                <w:rFonts w:cs="Times New Roman"/>
                <w:b/>
                <w:bCs/>
              </w:rPr>
              <w:t>125</w:t>
            </w:r>
            <w:r w:rsidRPr="004D2E7C">
              <w:rPr>
                <w:rFonts w:cs="Times New Roman"/>
                <w:b/>
                <w:bCs/>
                <w:lang w:val="sr-Cyrl-RS"/>
              </w:rPr>
              <w:t>.3.</w:t>
            </w:r>
          </w:p>
        </w:tc>
        <w:tc>
          <w:tcPr>
            <w:tcW w:w="1296" w:type="pct"/>
            <w:vAlign w:val="center"/>
          </w:tcPr>
          <w:p w14:paraId="4618802B" w14:textId="0C267F82" w:rsidR="00F01ECE" w:rsidRPr="00514173" w:rsidRDefault="00514173" w:rsidP="00514173">
            <w:pPr>
              <w:ind w:firstLine="720"/>
              <w:jc w:val="both"/>
              <w:rPr>
                <w:rFonts w:eastAsia="Times New Roman" w:cs="Times New Roman"/>
                <w:color w:val="000000" w:themeColor="text1"/>
                <w:lang w:val="sr-Cyrl-CS"/>
              </w:rPr>
            </w:pPr>
            <w:r w:rsidRPr="00514173">
              <w:rPr>
                <w:rFonts w:eastAsia="Times New Roman" w:cs="Times New Roman"/>
                <w:color w:val="000000" w:themeColor="text1"/>
                <w:lang w:val="sr-Cyrl-CS"/>
              </w:rPr>
              <w:t xml:space="preserve">Ако тржишни инспектор током </w:t>
            </w:r>
            <w:r w:rsidRPr="00514173">
              <w:rPr>
                <w:rFonts w:eastAsia="Times New Roman" w:cs="Times New Roman"/>
                <w:color w:val="000000" w:themeColor="text1"/>
              </w:rPr>
              <w:t>eвалуације</w:t>
            </w:r>
            <w:r w:rsidRPr="00514173">
              <w:rPr>
                <w:rFonts w:eastAsia="Times New Roman" w:cs="Times New Roman"/>
                <w:color w:val="000000" w:themeColor="text1"/>
                <w:lang w:val="sr-Cyrl-CS"/>
              </w:rPr>
              <w:t xml:space="preserve"> производа из става 2. овог </w:t>
            </w:r>
            <w:r w:rsidRPr="00514173">
              <w:rPr>
                <w:rFonts w:eastAsia="Times New Roman" w:cs="Times New Roman"/>
                <w:color w:val="000000" w:themeColor="text1"/>
                <w:lang w:val="sr-Cyrl-CS"/>
              </w:rPr>
              <w:lastRenderedPageBreak/>
              <w:t>члана утврди да производ није усаглашен са захтевима из подзаконских аката из члана 62. став 2. и 3. и члана 64. став 2. овог закона, он без одлагања захтева од испоручиоца производа или продавца да предузме све одговарајуће корективне мере како би производ постао усаглашен са тим захтевима, према потреби повуче производ с тржишта или га према потреби опозове у оквиру разумног временског периода, сразмерно природи ризика.</w:t>
            </w:r>
          </w:p>
        </w:tc>
        <w:tc>
          <w:tcPr>
            <w:tcW w:w="235" w:type="pct"/>
            <w:vAlign w:val="center"/>
          </w:tcPr>
          <w:p w14:paraId="4618802C" w14:textId="77777777" w:rsidR="00F01ECE" w:rsidRPr="004D2E7C" w:rsidRDefault="00F01ECE" w:rsidP="00F01ECE">
            <w:pPr>
              <w:jc w:val="center"/>
              <w:rPr>
                <w:rFonts w:cs="Times New Roman"/>
                <w:lang w:val="sr-Cyrl-RS"/>
              </w:rPr>
            </w:pPr>
            <w:r w:rsidRPr="004D2E7C">
              <w:rPr>
                <w:rFonts w:cs="Times New Roman"/>
                <w:lang w:val="sr-Cyrl-RS"/>
              </w:rPr>
              <w:lastRenderedPageBreak/>
              <w:t>ПУ</w:t>
            </w:r>
          </w:p>
        </w:tc>
        <w:tc>
          <w:tcPr>
            <w:tcW w:w="676" w:type="pct"/>
            <w:vAlign w:val="center"/>
          </w:tcPr>
          <w:p w14:paraId="4618802D" w14:textId="77777777" w:rsidR="00F01ECE" w:rsidRPr="004D2E7C" w:rsidRDefault="00F01ECE" w:rsidP="00F01ECE">
            <w:pPr>
              <w:rPr>
                <w:rFonts w:cs="Times New Roman"/>
                <w:spacing w:val="-6"/>
                <w:lang w:val="sr-Cyrl-RS"/>
              </w:rPr>
            </w:pPr>
          </w:p>
        </w:tc>
        <w:tc>
          <w:tcPr>
            <w:tcW w:w="699" w:type="pct"/>
            <w:vAlign w:val="center"/>
          </w:tcPr>
          <w:p w14:paraId="4618802E" w14:textId="77777777" w:rsidR="00F01ECE" w:rsidRPr="004D2E7C" w:rsidRDefault="00F01ECE" w:rsidP="00F01ECE">
            <w:pPr>
              <w:rPr>
                <w:rFonts w:cs="Times New Roman"/>
                <w:lang w:val="sr-Cyrl-RS"/>
              </w:rPr>
            </w:pPr>
          </w:p>
        </w:tc>
      </w:tr>
      <w:tr w:rsidR="00F01ECE" w:rsidRPr="00A35C98" w14:paraId="46188037" w14:textId="77777777" w:rsidTr="006B3660">
        <w:tc>
          <w:tcPr>
            <w:tcW w:w="280" w:type="pct"/>
            <w:shd w:val="clear" w:color="auto" w:fill="D9D9D9"/>
            <w:vAlign w:val="center"/>
          </w:tcPr>
          <w:p w14:paraId="46188030" w14:textId="77777777" w:rsidR="00F01ECE" w:rsidRPr="00A35C98" w:rsidRDefault="00F01ECE" w:rsidP="00F01ECE">
            <w:pPr>
              <w:jc w:val="center"/>
              <w:rPr>
                <w:rFonts w:eastAsia="Times New Roman" w:cs="Times New Roman"/>
                <w:lang w:val="sr-Cyrl-RS"/>
              </w:rPr>
            </w:pPr>
            <w:r w:rsidRPr="00A35C98">
              <w:rPr>
                <w:rFonts w:eastAsia="Times New Roman" w:cs="Times New Roman"/>
                <w:lang w:val="sr-Cyrl-RS"/>
              </w:rPr>
              <w:lastRenderedPageBreak/>
              <w:t>9.3.</w:t>
            </w:r>
          </w:p>
        </w:tc>
        <w:tc>
          <w:tcPr>
            <w:tcW w:w="1489" w:type="pct"/>
            <w:shd w:val="clear" w:color="auto" w:fill="D9D9D9"/>
            <w:vAlign w:val="center"/>
          </w:tcPr>
          <w:p w14:paraId="46188031" w14:textId="77777777" w:rsidR="00F01ECE" w:rsidRPr="00A35C98" w:rsidRDefault="00F01ECE" w:rsidP="00F01ECE">
            <w:pPr>
              <w:pStyle w:val="Normal1"/>
              <w:spacing w:before="0" w:beforeAutospacing="0" w:after="0" w:afterAutospacing="0"/>
              <w:jc w:val="both"/>
              <w:rPr>
                <w:sz w:val="22"/>
                <w:szCs w:val="22"/>
                <w:lang w:val="en-GB"/>
              </w:rPr>
            </w:pPr>
            <w:r w:rsidRPr="00A35C98">
              <w:rPr>
                <w:sz w:val="22"/>
                <w:szCs w:val="22"/>
                <w:lang w:val="en-GB"/>
              </w:rPr>
              <w:t>Where the market surveillance authorities consider that a case of non-compliance as referred to in paragraph 2 is not restricted to their national territory, they shall inform the Commission and the other Member States of the results of the evaluation and of the action which they have required the supplier or dealer to take.</w:t>
            </w:r>
          </w:p>
        </w:tc>
        <w:tc>
          <w:tcPr>
            <w:tcW w:w="325" w:type="pct"/>
          </w:tcPr>
          <w:p w14:paraId="46188032" w14:textId="77777777" w:rsidR="00F01ECE" w:rsidRPr="00A35C98" w:rsidRDefault="00F01ECE" w:rsidP="00F01ECE">
            <w:pPr>
              <w:rPr>
                <w:rFonts w:cs="Times New Roman"/>
                <w:lang w:val="sr-Cyrl-RS"/>
              </w:rPr>
            </w:pPr>
          </w:p>
        </w:tc>
        <w:tc>
          <w:tcPr>
            <w:tcW w:w="1296" w:type="pct"/>
          </w:tcPr>
          <w:p w14:paraId="46188033" w14:textId="77777777" w:rsidR="00F01ECE" w:rsidRPr="00A35C98" w:rsidRDefault="00F01ECE" w:rsidP="00F01ECE">
            <w:pPr>
              <w:rPr>
                <w:rFonts w:cs="Times New Roman"/>
                <w:lang w:val="sr-Cyrl-RS"/>
              </w:rPr>
            </w:pPr>
          </w:p>
        </w:tc>
        <w:tc>
          <w:tcPr>
            <w:tcW w:w="235" w:type="pct"/>
            <w:vAlign w:val="center"/>
          </w:tcPr>
          <w:p w14:paraId="46188034" w14:textId="77777777" w:rsidR="00F01ECE" w:rsidRPr="00A35C98" w:rsidRDefault="00F01ECE" w:rsidP="00F01ECE">
            <w:pPr>
              <w:jc w:val="center"/>
              <w:rPr>
                <w:rFonts w:cs="Times New Roman"/>
                <w:lang w:val="sr-Cyrl-RS"/>
              </w:rPr>
            </w:pPr>
            <w:r w:rsidRPr="00A35C98">
              <w:rPr>
                <w:rFonts w:cs="Times New Roman"/>
                <w:lang w:val="sr-Cyrl-RS"/>
              </w:rPr>
              <w:t>НП</w:t>
            </w:r>
          </w:p>
        </w:tc>
        <w:tc>
          <w:tcPr>
            <w:tcW w:w="676" w:type="pct"/>
            <w:vAlign w:val="center"/>
          </w:tcPr>
          <w:p w14:paraId="46188035" w14:textId="6E3DC681" w:rsidR="00F01ECE" w:rsidRPr="00A35C98" w:rsidRDefault="00F01ECE" w:rsidP="00F01ECE">
            <w:pPr>
              <w:rPr>
                <w:rFonts w:cs="Times New Roman"/>
                <w:lang w:val="sr-Cyrl-RS"/>
              </w:rPr>
            </w:pPr>
            <w:r w:rsidRPr="00A35C98">
              <w:rPr>
                <w:rFonts w:cs="Times New Roman"/>
                <w:lang w:val="sr-Cyrl-RS"/>
              </w:rPr>
              <w:t>Одредба се односи на обавезу чланица ЕУ</w:t>
            </w:r>
            <w:r w:rsidR="00CE37EF" w:rsidRPr="00A35C98">
              <w:rPr>
                <w:rFonts w:cs="Times New Roman"/>
                <w:lang w:val="sr-Cyrl-RS"/>
              </w:rPr>
              <w:t xml:space="preserve"> према Комисији</w:t>
            </w:r>
            <w:r w:rsidRPr="00A35C98">
              <w:rPr>
                <w:rFonts w:cs="Times New Roman"/>
                <w:lang w:val="sr-Cyrl-RS"/>
              </w:rPr>
              <w:t xml:space="preserve">. </w:t>
            </w:r>
          </w:p>
        </w:tc>
        <w:tc>
          <w:tcPr>
            <w:tcW w:w="699" w:type="pct"/>
            <w:vAlign w:val="center"/>
          </w:tcPr>
          <w:p w14:paraId="46188036" w14:textId="77777777" w:rsidR="00F01ECE" w:rsidRPr="00A35C98" w:rsidRDefault="00F01ECE" w:rsidP="00F01ECE">
            <w:pPr>
              <w:rPr>
                <w:rFonts w:cs="Times New Roman"/>
                <w:lang w:val="sr-Cyrl-RS"/>
              </w:rPr>
            </w:pPr>
          </w:p>
        </w:tc>
      </w:tr>
      <w:tr w:rsidR="008D66BE" w:rsidRPr="004D2E7C" w14:paraId="4618803F" w14:textId="77777777" w:rsidTr="00962C2A">
        <w:tc>
          <w:tcPr>
            <w:tcW w:w="280" w:type="pct"/>
            <w:shd w:val="clear" w:color="auto" w:fill="D9D9D9"/>
            <w:vAlign w:val="center"/>
          </w:tcPr>
          <w:p w14:paraId="46188038" w14:textId="77777777" w:rsidR="008D66BE" w:rsidRPr="00A35C98" w:rsidRDefault="008D66BE" w:rsidP="008D66BE">
            <w:pPr>
              <w:jc w:val="center"/>
              <w:rPr>
                <w:rFonts w:eastAsia="Times New Roman" w:cs="Times New Roman"/>
                <w:lang w:val="sr-Cyrl-RS"/>
              </w:rPr>
            </w:pPr>
            <w:r w:rsidRPr="00A35C98">
              <w:rPr>
                <w:rFonts w:eastAsia="Times New Roman" w:cs="Times New Roman"/>
                <w:lang w:val="sr-Cyrl-RS"/>
              </w:rPr>
              <w:t>9.4.</w:t>
            </w:r>
          </w:p>
        </w:tc>
        <w:tc>
          <w:tcPr>
            <w:tcW w:w="1489" w:type="pct"/>
            <w:shd w:val="clear" w:color="auto" w:fill="D9D9D9"/>
            <w:vAlign w:val="center"/>
          </w:tcPr>
          <w:p w14:paraId="46188039" w14:textId="77777777" w:rsidR="008D66BE" w:rsidRPr="00A35C98" w:rsidRDefault="008D66BE" w:rsidP="008D66BE">
            <w:pPr>
              <w:pStyle w:val="Normal1"/>
              <w:spacing w:before="0" w:beforeAutospacing="0" w:after="0" w:afterAutospacing="0"/>
              <w:jc w:val="both"/>
              <w:rPr>
                <w:sz w:val="22"/>
                <w:szCs w:val="22"/>
                <w:lang w:val="en-GB"/>
              </w:rPr>
            </w:pPr>
            <w:r w:rsidRPr="00A35C98">
              <w:rPr>
                <w:sz w:val="22"/>
                <w:szCs w:val="22"/>
                <w:lang w:val="en-GB"/>
              </w:rPr>
              <w:t>The supplier or, where appropriate, the dealer shall ensure that all appropriate corrective or restrictive action in accordance with paragraph 2 is taken in respect of all the products concerned that it has made available on the market throughout the Union.</w:t>
            </w:r>
          </w:p>
        </w:tc>
        <w:tc>
          <w:tcPr>
            <w:tcW w:w="325" w:type="pct"/>
            <w:vAlign w:val="center"/>
          </w:tcPr>
          <w:p w14:paraId="03C8C8FD" w14:textId="77777777" w:rsidR="008D66BE" w:rsidRDefault="008D66BE" w:rsidP="008D66BE">
            <w:pPr>
              <w:jc w:val="center"/>
              <w:rPr>
                <w:rFonts w:cs="Times New Roman"/>
                <w:lang w:val="sr-Cyrl-RS"/>
              </w:rPr>
            </w:pPr>
            <w:r>
              <w:rPr>
                <w:rFonts w:cs="Times New Roman"/>
                <w:lang w:val="sr-Cyrl-RS"/>
              </w:rPr>
              <w:t>1.62.2</w:t>
            </w:r>
          </w:p>
          <w:p w14:paraId="4618803A" w14:textId="48D3343A" w:rsidR="008D66BE" w:rsidRPr="00A35C98" w:rsidRDefault="008D66BE" w:rsidP="008D66BE">
            <w:pPr>
              <w:rPr>
                <w:rFonts w:cs="Times New Roman"/>
                <w:lang w:val="sr-Cyrl-RS"/>
              </w:rPr>
            </w:pPr>
            <w:r>
              <w:rPr>
                <w:rFonts w:cs="Times New Roman"/>
                <w:b/>
              </w:rPr>
              <w:t>1.150.2.</w:t>
            </w:r>
          </w:p>
        </w:tc>
        <w:tc>
          <w:tcPr>
            <w:tcW w:w="1296" w:type="pct"/>
          </w:tcPr>
          <w:p w14:paraId="69877640" w14:textId="77777777" w:rsidR="008D66BE" w:rsidRPr="004D2E7C" w:rsidRDefault="008D66BE" w:rsidP="008D66BE">
            <w:pPr>
              <w:autoSpaceDE w:val="0"/>
              <w:autoSpaceDN w:val="0"/>
              <w:adjustRightInd w:val="0"/>
              <w:ind w:firstLine="567"/>
              <w:jc w:val="both"/>
              <w:rPr>
                <w:rFonts w:eastAsia="MS Mincho" w:cs="Times New Roman"/>
                <w:color w:val="000000" w:themeColor="text1"/>
                <w:lang w:val="sr-Cyrl-CS" w:eastAsia="ja-JP"/>
              </w:rPr>
            </w:pPr>
            <w:r w:rsidRPr="004D2E7C">
              <w:rPr>
                <w:rFonts w:eastAsia="MS Mincho" w:cs="Times New Roman"/>
                <w:color w:val="000000" w:themeColor="text1"/>
                <w:lang w:val="sr-Cyrl-CS" w:eastAsia="ja-JP"/>
              </w:rPr>
              <w:t>Влада ближе уређује обавезе испоручиоца производа, и продавца у погледу енергетског означавања производа, које се односе на: садржај енергетске ознаке, њеног исправног постављања и тачности података на ознаци, коришћење рекласираних ознака енергетске ефикасности и друге услове којима се обезбеђује примена захтева енергетског означавања за производе из става 1. овог члана.</w:t>
            </w:r>
          </w:p>
          <w:p w14:paraId="0CD065A5" w14:textId="77777777" w:rsidR="008D66BE" w:rsidRDefault="008D66BE" w:rsidP="008D66BE">
            <w:pPr>
              <w:tabs>
                <w:tab w:val="left" w:pos="1152"/>
              </w:tabs>
              <w:jc w:val="both"/>
              <w:rPr>
                <w:rFonts w:cs="Times New Roman"/>
                <w:lang w:val="sr-Cyrl-RS"/>
              </w:rPr>
            </w:pPr>
          </w:p>
          <w:p w14:paraId="4618803B" w14:textId="31D8301A" w:rsidR="008D66BE" w:rsidRPr="00A35C98" w:rsidRDefault="008D66BE" w:rsidP="008D66BE">
            <w:pPr>
              <w:rPr>
                <w:rFonts w:cs="Times New Roman"/>
                <w:lang w:val="sr-Cyrl-RS"/>
              </w:rPr>
            </w:pPr>
            <w:r w:rsidRPr="00C30E0B">
              <w:rPr>
                <w:rFonts w:eastAsia="Times New Roman" w:cs="Times New Roman"/>
                <w:sz w:val="24"/>
                <w:szCs w:val="24"/>
                <w:lang w:val="sr-Cyrl-CS"/>
              </w:rPr>
              <w:lastRenderedPageBreak/>
              <w:t>Прописи за спровођење овог закона из чл. 7-9. ,чл. 15 – 16., члана 21., чл. 23-24., чл. 26-27., члана 30., члана 36., чл. 37-40., члана 47., члана 51., чл. 54-55. члана 57., члана 59., чл. 61-62, чл. 64-66., члана 73., члана 80., члана 83., члана 90., чл. 93-94., чл. 96-98., члана 100., и чл. 107-109. овог закона биће донети у року од 18 месеци од дана ступања на снагу овог закона, изузев подзаконских аката из става 1. овог члана</w:t>
            </w:r>
          </w:p>
        </w:tc>
        <w:tc>
          <w:tcPr>
            <w:tcW w:w="235" w:type="pct"/>
            <w:vAlign w:val="center"/>
          </w:tcPr>
          <w:p w14:paraId="4618803C" w14:textId="78B80C14" w:rsidR="008D66BE" w:rsidRPr="00A35C98" w:rsidRDefault="008D66BE" w:rsidP="008D66BE">
            <w:pPr>
              <w:rPr>
                <w:rFonts w:cs="Times New Roman"/>
                <w:lang w:val="sr-Cyrl-RS"/>
              </w:rPr>
            </w:pPr>
            <w:r>
              <w:rPr>
                <w:rFonts w:cs="Times New Roman"/>
                <w:lang w:val="sr-Cyrl-RS"/>
              </w:rPr>
              <w:lastRenderedPageBreak/>
              <w:t>Д</w:t>
            </w:r>
            <w:r w:rsidRPr="004D2E7C">
              <w:rPr>
                <w:rFonts w:cs="Times New Roman"/>
                <w:lang w:val="sr-Cyrl-RS"/>
              </w:rPr>
              <w:t>У</w:t>
            </w:r>
          </w:p>
        </w:tc>
        <w:tc>
          <w:tcPr>
            <w:tcW w:w="676" w:type="pct"/>
          </w:tcPr>
          <w:p w14:paraId="4618803D" w14:textId="47B45B8B" w:rsidR="008D66BE" w:rsidRPr="004D2E7C" w:rsidRDefault="008D66BE" w:rsidP="008D66BE">
            <w:pPr>
              <w:rPr>
                <w:rFonts w:cs="Times New Roman"/>
                <w:spacing w:val="-6"/>
                <w:lang w:val="sr-Cyrl-RS"/>
              </w:rPr>
            </w:pPr>
            <w:r>
              <w:rPr>
                <w:rFonts w:cs="Times New Roman"/>
                <w:spacing w:val="-6"/>
                <w:lang w:val="sr-Cyrl-RS"/>
              </w:rPr>
              <w:t>Усклађеност ће бити постигнута доношењем Уредбе из 1.62.2.</w:t>
            </w:r>
          </w:p>
        </w:tc>
        <w:tc>
          <w:tcPr>
            <w:tcW w:w="699" w:type="pct"/>
            <w:vAlign w:val="center"/>
          </w:tcPr>
          <w:p w14:paraId="4618803E" w14:textId="77777777" w:rsidR="008D66BE" w:rsidRPr="004D2E7C" w:rsidRDefault="008D66BE" w:rsidP="008D66BE">
            <w:pPr>
              <w:rPr>
                <w:rFonts w:cs="Times New Roman"/>
                <w:lang w:val="sr-Cyrl-RS"/>
              </w:rPr>
            </w:pPr>
          </w:p>
        </w:tc>
      </w:tr>
      <w:tr w:rsidR="00F01ECE" w:rsidRPr="004D2E7C" w14:paraId="46188047" w14:textId="77777777" w:rsidTr="006B3660">
        <w:tc>
          <w:tcPr>
            <w:tcW w:w="280" w:type="pct"/>
            <w:shd w:val="clear" w:color="auto" w:fill="D9D9D9"/>
            <w:vAlign w:val="center"/>
          </w:tcPr>
          <w:p w14:paraId="46188040" w14:textId="77777777" w:rsidR="00F01ECE" w:rsidRPr="004D2E7C" w:rsidRDefault="00F01ECE" w:rsidP="00F01ECE">
            <w:pPr>
              <w:jc w:val="center"/>
              <w:rPr>
                <w:rFonts w:eastAsia="Times New Roman" w:cs="Times New Roman"/>
                <w:lang w:val="sr-Cyrl-RS"/>
              </w:rPr>
            </w:pPr>
            <w:r w:rsidRPr="004D2E7C">
              <w:rPr>
                <w:rFonts w:eastAsia="Times New Roman" w:cs="Times New Roman"/>
                <w:lang w:val="sr-Cyrl-RS"/>
              </w:rPr>
              <w:lastRenderedPageBreak/>
              <w:t>9.5.</w:t>
            </w:r>
          </w:p>
        </w:tc>
        <w:tc>
          <w:tcPr>
            <w:tcW w:w="1489" w:type="pct"/>
            <w:shd w:val="clear" w:color="auto" w:fill="D9D9D9"/>
            <w:vAlign w:val="center"/>
          </w:tcPr>
          <w:p w14:paraId="46188041" w14:textId="77777777" w:rsidR="00F01ECE" w:rsidRPr="004D2E7C" w:rsidRDefault="00F01ECE" w:rsidP="00F01ECE">
            <w:pPr>
              <w:pStyle w:val="Normal1"/>
              <w:spacing w:before="0" w:beforeAutospacing="0" w:after="0" w:afterAutospacing="0"/>
              <w:jc w:val="both"/>
              <w:rPr>
                <w:sz w:val="22"/>
                <w:szCs w:val="22"/>
                <w:lang w:val="en-GB"/>
              </w:rPr>
            </w:pPr>
            <w:r w:rsidRPr="004D2E7C">
              <w:rPr>
                <w:sz w:val="22"/>
                <w:szCs w:val="22"/>
                <w:lang w:val="en-GB"/>
              </w:rPr>
              <w:t>Where the supplier or, where appropriate, the dealer does not take adequate corrective action within the period referred to in paragraph 2, the market surveillance authorities shall take all appropriate provisional measures to prohibit or restrict the availability of the product on their national market, to withdraw the product from that market, or to recall it.</w:t>
            </w:r>
          </w:p>
        </w:tc>
        <w:tc>
          <w:tcPr>
            <w:tcW w:w="325" w:type="pct"/>
            <w:vAlign w:val="center"/>
          </w:tcPr>
          <w:p w14:paraId="46188042" w14:textId="6DD13A95" w:rsidR="00F01ECE" w:rsidRPr="004D2E7C" w:rsidRDefault="00F01ECE" w:rsidP="00F01ECE">
            <w:pPr>
              <w:jc w:val="center"/>
              <w:rPr>
                <w:rFonts w:cs="Times New Roman"/>
                <w:b/>
                <w:bCs/>
                <w:lang w:val="sr-Cyrl-RS"/>
              </w:rPr>
            </w:pPr>
            <w:r w:rsidRPr="004D2E7C">
              <w:rPr>
                <w:rFonts w:cs="Times New Roman"/>
                <w:b/>
                <w:bCs/>
                <w:lang w:val="sr-Cyrl-RS"/>
              </w:rPr>
              <w:t>1.</w:t>
            </w:r>
            <w:r w:rsidR="00247AA9">
              <w:rPr>
                <w:rFonts w:cs="Times New Roman"/>
                <w:b/>
                <w:bCs/>
              </w:rPr>
              <w:t>125</w:t>
            </w:r>
            <w:r w:rsidRPr="004D2E7C">
              <w:rPr>
                <w:rFonts w:cs="Times New Roman"/>
                <w:b/>
                <w:bCs/>
                <w:lang w:val="sr-Cyrl-RS"/>
              </w:rPr>
              <w:t>.4</w:t>
            </w:r>
          </w:p>
        </w:tc>
        <w:tc>
          <w:tcPr>
            <w:tcW w:w="1296" w:type="pct"/>
          </w:tcPr>
          <w:p w14:paraId="46188043" w14:textId="6AD092EE" w:rsidR="00F01ECE" w:rsidRPr="004D2E7C" w:rsidRDefault="00F01ECE" w:rsidP="00514173">
            <w:pPr>
              <w:spacing w:after="120"/>
              <w:jc w:val="both"/>
              <w:rPr>
                <w:rFonts w:cs="Times New Roman"/>
                <w:lang w:val="sr-Cyrl-RS"/>
              </w:rPr>
            </w:pPr>
            <w:r w:rsidRPr="004D2E7C">
              <w:rPr>
                <w:rFonts w:cs="Times New Roman"/>
                <w:lang w:val="sr-Cyrl-RS"/>
              </w:rPr>
              <w:t>Ако испоручилац производа или према потреби продавац не предузму одговарајуће корективне мере у периоду из става 3. овог члана тржишни инспектор предузима све одговарајуће мере, како би забранио или ограничио расположивост производа, повукао производ с тржишта или га опозвао.</w:t>
            </w:r>
          </w:p>
        </w:tc>
        <w:tc>
          <w:tcPr>
            <w:tcW w:w="235" w:type="pct"/>
            <w:vAlign w:val="center"/>
          </w:tcPr>
          <w:p w14:paraId="46188044" w14:textId="77777777" w:rsidR="00F01ECE" w:rsidRPr="004D2E7C" w:rsidRDefault="00F01ECE" w:rsidP="00F01ECE">
            <w:pPr>
              <w:jc w:val="center"/>
              <w:rPr>
                <w:rFonts w:cs="Times New Roman"/>
                <w:lang w:val="sr-Cyrl-RS"/>
              </w:rPr>
            </w:pPr>
            <w:r w:rsidRPr="004D2E7C">
              <w:rPr>
                <w:rFonts w:cs="Times New Roman"/>
                <w:lang w:val="sr-Cyrl-RS"/>
              </w:rPr>
              <w:t>ПУ</w:t>
            </w:r>
          </w:p>
        </w:tc>
        <w:tc>
          <w:tcPr>
            <w:tcW w:w="676" w:type="pct"/>
          </w:tcPr>
          <w:p w14:paraId="46188045" w14:textId="77777777" w:rsidR="00F01ECE" w:rsidRPr="004D2E7C" w:rsidRDefault="00F01ECE" w:rsidP="00F01ECE">
            <w:pPr>
              <w:rPr>
                <w:rFonts w:cs="Times New Roman"/>
                <w:spacing w:val="-6"/>
                <w:lang w:val="sr-Cyrl-RS"/>
              </w:rPr>
            </w:pPr>
          </w:p>
        </w:tc>
        <w:tc>
          <w:tcPr>
            <w:tcW w:w="699" w:type="pct"/>
            <w:vAlign w:val="center"/>
          </w:tcPr>
          <w:p w14:paraId="46188046" w14:textId="77777777" w:rsidR="00F01ECE" w:rsidRPr="004D2E7C" w:rsidRDefault="00F01ECE" w:rsidP="00F01ECE">
            <w:pPr>
              <w:rPr>
                <w:rFonts w:cs="Times New Roman"/>
                <w:lang w:val="sr-Cyrl-RS"/>
              </w:rPr>
            </w:pPr>
          </w:p>
        </w:tc>
      </w:tr>
      <w:tr w:rsidR="00F01ECE" w:rsidRPr="004D2E7C" w14:paraId="46188055" w14:textId="77777777" w:rsidTr="006B3660">
        <w:tc>
          <w:tcPr>
            <w:tcW w:w="280" w:type="pct"/>
            <w:shd w:val="clear" w:color="auto" w:fill="D9D9D9"/>
            <w:vAlign w:val="center"/>
          </w:tcPr>
          <w:p w14:paraId="46188048" w14:textId="77777777" w:rsidR="00F01ECE" w:rsidRPr="004D2E7C" w:rsidRDefault="00F01ECE" w:rsidP="00F01ECE">
            <w:pPr>
              <w:jc w:val="center"/>
              <w:rPr>
                <w:rFonts w:eastAsia="Times New Roman" w:cs="Times New Roman"/>
                <w:lang w:val="sr-Cyrl-RS"/>
              </w:rPr>
            </w:pPr>
            <w:r w:rsidRPr="004D2E7C">
              <w:rPr>
                <w:rFonts w:eastAsia="Times New Roman" w:cs="Times New Roman"/>
                <w:lang w:val="sr-Cyrl-RS"/>
              </w:rPr>
              <w:t>9.6.</w:t>
            </w:r>
          </w:p>
        </w:tc>
        <w:tc>
          <w:tcPr>
            <w:tcW w:w="1489" w:type="pct"/>
            <w:shd w:val="clear" w:color="auto" w:fill="D9D9D9"/>
            <w:vAlign w:val="center"/>
          </w:tcPr>
          <w:p w14:paraId="46188049" w14:textId="77777777" w:rsidR="00F01ECE" w:rsidRPr="004D2E7C" w:rsidRDefault="00F01ECE" w:rsidP="00F01ECE">
            <w:pPr>
              <w:pStyle w:val="Normal1"/>
              <w:spacing w:before="0" w:beforeAutospacing="0" w:after="0" w:afterAutospacing="0"/>
              <w:jc w:val="both"/>
              <w:rPr>
                <w:sz w:val="22"/>
                <w:szCs w:val="22"/>
                <w:lang w:val="en-GB"/>
              </w:rPr>
            </w:pPr>
            <w:r w:rsidRPr="004D2E7C">
              <w:rPr>
                <w:sz w:val="22"/>
                <w:szCs w:val="22"/>
                <w:lang w:val="en-GB"/>
              </w:rPr>
              <w:t>The market surveillance authorities shall inform the Commission and the other Member States without delay of the measures taken pursuant to paragraph 5. That information shall include all available details, in particular:</w:t>
            </w:r>
          </w:p>
          <w:p w14:paraId="4618804A" w14:textId="77777777" w:rsidR="00F01ECE" w:rsidRPr="004D2E7C" w:rsidRDefault="00F01ECE" w:rsidP="00F01ECE">
            <w:pPr>
              <w:pStyle w:val="Normal1"/>
              <w:spacing w:before="0" w:beforeAutospacing="0" w:after="0" w:afterAutospacing="0"/>
              <w:jc w:val="both"/>
              <w:rPr>
                <w:sz w:val="22"/>
                <w:szCs w:val="22"/>
                <w:lang w:val="en-GB"/>
              </w:rPr>
            </w:pPr>
            <w:r w:rsidRPr="004D2E7C">
              <w:rPr>
                <w:sz w:val="22"/>
                <w:szCs w:val="22"/>
                <w:lang w:val="en-GB"/>
              </w:rPr>
              <w:t>(a) the data necessary for the identification of the non-compliant product;</w:t>
            </w:r>
          </w:p>
          <w:p w14:paraId="4618804B" w14:textId="77777777" w:rsidR="00F01ECE" w:rsidRPr="004D2E7C" w:rsidRDefault="00F01ECE" w:rsidP="00F01ECE">
            <w:pPr>
              <w:pStyle w:val="Normal1"/>
              <w:spacing w:before="0" w:beforeAutospacing="0" w:after="0" w:afterAutospacing="0"/>
              <w:jc w:val="both"/>
              <w:rPr>
                <w:sz w:val="22"/>
                <w:szCs w:val="22"/>
                <w:lang w:val="en-GB"/>
              </w:rPr>
            </w:pPr>
            <w:r w:rsidRPr="004D2E7C">
              <w:rPr>
                <w:sz w:val="22"/>
                <w:szCs w:val="22"/>
                <w:lang w:val="en-GB"/>
              </w:rPr>
              <w:t>(b) the origin of the product;</w:t>
            </w:r>
          </w:p>
          <w:p w14:paraId="4618804C" w14:textId="77777777" w:rsidR="00F01ECE" w:rsidRPr="004D2E7C" w:rsidRDefault="00F01ECE" w:rsidP="00F01ECE">
            <w:pPr>
              <w:pStyle w:val="Normal1"/>
              <w:spacing w:before="0" w:beforeAutospacing="0" w:after="0" w:afterAutospacing="0"/>
              <w:jc w:val="both"/>
              <w:rPr>
                <w:sz w:val="22"/>
                <w:szCs w:val="22"/>
                <w:lang w:val="en-GB"/>
              </w:rPr>
            </w:pPr>
            <w:r w:rsidRPr="004D2E7C">
              <w:rPr>
                <w:sz w:val="22"/>
                <w:szCs w:val="22"/>
                <w:lang w:val="en-GB"/>
              </w:rPr>
              <w:t>(c) the nature of the non-compliance alleged and the risk involved;</w:t>
            </w:r>
          </w:p>
          <w:p w14:paraId="4618804D" w14:textId="77777777" w:rsidR="00F01ECE" w:rsidRPr="004D2E7C" w:rsidRDefault="00F01ECE" w:rsidP="00F01ECE">
            <w:pPr>
              <w:pStyle w:val="Normal1"/>
              <w:spacing w:before="0" w:beforeAutospacing="0" w:after="0" w:afterAutospacing="0"/>
              <w:jc w:val="both"/>
              <w:rPr>
                <w:sz w:val="22"/>
                <w:szCs w:val="22"/>
                <w:lang w:val="en-GB"/>
              </w:rPr>
            </w:pPr>
            <w:r w:rsidRPr="004D2E7C">
              <w:rPr>
                <w:sz w:val="22"/>
                <w:szCs w:val="22"/>
                <w:lang w:val="en-GB"/>
              </w:rPr>
              <w:lastRenderedPageBreak/>
              <w:t>(d) the nature and duration of the national measures taken and the arguments put forward by the supplier or, where appropriate, the dealer.</w:t>
            </w:r>
          </w:p>
          <w:p w14:paraId="4618804E" w14:textId="77777777" w:rsidR="00F01ECE" w:rsidRPr="004D2E7C" w:rsidRDefault="00F01ECE" w:rsidP="00F01ECE">
            <w:pPr>
              <w:pStyle w:val="Normal1"/>
              <w:spacing w:before="0" w:beforeAutospacing="0" w:after="0" w:afterAutospacing="0"/>
              <w:jc w:val="both"/>
              <w:rPr>
                <w:sz w:val="14"/>
                <w:szCs w:val="14"/>
                <w:lang w:val="en-GB"/>
              </w:rPr>
            </w:pPr>
          </w:p>
          <w:p w14:paraId="4618804F" w14:textId="77777777" w:rsidR="00F01ECE" w:rsidRPr="004D2E7C" w:rsidRDefault="00F01ECE" w:rsidP="00F01ECE">
            <w:pPr>
              <w:pStyle w:val="Normal1"/>
              <w:spacing w:before="0" w:beforeAutospacing="0" w:after="0" w:afterAutospacing="0"/>
              <w:jc w:val="both"/>
              <w:rPr>
                <w:sz w:val="22"/>
                <w:szCs w:val="22"/>
                <w:lang w:val="en-GB"/>
              </w:rPr>
            </w:pPr>
            <w:r w:rsidRPr="004D2E7C">
              <w:rPr>
                <w:sz w:val="22"/>
                <w:szCs w:val="22"/>
                <w:lang w:val="en-GB"/>
              </w:rPr>
              <w:t>In particular, the market surveillance authorities shall indicate whether the non-compliance is due to either failure of the product to meet requirements relating to aspects of public interest protection laid down in this Regulation or shortcomings in the harmonised standards referred to in Article 13 conferring a presumption of conformity.</w:t>
            </w:r>
          </w:p>
        </w:tc>
        <w:tc>
          <w:tcPr>
            <w:tcW w:w="325" w:type="pct"/>
          </w:tcPr>
          <w:p w14:paraId="46188050" w14:textId="77777777" w:rsidR="00F01ECE" w:rsidRPr="004D2E7C" w:rsidRDefault="00F01ECE" w:rsidP="00F01ECE">
            <w:pPr>
              <w:rPr>
                <w:rFonts w:cs="Times New Roman"/>
                <w:lang w:val="sr-Cyrl-RS"/>
              </w:rPr>
            </w:pPr>
          </w:p>
        </w:tc>
        <w:tc>
          <w:tcPr>
            <w:tcW w:w="1296" w:type="pct"/>
          </w:tcPr>
          <w:p w14:paraId="46188051" w14:textId="77777777" w:rsidR="00F01ECE" w:rsidRPr="004D2E7C" w:rsidRDefault="00F01ECE" w:rsidP="00F01ECE">
            <w:pPr>
              <w:rPr>
                <w:rFonts w:cs="Times New Roman"/>
                <w:lang w:val="sr-Cyrl-RS"/>
              </w:rPr>
            </w:pPr>
          </w:p>
        </w:tc>
        <w:tc>
          <w:tcPr>
            <w:tcW w:w="235" w:type="pct"/>
            <w:vAlign w:val="center"/>
          </w:tcPr>
          <w:p w14:paraId="46188052" w14:textId="77777777" w:rsidR="00F01ECE" w:rsidRPr="004D2E7C" w:rsidRDefault="00F01ECE" w:rsidP="00F01ECE">
            <w:pPr>
              <w:jc w:val="center"/>
              <w:rPr>
                <w:rFonts w:cs="Times New Roman"/>
                <w:lang w:val="sr-Cyrl-RS"/>
              </w:rPr>
            </w:pPr>
            <w:r w:rsidRPr="004D2E7C">
              <w:rPr>
                <w:rFonts w:cs="Times New Roman"/>
                <w:lang w:val="sr-Cyrl-RS"/>
              </w:rPr>
              <w:t>НП</w:t>
            </w:r>
          </w:p>
        </w:tc>
        <w:tc>
          <w:tcPr>
            <w:tcW w:w="676" w:type="pct"/>
            <w:vAlign w:val="center"/>
          </w:tcPr>
          <w:p w14:paraId="46188053" w14:textId="77777777" w:rsidR="00F01ECE" w:rsidRPr="004D2E7C" w:rsidRDefault="00F01ECE" w:rsidP="00F01ECE">
            <w:pPr>
              <w:rPr>
                <w:rFonts w:cs="Times New Roman"/>
                <w:lang w:val="sr-Cyrl-RS"/>
              </w:rPr>
            </w:pPr>
            <w:r w:rsidRPr="004D2E7C">
              <w:rPr>
                <w:rFonts w:cs="Times New Roman"/>
                <w:lang w:val="sr-Cyrl-RS"/>
              </w:rPr>
              <w:t>Ова одредба се односи на обавезе чланица Европске уније и Европске комисије.</w:t>
            </w:r>
          </w:p>
        </w:tc>
        <w:tc>
          <w:tcPr>
            <w:tcW w:w="699" w:type="pct"/>
            <w:vAlign w:val="center"/>
          </w:tcPr>
          <w:p w14:paraId="46188054" w14:textId="77777777" w:rsidR="00F01ECE" w:rsidRPr="004D2E7C" w:rsidRDefault="00F01ECE" w:rsidP="00F01ECE">
            <w:pPr>
              <w:rPr>
                <w:rFonts w:cs="Times New Roman"/>
                <w:lang w:val="sr-Cyrl-RS"/>
              </w:rPr>
            </w:pPr>
          </w:p>
        </w:tc>
      </w:tr>
      <w:tr w:rsidR="00F01ECE" w:rsidRPr="004D2E7C" w14:paraId="4618805D" w14:textId="77777777" w:rsidTr="006B3660">
        <w:tc>
          <w:tcPr>
            <w:tcW w:w="280" w:type="pct"/>
            <w:shd w:val="clear" w:color="auto" w:fill="D9D9D9"/>
            <w:vAlign w:val="center"/>
          </w:tcPr>
          <w:p w14:paraId="46188056" w14:textId="77777777" w:rsidR="00F01ECE" w:rsidRPr="004D2E7C" w:rsidRDefault="00F01ECE" w:rsidP="00F01ECE">
            <w:pPr>
              <w:jc w:val="center"/>
              <w:rPr>
                <w:rFonts w:eastAsia="Times New Roman" w:cs="Times New Roman"/>
                <w:lang w:val="sr-Cyrl-RS"/>
              </w:rPr>
            </w:pPr>
            <w:r w:rsidRPr="004D2E7C">
              <w:rPr>
                <w:rFonts w:eastAsia="Times New Roman" w:cs="Times New Roman"/>
                <w:lang w:val="sr-Cyrl-RS"/>
              </w:rPr>
              <w:lastRenderedPageBreak/>
              <w:t>9.7.</w:t>
            </w:r>
          </w:p>
        </w:tc>
        <w:tc>
          <w:tcPr>
            <w:tcW w:w="1489" w:type="pct"/>
            <w:shd w:val="clear" w:color="auto" w:fill="D9D9D9"/>
            <w:vAlign w:val="center"/>
          </w:tcPr>
          <w:p w14:paraId="46188057" w14:textId="77777777" w:rsidR="00F01ECE" w:rsidRPr="004D2E7C" w:rsidRDefault="00F01ECE" w:rsidP="00F01ECE">
            <w:pPr>
              <w:jc w:val="both"/>
              <w:rPr>
                <w:rFonts w:eastAsia="Times New Roman" w:cs="Times New Roman"/>
                <w:lang w:val="en-GB"/>
              </w:rPr>
            </w:pPr>
            <w:r w:rsidRPr="004D2E7C">
              <w:rPr>
                <w:rFonts w:cs="Times New Roman"/>
                <w:lang w:val="en-GB"/>
              </w:rPr>
              <w:t>Member States other than the Member State initiating the procedure shall without delay inform the Commission and the other Member States of any measures adopted and of any additional information at their disposal relating to the non-compliance of the product concerned, and, in the event of disagreement with the notified national measure, of their objections.</w:t>
            </w:r>
          </w:p>
        </w:tc>
        <w:tc>
          <w:tcPr>
            <w:tcW w:w="325" w:type="pct"/>
          </w:tcPr>
          <w:p w14:paraId="46188058" w14:textId="77777777" w:rsidR="00F01ECE" w:rsidRPr="004D2E7C" w:rsidRDefault="00F01ECE" w:rsidP="00F01ECE">
            <w:pPr>
              <w:rPr>
                <w:rFonts w:cs="Times New Roman"/>
                <w:lang w:val="sr-Cyrl-RS"/>
              </w:rPr>
            </w:pPr>
          </w:p>
        </w:tc>
        <w:tc>
          <w:tcPr>
            <w:tcW w:w="1296" w:type="pct"/>
          </w:tcPr>
          <w:p w14:paraId="46188059" w14:textId="77777777" w:rsidR="00F01ECE" w:rsidRPr="004D2E7C" w:rsidRDefault="00F01ECE" w:rsidP="00F01ECE">
            <w:pPr>
              <w:rPr>
                <w:rFonts w:cs="Times New Roman"/>
                <w:lang w:val="sr-Cyrl-RS"/>
              </w:rPr>
            </w:pPr>
          </w:p>
        </w:tc>
        <w:tc>
          <w:tcPr>
            <w:tcW w:w="235" w:type="pct"/>
            <w:vAlign w:val="center"/>
          </w:tcPr>
          <w:p w14:paraId="4618805A" w14:textId="77777777" w:rsidR="00F01ECE" w:rsidRPr="004D2E7C" w:rsidRDefault="00F01ECE" w:rsidP="00F01ECE">
            <w:pPr>
              <w:jc w:val="center"/>
              <w:rPr>
                <w:rFonts w:cs="Times New Roman"/>
                <w:lang w:val="sr-Cyrl-RS"/>
              </w:rPr>
            </w:pPr>
            <w:r w:rsidRPr="004D2E7C">
              <w:rPr>
                <w:rFonts w:cs="Times New Roman"/>
                <w:lang w:val="sr-Cyrl-RS"/>
              </w:rPr>
              <w:t>НП</w:t>
            </w:r>
          </w:p>
        </w:tc>
        <w:tc>
          <w:tcPr>
            <w:tcW w:w="676" w:type="pct"/>
            <w:vAlign w:val="center"/>
          </w:tcPr>
          <w:p w14:paraId="4618805B" w14:textId="77777777" w:rsidR="00F01ECE" w:rsidRPr="004D2E7C" w:rsidRDefault="00F01ECE" w:rsidP="00F01ECE">
            <w:pPr>
              <w:rPr>
                <w:rFonts w:cs="Times New Roman"/>
                <w:lang w:val="sr-Cyrl-RS"/>
              </w:rPr>
            </w:pPr>
            <w:r w:rsidRPr="004D2E7C">
              <w:rPr>
                <w:rFonts w:cs="Times New Roman"/>
                <w:lang w:val="sr-Cyrl-RS"/>
              </w:rPr>
              <w:t>Ова одредба се односи на обавезе чланица Европске уније и Европске комисије.</w:t>
            </w:r>
          </w:p>
        </w:tc>
        <w:tc>
          <w:tcPr>
            <w:tcW w:w="699" w:type="pct"/>
            <w:vAlign w:val="center"/>
          </w:tcPr>
          <w:p w14:paraId="4618805C" w14:textId="77777777" w:rsidR="00F01ECE" w:rsidRPr="004D2E7C" w:rsidRDefault="00F01ECE" w:rsidP="00F01ECE">
            <w:pPr>
              <w:rPr>
                <w:rFonts w:cs="Times New Roman"/>
                <w:lang w:val="sr-Cyrl-RS"/>
              </w:rPr>
            </w:pPr>
          </w:p>
        </w:tc>
      </w:tr>
      <w:tr w:rsidR="00F01ECE" w:rsidRPr="004D2E7C" w14:paraId="46188065" w14:textId="77777777" w:rsidTr="006B3660">
        <w:tc>
          <w:tcPr>
            <w:tcW w:w="280" w:type="pct"/>
            <w:shd w:val="clear" w:color="auto" w:fill="D9D9D9"/>
            <w:vAlign w:val="center"/>
          </w:tcPr>
          <w:p w14:paraId="4618805E" w14:textId="77777777" w:rsidR="00F01ECE" w:rsidRPr="004D2E7C" w:rsidRDefault="00F01ECE" w:rsidP="00F01ECE">
            <w:pPr>
              <w:jc w:val="center"/>
              <w:rPr>
                <w:rFonts w:eastAsia="Times New Roman" w:cs="Times New Roman"/>
                <w:lang w:val="sr-Cyrl-RS"/>
              </w:rPr>
            </w:pPr>
            <w:r w:rsidRPr="004D2E7C">
              <w:rPr>
                <w:rFonts w:eastAsia="Times New Roman" w:cs="Times New Roman"/>
                <w:lang w:val="sr-Cyrl-RS"/>
              </w:rPr>
              <w:t>9.8.</w:t>
            </w:r>
          </w:p>
        </w:tc>
        <w:tc>
          <w:tcPr>
            <w:tcW w:w="1489" w:type="pct"/>
            <w:shd w:val="clear" w:color="auto" w:fill="D9D9D9"/>
            <w:vAlign w:val="center"/>
          </w:tcPr>
          <w:p w14:paraId="4618805F" w14:textId="77777777" w:rsidR="00F01ECE" w:rsidRPr="004D2E7C" w:rsidRDefault="00F01ECE" w:rsidP="00F01ECE">
            <w:pPr>
              <w:jc w:val="both"/>
              <w:rPr>
                <w:rFonts w:eastAsia="Times New Roman" w:cs="Times New Roman"/>
                <w:lang w:val="en-GB"/>
              </w:rPr>
            </w:pPr>
            <w:r w:rsidRPr="004D2E7C">
              <w:rPr>
                <w:rFonts w:cs="Times New Roman"/>
                <w:lang w:val="en-GB"/>
              </w:rPr>
              <w:t>Where, within 60 days of receipt of the information referred to in paragraph 6, no objection has been raised by either a Member State or the Commission in respect of a provisional measure taken by a Member State, that measure shall be deemed to be justified.</w:t>
            </w:r>
          </w:p>
        </w:tc>
        <w:tc>
          <w:tcPr>
            <w:tcW w:w="325" w:type="pct"/>
          </w:tcPr>
          <w:p w14:paraId="46188060" w14:textId="77777777" w:rsidR="00F01ECE" w:rsidRPr="004D2E7C" w:rsidRDefault="00F01ECE" w:rsidP="00F01ECE">
            <w:pPr>
              <w:rPr>
                <w:rFonts w:cs="Times New Roman"/>
                <w:lang w:val="sr-Cyrl-RS"/>
              </w:rPr>
            </w:pPr>
          </w:p>
        </w:tc>
        <w:tc>
          <w:tcPr>
            <w:tcW w:w="1296" w:type="pct"/>
          </w:tcPr>
          <w:p w14:paraId="46188061" w14:textId="77777777" w:rsidR="00F01ECE" w:rsidRPr="004D2E7C" w:rsidRDefault="00F01ECE" w:rsidP="00F01ECE">
            <w:pPr>
              <w:rPr>
                <w:rFonts w:cs="Times New Roman"/>
                <w:lang w:val="sr-Cyrl-RS"/>
              </w:rPr>
            </w:pPr>
          </w:p>
        </w:tc>
        <w:tc>
          <w:tcPr>
            <w:tcW w:w="235" w:type="pct"/>
            <w:vAlign w:val="center"/>
          </w:tcPr>
          <w:p w14:paraId="46188062" w14:textId="77777777" w:rsidR="00F01ECE" w:rsidRPr="004D2E7C" w:rsidRDefault="00F01ECE" w:rsidP="00F01ECE">
            <w:pPr>
              <w:jc w:val="center"/>
              <w:rPr>
                <w:rFonts w:cs="Times New Roman"/>
                <w:lang w:val="sr-Cyrl-RS"/>
              </w:rPr>
            </w:pPr>
            <w:r w:rsidRPr="004D2E7C">
              <w:rPr>
                <w:rFonts w:cs="Times New Roman"/>
                <w:lang w:val="sr-Cyrl-RS"/>
              </w:rPr>
              <w:t>НП</w:t>
            </w:r>
          </w:p>
        </w:tc>
        <w:tc>
          <w:tcPr>
            <w:tcW w:w="676" w:type="pct"/>
            <w:vAlign w:val="center"/>
          </w:tcPr>
          <w:p w14:paraId="46188063" w14:textId="77777777" w:rsidR="00F01ECE" w:rsidRPr="004D2E7C" w:rsidRDefault="00F01ECE" w:rsidP="00F01ECE">
            <w:pPr>
              <w:rPr>
                <w:rFonts w:cs="Times New Roman"/>
                <w:lang w:val="sr-Cyrl-RS"/>
              </w:rPr>
            </w:pPr>
            <w:r w:rsidRPr="004D2E7C">
              <w:rPr>
                <w:rFonts w:cs="Times New Roman"/>
                <w:lang w:val="sr-Cyrl-RS"/>
              </w:rPr>
              <w:t>Ова одредба се односи на обавезе чланица Европске уније и Европске комисије.</w:t>
            </w:r>
          </w:p>
        </w:tc>
        <w:tc>
          <w:tcPr>
            <w:tcW w:w="699" w:type="pct"/>
            <w:vAlign w:val="center"/>
          </w:tcPr>
          <w:p w14:paraId="46188064" w14:textId="77777777" w:rsidR="00F01ECE" w:rsidRPr="004D2E7C" w:rsidRDefault="00F01ECE" w:rsidP="00F01ECE">
            <w:pPr>
              <w:rPr>
                <w:rFonts w:cs="Times New Roman"/>
                <w:lang w:val="sr-Cyrl-RS"/>
              </w:rPr>
            </w:pPr>
          </w:p>
        </w:tc>
      </w:tr>
      <w:tr w:rsidR="00F01ECE" w:rsidRPr="004D2E7C" w14:paraId="4618806E" w14:textId="77777777" w:rsidTr="006B3660">
        <w:tc>
          <w:tcPr>
            <w:tcW w:w="280" w:type="pct"/>
            <w:shd w:val="clear" w:color="auto" w:fill="D9D9D9"/>
            <w:vAlign w:val="center"/>
          </w:tcPr>
          <w:p w14:paraId="46188066" w14:textId="77777777" w:rsidR="00F01ECE" w:rsidRPr="004D2E7C" w:rsidRDefault="00F01ECE" w:rsidP="00F01ECE">
            <w:pPr>
              <w:jc w:val="center"/>
              <w:rPr>
                <w:rFonts w:eastAsia="Times New Roman" w:cs="Times New Roman"/>
                <w:lang w:val="sr-Cyrl-RS"/>
              </w:rPr>
            </w:pPr>
            <w:r w:rsidRPr="004D2E7C">
              <w:rPr>
                <w:rFonts w:eastAsia="Times New Roman" w:cs="Times New Roman"/>
                <w:lang w:val="sr-Cyrl-RS"/>
              </w:rPr>
              <w:t>9.9.</w:t>
            </w:r>
          </w:p>
        </w:tc>
        <w:tc>
          <w:tcPr>
            <w:tcW w:w="1489" w:type="pct"/>
            <w:shd w:val="clear" w:color="auto" w:fill="D9D9D9"/>
            <w:vAlign w:val="center"/>
          </w:tcPr>
          <w:p w14:paraId="46188067" w14:textId="77777777" w:rsidR="00F01ECE" w:rsidRPr="004D2E7C" w:rsidRDefault="00F01ECE" w:rsidP="00F01ECE">
            <w:pPr>
              <w:jc w:val="both"/>
              <w:rPr>
                <w:rFonts w:eastAsia="Times New Roman" w:cs="Times New Roman"/>
                <w:lang w:val="en-GB"/>
              </w:rPr>
            </w:pPr>
            <w:r w:rsidRPr="004D2E7C">
              <w:rPr>
                <w:rFonts w:cs="Times New Roman"/>
                <w:lang w:val="en-GB"/>
              </w:rPr>
              <w:t>Member States shall ensure that appropriate restrictive measures, such as withdrawal of the product from their market, are taken in respect of the product concerned, without delay.</w:t>
            </w:r>
          </w:p>
          <w:p w14:paraId="46188068" w14:textId="77777777" w:rsidR="00F01ECE" w:rsidRPr="004D2E7C" w:rsidRDefault="00F01ECE" w:rsidP="00F01ECE">
            <w:pPr>
              <w:jc w:val="both"/>
              <w:rPr>
                <w:rFonts w:eastAsia="Times New Roman" w:cs="Times New Roman"/>
                <w:lang w:val="en-GB"/>
              </w:rPr>
            </w:pPr>
          </w:p>
        </w:tc>
        <w:tc>
          <w:tcPr>
            <w:tcW w:w="325" w:type="pct"/>
          </w:tcPr>
          <w:p w14:paraId="46188069" w14:textId="77777777" w:rsidR="00F01ECE" w:rsidRPr="004D2E7C" w:rsidRDefault="00F01ECE" w:rsidP="00F01ECE">
            <w:pPr>
              <w:rPr>
                <w:rFonts w:cs="Times New Roman"/>
                <w:lang w:val="sr-Cyrl-RS"/>
              </w:rPr>
            </w:pPr>
          </w:p>
        </w:tc>
        <w:tc>
          <w:tcPr>
            <w:tcW w:w="1296" w:type="pct"/>
          </w:tcPr>
          <w:p w14:paraId="4618806A" w14:textId="77777777" w:rsidR="00F01ECE" w:rsidRPr="004D2E7C" w:rsidRDefault="00F01ECE" w:rsidP="00F01ECE">
            <w:pPr>
              <w:jc w:val="both"/>
              <w:rPr>
                <w:rFonts w:cs="Times New Roman"/>
                <w:lang w:val="sr-Cyrl-RS"/>
              </w:rPr>
            </w:pPr>
          </w:p>
        </w:tc>
        <w:tc>
          <w:tcPr>
            <w:tcW w:w="235" w:type="pct"/>
            <w:vAlign w:val="center"/>
          </w:tcPr>
          <w:p w14:paraId="4618806B" w14:textId="77777777" w:rsidR="00F01ECE" w:rsidRPr="004D2E7C" w:rsidRDefault="00F01ECE" w:rsidP="00F01ECE">
            <w:pPr>
              <w:jc w:val="center"/>
              <w:rPr>
                <w:rFonts w:cs="Times New Roman"/>
                <w:lang w:val="sr-Cyrl-RS"/>
              </w:rPr>
            </w:pPr>
            <w:r w:rsidRPr="004D2E7C">
              <w:rPr>
                <w:rFonts w:cs="Times New Roman"/>
                <w:lang w:val="sr-Cyrl-RS"/>
              </w:rPr>
              <w:t>НП</w:t>
            </w:r>
          </w:p>
        </w:tc>
        <w:tc>
          <w:tcPr>
            <w:tcW w:w="676" w:type="pct"/>
            <w:vAlign w:val="center"/>
          </w:tcPr>
          <w:p w14:paraId="4618806C" w14:textId="77777777" w:rsidR="00F01ECE" w:rsidRPr="004D2E7C" w:rsidRDefault="00F01ECE" w:rsidP="00F01ECE">
            <w:pPr>
              <w:rPr>
                <w:rFonts w:cs="Times New Roman"/>
                <w:lang w:val="sr-Cyrl-RS"/>
              </w:rPr>
            </w:pPr>
            <w:r w:rsidRPr="004D2E7C">
              <w:rPr>
                <w:rFonts w:cs="Times New Roman"/>
                <w:lang w:val="sr-Cyrl-RS"/>
              </w:rPr>
              <w:t>Ова одредба се односи на обавезе чланица Европске уније.</w:t>
            </w:r>
          </w:p>
        </w:tc>
        <w:tc>
          <w:tcPr>
            <w:tcW w:w="699" w:type="pct"/>
            <w:vAlign w:val="center"/>
          </w:tcPr>
          <w:p w14:paraId="4618806D" w14:textId="77777777" w:rsidR="00F01ECE" w:rsidRPr="004D2E7C" w:rsidRDefault="00F01ECE" w:rsidP="00F01ECE">
            <w:pPr>
              <w:rPr>
                <w:rFonts w:cs="Times New Roman"/>
                <w:lang w:val="sr-Cyrl-RS"/>
              </w:rPr>
            </w:pPr>
          </w:p>
        </w:tc>
      </w:tr>
      <w:tr w:rsidR="00F01ECE" w:rsidRPr="004D2E7C" w14:paraId="4618807F" w14:textId="77777777" w:rsidTr="006B3660">
        <w:tc>
          <w:tcPr>
            <w:tcW w:w="280" w:type="pct"/>
            <w:shd w:val="clear" w:color="auto" w:fill="D9D9D9"/>
            <w:vAlign w:val="center"/>
          </w:tcPr>
          <w:p w14:paraId="4618806F" w14:textId="77777777" w:rsidR="00F01ECE" w:rsidRPr="004D2E7C" w:rsidRDefault="00F01ECE" w:rsidP="00F01ECE">
            <w:pPr>
              <w:jc w:val="center"/>
              <w:rPr>
                <w:rFonts w:eastAsia="Times New Roman" w:cs="Times New Roman"/>
                <w:lang w:val="sr-Cyrl-RS"/>
              </w:rPr>
            </w:pPr>
            <w:r w:rsidRPr="004D2E7C">
              <w:rPr>
                <w:rFonts w:cs="Times New Roman"/>
                <w:lang w:val="sr-Cyrl-RS"/>
              </w:rPr>
              <w:t>10.1</w:t>
            </w:r>
            <w:r w:rsidRPr="004D2E7C">
              <w:rPr>
                <w:rFonts w:eastAsia="Times New Roman" w:cs="Times New Roman"/>
                <w:lang w:val="sr-Cyrl-RS"/>
              </w:rPr>
              <w:t xml:space="preserve"> – 10.5.</w:t>
            </w:r>
          </w:p>
        </w:tc>
        <w:tc>
          <w:tcPr>
            <w:tcW w:w="1489" w:type="pct"/>
            <w:shd w:val="clear" w:color="auto" w:fill="D9D9D9"/>
            <w:vAlign w:val="center"/>
          </w:tcPr>
          <w:p w14:paraId="46188071" w14:textId="77777777" w:rsidR="00F01ECE" w:rsidRPr="004D2E7C" w:rsidRDefault="00F01ECE" w:rsidP="00F01ECE">
            <w:pPr>
              <w:jc w:val="both"/>
              <w:rPr>
                <w:rFonts w:cs="Times New Roman"/>
                <w:b/>
                <w:bCs/>
                <w:lang w:val="en-GB"/>
              </w:rPr>
            </w:pPr>
            <w:r w:rsidRPr="004D2E7C">
              <w:rPr>
                <w:rFonts w:cs="Times New Roman"/>
                <w:b/>
                <w:bCs/>
                <w:lang w:val="en-GB"/>
              </w:rPr>
              <w:t>Union safeguard procedure</w:t>
            </w:r>
          </w:p>
          <w:p w14:paraId="46188072" w14:textId="77777777" w:rsidR="00F01ECE" w:rsidRPr="004D2E7C" w:rsidRDefault="00F01ECE" w:rsidP="00F01ECE">
            <w:pPr>
              <w:jc w:val="both"/>
              <w:rPr>
                <w:rFonts w:cs="Times New Roman"/>
                <w:sz w:val="14"/>
                <w:szCs w:val="14"/>
                <w:lang w:val="en-GB"/>
              </w:rPr>
            </w:pPr>
          </w:p>
          <w:p w14:paraId="46188073" w14:textId="77777777" w:rsidR="00F01ECE" w:rsidRPr="004D2E7C" w:rsidRDefault="00F01ECE" w:rsidP="00F01ECE">
            <w:pPr>
              <w:jc w:val="both"/>
              <w:rPr>
                <w:rFonts w:cs="Times New Roman"/>
                <w:lang w:val="en-GB"/>
              </w:rPr>
            </w:pPr>
            <w:r w:rsidRPr="004D2E7C">
              <w:rPr>
                <w:rFonts w:cs="Times New Roman"/>
                <w:lang w:val="en-GB"/>
              </w:rPr>
              <w:t xml:space="preserve">1. Where, on completion of the procedure set out in Article 9(4) and (5), objections are raised against a </w:t>
            </w:r>
            <w:r w:rsidRPr="004D2E7C">
              <w:rPr>
                <w:rFonts w:cs="Times New Roman"/>
                <w:lang w:val="en-GB"/>
              </w:rPr>
              <w:lastRenderedPageBreak/>
              <w:t>measure taken by a Member State, or where the Commission considers a national measure to be contrary to Union law, the Commission shall, without delay, consult the Member State and the supplier or, where appropriate, the dealer and shall evaluate the national measure.</w:t>
            </w:r>
          </w:p>
          <w:p w14:paraId="46188074" w14:textId="77777777" w:rsidR="00F01ECE" w:rsidRPr="004D2E7C" w:rsidRDefault="00F01ECE" w:rsidP="00F01ECE">
            <w:pPr>
              <w:jc w:val="both"/>
              <w:rPr>
                <w:rFonts w:eastAsia="Times New Roman" w:cs="Times New Roman"/>
                <w:lang w:val="en-GB"/>
              </w:rPr>
            </w:pPr>
            <w:r w:rsidRPr="004D2E7C">
              <w:rPr>
                <w:rFonts w:cs="Times New Roman"/>
                <w:lang w:val="en-GB"/>
              </w:rPr>
              <w:t>On the basis of the results of that evaluation, the Commission shall decide by means of an implementing act whether the national measure is justified or not and may suggest an appropriate alternative measure. That implementing act shall be adopted in accordance with the examination procedure referred to in Article 18(2).</w:t>
            </w:r>
          </w:p>
          <w:p w14:paraId="46188075" w14:textId="77777777" w:rsidR="00F01ECE" w:rsidRPr="004D2E7C" w:rsidRDefault="00F01ECE" w:rsidP="00F01ECE">
            <w:pPr>
              <w:jc w:val="both"/>
              <w:rPr>
                <w:rFonts w:eastAsia="Times New Roman" w:cs="Times New Roman"/>
                <w:lang w:val="en-GB"/>
              </w:rPr>
            </w:pPr>
            <w:r w:rsidRPr="004D2E7C">
              <w:rPr>
                <w:rFonts w:cs="Times New Roman"/>
                <w:lang w:val="en-GB"/>
              </w:rPr>
              <w:t>2. The Commission shall address its decision to all Member States and shall immediately communicate it to them and to the supplier or dealer concerned.</w:t>
            </w:r>
          </w:p>
          <w:p w14:paraId="46188076" w14:textId="2922CBDF" w:rsidR="00F01ECE" w:rsidRPr="004D2E7C" w:rsidRDefault="00F01ECE" w:rsidP="00F01ECE">
            <w:pPr>
              <w:jc w:val="both"/>
              <w:rPr>
                <w:rFonts w:eastAsia="Times New Roman" w:cs="Times New Roman"/>
                <w:lang w:val="en-GB"/>
              </w:rPr>
            </w:pPr>
            <w:r w:rsidRPr="004D2E7C">
              <w:rPr>
                <w:rFonts w:cs="Times New Roman"/>
                <w:lang w:val="en-GB"/>
              </w:rPr>
              <w:t>3. If the national measure is considered to be justified, all Member States shall take the measures necessary to ensure that the non-compliant product is withdrawn from their market and shall inform the Commission accordingly. If the national measure is considered to be unjustified, the Member State concerned shall withdraw the measure.</w:t>
            </w:r>
          </w:p>
          <w:p w14:paraId="46188077" w14:textId="77777777" w:rsidR="00F01ECE" w:rsidRPr="004D2E7C" w:rsidRDefault="00F01ECE" w:rsidP="00F01ECE">
            <w:pPr>
              <w:jc w:val="both"/>
              <w:rPr>
                <w:rFonts w:cs="Times New Roman"/>
                <w:lang w:val="en-GB"/>
              </w:rPr>
            </w:pPr>
            <w:r w:rsidRPr="004D2E7C">
              <w:rPr>
                <w:rFonts w:cs="Times New Roman"/>
                <w:lang w:val="en-GB"/>
              </w:rPr>
              <w:t>4. Where the national measure is considered to be justified and the non-compliance of the product is attributed to shortcomings in the harmonised standards referred to in Article 9(6) of this Regulation, the Commission shall apply the procedure provided for in Article 11 of Regulation (EU) No 1025/2012.</w:t>
            </w:r>
          </w:p>
          <w:p w14:paraId="46188078" w14:textId="77777777" w:rsidR="00F01ECE" w:rsidRPr="004D2E7C" w:rsidRDefault="00F01ECE" w:rsidP="00F01ECE">
            <w:pPr>
              <w:jc w:val="both"/>
              <w:rPr>
                <w:rFonts w:eastAsia="Times New Roman" w:cs="Times New Roman"/>
                <w:lang w:val="en-GB"/>
              </w:rPr>
            </w:pPr>
            <w:r w:rsidRPr="004D2E7C">
              <w:rPr>
                <w:rFonts w:cs="Times New Roman"/>
                <w:lang w:val="en-GB"/>
              </w:rPr>
              <w:t xml:space="preserve">5. Corrective or restrictive measures pursuant to Article 9(2), (4), (5) or (9), or Article 10(3) shall be extended to all units of a non-compliant model and </w:t>
            </w:r>
            <w:r w:rsidRPr="004D2E7C">
              <w:rPr>
                <w:rFonts w:cs="Times New Roman"/>
                <w:lang w:val="en-GB"/>
              </w:rPr>
              <w:lastRenderedPageBreak/>
              <w:t>of its equivalent models, except those units for which the supplier demonstrates that they are compliant.</w:t>
            </w:r>
          </w:p>
          <w:p w14:paraId="46188079" w14:textId="77777777" w:rsidR="00F01ECE" w:rsidRPr="004D2E7C" w:rsidRDefault="00F01ECE" w:rsidP="00F01ECE">
            <w:pPr>
              <w:jc w:val="both"/>
              <w:rPr>
                <w:rFonts w:eastAsia="Times New Roman" w:cs="Times New Roman"/>
                <w:lang w:val="en-GB"/>
              </w:rPr>
            </w:pPr>
          </w:p>
        </w:tc>
        <w:tc>
          <w:tcPr>
            <w:tcW w:w="325" w:type="pct"/>
          </w:tcPr>
          <w:p w14:paraId="4618807A" w14:textId="77777777" w:rsidR="00F01ECE" w:rsidRPr="004D2E7C" w:rsidRDefault="00F01ECE" w:rsidP="00F01ECE">
            <w:pPr>
              <w:rPr>
                <w:rFonts w:cs="Times New Roman"/>
                <w:lang w:val="sr-Cyrl-RS"/>
              </w:rPr>
            </w:pPr>
          </w:p>
        </w:tc>
        <w:tc>
          <w:tcPr>
            <w:tcW w:w="1296" w:type="pct"/>
          </w:tcPr>
          <w:p w14:paraId="4618807B" w14:textId="77777777" w:rsidR="00F01ECE" w:rsidRPr="004D2E7C" w:rsidRDefault="00F01ECE" w:rsidP="00F01ECE">
            <w:pPr>
              <w:rPr>
                <w:rFonts w:cs="Times New Roman"/>
                <w:lang w:val="sr-Cyrl-RS"/>
              </w:rPr>
            </w:pPr>
          </w:p>
        </w:tc>
        <w:tc>
          <w:tcPr>
            <w:tcW w:w="235" w:type="pct"/>
            <w:vAlign w:val="center"/>
          </w:tcPr>
          <w:p w14:paraId="4618807C" w14:textId="77777777" w:rsidR="00F01ECE" w:rsidRPr="004D2E7C" w:rsidRDefault="00F01ECE" w:rsidP="00F01ECE">
            <w:pPr>
              <w:jc w:val="center"/>
              <w:rPr>
                <w:rFonts w:cs="Times New Roman"/>
                <w:lang w:val="sr-Cyrl-RS"/>
              </w:rPr>
            </w:pPr>
            <w:r w:rsidRPr="004D2E7C">
              <w:rPr>
                <w:rFonts w:cs="Times New Roman"/>
                <w:lang w:val="sr-Cyrl-RS"/>
              </w:rPr>
              <w:t>НП</w:t>
            </w:r>
          </w:p>
        </w:tc>
        <w:tc>
          <w:tcPr>
            <w:tcW w:w="676" w:type="pct"/>
            <w:vAlign w:val="center"/>
          </w:tcPr>
          <w:p w14:paraId="4618807D" w14:textId="1594FCFD" w:rsidR="00F01ECE" w:rsidRPr="004D2E7C" w:rsidRDefault="00F01ECE" w:rsidP="00F01ECE">
            <w:pPr>
              <w:rPr>
                <w:rFonts w:cs="Times New Roman"/>
                <w:spacing w:val="-6"/>
                <w:lang w:val="sr-Cyrl-RS"/>
              </w:rPr>
            </w:pPr>
            <w:r w:rsidRPr="004D2E7C">
              <w:rPr>
                <w:rFonts w:cs="Times New Roman"/>
                <w:lang w:val="sr-Cyrl-RS"/>
              </w:rPr>
              <w:t xml:space="preserve">Односи се на обавезе Европске комисије и заштиту тржишта ЕУ у случају да једна </w:t>
            </w:r>
            <w:r w:rsidRPr="004D2E7C">
              <w:rPr>
                <w:rFonts w:cs="Times New Roman"/>
                <w:lang w:val="sr-Cyrl-RS"/>
              </w:rPr>
              <w:lastRenderedPageBreak/>
              <w:t>држава чланица утврди да одређени производ треба да се повуче са њеног тржишта, јер не испуњава Европски пропис, у ком случају се на основу ове одредбе цео поступак шири на цело тржиште ЕУ.</w:t>
            </w:r>
          </w:p>
        </w:tc>
        <w:tc>
          <w:tcPr>
            <w:tcW w:w="699" w:type="pct"/>
            <w:vAlign w:val="center"/>
          </w:tcPr>
          <w:p w14:paraId="4618807E" w14:textId="77777777" w:rsidR="00F01ECE" w:rsidRPr="004D2E7C" w:rsidRDefault="00F01ECE" w:rsidP="00F01ECE">
            <w:pPr>
              <w:rPr>
                <w:rFonts w:cs="Times New Roman"/>
                <w:lang w:val="sr-Cyrl-RS"/>
              </w:rPr>
            </w:pPr>
          </w:p>
        </w:tc>
      </w:tr>
      <w:tr w:rsidR="00F01ECE" w:rsidRPr="004D2E7C" w14:paraId="4618808C" w14:textId="77777777" w:rsidTr="006B3660">
        <w:tc>
          <w:tcPr>
            <w:tcW w:w="280" w:type="pct"/>
            <w:shd w:val="clear" w:color="auto" w:fill="D9D9D9"/>
            <w:vAlign w:val="center"/>
          </w:tcPr>
          <w:p w14:paraId="46188080" w14:textId="77777777" w:rsidR="00F01ECE" w:rsidRPr="004D2E7C" w:rsidRDefault="00F01ECE" w:rsidP="00F01ECE">
            <w:pPr>
              <w:jc w:val="center"/>
              <w:rPr>
                <w:rFonts w:eastAsia="Times New Roman" w:cs="Times New Roman"/>
                <w:lang w:val="sr-Cyrl-RS"/>
              </w:rPr>
            </w:pPr>
            <w:r w:rsidRPr="004D2E7C">
              <w:rPr>
                <w:rFonts w:eastAsia="Times New Roman" w:cs="Times New Roman"/>
                <w:lang w:val="sr-Cyrl-RS"/>
              </w:rPr>
              <w:lastRenderedPageBreak/>
              <w:t>11.1.</w:t>
            </w:r>
          </w:p>
        </w:tc>
        <w:tc>
          <w:tcPr>
            <w:tcW w:w="1489" w:type="pct"/>
            <w:shd w:val="clear" w:color="auto" w:fill="D9D9D9"/>
            <w:vAlign w:val="center"/>
          </w:tcPr>
          <w:p w14:paraId="46188082" w14:textId="691E872D" w:rsidR="00F01ECE" w:rsidRPr="004D2E7C" w:rsidRDefault="00F01ECE" w:rsidP="00247AA9">
            <w:pPr>
              <w:rPr>
                <w:rFonts w:cs="Times New Roman"/>
                <w:b/>
                <w:bCs/>
                <w:lang w:val="en-GB"/>
              </w:rPr>
            </w:pPr>
            <w:r w:rsidRPr="004D2E7C">
              <w:rPr>
                <w:rFonts w:cs="Times New Roman"/>
                <w:b/>
                <w:bCs/>
                <w:lang w:val="en-GB"/>
              </w:rPr>
              <w:t>P</w:t>
            </w:r>
            <w:r w:rsidR="00247AA9">
              <w:rPr>
                <w:rFonts w:cs="Times New Roman"/>
                <w:b/>
                <w:bCs/>
                <w:lang w:val="en-GB"/>
              </w:rPr>
              <w:t>ROCEDURE FOR THE INTRODUCTION AND RESCALING OF LABELS</w:t>
            </w:r>
          </w:p>
          <w:p w14:paraId="46188083" w14:textId="77777777" w:rsidR="00F01ECE" w:rsidRPr="004D2E7C" w:rsidRDefault="00F01ECE" w:rsidP="00F01ECE">
            <w:pPr>
              <w:jc w:val="both"/>
              <w:rPr>
                <w:rFonts w:cs="Times New Roman"/>
                <w:sz w:val="14"/>
                <w:szCs w:val="14"/>
                <w:lang w:val="en-GB"/>
              </w:rPr>
            </w:pPr>
          </w:p>
          <w:p w14:paraId="46188084" w14:textId="77777777" w:rsidR="00F01ECE" w:rsidRPr="004D2E7C" w:rsidRDefault="00F01ECE" w:rsidP="00F01ECE">
            <w:pPr>
              <w:jc w:val="both"/>
              <w:rPr>
                <w:rFonts w:cs="Times New Roman"/>
                <w:lang w:val="en-GB"/>
              </w:rPr>
            </w:pPr>
            <w:r w:rsidRPr="004D2E7C">
              <w:rPr>
                <w:rFonts w:cs="Times New Roman"/>
                <w:lang w:val="en-GB"/>
              </w:rPr>
              <w:t>As regards the product groups referred to in paragraphs 4 and 5, the Commission shall rescale labels which were in force on 1 August 2017 subject to paragraphs 4 and 5 and paragraphs 8 to 12.</w:t>
            </w:r>
          </w:p>
          <w:p w14:paraId="46188085" w14:textId="77777777" w:rsidR="00F01ECE" w:rsidRPr="004D2E7C" w:rsidRDefault="00F01ECE" w:rsidP="00F01ECE">
            <w:pPr>
              <w:jc w:val="both"/>
              <w:rPr>
                <w:rFonts w:eastAsia="Times New Roman" w:cs="Times New Roman"/>
                <w:lang w:val="en-GB"/>
              </w:rPr>
            </w:pPr>
            <w:r w:rsidRPr="004D2E7C">
              <w:rPr>
                <w:rFonts w:cs="Times New Roman"/>
                <w:lang w:val="en-GB"/>
              </w:rPr>
              <w:t>By way of derogation from the requirement of achieving significant energy and cost savings set out in point (b) of Article 16(3), where the rescaling cannot achieve such savings, it shall ensure at least a homogenous A to G scale.</w:t>
            </w:r>
          </w:p>
        </w:tc>
        <w:tc>
          <w:tcPr>
            <w:tcW w:w="325" w:type="pct"/>
          </w:tcPr>
          <w:p w14:paraId="46188086" w14:textId="77777777" w:rsidR="00F01ECE" w:rsidRPr="004D2E7C" w:rsidRDefault="00F01ECE" w:rsidP="00F01ECE">
            <w:pPr>
              <w:rPr>
                <w:rFonts w:cs="Times New Roman"/>
                <w:lang w:val="sr-Cyrl-RS"/>
              </w:rPr>
            </w:pPr>
          </w:p>
        </w:tc>
        <w:tc>
          <w:tcPr>
            <w:tcW w:w="1296" w:type="pct"/>
          </w:tcPr>
          <w:p w14:paraId="46188087" w14:textId="77777777" w:rsidR="00F01ECE" w:rsidRPr="004D2E7C" w:rsidRDefault="00F01ECE" w:rsidP="00F01ECE">
            <w:pPr>
              <w:rPr>
                <w:rFonts w:cs="Times New Roman"/>
                <w:lang w:val="sr-Cyrl-RS"/>
              </w:rPr>
            </w:pPr>
          </w:p>
        </w:tc>
        <w:tc>
          <w:tcPr>
            <w:tcW w:w="235" w:type="pct"/>
            <w:vAlign w:val="center"/>
          </w:tcPr>
          <w:p w14:paraId="46188088" w14:textId="77777777" w:rsidR="00F01ECE" w:rsidRPr="004D2E7C" w:rsidRDefault="00F01ECE" w:rsidP="00F01ECE">
            <w:pPr>
              <w:jc w:val="center"/>
              <w:rPr>
                <w:rFonts w:cs="Times New Roman"/>
                <w:lang w:val="sr-Cyrl-RS"/>
              </w:rPr>
            </w:pPr>
            <w:r w:rsidRPr="004D2E7C">
              <w:rPr>
                <w:rFonts w:cs="Times New Roman"/>
                <w:lang w:val="sr-Cyrl-RS"/>
              </w:rPr>
              <w:t>НП</w:t>
            </w:r>
          </w:p>
        </w:tc>
        <w:tc>
          <w:tcPr>
            <w:tcW w:w="676" w:type="pct"/>
            <w:vAlign w:val="center"/>
          </w:tcPr>
          <w:p w14:paraId="46188089" w14:textId="77777777" w:rsidR="00F01ECE" w:rsidRPr="004D2E7C" w:rsidRDefault="00F01ECE" w:rsidP="00F01ECE">
            <w:pPr>
              <w:rPr>
                <w:rFonts w:cs="Times New Roman"/>
                <w:spacing w:val="-6"/>
                <w:lang w:val="sr-Cyrl-RS"/>
              </w:rPr>
            </w:pPr>
            <w:r w:rsidRPr="004D2E7C">
              <w:rPr>
                <w:rFonts w:cs="Times New Roman"/>
                <w:spacing w:val="-6"/>
                <w:lang w:val="sr-Cyrl-RS"/>
              </w:rPr>
              <w:t>Одредба се односи на обавезу Европске комисије.</w:t>
            </w:r>
          </w:p>
        </w:tc>
        <w:tc>
          <w:tcPr>
            <w:tcW w:w="699" w:type="pct"/>
            <w:vAlign w:val="center"/>
          </w:tcPr>
          <w:p w14:paraId="283E2D91" w14:textId="77777777" w:rsidR="00247AA9" w:rsidRDefault="00F01ECE" w:rsidP="00F01ECE">
            <w:pPr>
              <w:rPr>
                <w:rFonts w:cs="Times New Roman"/>
                <w:lang w:val="sr-Cyrl-RS"/>
              </w:rPr>
            </w:pPr>
            <w:r w:rsidRPr="004D2E7C">
              <w:rPr>
                <w:rFonts w:cs="Times New Roman"/>
                <w:lang w:val="sr-Cyrl-RS"/>
              </w:rPr>
              <w:t xml:space="preserve">Ова одредба је од значаја за државе чланице ЕУ, али се последице примене процедуре односе на саме ознаке. </w:t>
            </w:r>
          </w:p>
          <w:p w14:paraId="4618808A" w14:textId="0EC149F0" w:rsidR="00F01ECE" w:rsidRPr="004D2E7C" w:rsidRDefault="00F01ECE" w:rsidP="00F01ECE">
            <w:pPr>
              <w:rPr>
                <w:rFonts w:cs="Times New Roman"/>
                <w:lang w:val="sr-Cyrl-RS"/>
              </w:rPr>
            </w:pPr>
            <w:r w:rsidRPr="004D2E7C">
              <w:rPr>
                <w:rFonts w:cs="Times New Roman"/>
                <w:lang w:val="sr-Cyrl-RS"/>
              </w:rPr>
              <w:t>Уколико дође до промене ознаке у ЕУ, Република Србија ће транспоновати тај пропис.</w:t>
            </w:r>
          </w:p>
          <w:p w14:paraId="4618808B" w14:textId="77777777" w:rsidR="00F01ECE" w:rsidRPr="004D2E7C" w:rsidRDefault="00F01ECE" w:rsidP="00F01ECE">
            <w:pPr>
              <w:rPr>
                <w:rFonts w:cs="Times New Roman"/>
                <w:lang w:val="sr-Cyrl-RS"/>
              </w:rPr>
            </w:pPr>
            <w:r w:rsidRPr="004D2E7C">
              <w:rPr>
                <w:rFonts w:cs="Times New Roman"/>
                <w:lang w:val="sr-Cyrl-RS"/>
              </w:rPr>
              <w:t>Предлаже се да се у прелазним одредбама Уредбе означи шта се ради са производима који су означени једном ознаком и још су у оптицају на тржишту, а ознака је промењена.</w:t>
            </w:r>
          </w:p>
        </w:tc>
      </w:tr>
      <w:tr w:rsidR="00F01ECE" w:rsidRPr="004D2E7C" w14:paraId="46188094" w14:textId="77777777" w:rsidTr="006B3660">
        <w:tc>
          <w:tcPr>
            <w:tcW w:w="280" w:type="pct"/>
            <w:shd w:val="clear" w:color="auto" w:fill="D9D9D9"/>
            <w:vAlign w:val="center"/>
          </w:tcPr>
          <w:p w14:paraId="4618808D" w14:textId="77777777" w:rsidR="00F01ECE" w:rsidRPr="004D2E7C" w:rsidRDefault="00F01ECE" w:rsidP="00F01ECE">
            <w:pPr>
              <w:jc w:val="center"/>
              <w:rPr>
                <w:rFonts w:eastAsia="Times New Roman" w:cs="Times New Roman"/>
                <w:lang w:val="sr-Cyrl-RS"/>
              </w:rPr>
            </w:pPr>
            <w:r w:rsidRPr="004D2E7C">
              <w:rPr>
                <w:rFonts w:eastAsia="Times New Roman" w:cs="Times New Roman"/>
                <w:lang w:val="sr-Cyrl-RS"/>
              </w:rPr>
              <w:t>11.2.</w:t>
            </w:r>
          </w:p>
        </w:tc>
        <w:tc>
          <w:tcPr>
            <w:tcW w:w="1489" w:type="pct"/>
            <w:shd w:val="clear" w:color="auto" w:fill="D9D9D9"/>
            <w:vAlign w:val="center"/>
          </w:tcPr>
          <w:p w14:paraId="4618808E" w14:textId="77777777" w:rsidR="00F01ECE" w:rsidRPr="004D2E7C" w:rsidRDefault="00F01ECE" w:rsidP="00F01ECE">
            <w:pPr>
              <w:jc w:val="both"/>
              <w:rPr>
                <w:rFonts w:eastAsia="Times New Roman" w:cs="Times New Roman"/>
                <w:lang w:val="en-GB"/>
              </w:rPr>
            </w:pPr>
            <w:r w:rsidRPr="004D2E7C">
              <w:rPr>
                <w:rFonts w:cs="Times New Roman"/>
                <w:lang w:val="en-GB"/>
              </w:rPr>
              <w:t>Where a label does not exist for a product group on 1 August 2017, the Commission may, subject to paragraphs 8 to 12, introduce labels.</w:t>
            </w:r>
          </w:p>
        </w:tc>
        <w:tc>
          <w:tcPr>
            <w:tcW w:w="325" w:type="pct"/>
          </w:tcPr>
          <w:p w14:paraId="4618808F" w14:textId="77777777" w:rsidR="00F01ECE" w:rsidRPr="004D2E7C" w:rsidRDefault="00F01ECE" w:rsidP="00F01ECE">
            <w:pPr>
              <w:rPr>
                <w:rFonts w:cs="Times New Roman"/>
                <w:lang w:val="sr-Cyrl-RS"/>
              </w:rPr>
            </w:pPr>
          </w:p>
        </w:tc>
        <w:tc>
          <w:tcPr>
            <w:tcW w:w="1296" w:type="pct"/>
          </w:tcPr>
          <w:p w14:paraId="46188090" w14:textId="77777777" w:rsidR="00F01ECE" w:rsidRPr="004D2E7C" w:rsidRDefault="00F01ECE" w:rsidP="00F01ECE">
            <w:pPr>
              <w:rPr>
                <w:rFonts w:cs="Times New Roman"/>
                <w:lang w:val="sr-Cyrl-RS"/>
              </w:rPr>
            </w:pPr>
          </w:p>
        </w:tc>
        <w:tc>
          <w:tcPr>
            <w:tcW w:w="235" w:type="pct"/>
            <w:vAlign w:val="center"/>
          </w:tcPr>
          <w:p w14:paraId="46188091" w14:textId="77777777" w:rsidR="00F01ECE" w:rsidRPr="004D2E7C" w:rsidRDefault="00F01ECE" w:rsidP="00F01ECE">
            <w:pPr>
              <w:jc w:val="center"/>
              <w:rPr>
                <w:rFonts w:cs="Times New Roman"/>
                <w:lang w:val="sr-Cyrl-RS"/>
              </w:rPr>
            </w:pPr>
            <w:r w:rsidRPr="004D2E7C">
              <w:rPr>
                <w:rFonts w:cs="Times New Roman"/>
                <w:lang w:val="sr-Cyrl-RS"/>
              </w:rPr>
              <w:t>НП</w:t>
            </w:r>
          </w:p>
        </w:tc>
        <w:tc>
          <w:tcPr>
            <w:tcW w:w="676" w:type="pct"/>
            <w:vAlign w:val="center"/>
          </w:tcPr>
          <w:p w14:paraId="46188092" w14:textId="77777777" w:rsidR="00F01ECE" w:rsidRPr="004D2E7C" w:rsidRDefault="00F01ECE" w:rsidP="00F01ECE">
            <w:pPr>
              <w:rPr>
                <w:rFonts w:cs="Times New Roman"/>
                <w:lang w:val="sr-Cyrl-RS"/>
              </w:rPr>
            </w:pPr>
            <w:r w:rsidRPr="004D2E7C">
              <w:rPr>
                <w:rFonts w:cs="Times New Roman"/>
                <w:lang w:val="sr-Cyrl-RS"/>
              </w:rPr>
              <w:t>Ова одредба се односи на обавезе Европске комисије.</w:t>
            </w:r>
          </w:p>
        </w:tc>
        <w:tc>
          <w:tcPr>
            <w:tcW w:w="699" w:type="pct"/>
            <w:vAlign w:val="center"/>
          </w:tcPr>
          <w:p w14:paraId="46188093" w14:textId="77777777" w:rsidR="00F01ECE" w:rsidRPr="004D2E7C" w:rsidRDefault="00F01ECE" w:rsidP="00F01ECE">
            <w:pPr>
              <w:rPr>
                <w:rFonts w:cs="Times New Roman"/>
                <w:lang w:val="sr-Cyrl-RS"/>
              </w:rPr>
            </w:pPr>
          </w:p>
        </w:tc>
      </w:tr>
      <w:tr w:rsidR="00F01ECE" w:rsidRPr="004D2E7C" w14:paraId="4618809C" w14:textId="77777777" w:rsidTr="006B3660">
        <w:tc>
          <w:tcPr>
            <w:tcW w:w="280" w:type="pct"/>
            <w:shd w:val="clear" w:color="auto" w:fill="D9D9D9"/>
            <w:vAlign w:val="center"/>
          </w:tcPr>
          <w:p w14:paraId="46188095" w14:textId="77777777" w:rsidR="00F01ECE" w:rsidRPr="004D2E7C" w:rsidRDefault="00F01ECE" w:rsidP="00F01ECE">
            <w:pPr>
              <w:jc w:val="center"/>
              <w:rPr>
                <w:rFonts w:eastAsia="Times New Roman" w:cs="Times New Roman"/>
                <w:lang w:val="sr-Cyrl-RS"/>
              </w:rPr>
            </w:pPr>
            <w:r w:rsidRPr="004D2E7C">
              <w:rPr>
                <w:rFonts w:eastAsia="Times New Roman" w:cs="Times New Roman"/>
                <w:lang w:val="sr-Cyrl-RS"/>
              </w:rPr>
              <w:t>11.3.</w:t>
            </w:r>
          </w:p>
        </w:tc>
        <w:tc>
          <w:tcPr>
            <w:tcW w:w="1489" w:type="pct"/>
            <w:shd w:val="clear" w:color="auto" w:fill="D9D9D9"/>
            <w:vAlign w:val="center"/>
          </w:tcPr>
          <w:p w14:paraId="46188096" w14:textId="77777777" w:rsidR="00F01ECE" w:rsidRPr="004D2E7C" w:rsidRDefault="00F01ECE" w:rsidP="00F01ECE">
            <w:pPr>
              <w:jc w:val="both"/>
              <w:rPr>
                <w:rFonts w:eastAsia="Times New Roman" w:cs="Times New Roman"/>
                <w:lang w:val="en-GB"/>
              </w:rPr>
            </w:pPr>
            <w:r w:rsidRPr="004D2E7C">
              <w:rPr>
                <w:rFonts w:cs="Times New Roman"/>
                <w:lang w:val="en-GB"/>
              </w:rPr>
              <w:t>The Commission may further rescale labels which have been rescaled in accordance with paragraph 1 or introduced in accordance with paragraph 2 where the conditions under point (a) or (b) of paragraph 6 are met, and subject to paragraphs 8 to 12.</w:t>
            </w:r>
          </w:p>
        </w:tc>
        <w:tc>
          <w:tcPr>
            <w:tcW w:w="325" w:type="pct"/>
          </w:tcPr>
          <w:p w14:paraId="46188097" w14:textId="77777777" w:rsidR="00F01ECE" w:rsidRPr="004D2E7C" w:rsidRDefault="00F01ECE" w:rsidP="00F01ECE">
            <w:pPr>
              <w:rPr>
                <w:rFonts w:cs="Times New Roman"/>
                <w:lang w:val="sr-Cyrl-RS"/>
              </w:rPr>
            </w:pPr>
          </w:p>
        </w:tc>
        <w:tc>
          <w:tcPr>
            <w:tcW w:w="1296" w:type="pct"/>
          </w:tcPr>
          <w:p w14:paraId="46188098" w14:textId="77777777" w:rsidR="00F01ECE" w:rsidRPr="004D2E7C" w:rsidRDefault="00F01ECE" w:rsidP="00F01ECE">
            <w:pPr>
              <w:rPr>
                <w:rFonts w:cs="Times New Roman"/>
                <w:lang w:val="sr-Cyrl-RS"/>
              </w:rPr>
            </w:pPr>
          </w:p>
        </w:tc>
        <w:tc>
          <w:tcPr>
            <w:tcW w:w="235" w:type="pct"/>
            <w:vAlign w:val="center"/>
          </w:tcPr>
          <w:p w14:paraId="46188099" w14:textId="77777777" w:rsidR="00F01ECE" w:rsidRPr="004D2E7C" w:rsidRDefault="00F01ECE" w:rsidP="00F01ECE">
            <w:pPr>
              <w:jc w:val="center"/>
              <w:rPr>
                <w:rFonts w:cs="Times New Roman"/>
                <w:lang w:val="sr-Cyrl-RS"/>
              </w:rPr>
            </w:pPr>
            <w:r w:rsidRPr="004D2E7C">
              <w:rPr>
                <w:rFonts w:cs="Times New Roman"/>
                <w:lang w:val="sr-Cyrl-RS"/>
              </w:rPr>
              <w:t>НП</w:t>
            </w:r>
          </w:p>
        </w:tc>
        <w:tc>
          <w:tcPr>
            <w:tcW w:w="676" w:type="pct"/>
            <w:vAlign w:val="center"/>
          </w:tcPr>
          <w:p w14:paraId="4618809A" w14:textId="77777777" w:rsidR="00F01ECE" w:rsidRPr="004D2E7C" w:rsidRDefault="00F01ECE" w:rsidP="00F01ECE">
            <w:pPr>
              <w:rPr>
                <w:rFonts w:cs="Times New Roman"/>
                <w:lang w:val="sr-Cyrl-RS"/>
              </w:rPr>
            </w:pPr>
            <w:r w:rsidRPr="004D2E7C">
              <w:rPr>
                <w:rFonts w:cs="Times New Roman"/>
                <w:lang w:val="sr-Cyrl-RS"/>
              </w:rPr>
              <w:t>Ова одредба се односи на обавезе Европске комисије.</w:t>
            </w:r>
          </w:p>
        </w:tc>
        <w:tc>
          <w:tcPr>
            <w:tcW w:w="699" w:type="pct"/>
            <w:vAlign w:val="center"/>
          </w:tcPr>
          <w:p w14:paraId="4618809B" w14:textId="77777777" w:rsidR="00F01ECE" w:rsidRPr="004D2E7C" w:rsidRDefault="00F01ECE" w:rsidP="00F01ECE">
            <w:pPr>
              <w:rPr>
                <w:rFonts w:cs="Times New Roman"/>
                <w:lang w:val="sr-Cyrl-RS"/>
              </w:rPr>
            </w:pPr>
          </w:p>
        </w:tc>
      </w:tr>
      <w:tr w:rsidR="00F01ECE" w:rsidRPr="004D2E7C" w14:paraId="461880A6" w14:textId="77777777" w:rsidTr="006B3660">
        <w:tc>
          <w:tcPr>
            <w:tcW w:w="280" w:type="pct"/>
            <w:shd w:val="clear" w:color="auto" w:fill="D9D9D9"/>
            <w:vAlign w:val="center"/>
          </w:tcPr>
          <w:p w14:paraId="4618809D" w14:textId="77777777" w:rsidR="00F01ECE" w:rsidRPr="004D2E7C" w:rsidRDefault="00F01ECE" w:rsidP="00F01ECE">
            <w:pPr>
              <w:jc w:val="center"/>
              <w:rPr>
                <w:rFonts w:eastAsia="Times New Roman" w:cs="Times New Roman"/>
                <w:lang w:val="sr-Cyrl-RS"/>
              </w:rPr>
            </w:pPr>
            <w:r w:rsidRPr="004D2E7C">
              <w:rPr>
                <w:rFonts w:eastAsia="Times New Roman" w:cs="Times New Roman"/>
                <w:lang w:val="sr-Cyrl-RS"/>
              </w:rPr>
              <w:lastRenderedPageBreak/>
              <w:t>11.4.</w:t>
            </w:r>
          </w:p>
        </w:tc>
        <w:tc>
          <w:tcPr>
            <w:tcW w:w="1489" w:type="pct"/>
            <w:shd w:val="clear" w:color="auto" w:fill="D9D9D9"/>
            <w:vAlign w:val="center"/>
          </w:tcPr>
          <w:p w14:paraId="4618809E" w14:textId="77777777" w:rsidR="00F01ECE" w:rsidRPr="004D2E7C" w:rsidRDefault="00F01ECE" w:rsidP="00F01ECE">
            <w:pPr>
              <w:jc w:val="both"/>
              <w:rPr>
                <w:rFonts w:cs="Times New Roman"/>
                <w:lang w:val="en-GB"/>
              </w:rPr>
            </w:pPr>
            <w:r w:rsidRPr="004D2E7C">
              <w:rPr>
                <w:rFonts w:cs="Times New Roman"/>
                <w:lang w:val="en-GB"/>
              </w:rPr>
              <w:t>In order to ensure a homogenous A to G scale, the Commission shall adopt, by 2 August 2023, delegated acts pursuant to Article 16 of this Regulation in order to supplement this Regulation by introducing A to G rescaled labels for product groups covered by delegated acts adopted pursuant to Directive 2010/30/EU, with the aim of displaying the rescaled label both in shops and online, 18 months after the date of entry into force of the delegated acts adopted pursuant to this Regulation.</w:t>
            </w:r>
          </w:p>
          <w:p w14:paraId="461880A0" w14:textId="77777777" w:rsidR="00F01ECE" w:rsidRPr="004D2E7C" w:rsidRDefault="00F01ECE" w:rsidP="00F01ECE">
            <w:pPr>
              <w:jc w:val="both"/>
              <w:rPr>
                <w:rFonts w:eastAsia="Times New Roman" w:cs="Times New Roman"/>
                <w:lang w:val="en-GB"/>
              </w:rPr>
            </w:pPr>
            <w:r w:rsidRPr="004D2E7C">
              <w:rPr>
                <w:rFonts w:cs="Times New Roman"/>
                <w:lang w:val="en-GB"/>
              </w:rPr>
              <w:t>When determining the order of product groups to be rescaled, the Commission shall take into account the proportion of products in the highest classes.</w:t>
            </w:r>
          </w:p>
        </w:tc>
        <w:tc>
          <w:tcPr>
            <w:tcW w:w="325" w:type="pct"/>
          </w:tcPr>
          <w:p w14:paraId="461880A1" w14:textId="77777777" w:rsidR="00F01ECE" w:rsidRPr="004D2E7C" w:rsidRDefault="00F01ECE" w:rsidP="00F01ECE">
            <w:pPr>
              <w:rPr>
                <w:rFonts w:cs="Times New Roman"/>
                <w:lang w:val="sr-Cyrl-RS"/>
              </w:rPr>
            </w:pPr>
          </w:p>
        </w:tc>
        <w:tc>
          <w:tcPr>
            <w:tcW w:w="1296" w:type="pct"/>
          </w:tcPr>
          <w:p w14:paraId="461880A2" w14:textId="77777777" w:rsidR="00F01ECE" w:rsidRPr="004D2E7C" w:rsidRDefault="00F01ECE" w:rsidP="00F01ECE">
            <w:pPr>
              <w:rPr>
                <w:rFonts w:cs="Times New Roman"/>
                <w:lang w:val="sr-Cyrl-RS"/>
              </w:rPr>
            </w:pPr>
          </w:p>
        </w:tc>
        <w:tc>
          <w:tcPr>
            <w:tcW w:w="235" w:type="pct"/>
            <w:vAlign w:val="center"/>
          </w:tcPr>
          <w:p w14:paraId="461880A3" w14:textId="77777777" w:rsidR="00F01ECE" w:rsidRPr="004D2E7C" w:rsidRDefault="00F01ECE" w:rsidP="00F01ECE">
            <w:pPr>
              <w:jc w:val="center"/>
              <w:rPr>
                <w:rFonts w:cs="Times New Roman"/>
                <w:lang w:val="sr-Cyrl-RS"/>
              </w:rPr>
            </w:pPr>
            <w:r w:rsidRPr="004D2E7C">
              <w:rPr>
                <w:rFonts w:cs="Times New Roman"/>
                <w:lang w:val="sr-Cyrl-RS"/>
              </w:rPr>
              <w:t>НП</w:t>
            </w:r>
          </w:p>
        </w:tc>
        <w:tc>
          <w:tcPr>
            <w:tcW w:w="676" w:type="pct"/>
            <w:vAlign w:val="center"/>
          </w:tcPr>
          <w:p w14:paraId="461880A4" w14:textId="77777777" w:rsidR="00F01ECE" w:rsidRPr="004D2E7C" w:rsidRDefault="00F01ECE" w:rsidP="00F01ECE">
            <w:pPr>
              <w:rPr>
                <w:rFonts w:cs="Times New Roman"/>
                <w:lang w:val="sr-Cyrl-RS"/>
              </w:rPr>
            </w:pPr>
            <w:r w:rsidRPr="004D2E7C">
              <w:rPr>
                <w:rFonts w:cs="Times New Roman"/>
                <w:lang w:val="sr-Cyrl-RS"/>
              </w:rPr>
              <w:t>Ова одредба се односи на обавезе Европске комисије.</w:t>
            </w:r>
          </w:p>
        </w:tc>
        <w:tc>
          <w:tcPr>
            <w:tcW w:w="699" w:type="pct"/>
            <w:vAlign w:val="center"/>
          </w:tcPr>
          <w:p w14:paraId="461880A5" w14:textId="77777777" w:rsidR="00F01ECE" w:rsidRPr="004D2E7C" w:rsidRDefault="00F01ECE" w:rsidP="00F01ECE">
            <w:pPr>
              <w:rPr>
                <w:rFonts w:cs="Times New Roman"/>
                <w:lang w:val="sr-Cyrl-RS"/>
              </w:rPr>
            </w:pPr>
          </w:p>
        </w:tc>
      </w:tr>
      <w:tr w:rsidR="00F01ECE" w:rsidRPr="004D2E7C" w14:paraId="461880B4" w14:textId="77777777" w:rsidTr="006B3660">
        <w:tc>
          <w:tcPr>
            <w:tcW w:w="280" w:type="pct"/>
            <w:shd w:val="clear" w:color="auto" w:fill="D9D9D9"/>
            <w:vAlign w:val="center"/>
          </w:tcPr>
          <w:p w14:paraId="461880A7" w14:textId="77777777" w:rsidR="00F01ECE" w:rsidRPr="004D2E7C" w:rsidRDefault="00F01ECE" w:rsidP="00F01ECE">
            <w:pPr>
              <w:jc w:val="center"/>
              <w:rPr>
                <w:rFonts w:eastAsia="Times New Roman" w:cs="Times New Roman"/>
                <w:lang w:val="sr-Cyrl-RS"/>
              </w:rPr>
            </w:pPr>
            <w:r w:rsidRPr="004D2E7C">
              <w:rPr>
                <w:rFonts w:eastAsia="Times New Roman" w:cs="Times New Roman"/>
                <w:lang w:val="sr-Cyrl-RS"/>
              </w:rPr>
              <w:t>11.5.</w:t>
            </w:r>
          </w:p>
        </w:tc>
        <w:tc>
          <w:tcPr>
            <w:tcW w:w="1489" w:type="pct"/>
            <w:shd w:val="clear" w:color="auto" w:fill="D9D9D9"/>
            <w:vAlign w:val="center"/>
          </w:tcPr>
          <w:p w14:paraId="461880A8" w14:textId="77777777" w:rsidR="00F01ECE" w:rsidRPr="004D2E7C" w:rsidRDefault="00F01ECE" w:rsidP="00F01ECE">
            <w:pPr>
              <w:jc w:val="both"/>
              <w:rPr>
                <w:rFonts w:cs="Times New Roman"/>
                <w:lang w:val="en-GB"/>
              </w:rPr>
            </w:pPr>
            <w:r w:rsidRPr="004D2E7C">
              <w:rPr>
                <w:rFonts w:cs="Times New Roman"/>
                <w:lang w:val="en-GB"/>
              </w:rPr>
              <w:t>By way of derogation from paragraph 4, the Commission shall:</w:t>
            </w:r>
          </w:p>
          <w:p w14:paraId="461880AA" w14:textId="77777777" w:rsidR="00F01ECE" w:rsidRPr="004D2E7C" w:rsidRDefault="00F01ECE" w:rsidP="00F01ECE">
            <w:pPr>
              <w:jc w:val="both"/>
              <w:rPr>
                <w:rFonts w:cs="Times New Roman"/>
                <w:lang w:val="en-GB"/>
              </w:rPr>
            </w:pPr>
            <w:r w:rsidRPr="004D2E7C">
              <w:rPr>
                <w:rFonts w:cs="Times New Roman"/>
                <w:lang w:val="en-GB"/>
              </w:rPr>
              <w:t xml:space="preserve">(a) present reviews for the product groups covered by Delegated Regulations (EU) No 811/2013, (EU) No 812/2013 and (EU) 2015/1187 by 2 August 2025 with a view to rescaling them, and, where appropriate, shall, by 2 August 2026, adopt delegated acts pursuant to Article 16 of this Regulation in order to supplement this Regulation by introducing A to G rescaled labels. </w:t>
            </w:r>
          </w:p>
          <w:p w14:paraId="461880AC" w14:textId="77777777" w:rsidR="00F01ECE" w:rsidRPr="004D2E7C" w:rsidRDefault="00F01ECE" w:rsidP="00F01ECE">
            <w:pPr>
              <w:jc w:val="both"/>
              <w:rPr>
                <w:rFonts w:cs="Times New Roman"/>
                <w:lang w:val="en-GB"/>
              </w:rPr>
            </w:pPr>
            <w:r w:rsidRPr="004D2E7C">
              <w:rPr>
                <w:rFonts w:cs="Times New Roman"/>
                <w:lang w:val="en-GB"/>
              </w:rPr>
              <w:t>In any event, the delegated acts introducing A to G rescaled labels shall be adopted no later than 2 August 2030.</w:t>
            </w:r>
          </w:p>
          <w:p w14:paraId="461880AE" w14:textId="77777777" w:rsidR="00F01ECE" w:rsidRPr="004D2E7C" w:rsidRDefault="00F01ECE" w:rsidP="00F01ECE">
            <w:pPr>
              <w:jc w:val="both"/>
              <w:rPr>
                <w:rFonts w:eastAsia="Times New Roman" w:cs="Times New Roman"/>
                <w:lang w:val="en-GB"/>
              </w:rPr>
            </w:pPr>
            <w:r w:rsidRPr="004D2E7C">
              <w:rPr>
                <w:rFonts w:cs="Times New Roman"/>
                <w:lang w:val="en-GB"/>
              </w:rPr>
              <w:t>(b) adopt, by 2 November 2018, delegated acts pursuant to Article 16 of this Regulation in order to supplement this Regulation by introducing A to G rescaled labels for product groups covered by Commission Delegated Regulations (EU) No 1059/2010</w:t>
            </w:r>
            <w:hyperlink r:id="rId13" w:anchor="ntr15-L_2017198EN.01000101-E0015" w:history="1">
              <w:r w:rsidRPr="004D2E7C">
                <w:rPr>
                  <w:rStyle w:val="Hyperlink"/>
                  <w:rFonts w:cs="Times New Roman"/>
                  <w:color w:val="auto"/>
                  <w:lang w:val="en-GB"/>
                </w:rPr>
                <w:t> (</w:t>
              </w:r>
              <w:r w:rsidRPr="004D2E7C">
                <w:rPr>
                  <w:rStyle w:val="super"/>
                  <w:rFonts w:cs="Times New Roman"/>
                  <w:u w:val="single"/>
                  <w:vertAlign w:val="superscript"/>
                  <w:lang w:val="en-GB"/>
                </w:rPr>
                <w:t>15</w:t>
              </w:r>
              <w:r w:rsidRPr="004D2E7C">
                <w:rPr>
                  <w:rStyle w:val="Hyperlink"/>
                  <w:rFonts w:cs="Times New Roman"/>
                  <w:color w:val="auto"/>
                  <w:lang w:val="en-GB"/>
                </w:rPr>
                <w:t>)</w:t>
              </w:r>
            </w:hyperlink>
            <w:r w:rsidRPr="004D2E7C">
              <w:rPr>
                <w:rFonts w:cs="Times New Roman"/>
                <w:lang w:val="en-GB"/>
              </w:rPr>
              <w:t>, (EU) No 1060/2010</w:t>
            </w:r>
            <w:hyperlink r:id="rId14" w:anchor="ntr16-L_2017198EN.01000101-E0016" w:history="1">
              <w:r w:rsidRPr="004D2E7C">
                <w:rPr>
                  <w:rStyle w:val="Hyperlink"/>
                  <w:rFonts w:cs="Times New Roman"/>
                  <w:color w:val="auto"/>
                  <w:lang w:val="en-GB"/>
                </w:rPr>
                <w:t> (</w:t>
              </w:r>
              <w:r w:rsidRPr="004D2E7C">
                <w:rPr>
                  <w:rStyle w:val="super"/>
                  <w:rFonts w:cs="Times New Roman"/>
                  <w:u w:val="single"/>
                  <w:vertAlign w:val="superscript"/>
                  <w:lang w:val="en-GB"/>
                </w:rPr>
                <w:t>16</w:t>
              </w:r>
              <w:r w:rsidRPr="004D2E7C">
                <w:rPr>
                  <w:rStyle w:val="Hyperlink"/>
                  <w:rFonts w:cs="Times New Roman"/>
                  <w:color w:val="auto"/>
                  <w:lang w:val="en-GB"/>
                </w:rPr>
                <w:t>)</w:t>
              </w:r>
            </w:hyperlink>
            <w:r w:rsidRPr="004D2E7C">
              <w:rPr>
                <w:rFonts w:cs="Times New Roman"/>
                <w:lang w:val="en-GB"/>
              </w:rPr>
              <w:t>, (EU) No 1061/2010</w:t>
            </w:r>
            <w:hyperlink r:id="rId15" w:anchor="ntr17-L_2017198EN.01000101-E0017" w:history="1">
              <w:r w:rsidRPr="004D2E7C">
                <w:rPr>
                  <w:rStyle w:val="Hyperlink"/>
                  <w:rFonts w:cs="Times New Roman"/>
                  <w:color w:val="auto"/>
                  <w:lang w:val="en-GB"/>
                </w:rPr>
                <w:t> (</w:t>
              </w:r>
              <w:r w:rsidRPr="004D2E7C">
                <w:rPr>
                  <w:rStyle w:val="super"/>
                  <w:rFonts w:cs="Times New Roman"/>
                  <w:u w:val="single"/>
                  <w:vertAlign w:val="superscript"/>
                  <w:lang w:val="en-GB"/>
                </w:rPr>
                <w:t>17</w:t>
              </w:r>
              <w:r w:rsidRPr="004D2E7C">
                <w:rPr>
                  <w:rStyle w:val="Hyperlink"/>
                  <w:rFonts w:cs="Times New Roman"/>
                  <w:color w:val="auto"/>
                  <w:lang w:val="en-GB"/>
                </w:rPr>
                <w:t>)</w:t>
              </w:r>
            </w:hyperlink>
            <w:r w:rsidRPr="004D2E7C">
              <w:rPr>
                <w:rFonts w:cs="Times New Roman"/>
                <w:lang w:val="en-GB"/>
              </w:rPr>
              <w:t>, (EU) No 1062/2010</w:t>
            </w:r>
            <w:hyperlink r:id="rId16" w:anchor="ntr18-L_2017198EN.01000101-E0018" w:history="1">
              <w:r w:rsidRPr="004D2E7C">
                <w:rPr>
                  <w:rStyle w:val="Hyperlink"/>
                  <w:rFonts w:cs="Times New Roman"/>
                  <w:color w:val="auto"/>
                  <w:lang w:val="en-GB"/>
                </w:rPr>
                <w:t> (</w:t>
              </w:r>
              <w:r w:rsidRPr="004D2E7C">
                <w:rPr>
                  <w:rStyle w:val="super"/>
                  <w:rFonts w:cs="Times New Roman"/>
                  <w:u w:val="single"/>
                  <w:vertAlign w:val="superscript"/>
                  <w:lang w:val="en-GB"/>
                </w:rPr>
                <w:t>18</w:t>
              </w:r>
              <w:r w:rsidRPr="004D2E7C">
                <w:rPr>
                  <w:rStyle w:val="Hyperlink"/>
                  <w:rFonts w:cs="Times New Roman"/>
                  <w:color w:val="auto"/>
                  <w:lang w:val="en-GB"/>
                </w:rPr>
                <w:t>)</w:t>
              </w:r>
            </w:hyperlink>
            <w:r w:rsidRPr="004D2E7C">
              <w:rPr>
                <w:rFonts w:cs="Times New Roman"/>
                <w:lang w:val="en-GB"/>
              </w:rPr>
              <w:t xml:space="preserve"> and (EU) </w:t>
            </w:r>
            <w:r w:rsidRPr="004D2E7C">
              <w:rPr>
                <w:rFonts w:cs="Times New Roman"/>
                <w:lang w:val="en-GB"/>
              </w:rPr>
              <w:lastRenderedPageBreak/>
              <w:t>No 874/2012</w:t>
            </w:r>
            <w:hyperlink r:id="rId17" w:anchor="ntr19-L_2017198EN.01000101-E0019" w:history="1">
              <w:r w:rsidRPr="004D2E7C">
                <w:rPr>
                  <w:rStyle w:val="Hyperlink"/>
                  <w:rFonts w:cs="Times New Roman"/>
                  <w:color w:val="auto"/>
                  <w:lang w:val="en-GB"/>
                </w:rPr>
                <w:t> (</w:t>
              </w:r>
              <w:r w:rsidRPr="004D2E7C">
                <w:rPr>
                  <w:rStyle w:val="super"/>
                  <w:rFonts w:cs="Times New Roman"/>
                  <w:u w:val="single"/>
                  <w:vertAlign w:val="superscript"/>
                  <w:lang w:val="en-GB"/>
                </w:rPr>
                <w:t>19</w:t>
              </w:r>
              <w:r w:rsidRPr="004D2E7C">
                <w:rPr>
                  <w:rStyle w:val="Hyperlink"/>
                  <w:rFonts w:cs="Times New Roman"/>
                  <w:color w:val="auto"/>
                  <w:lang w:val="en-GB"/>
                </w:rPr>
                <w:t>)</w:t>
              </w:r>
            </w:hyperlink>
            <w:r w:rsidRPr="004D2E7C">
              <w:rPr>
                <w:rFonts w:cs="Times New Roman"/>
                <w:lang w:val="en-GB"/>
              </w:rPr>
              <w:t xml:space="preserve"> and Directive 96/60/EC, with the aim of displaying the rescaled label both in shops and online, 12 months after their date of entry into force.</w:t>
            </w:r>
          </w:p>
        </w:tc>
        <w:tc>
          <w:tcPr>
            <w:tcW w:w="325" w:type="pct"/>
          </w:tcPr>
          <w:p w14:paraId="461880AF" w14:textId="77777777" w:rsidR="00F01ECE" w:rsidRPr="004D2E7C" w:rsidRDefault="00F01ECE" w:rsidP="00F01ECE">
            <w:pPr>
              <w:rPr>
                <w:rFonts w:cs="Times New Roman"/>
                <w:lang w:val="sr-Cyrl-RS"/>
              </w:rPr>
            </w:pPr>
          </w:p>
        </w:tc>
        <w:tc>
          <w:tcPr>
            <w:tcW w:w="1296" w:type="pct"/>
          </w:tcPr>
          <w:p w14:paraId="461880B0" w14:textId="77777777" w:rsidR="00F01ECE" w:rsidRPr="004D2E7C" w:rsidRDefault="00F01ECE" w:rsidP="00F01ECE">
            <w:pPr>
              <w:rPr>
                <w:rFonts w:cs="Times New Roman"/>
                <w:lang w:val="sr-Cyrl-RS"/>
              </w:rPr>
            </w:pPr>
          </w:p>
        </w:tc>
        <w:tc>
          <w:tcPr>
            <w:tcW w:w="235" w:type="pct"/>
            <w:vAlign w:val="center"/>
          </w:tcPr>
          <w:p w14:paraId="461880B1" w14:textId="77777777" w:rsidR="00F01ECE" w:rsidRPr="004D2E7C" w:rsidRDefault="00F01ECE" w:rsidP="00F01ECE">
            <w:pPr>
              <w:jc w:val="center"/>
              <w:rPr>
                <w:rFonts w:cs="Times New Roman"/>
                <w:lang w:val="sr-Cyrl-RS"/>
              </w:rPr>
            </w:pPr>
            <w:r w:rsidRPr="004D2E7C">
              <w:rPr>
                <w:rFonts w:cs="Times New Roman"/>
                <w:lang w:val="sr-Cyrl-RS"/>
              </w:rPr>
              <w:t>НП</w:t>
            </w:r>
          </w:p>
        </w:tc>
        <w:tc>
          <w:tcPr>
            <w:tcW w:w="676" w:type="pct"/>
            <w:vAlign w:val="center"/>
          </w:tcPr>
          <w:p w14:paraId="461880B2" w14:textId="77777777" w:rsidR="00F01ECE" w:rsidRPr="004D2E7C" w:rsidRDefault="00F01ECE" w:rsidP="00F01ECE">
            <w:pPr>
              <w:rPr>
                <w:rFonts w:cs="Times New Roman"/>
                <w:lang w:val="sr-Cyrl-RS"/>
              </w:rPr>
            </w:pPr>
            <w:r w:rsidRPr="004D2E7C">
              <w:rPr>
                <w:rFonts w:cs="Times New Roman"/>
                <w:lang w:val="sr-Cyrl-RS"/>
              </w:rPr>
              <w:t>Ова одредба се односи на обавезе Европске комисије.</w:t>
            </w:r>
          </w:p>
        </w:tc>
        <w:tc>
          <w:tcPr>
            <w:tcW w:w="699" w:type="pct"/>
            <w:vAlign w:val="center"/>
          </w:tcPr>
          <w:p w14:paraId="461880B3" w14:textId="77777777" w:rsidR="00F01ECE" w:rsidRPr="004D2E7C" w:rsidRDefault="00F01ECE" w:rsidP="00F01ECE">
            <w:pPr>
              <w:rPr>
                <w:rFonts w:cs="Times New Roman"/>
                <w:lang w:val="sr-Cyrl-RS"/>
              </w:rPr>
            </w:pPr>
          </w:p>
        </w:tc>
      </w:tr>
      <w:tr w:rsidR="00F01ECE" w:rsidRPr="004D2E7C" w14:paraId="461880BF" w14:textId="77777777" w:rsidTr="006B3660">
        <w:tc>
          <w:tcPr>
            <w:tcW w:w="280" w:type="pct"/>
            <w:shd w:val="clear" w:color="auto" w:fill="D9D9D9"/>
            <w:vAlign w:val="center"/>
          </w:tcPr>
          <w:p w14:paraId="461880B5" w14:textId="77777777" w:rsidR="00F01ECE" w:rsidRPr="004D2E7C" w:rsidRDefault="00F01ECE" w:rsidP="00F01ECE">
            <w:pPr>
              <w:jc w:val="center"/>
              <w:rPr>
                <w:rFonts w:eastAsia="Times New Roman" w:cs="Times New Roman"/>
                <w:lang w:val="sr-Cyrl-RS"/>
              </w:rPr>
            </w:pPr>
            <w:r w:rsidRPr="004D2E7C">
              <w:rPr>
                <w:rFonts w:eastAsia="Times New Roman" w:cs="Times New Roman"/>
                <w:lang w:val="sr-Cyrl-RS"/>
              </w:rPr>
              <w:lastRenderedPageBreak/>
              <w:t>11.6.</w:t>
            </w:r>
          </w:p>
        </w:tc>
        <w:tc>
          <w:tcPr>
            <w:tcW w:w="1489" w:type="pct"/>
            <w:shd w:val="clear" w:color="auto" w:fill="D9D9D9"/>
            <w:vAlign w:val="center"/>
          </w:tcPr>
          <w:p w14:paraId="461880B6" w14:textId="77777777" w:rsidR="00F01ECE" w:rsidRPr="004D2E7C" w:rsidRDefault="00F01ECE" w:rsidP="00F01ECE">
            <w:pPr>
              <w:pStyle w:val="Normal1"/>
              <w:spacing w:before="0" w:beforeAutospacing="0" w:after="0" w:afterAutospacing="0"/>
              <w:jc w:val="both"/>
              <w:rPr>
                <w:sz w:val="22"/>
                <w:szCs w:val="22"/>
                <w:lang w:val="en-GB"/>
              </w:rPr>
            </w:pPr>
            <w:r w:rsidRPr="004D2E7C">
              <w:rPr>
                <w:sz w:val="22"/>
                <w:szCs w:val="22"/>
                <w:lang w:val="en-GB"/>
              </w:rPr>
              <w:t>As regards the products for which the Commission may further rescale the labels in accordance with paragraph 3, the Commission shall review the label with a view to rescaling if it estimates that:</w:t>
            </w:r>
          </w:p>
          <w:p w14:paraId="461880B7" w14:textId="77777777" w:rsidR="00F01ECE" w:rsidRPr="004D2E7C" w:rsidRDefault="00F01ECE" w:rsidP="00F01ECE">
            <w:pPr>
              <w:pStyle w:val="Normal1"/>
              <w:spacing w:before="0" w:beforeAutospacing="0" w:after="0" w:afterAutospacing="0"/>
              <w:jc w:val="both"/>
              <w:rPr>
                <w:sz w:val="22"/>
                <w:szCs w:val="22"/>
                <w:lang w:val="en-GB"/>
              </w:rPr>
            </w:pPr>
            <w:r w:rsidRPr="004D2E7C">
              <w:rPr>
                <w:sz w:val="22"/>
                <w:szCs w:val="22"/>
                <w:lang w:val="en-GB"/>
              </w:rPr>
              <w:t>(a) 30 % of the units of models belonging to a product group sold within the Union market fall into the top energy efficiency class A and further technological development can be expected; or</w:t>
            </w:r>
          </w:p>
          <w:p w14:paraId="461880B9" w14:textId="77777777" w:rsidR="00F01ECE" w:rsidRPr="004D2E7C" w:rsidRDefault="00F01ECE" w:rsidP="00F01ECE">
            <w:pPr>
              <w:pStyle w:val="Normal1"/>
              <w:spacing w:before="0" w:beforeAutospacing="0" w:after="0" w:afterAutospacing="0"/>
              <w:jc w:val="both"/>
              <w:rPr>
                <w:sz w:val="22"/>
                <w:szCs w:val="22"/>
                <w:lang w:val="en-GB"/>
              </w:rPr>
            </w:pPr>
            <w:r w:rsidRPr="004D2E7C">
              <w:rPr>
                <w:sz w:val="22"/>
                <w:szCs w:val="22"/>
                <w:lang w:val="en-GB"/>
              </w:rPr>
              <w:t>(b) 50 % of the units of models belonging to a product group sold within the Union market fall into the top two energy efficiency classes A and B and further technological development can be expected.</w:t>
            </w:r>
          </w:p>
        </w:tc>
        <w:tc>
          <w:tcPr>
            <w:tcW w:w="325" w:type="pct"/>
          </w:tcPr>
          <w:p w14:paraId="461880BA" w14:textId="77777777" w:rsidR="00F01ECE" w:rsidRPr="004D2E7C" w:rsidRDefault="00F01ECE" w:rsidP="00F01ECE">
            <w:pPr>
              <w:rPr>
                <w:rFonts w:cs="Times New Roman"/>
                <w:lang w:val="sr-Cyrl-RS"/>
              </w:rPr>
            </w:pPr>
          </w:p>
        </w:tc>
        <w:tc>
          <w:tcPr>
            <w:tcW w:w="1296" w:type="pct"/>
          </w:tcPr>
          <w:p w14:paraId="461880BB" w14:textId="77777777" w:rsidR="00F01ECE" w:rsidRPr="004D2E7C" w:rsidRDefault="00F01ECE" w:rsidP="00F01ECE">
            <w:pPr>
              <w:rPr>
                <w:rFonts w:cs="Times New Roman"/>
                <w:lang w:val="sr-Cyrl-RS"/>
              </w:rPr>
            </w:pPr>
          </w:p>
        </w:tc>
        <w:tc>
          <w:tcPr>
            <w:tcW w:w="235" w:type="pct"/>
            <w:vAlign w:val="center"/>
          </w:tcPr>
          <w:p w14:paraId="461880BC" w14:textId="77777777" w:rsidR="00F01ECE" w:rsidRPr="004D2E7C" w:rsidRDefault="00F01ECE" w:rsidP="00F01ECE">
            <w:pPr>
              <w:jc w:val="center"/>
              <w:rPr>
                <w:rFonts w:cs="Times New Roman"/>
                <w:lang w:val="sr-Cyrl-RS"/>
              </w:rPr>
            </w:pPr>
            <w:r w:rsidRPr="004D2E7C">
              <w:rPr>
                <w:rFonts w:cs="Times New Roman"/>
                <w:lang w:val="sr-Cyrl-RS"/>
              </w:rPr>
              <w:t>НП</w:t>
            </w:r>
          </w:p>
        </w:tc>
        <w:tc>
          <w:tcPr>
            <w:tcW w:w="676" w:type="pct"/>
            <w:vAlign w:val="center"/>
          </w:tcPr>
          <w:p w14:paraId="461880BD" w14:textId="77777777" w:rsidR="00F01ECE" w:rsidRPr="004D2E7C" w:rsidRDefault="00F01ECE" w:rsidP="00F01ECE">
            <w:pPr>
              <w:rPr>
                <w:rFonts w:cs="Times New Roman"/>
                <w:lang w:val="sr-Cyrl-RS"/>
              </w:rPr>
            </w:pPr>
            <w:r w:rsidRPr="004D2E7C">
              <w:rPr>
                <w:rFonts w:cs="Times New Roman"/>
                <w:lang w:val="sr-Cyrl-RS"/>
              </w:rPr>
              <w:t>Ова одредба се односи на обавезе Европске комисије.</w:t>
            </w:r>
          </w:p>
        </w:tc>
        <w:tc>
          <w:tcPr>
            <w:tcW w:w="699" w:type="pct"/>
            <w:vAlign w:val="center"/>
          </w:tcPr>
          <w:p w14:paraId="461880BE" w14:textId="77777777" w:rsidR="00F01ECE" w:rsidRPr="004D2E7C" w:rsidRDefault="00F01ECE" w:rsidP="00F01ECE">
            <w:pPr>
              <w:rPr>
                <w:rFonts w:cs="Times New Roman"/>
                <w:lang w:val="sr-Cyrl-RS"/>
              </w:rPr>
            </w:pPr>
          </w:p>
        </w:tc>
      </w:tr>
      <w:tr w:rsidR="00F01ECE" w:rsidRPr="004D2E7C" w14:paraId="461880CD" w14:textId="77777777" w:rsidTr="006B3660">
        <w:tc>
          <w:tcPr>
            <w:tcW w:w="280" w:type="pct"/>
            <w:shd w:val="clear" w:color="auto" w:fill="D9D9D9"/>
            <w:vAlign w:val="center"/>
          </w:tcPr>
          <w:p w14:paraId="461880C0" w14:textId="77777777" w:rsidR="00F01ECE" w:rsidRPr="004D2E7C" w:rsidRDefault="00F01ECE" w:rsidP="00F01ECE">
            <w:pPr>
              <w:jc w:val="center"/>
              <w:rPr>
                <w:rFonts w:eastAsia="Times New Roman" w:cs="Times New Roman"/>
                <w:lang w:val="sr-Cyrl-RS"/>
              </w:rPr>
            </w:pPr>
            <w:r w:rsidRPr="004D2E7C">
              <w:rPr>
                <w:rFonts w:eastAsia="Times New Roman" w:cs="Times New Roman"/>
                <w:lang w:val="sr-Cyrl-RS"/>
              </w:rPr>
              <w:t>11.7.</w:t>
            </w:r>
          </w:p>
        </w:tc>
        <w:tc>
          <w:tcPr>
            <w:tcW w:w="1489" w:type="pct"/>
            <w:shd w:val="clear" w:color="auto" w:fill="D9D9D9"/>
            <w:vAlign w:val="center"/>
          </w:tcPr>
          <w:p w14:paraId="461880C1" w14:textId="77777777" w:rsidR="00F01ECE" w:rsidRPr="004D2E7C" w:rsidRDefault="00F01ECE" w:rsidP="00F01ECE">
            <w:pPr>
              <w:pStyle w:val="Normal1"/>
              <w:spacing w:before="0" w:beforeAutospacing="0" w:after="0" w:afterAutospacing="0"/>
              <w:jc w:val="both"/>
              <w:rPr>
                <w:sz w:val="22"/>
                <w:szCs w:val="22"/>
                <w:lang w:val="en-GB"/>
              </w:rPr>
            </w:pPr>
            <w:r w:rsidRPr="004D2E7C">
              <w:rPr>
                <w:sz w:val="22"/>
                <w:szCs w:val="22"/>
                <w:lang w:val="en-GB"/>
              </w:rPr>
              <w:t>The Commission shall carry out a review study if it has estimated that the conditions of point (a) or (b) of paragraph 6 are met.</w:t>
            </w:r>
          </w:p>
          <w:p w14:paraId="461880C3" w14:textId="77777777" w:rsidR="00F01ECE" w:rsidRPr="004D2E7C" w:rsidRDefault="00F01ECE" w:rsidP="00F01ECE">
            <w:pPr>
              <w:pStyle w:val="Normal1"/>
              <w:spacing w:before="0" w:beforeAutospacing="0" w:after="0" w:afterAutospacing="0"/>
              <w:jc w:val="both"/>
              <w:rPr>
                <w:sz w:val="22"/>
                <w:szCs w:val="22"/>
                <w:lang w:val="en-GB"/>
              </w:rPr>
            </w:pPr>
            <w:r w:rsidRPr="004D2E7C">
              <w:rPr>
                <w:sz w:val="22"/>
                <w:szCs w:val="22"/>
                <w:lang w:val="en-GB"/>
              </w:rPr>
              <w:t>If, for a specific product group, those conditions are not met within eight years after the date of entry into force of the relevant delegated act, the Commission shall identify which barriers, if any, have prevented the label from fulfilling its role.</w:t>
            </w:r>
          </w:p>
          <w:p w14:paraId="461880C5" w14:textId="77777777" w:rsidR="00F01ECE" w:rsidRPr="004D2E7C" w:rsidRDefault="00F01ECE" w:rsidP="00F01ECE">
            <w:pPr>
              <w:pStyle w:val="Normal1"/>
              <w:spacing w:before="0" w:beforeAutospacing="0" w:after="0" w:afterAutospacing="0"/>
              <w:jc w:val="both"/>
              <w:rPr>
                <w:sz w:val="22"/>
                <w:szCs w:val="22"/>
                <w:lang w:val="en-GB"/>
              </w:rPr>
            </w:pPr>
            <w:r w:rsidRPr="004D2E7C">
              <w:rPr>
                <w:sz w:val="22"/>
                <w:szCs w:val="22"/>
                <w:lang w:val="en-GB"/>
              </w:rPr>
              <w:t>In the case of new labels it shall carry out a preparatory study based on the indicative list of product groups set out in the working plan.</w:t>
            </w:r>
          </w:p>
          <w:p w14:paraId="461880C7" w14:textId="77777777" w:rsidR="00F01ECE" w:rsidRPr="004D2E7C" w:rsidRDefault="00F01ECE" w:rsidP="00F01ECE">
            <w:pPr>
              <w:pStyle w:val="Normal1"/>
              <w:spacing w:before="0" w:beforeAutospacing="0" w:after="0" w:afterAutospacing="0"/>
              <w:jc w:val="both"/>
              <w:rPr>
                <w:sz w:val="22"/>
                <w:szCs w:val="22"/>
                <w:lang w:val="en-GB"/>
              </w:rPr>
            </w:pPr>
            <w:r w:rsidRPr="004D2E7C">
              <w:rPr>
                <w:sz w:val="22"/>
                <w:szCs w:val="22"/>
                <w:lang w:val="en-GB"/>
              </w:rPr>
              <w:t xml:space="preserve">The Commission shall finalise its review study, present the results and, where appropriate, a draft delegated act to the Consultation Forum within 36 months of the Commission estimating that the conditions referred to in point (a) or (b) of </w:t>
            </w:r>
            <w:r w:rsidRPr="004D2E7C">
              <w:rPr>
                <w:sz w:val="22"/>
                <w:szCs w:val="22"/>
                <w:lang w:val="en-GB"/>
              </w:rPr>
              <w:lastRenderedPageBreak/>
              <w:t>paragraph 6 are met. The Consultation Forum shall discuss the estimate and the review study.</w:t>
            </w:r>
          </w:p>
        </w:tc>
        <w:tc>
          <w:tcPr>
            <w:tcW w:w="325" w:type="pct"/>
          </w:tcPr>
          <w:p w14:paraId="461880C8" w14:textId="77777777" w:rsidR="00F01ECE" w:rsidRPr="004D2E7C" w:rsidRDefault="00F01ECE" w:rsidP="00F01ECE">
            <w:pPr>
              <w:rPr>
                <w:rFonts w:cs="Times New Roman"/>
                <w:lang w:val="sr-Cyrl-RS"/>
              </w:rPr>
            </w:pPr>
          </w:p>
        </w:tc>
        <w:tc>
          <w:tcPr>
            <w:tcW w:w="1296" w:type="pct"/>
          </w:tcPr>
          <w:p w14:paraId="461880C9" w14:textId="77777777" w:rsidR="00F01ECE" w:rsidRPr="004D2E7C" w:rsidRDefault="00F01ECE" w:rsidP="00F01ECE">
            <w:pPr>
              <w:rPr>
                <w:rFonts w:cs="Times New Roman"/>
                <w:lang w:val="sr-Cyrl-RS"/>
              </w:rPr>
            </w:pPr>
          </w:p>
        </w:tc>
        <w:tc>
          <w:tcPr>
            <w:tcW w:w="235" w:type="pct"/>
            <w:vAlign w:val="center"/>
          </w:tcPr>
          <w:p w14:paraId="461880CA" w14:textId="77777777" w:rsidR="00F01ECE" w:rsidRPr="004D2E7C" w:rsidRDefault="00F01ECE" w:rsidP="00F01ECE">
            <w:pPr>
              <w:jc w:val="center"/>
              <w:rPr>
                <w:rFonts w:cs="Times New Roman"/>
                <w:lang w:val="sr-Cyrl-RS"/>
              </w:rPr>
            </w:pPr>
            <w:r w:rsidRPr="004D2E7C">
              <w:rPr>
                <w:rFonts w:cs="Times New Roman"/>
                <w:lang w:val="sr-Cyrl-RS"/>
              </w:rPr>
              <w:t>НП</w:t>
            </w:r>
          </w:p>
        </w:tc>
        <w:tc>
          <w:tcPr>
            <w:tcW w:w="676" w:type="pct"/>
            <w:vAlign w:val="center"/>
          </w:tcPr>
          <w:p w14:paraId="461880CB" w14:textId="77777777" w:rsidR="00F01ECE" w:rsidRPr="004D2E7C" w:rsidRDefault="00F01ECE" w:rsidP="00F01ECE">
            <w:pPr>
              <w:rPr>
                <w:rFonts w:cs="Times New Roman"/>
                <w:lang w:val="sr-Cyrl-RS"/>
              </w:rPr>
            </w:pPr>
            <w:r w:rsidRPr="004D2E7C">
              <w:rPr>
                <w:rFonts w:cs="Times New Roman"/>
                <w:lang w:val="sr-Cyrl-RS"/>
              </w:rPr>
              <w:t>Ова одредба се односи на обавезе Европске комисије.</w:t>
            </w:r>
          </w:p>
        </w:tc>
        <w:tc>
          <w:tcPr>
            <w:tcW w:w="699" w:type="pct"/>
            <w:vAlign w:val="center"/>
          </w:tcPr>
          <w:p w14:paraId="461880CC" w14:textId="77777777" w:rsidR="00F01ECE" w:rsidRPr="004D2E7C" w:rsidRDefault="00F01ECE" w:rsidP="00F01ECE">
            <w:pPr>
              <w:rPr>
                <w:rFonts w:cs="Times New Roman"/>
                <w:lang w:val="sr-Cyrl-RS"/>
              </w:rPr>
            </w:pPr>
          </w:p>
        </w:tc>
      </w:tr>
      <w:tr w:rsidR="00F01ECE" w:rsidRPr="004D2E7C" w14:paraId="461880D5" w14:textId="77777777" w:rsidTr="006B3660">
        <w:tc>
          <w:tcPr>
            <w:tcW w:w="280" w:type="pct"/>
            <w:shd w:val="clear" w:color="auto" w:fill="D9D9D9"/>
            <w:vAlign w:val="center"/>
          </w:tcPr>
          <w:p w14:paraId="461880CE" w14:textId="77777777" w:rsidR="00F01ECE" w:rsidRPr="004D2E7C" w:rsidRDefault="00F01ECE" w:rsidP="00F01ECE">
            <w:pPr>
              <w:jc w:val="center"/>
              <w:rPr>
                <w:rFonts w:eastAsia="Times New Roman" w:cs="Times New Roman"/>
                <w:lang w:val="sr-Cyrl-RS"/>
              </w:rPr>
            </w:pPr>
            <w:r w:rsidRPr="004D2E7C">
              <w:rPr>
                <w:rFonts w:eastAsia="Times New Roman" w:cs="Times New Roman"/>
                <w:lang w:val="sr-Cyrl-RS"/>
              </w:rPr>
              <w:lastRenderedPageBreak/>
              <w:t>11.8.</w:t>
            </w:r>
          </w:p>
        </w:tc>
        <w:tc>
          <w:tcPr>
            <w:tcW w:w="1489" w:type="pct"/>
            <w:shd w:val="clear" w:color="auto" w:fill="D9D9D9"/>
            <w:vAlign w:val="center"/>
          </w:tcPr>
          <w:p w14:paraId="461880CF" w14:textId="77777777" w:rsidR="00F01ECE" w:rsidRPr="004D2E7C" w:rsidRDefault="00F01ECE" w:rsidP="00F01ECE">
            <w:pPr>
              <w:pStyle w:val="Normal1"/>
              <w:spacing w:before="0" w:beforeAutospacing="0" w:after="0" w:afterAutospacing="0"/>
              <w:jc w:val="both"/>
              <w:rPr>
                <w:sz w:val="22"/>
                <w:szCs w:val="22"/>
                <w:lang w:val="en-GB"/>
              </w:rPr>
            </w:pPr>
            <w:r w:rsidRPr="004D2E7C">
              <w:rPr>
                <w:sz w:val="22"/>
                <w:szCs w:val="22"/>
                <w:lang w:val="en-GB"/>
              </w:rPr>
              <w:t>Where a label is introduced or rescaled, the Commission shall ensure that no products are expected to fall into energy class A at the moment of the introduction of the label and the estimated time within which a majority of models falls into that class is at least 10 years later.</w:t>
            </w:r>
          </w:p>
        </w:tc>
        <w:tc>
          <w:tcPr>
            <w:tcW w:w="325" w:type="pct"/>
          </w:tcPr>
          <w:p w14:paraId="461880D0" w14:textId="77777777" w:rsidR="00F01ECE" w:rsidRPr="004D2E7C" w:rsidRDefault="00F01ECE" w:rsidP="00F01ECE">
            <w:pPr>
              <w:rPr>
                <w:rFonts w:cs="Times New Roman"/>
                <w:lang w:val="sr-Cyrl-RS"/>
              </w:rPr>
            </w:pPr>
          </w:p>
        </w:tc>
        <w:tc>
          <w:tcPr>
            <w:tcW w:w="1296" w:type="pct"/>
          </w:tcPr>
          <w:p w14:paraId="461880D1" w14:textId="77777777" w:rsidR="00F01ECE" w:rsidRPr="004D2E7C" w:rsidRDefault="00F01ECE" w:rsidP="00F01ECE">
            <w:pPr>
              <w:rPr>
                <w:rFonts w:cs="Times New Roman"/>
                <w:lang w:val="sr-Cyrl-RS"/>
              </w:rPr>
            </w:pPr>
          </w:p>
        </w:tc>
        <w:tc>
          <w:tcPr>
            <w:tcW w:w="235" w:type="pct"/>
            <w:vAlign w:val="center"/>
          </w:tcPr>
          <w:p w14:paraId="461880D2" w14:textId="77777777" w:rsidR="00F01ECE" w:rsidRPr="004D2E7C" w:rsidRDefault="00F01ECE" w:rsidP="00F01ECE">
            <w:pPr>
              <w:jc w:val="center"/>
              <w:rPr>
                <w:rFonts w:cs="Times New Roman"/>
                <w:lang w:val="sr-Cyrl-RS"/>
              </w:rPr>
            </w:pPr>
            <w:r w:rsidRPr="004D2E7C">
              <w:rPr>
                <w:rFonts w:cs="Times New Roman"/>
                <w:lang w:val="sr-Cyrl-RS"/>
              </w:rPr>
              <w:t>НП</w:t>
            </w:r>
          </w:p>
        </w:tc>
        <w:tc>
          <w:tcPr>
            <w:tcW w:w="676" w:type="pct"/>
            <w:vAlign w:val="center"/>
          </w:tcPr>
          <w:p w14:paraId="461880D3" w14:textId="77777777" w:rsidR="00F01ECE" w:rsidRPr="004D2E7C" w:rsidRDefault="00F01ECE" w:rsidP="00F01ECE">
            <w:pPr>
              <w:rPr>
                <w:rFonts w:cs="Times New Roman"/>
                <w:lang w:val="sr-Cyrl-RS"/>
              </w:rPr>
            </w:pPr>
            <w:r w:rsidRPr="004D2E7C">
              <w:rPr>
                <w:rFonts w:cs="Times New Roman"/>
                <w:lang w:val="sr-Cyrl-RS"/>
              </w:rPr>
              <w:t>Ова одредба се односи на обавезе Европске комисије.</w:t>
            </w:r>
          </w:p>
        </w:tc>
        <w:tc>
          <w:tcPr>
            <w:tcW w:w="699" w:type="pct"/>
            <w:vAlign w:val="center"/>
          </w:tcPr>
          <w:p w14:paraId="461880D4" w14:textId="77777777" w:rsidR="00F01ECE" w:rsidRPr="004D2E7C" w:rsidRDefault="00F01ECE" w:rsidP="00F01ECE">
            <w:pPr>
              <w:rPr>
                <w:rFonts w:cs="Times New Roman"/>
                <w:lang w:val="sr-Cyrl-RS"/>
              </w:rPr>
            </w:pPr>
          </w:p>
        </w:tc>
      </w:tr>
      <w:tr w:rsidR="00F01ECE" w:rsidRPr="004D2E7C" w14:paraId="461880DD" w14:textId="77777777" w:rsidTr="006B3660">
        <w:tc>
          <w:tcPr>
            <w:tcW w:w="280" w:type="pct"/>
            <w:shd w:val="clear" w:color="auto" w:fill="D9D9D9"/>
            <w:vAlign w:val="center"/>
          </w:tcPr>
          <w:p w14:paraId="461880D6" w14:textId="77777777" w:rsidR="00F01ECE" w:rsidRPr="004D2E7C" w:rsidRDefault="00F01ECE" w:rsidP="00F01ECE">
            <w:pPr>
              <w:jc w:val="center"/>
              <w:rPr>
                <w:rFonts w:eastAsia="Times New Roman" w:cs="Times New Roman"/>
                <w:lang w:val="sr-Cyrl-RS"/>
              </w:rPr>
            </w:pPr>
            <w:r w:rsidRPr="004D2E7C">
              <w:rPr>
                <w:rFonts w:eastAsia="Times New Roman" w:cs="Times New Roman"/>
                <w:lang w:val="sr-Cyrl-RS"/>
              </w:rPr>
              <w:t>11.9.</w:t>
            </w:r>
          </w:p>
        </w:tc>
        <w:tc>
          <w:tcPr>
            <w:tcW w:w="1489" w:type="pct"/>
            <w:shd w:val="clear" w:color="auto" w:fill="D9D9D9"/>
            <w:vAlign w:val="center"/>
          </w:tcPr>
          <w:p w14:paraId="461880D7" w14:textId="77777777" w:rsidR="00F01ECE" w:rsidRPr="004D2E7C" w:rsidRDefault="00F01ECE" w:rsidP="00F01ECE">
            <w:pPr>
              <w:pStyle w:val="Normal1"/>
              <w:spacing w:before="0" w:beforeAutospacing="0" w:after="0" w:afterAutospacing="0"/>
              <w:jc w:val="both"/>
              <w:rPr>
                <w:sz w:val="22"/>
                <w:szCs w:val="22"/>
                <w:lang w:val="en-GB"/>
              </w:rPr>
            </w:pPr>
            <w:r w:rsidRPr="004D2E7C">
              <w:rPr>
                <w:sz w:val="22"/>
                <w:szCs w:val="22"/>
                <w:lang w:val="en-GB"/>
              </w:rPr>
              <w:t>By way of derogation from paragraph 8, where technology is expected to develop more rapidly, requirements shall be laid down so that no products are expected to fall into energy classes A and B at the moment of the introduction of the label.</w:t>
            </w:r>
          </w:p>
        </w:tc>
        <w:tc>
          <w:tcPr>
            <w:tcW w:w="325" w:type="pct"/>
          </w:tcPr>
          <w:p w14:paraId="461880D8" w14:textId="77777777" w:rsidR="00F01ECE" w:rsidRPr="004D2E7C" w:rsidRDefault="00F01ECE" w:rsidP="00F01ECE">
            <w:pPr>
              <w:rPr>
                <w:rFonts w:cs="Times New Roman"/>
                <w:lang w:val="sr-Cyrl-RS"/>
              </w:rPr>
            </w:pPr>
          </w:p>
        </w:tc>
        <w:tc>
          <w:tcPr>
            <w:tcW w:w="1296" w:type="pct"/>
          </w:tcPr>
          <w:p w14:paraId="461880D9" w14:textId="77777777" w:rsidR="00F01ECE" w:rsidRPr="004D2E7C" w:rsidRDefault="00F01ECE" w:rsidP="00F01ECE">
            <w:pPr>
              <w:rPr>
                <w:rFonts w:cs="Times New Roman"/>
                <w:lang w:val="sr-Cyrl-RS"/>
              </w:rPr>
            </w:pPr>
          </w:p>
        </w:tc>
        <w:tc>
          <w:tcPr>
            <w:tcW w:w="235" w:type="pct"/>
            <w:vAlign w:val="center"/>
          </w:tcPr>
          <w:p w14:paraId="461880DA" w14:textId="77777777" w:rsidR="00F01ECE" w:rsidRPr="004D2E7C" w:rsidRDefault="00F01ECE" w:rsidP="00F01ECE">
            <w:pPr>
              <w:jc w:val="center"/>
              <w:rPr>
                <w:rFonts w:cs="Times New Roman"/>
                <w:lang w:val="sr-Cyrl-RS"/>
              </w:rPr>
            </w:pPr>
            <w:r w:rsidRPr="004D2E7C">
              <w:rPr>
                <w:rFonts w:cs="Times New Roman"/>
                <w:lang w:val="sr-Cyrl-RS"/>
              </w:rPr>
              <w:t>НП</w:t>
            </w:r>
          </w:p>
        </w:tc>
        <w:tc>
          <w:tcPr>
            <w:tcW w:w="676" w:type="pct"/>
            <w:vAlign w:val="center"/>
          </w:tcPr>
          <w:p w14:paraId="461880DB" w14:textId="77777777" w:rsidR="00F01ECE" w:rsidRPr="004D2E7C" w:rsidRDefault="00F01ECE" w:rsidP="00F01ECE">
            <w:pPr>
              <w:rPr>
                <w:rFonts w:cs="Times New Roman"/>
                <w:lang w:val="sr-Cyrl-RS"/>
              </w:rPr>
            </w:pPr>
            <w:r w:rsidRPr="004D2E7C">
              <w:rPr>
                <w:rFonts w:cs="Times New Roman"/>
                <w:lang w:val="sr-Cyrl-RS"/>
              </w:rPr>
              <w:t>Ова одредба се односи на обавезе Европске комисије.</w:t>
            </w:r>
          </w:p>
        </w:tc>
        <w:tc>
          <w:tcPr>
            <w:tcW w:w="699" w:type="pct"/>
            <w:vAlign w:val="center"/>
          </w:tcPr>
          <w:p w14:paraId="461880DC" w14:textId="77777777" w:rsidR="00F01ECE" w:rsidRPr="004D2E7C" w:rsidRDefault="00F01ECE" w:rsidP="00F01ECE">
            <w:pPr>
              <w:rPr>
                <w:rFonts w:cs="Times New Roman"/>
                <w:lang w:val="sr-Cyrl-RS"/>
              </w:rPr>
            </w:pPr>
          </w:p>
        </w:tc>
      </w:tr>
      <w:tr w:rsidR="00F01ECE" w:rsidRPr="004D2E7C" w14:paraId="461880E5" w14:textId="77777777" w:rsidTr="006B3660">
        <w:tc>
          <w:tcPr>
            <w:tcW w:w="280" w:type="pct"/>
            <w:shd w:val="clear" w:color="auto" w:fill="D9D9D9"/>
            <w:vAlign w:val="center"/>
          </w:tcPr>
          <w:p w14:paraId="461880DE" w14:textId="77777777" w:rsidR="00F01ECE" w:rsidRPr="004D2E7C" w:rsidRDefault="00F01ECE" w:rsidP="00F01ECE">
            <w:pPr>
              <w:jc w:val="center"/>
              <w:rPr>
                <w:rFonts w:eastAsia="Times New Roman" w:cs="Times New Roman"/>
                <w:lang w:val="sr-Cyrl-RS"/>
              </w:rPr>
            </w:pPr>
            <w:r w:rsidRPr="004D2E7C">
              <w:rPr>
                <w:rFonts w:eastAsia="Times New Roman" w:cs="Times New Roman"/>
                <w:lang w:val="sr-Cyrl-RS"/>
              </w:rPr>
              <w:t>11.10.</w:t>
            </w:r>
          </w:p>
        </w:tc>
        <w:tc>
          <w:tcPr>
            <w:tcW w:w="1489" w:type="pct"/>
            <w:shd w:val="clear" w:color="auto" w:fill="D9D9D9"/>
            <w:vAlign w:val="center"/>
          </w:tcPr>
          <w:p w14:paraId="461880DF" w14:textId="77777777" w:rsidR="00F01ECE" w:rsidRPr="004D2E7C" w:rsidRDefault="00F01ECE" w:rsidP="00F01ECE">
            <w:pPr>
              <w:pStyle w:val="Normal1"/>
              <w:spacing w:before="0" w:beforeAutospacing="0" w:after="0" w:afterAutospacing="0"/>
              <w:jc w:val="both"/>
              <w:rPr>
                <w:sz w:val="22"/>
                <w:szCs w:val="22"/>
                <w:lang w:val="en-GB"/>
              </w:rPr>
            </w:pPr>
            <w:r w:rsidRPr="004D2E7C">
              <w:rPr>
                <w:sz w:val="22"/>
                <w:szCs w:val="22"/>
                <w:lang w:val="en-GB"/>
              </w:rPr>
              <w:t>Where, for a given product group, models belonging to energy class E, F or G are no longer allowed to be placed on the market or put into service because of an Ecodesign implementing measure adopted pursuant to Directive 2009/125/EC, the class or classes in question shall be shown on the label in grey as specified in the relevant delegated act. The label with the grey classes shall apply only to new product units placed on the market or put into service.</w:t>
            </w:r>
          </w:p>
        </w:tc>
        <w:tc>
          <w:tcPr>
            <w:tcW w:w="325" w:type="pct"/>
          </w:tcPr>
          <w:p w14:paraId="461880E0" w14:textId="77777777" w:rsidR="00F01ECE" w:rsidRPr="004D2E7C" w:rsidRDefault="00F01ECE" w:rsidP="00F01ECE">
            <w:pPr>
              <w:rPr>
                <w:rFonts w:cs="Times New Roman"/>
                <w:lang w:val="sr-Cyrl-RS"/>
              </w:rPr>
            </w:pPr>
          </w:p>
        </w:tc>
        <w:tc>
          <w:tcPr>
            <w:tcW w:w="1296" w:type="pct"/>
          </w:tcPr>
          <w:p w14:paraId="461880E1" w14:textId="77777777" w:rsidR="00F01ECE" w:rsidRPr="004D2E7C" w:rsidRDefault="00F01ECE" w:rsidP="00F01ECE">
            <w:pPr>
              <w:rPr>
                <w:rFonts w:cs="Times New Roman"/>
                <w:lang w:val="sr-Cyrl-RS"/>
              </w:rPr>
            </w:pPr>
          </w:p>
        </w:tc>
        <w:tc>
          <w:tcPr>
            <w:tcW w:w="235" w:type="pct"/>
            <w:vAlign w:val="center"/>
          </w:tcPr>
          <w:p w14:paraId="461880E2" w14:textId="77777777" w:rsidR="00F01ECE" w:rsidRPr="004D2E7C" w:rsidRDefault="00F01ECE" w:rsidP="00F01ECE">
            <w:pPr>
              <w:jc w:val="center"/>
              <w:rPr>
                <w:rFonts w:cs="Times New Roman"/>
                <w:lang w:val="sr-Cyrl-RS"/>
              </w:rPr>
            </w:pPr>
            <w:r w:rsidRPr="004D2E7C">
              <w:rPr>
                <w:rFonts w:cs="Times New Roman"/>
                <w:lang w:val="sr-Cyrl-RS"/>
              </w:rPr>
              <w:t>НП</w:t>
            </w:r>
          </w:p>
        </w:tc>
        <w:tc>
          <w:tcPr>
            <w:tcW w:w="676" w:type="pct"/>
            <w:vAlign w:val="center"/>
          </w:tcPr>
          <w:p w14:paraId="461880E3" w14:textId="77777777" w:rsidR="00F01ECE" w:rsidRPr="004D2E7C" w:rsidRDefault="00F01ECE" w:rsidP="00F01ECE">
            <w:pPr>
              <w:rPr>
                <w:rFonts w:cs="Times New Roman"/>
                <w:spacing w:val="-6"/>
                <w:lang w:val="sr-Cyrl-RS"/>
              </w:rPr>
            </w:pPr>
            <w:r w:rsidRPr="004D2E7C">
              <w:rPr>
                <w:rFonts w:cs="Times New Roman"/>
                <w:spacing w:val="-6"/>
                <w:lang w:val="sr-Cyrl-RS"/>
              </w:rPr>
              <w:t>Ова одредба се односи на обавезе Европске комисије.</w:t>
            </w:r>
          </w:p>
        </w:tc>
        <w:tc>
          <w:tcPr>
            <w:tcW w:w="699" w:type="pct"/>
            <w:vAlign w:val="center"/>
          </w:tcPr>
          <w:p w14:paraId="461880E4" w14:textId="77777777" w:rsidR="00F01ECE" w:rsidRPr="004D2E7C" w:rsidRDefault="00F01ECE" w:rsidP="00F01ECE">
            <w:pPr>
              <w:rPr>
                <w:rFonts w:cs="Times New Roman"/>
                <w:lang w:val="sr-Cyrl-RS"/>
              </w:rPr>
            </w:pPr>
          </w:p>
        </w:tc>
      </w:tr>
      <w:tr w:rsidR="00F01ECE" w:rsidRPr="004D2E7C" w14:paraId="461880ED" w14:textId="77777777" w:rsidTr="006B3660">
        <w:tc>
          <w:tcPr>
            <w:tcW w:w="280" w:type="pct"/>
            <w:shd w:val="clear" w:color="auto" w:fill="D9D9D9"/>
            <w:vAlign w:val="center"/>
          </w:tcPr>
          <w:p w14:paraId="461880E6" w14:textId="77777777" w:rsidR="00F01ECE" w:rsidRPr="004D2E7C" w:rsidRDefault="00F01ECE" w:rsidP="00F01ECE">
            <w:pPr>
              <w:jc w:val="center"/>
              <w:rPr>
                <w:rFonts w:eastAsia="Times New Roman" w:cs="Times New Roman"/>
                <w:lang w:val="sr-Cyrl-RS"/>
              </w:rPr>
            </w:pPr>
            <w:r w:rsidRPr="004D2E7C">
              <w:rPr>
                <w:rFonts w:eastAsia="Times New Roman" w:cs="Times New Roman"/>
                <w:lang w:val="sr-Cyrl-RS"/>
              </w:rPr>
              <w:t>11.11.</w:t>
            </w:r>
          </w:p>
        </w:tc>
        <w:tc>
          <w:tcPr>
            <w:tcW w:w="1489" w:type="pct"/>
            <w:shd w:val="clear" w:color="auto" w:fill="D9D9D9"/>
            <w:vAlign w:val="center"/>
          </w:tcPr>
          <w:p w14:paraId="461880E7" w14:textId="77777777" w:rsidR="00F01ECE" w:rsidRPr="004D2E7C" w:rsidRDefault="00F01ECE" w:rsidP="00F01ECE">
            <w:pPr>
              <w:pStyle w:val="Normal1"/>
              <w:spacing w:before="0" w:beforeAutospacing="0" w:after="0" w:afterAutospacing="0"/>
              <w:jc w:val="both"/>
              <w:rPr>
                <w:sz w:val="22"/>
                <w:szCs w:val="22"/>
                <w:lang w:val="en-GB"/>
              </w:rPr>
            </w:pPr>
            <w:r w:rsidRPr="004D2E7C">
              <w:rPr>
                <w:sz w:val="22"/>
                <w:szCs w:val="22"/>
                <w:lang w:val="en-GB"/>
              </w:rPr>
              <w:t>Where, for technical reasons, it is impossible to define seven energy classes that correspond to significant energy and cost savings from a customer's perspective, the label may, by way of derogation from point (14) of Article 2, contain fewer classes. In such cases, the dark green to red spectrum of the label shall be retained.</w:t>
            </w:r>
          </w:p>
        </w:tc>
        <w:tc>
          <w:tcPr>
            <w:tcW w:w="325" w:type="pct"/>
          </w:tcPr>
          <w:p w14:paraId="461880E8" w14:textId="77777777" w:rsidR="00F01ECE" w:rsidRPr="004D2E7C" w:rsidRDefault="00F01ECE" w:rsidP="00F01ECE">
            <w:pPr>
              <w:rPr>
                <w:rFonts w:cs="Times New Roman"/>
                <w:lang w:val="sr-Cyrl-RS"/>
              </w:rPr>
            </w:pPr>
          </w:p>
        </w:tc>
        <w:tc>
          <w:tcPr>
            <w:tcW w:w="1296" w:type="pct"/>
          </w:tcPr>
          <w:p w14:paraId="461880E9" w14:textId="77777777" w:rsidR="00F01ECE" w:rsidRPr="004D2E7C" w:rsidRDefault="00F01ECE" w:rsidP="00F01ECE">
            <w:pPr>
              <w:rPr>
                <w:rFonts w:cs="Times New Roman"/>
                <w:lang w:val="sr-Cyrl-RS"/>
              </w:rPr>
            </w:pPr>
          </w:p>
        </w:tc>
        <w:tc>
          <w:tcPr>
            <w:tcW w:w="235" w:type="pct"/>
            <w:vAlign w:val="center"/>
          </w:tcPr>
          <w:p w14:paraId="461880EA" w14:textId="77777777" w:rsidR="00F01ECE" w:rsidRPr="004D2E7C" w:rsidRDefault="00F01ECE" w:rsidP="00F01ECE">
            <w:pPr>
              <w:jc w:val="center"/>
              <w:rPr>
                <w:rFonts w:cs="Times New Roman"/>
                <w:lang w:val="sr-Cyrl-RS"/>
              </w:rPr>
            </w:pPr>
            <w:r w:rsidRPr="004D2E7C">
              <w:rPr>
                <w:rFonts w:cs="Times New Roman"/>
                <w:lang w:val="sr-Cyrl-RS"/>
              </w:rPr>
              <w:t>НП</w:t>
            </w:r>
          </w:p>
        </w:tc>
        <w:tc>
          <w:tcPr>
            <w:tcW w:w="676" w:type="pct"/>
            <w:vAlign w:val="center"/>
          </w:tcPr>
          <w:p w14:paraId="461880EB" w14:textId="77777777" w:rsidR="00F01ECE" w:rsidRPr="004D2E7C" w:rsidRDefault="00F01ECE" w:rsidP="00F01ECE">
            <w:pPr>
              <w:rPr>
                <w:rFonts w:cs="Times New Roman"/>
                <w:spacing w:val="-6"/>
                <w:lang w:val="sr-Cyrl-RS"/>
              </w:rPr>
            </w:pPr>
            <w:r w:rsidRPr="004D2E7C">
              <w:rPr>
                <w:rFonts w:cs="Times New Roman"/>
                <w:spacing w:val="-6"/>
                <w:lang w:val="sr-Cyrl-RS"/>
              </w:rPr>
              <w:t>Ова одредба се односи на обавезе Европске комисије.</w:t>
            </w:r>
          </w:p>
        </w:tc>
        <w:tc>
          <w:tcPr>
            <w:tcW w:w="699" w:type="pct"/>
            <w:vAlign w:val="center"/>
          </w:tcPr>
          <w:p w14:paraId="461880EC" w14:textId="77777777" w:rsidR="00F01ECE" w:rsidRPr="004D2E7C" w:rsidRDefault="00F01ECE" w:rsidP="00F01ECE">
            <w:pPr>
              <w:rPr>
                <w:rFonts w:cs="Times New Roman"/>
                <w:lang w:val="sr-Cyrl-RS"/>
              </w:rPr>
            </w:pPr>
          </w:p>
        </w:tc>
      </w:tr>
      <w:tr w:rsidR="00F01ECE" w:rsidRPr="004D2E7C" w14:paraId="461880F6" w14:textId="77777777" w:rsidTr="006B3660">
        <w:tc>
          <w:tcPr>
            <w:tcW w:w="280" w:type="pct"/>
            <w:shd w:val="clear" w:color="auto" w:fill="D9D9D9"/>
            <w:vAlign w:val="center"/>
          </w:tcPr>
          <w:p w14:paraId="461880EE" w14:textId="77777777" w:rsidR="00F01ECE" w:rsidRPr="004D2E7C" w:rsidRDefault="00F01ECE" w:rsidP="00F01ECE">
            <w:pPr>
              <w:jc w:val="center"/>
              <w:rPr>
                <w:rFonts w:eastAsia="Times New Roman" w:cs="Times New Roman"/>
                <w:lang w:val="sr-Cyrl-RS"/>
              </w:rPr>
            </w:pPr>
            <w:r w:rsidRPr="004D2E7C">
              <w:rPr>
                <w:rFonts w:eastAsia="Times New Roman" w:cs="Times New Roman"/>
                <w:lang w:val="sr-Cyrl-RS"/>
              </w:rPr>
              <w:t>11.12.</w:t>
            </w:r>
          </w:p>
        </w:tc>
        <w:tc>
          <w:tcPr>
            <w:tcW w:w="1489" w:type="pct"/>
            <w:shd w:val="clear" w:color="auto" w:fill="D9D9D9"/>
            <w:vAlign w:val="center"/>
          </w:tcPr>
          <w:p w14:paraId="461880F0" w14:textId="2F1D9CD8" w:rsidR="00F01ECE" w:rsidRPr="004D2E7C" w:rsidRDefault="00F01ECE" w:rsidP="00247AA9">
            <w:pPr>
              <w:pStyle w:val="Normal1"/>
              <w:spacing w:before="0" w:beforeAutospacing="0" w:after="120" w:afterAutospacing="0"/>
              <w:jc w:val="both"/>
              <w:rPr>
                <w:sz w:val="22"/>
                <w:szCs w:val="22"/>
                <w:lang w:val="en-GB"/>
              </w:rPr>
            </w:pPr>
            <w:r w:rsidRPr="004D2E7C">
              <w:rPr>
                <w:sz w:val="22"/>
                <w:szCs w:val="22"/>
                <w:lang w:val="en-GB"/>
              </w:rPr>
              <w:t>The Commission shall exercise the powers and obligations conferred on it by this Article in accordance with Article 16.</w:t>
            </w:r>
          </w:p>
        </w:tc>
        <w:tc>
          <w:tcPr>
            <w:tcW w:w="325" w:type="pct"/>
          </w:tcPr>
          <w:p w14:paraId="461880F1" w14:textId="77777777" w:rsidR="00F01ECE" w:rsidRPr="004D2E7C" w:rsidRDefault="00F01ECE" w:rsidP="00F01ECE">
            <w:pPr>
              <w:rPr>
                <w:rFonts w:cs="Times New Roman"/>
                <w:lang w:val="sr-Cyrl-RS"/>
              </w:rPr>
            </w:pPr>
          </w:p>
        </w:tc>
        <w:tc>
          <w:tcPr>
            <w:tcW w:w="1296" w:type="pct"/>
          </w:tcPr>
          <w:p w14:paraId="461880F2" w14:textId="77777777" w:rsidR="00F01ECE" w:rsidRPr="004D2E7C" w:rsidRDefault="00F01ECE" w:rsidP="00F01ECE">
            <w:pPr>
              <w:rPr>
                <w:rFonts w:cs="Times New Roman"/>
                <w:lang w:val="sr-Cyrl-RS"/>
              </w:rPr>
            </w:pPr>
          </w:p>
        </w:tc>
        <w:tc>
          <w:tcPr>
            <w:tcW w:w="235" w:type="pct"/>
            <w:vAlign w:val="center"/>
          </w:tcPr>
          <w:p w14:paraId="461880F3" w14:textId="77777777" w:rsidR="00F01ECE" w:rsidRPr="004D2E7C" w:rsidRDefault="00F01ECE" w:rsidP="00F01ECE">
            <w:pPr>
              <w:jc w:val="center"/>
              <w:rPr>
                <w:rFonts w:cs="Times New Roman"/>
                <w:lang w:val="sr-Cyrl-RS"/>
              </w:rPr>
            </w:pPr>
            <w:r w:rsidRPr="004D2E7C">
              <w:rPr>
                <w:rFonts w:cs="Times New Roman"/>
                <w:lang w:val="sr-Cyrl-RS"/>
              </w:rPr>
              <w:t>НП</w:t>
            </w:r>
          </w:p>
        </w:tc>
        <w:tc>
          <w:tcPr>
            <w:tcW w:w="676" w:type="pct"/>
          </w:tcPr>
          <w:p w14:paraId="461880F4" w14:textId="77777777" w:rsidR="00F01ECE" w:rsidRPr="004D2E7C" w:rsidRDefault="00F01ECE" w:rsidP="00F01ECE">
            <w:pPr>
              <w:rPr>
                <w:rFonts w:cs="Times New Roman"/>
                <w:lang w:val="sr-Cyrl-RS"/>
              </w:rPr>
            </w:pPr>
            <w:r w:rsidRPr="004D2E7C">
              <w:rPr>
                <w:rFonts w:cs="Times New Roman"/>
                <w:lang w:val="sr-Cyrl-RS"/>
              </w:rPr>
              <w:t>Ова одредба се односи на обавезе Европске комисије.</w:t>
            </w:r>
          </w:p>
        </w:tc>
        <w:tc>
          <w:tcPr>
            <w:tcW w:w="699" w:type="pct"/>
            <w:vAlign w:val="center"/>
          </w:tcPr>
          <w:p w14:paraId="461880F5" w14:textId="77777777" w:rsidR="00F01ECE" w:rsidRPr="004D2E7C" w:rsidRDefault="00F01ECE" w:rsidP="00F01ECE">
            <w:pPr>
              <w:rPr>
                <w:rFonts w:cs="Times New Roman"/>
                <w:lang w:val="sr-Cyrl-RS"/>
              </w:rPr>
            </w:pPr>
          </w:p>
        </w:tc>
      </w:tr>
      <w:tr w:rsidR="008D66BE" w:rsidRPr="004D2E7C" w14:paraId="46188107" w14:textId="77777777" w:rsidTr="00067B02">
        <w:tc>
          <w:tcPr>
            <w:tcW w:w="280" w:type="pct"/>
            <w:shd w:val="clear" w:color="auto" w:fill="D9D9D9"/>
            <w:vAlign w:val="center"/>
          </w:tcPr>
          <w:p w14:paraId="461880F7" w14:textId="77777777" w:rsidR="008D66BE" w:rsidRPr="004D2E7C" w:rsidRDefault="008D66BE" w:rsidP="008D66BE">
            <w:pPr>
              <w:jc w:val="center"/>
              <w:rPr>
                <w:rFonts w:eastAsia="Times New Roman" w:cs="Times New Roman"/>
                <w:lang w:val="sr-Cyrl-RS"/>
              </w:rPr>
            </w:pPr>
            <w:r w:rsidRPr="004D2E7C">
              <w:rPr>
                <w:rFonts w:eastAsia="Times New Roman" w:cs="Times New Roman"/>
                <w:lang w:val="sr-Cyrl-RS"/>
              </w:rPr>
              <w:lastRenderedPageBreak/>
              <w:t>11.13.1.</w:t>
            </w:r>
          </w:p>
        </w:tc>
        <w:tc>
          <w:tcPr>
            <w:tcW w:w="1489" w:type="pct"/>
            <w:shd w:val="clear" w:color="auto" w:fill="D9D9D9"/>
            <w:vAlign w:val="center"/>
          </w:tcPr>
          <w:p w14:paraId="461880F8" w14:textId="77777777" w:rsidR="008D66BE" w:rsidRPr="004D2E7C" w:rsidRDefault="008D66BE" w:rsidP="008D66BE">
            <w:pPr>
              <w:pStyle w:val="Normal1"/>
              <w:spacing w:before="0" w:beforeAutospacing="0" w:after="0" w:afterAutospacing="0"/>
              <w:jc w:val="both"/>
              <w:rPr>
                <w:sz w:val="22"/>
                <w:szCs w:val="22"/>
                <w:lang w:val="en-GB"/>
              </w:rPr>
            </w:pPr>
            <w:r w:rsidRPr="004D2E7C">
              <w:rPr>
                <w:sz w:val="22"/>
                <w:szCs w:val="22"/>
                <w:lang w:val="en-GB"/>
              </w:rPr>
              <w:t>(а) Where, pursuant to paragraph 1 or 3, a label is rescaled:</w:t>
            </w:r>
          </w:p>
          <w:p w14:paraId="461880F9" w14:textId="77777777" w:rsidR="008D66BE" w:rsidRPr="004D2E7C" w:rsidRDefault="008D66BE" w:rsidP="008D66BE">
            <w:pPr>
              <w:pStyle w:val="Normal1"/>
              <w:spacing w:before="0" w:beforeAutospacing="0" w:after="0" w:afterAutospacing="0"/>
              <w:jc w:val="both"/>
              <w:rPr>
                <w:sz w:val="22"/>
                <w:szCs w:val="22"/>
                <w:lang w:val="en-GB"/>
              </w:rPr>
            </w:pPr>
            <w:r w:rsidRPr="004D2E7C">
              <w:rPr>
                <w:sz w:val="22"/>
                <w:szCs w:val="22"/>
                <w:lang w:val="en-GB"/>
              </w:rPr>
              <w:t>the supplier shall, when placing a product on the market, provide both the existing and the rescaled labels and the product information sheets to the dealer for a period beginning four months before the date specified in the relevant delegated act for starting the display of the rescaled label.</w:t>
            </w:r>
          </w:p>
          <w:p w14:paraId="461880FA" w14:textId="77777777" w:rsidR="008D66BE" w:rsidRPr="004D2E7C" w:rsidRDefault="008D66BE" w:rsidP="008D66BE">
            <w:pPr>
              <w:pStyle w:val="Normal1"/>
              <w:spacing w:before="0" w:beforeAutospacing="0" w:after="0" w:afterAutospacing="0"/>
              <w:jc w:val="both"/>
              <w:rPr>
                <w:sz w:val="22"/>
                <w:szCs w:val="22"/>
                <w:lang w:val="en-GB"/>
              </w:rPr>
            </w:pPr>
            <w:r w:rsidRPr="004D2E7C">
              <w:rPr>
                <w:sz w:val="22"/>
                <w:szCs w:val="22"/>
                <w:lang w:val="en-GB"/>
              </w:rPr>
              <w:t>By way of derogation from the first subparagraph of this point, if the existing and the rescaled label require different testing of the model, the supplier may choose not to supply the existing label with units of models placed on the market or put into service during the four-month period before the date specified in the relevant delegated act for starting the display of the rescaled label if no units belonging to the same model or equivalent models were placed on the market or put into service before the start of the four-month period. In that case, the dealer shall not offer those units for sale before that date. The supplier shall notify the dealer concerned of that consequence as soon as possible, including when it includes such units in its offers to dealers.</w:t>
            </w:r>
          </w:p>
          <w:p w14:paraId="461880FB" w14:textId="77777777" w:rsidR="008D66BE" w:rsidRPr="004D2E7C" w:rsidRDefault="008D66BE" w:rsidP="008D66BE">
            <w:pPr>
              <w:pStyle w:val="Normal1"/>
              <w:spacing w:before="0" w:beforeAutospacing="0" w:after="0" w:afterAutospacing="0"/>
              <w:jc w:val="both"/>
              <w:rPr>
                <w:sz w:val="22"/>
                <w:szCs w:val="22"/>
                <w:lang w:val="en-GB"/>
              </w:rPr>
            </w:pPr>
          </w:p>
          <w:p w14:paraId="461880FC" w14:textId="77777777" w:rsidR="008D66BE" w:rsidRPr="004D2E7C" w:rsidRDefault="008D66BE" w:rsidP="008D66BE">
            <w:pPr>
              <w:pStyle w:val="Normal1"/>
              <w:spacing w:before="0" w:beforeAutospacing="0" w:after="0" w:afterAutospacing="0"/>
              <w:jc w:val="both"/>
              <w:rPr>
                <w:sz w:val="22"/>
                <w:szCs w:val="22"/>
                <w:lang w:val="en-GB"/>
              </w:rPr>
            </w:pPr>
            <w:r w:rsidRPr="004D2E7C">
              <w:rPr>
                <w:sz w:val="22"/>
                <w:szCs w:val="22"/>
                <w:lang w:val="en-GB"/>
              </w:rPr>
              <w:t>(b) the supplier shall, for products placed on the market or put into service before the four-month period, deliver the rescaled label on request from the dealer in accordance with Article 3(2) as from the start of that period. For such products, the dealer shall obtain a rescaled label in accordance with Article 5(2).</w:t>
            </w:r>
          </w:p>
          <w:p w14:paraId="461880FD" w14:textId="77777777" w:rsidR="008D66BE" w:rsidRPr="004D2E7C" w:rsidRDefault="008D66BE" w:rsidP="008D66BE">
            <w:pPr>
              <w:pStyle w:val="Normal1"/>
              <w:spacing w:before="0" w:beforeAutospacing="0" w:after="0" w:afterAutospacing="0"/>
              <w:jc w:val="both"/>
              <w:rPr>
                <w:sz w:val="22"/>
                <w:szCs w:val="22"/>
                <w:lang w:val="en-GB"/>
              </w:rPr>
            </w:pPr>
            <w:r w:rsidRPr="004D2E7C">
              <w:rPr>
                <w:sz w:val="22"/>
                <w:szCs w:val="22"/>
                <w:lang w:val="en-GB"/>
              </w:rPr>
              <w:t>By way of derogation from the first subparagraph of this point:</w:t>
            </w:r>
          </w:p>
          <w:p w14:paraId="461880FE" w14:textId="77777777" w:rsidR="008D66BE" w:rsidRPr="004D2E7C" w:rsidRDefault="008D66BE" w:rsidP="008D66BE">
            <w:pPr>
              <w:pStyle w:val="Normal1"/>
              <w:spacing w:before="0" w:beforeAutospacing="0" w:after="0" w:afterAutospacing="0"/>
              <w:jc w:val="both"/>
              <w:rPr>
                <w:sz w:val="22"/>
                <w:szCs w:val="22"/>
                <w:lang w:val="en-GB"/>
              </w:rPr>
            </w:pPr>
            <w:r w:rsidRPr="004D2E7C">
              <w:rPr>
                <w:sz w:val="22"/>
                <w:szCs w:val="22"/>
                <w:lang w:val="en-GB"/>
              </w:rPr>
              <w:lastRenderedPageBreak/>
              <w:t>(i) a dealer who is unable to obtain a rescaled label in accordance with the first subparagraph of this point for units already in its stock because the supplier has ceased its activities shall be permitted to sell those units exclusively with the non-rescaled label until nine months after the date specified in the relevant delegated act for starting the display of the rescaled label; or</w:t>
            </w:r>
          </w:p>
          <w:p w14:paraId="461880FF" w14:textId="496E4721" w:rsidR="008D66BE" w:rsidRPr="004D2E7C" w:rsidRDefault="008D66BE" w:rsidP="008D66BE">
            <w:pPr>
              <w:pStyle w:val="Normal1"/>
              <w:spacing w:before="0" w:beforeAutospacing="0" w:after="0" w:afterAutospacing="0"/>
              <w:jc w:val="both"/>
              <w:rPr>
                <w:sz w:val="22"/>
                <w:szCs w:val="22"/>
                <w:lang w:val="en-GB"/>
              </w:rPr>
            </w:pPr>
            <w:r w:rsidRPr="004D2E7C">
              <w:rPr>
                <w:sz w:val="22"/>
                <w:szCs w:val="22"/>
                <w:lang w:val="en-GB"/>
              </w:rPr>
              <w:t>(ii) if the non-rescaled and the rescaled label require different testing of the model, the supplier is exempt from the obligation to supply a rescaled label for units placed on the market or put into service before the four-month period, if no units belonging to same model or equivalent models are placed on the market or put into service after the start of the four-month period. In that case, the dealer shall be permitted to sell those units exclusively with the non-rescaled label until nine months after the date specified in the relevant delegated act for starting the display of the rescaled label.</w:t>
            </w:r>
          </w:p>
          <w:p w14:paraId="46188100" w14:textId="77777777" w:rsidR="008D66BE" w:rsidRPr="004D2E7C" w:rsidRDefault="008D66BE" w:rsidP="008D66BE">
            <w:pPr>
              <w:pStyle w:val="Normal1"/>
              <w:spacing w:before="0" w:beforeAutospacing="0" w:after="0" w:afterAutospacing="0"/>
              <w:jc w:val="both"/>
              <w:rPr>
                <w:sz w:val="22"/>
                <w:szCs w:val="22"/>
                <w:lang w:val="en-GB"/>
              </w:rPr>
            </w:pPr>
          </w:p>
          <w:p w14:paraId="46188101" w14:textId="77777777" w:rsidR="008D66BE" w:rsidRPr="004D2E7C" w:rsidRDefault="008D66BE" w:rsidP="008D66BE">
            <w:pPr>
              <w:pStyle w:val="Normal1"/>
              <w:spacing w:before="0" w:beforeAutospacing="0" w:after="120" w:afterAutospacing="0"/>
              <w:jc w:val="both"/>
              <w:rPr>
                <w:sz w:val="22"/>
                <w:szCs w:val="22"/>
                <w:lang w:val="en-GB"/>
              </w:rPr>
            </w:pPr>
            <w:r w:rsidRPr="004D2E7C">
              <w:rPr>
                <w:sz w:val="22"/>
                <w:szCs w:val="22"/>
                <w:lang w:val="en-GB"/>
              </w:rPr>
              <w:t>(c) the dealer shall replace the existing labels on products on display, both in shops and online, with the rescaled labels within 14 working days after the date specified in the relevant delegated act for starting the display of the rescaled label. The dealer shall not display the rescaled labels before that date.</w:t>
            </w:r>
          </w:p>
        </w:tc>
        <w:tc>
          <w:tcPr>
            <w:tcW w:w="325" w:type="pct"/>
            <w:vAlign w:val="center"/>
          </w:tcPr>
          <w:p w14:paraId="5DC6D786" w14:textId="77777777" w:rsidR="008D66BE" w:rsidRDefault="008D66BE" w:rsidP="008D66BE">
            <w:pPr>
              <w:jc w:val="center"/>
              <w:rPr>
                <w:rFonts w:cs="Times New Roman"/>
                <w:lang w:val="sr-Cyrl-RS"/>
              </w:rPr>
            </w:pPr>
            <w:r>
              <w:rPr>
                <w:rFonts w:cs="Times New Roman"/>
                <w:lang w:val="sr-Cyrl-RS"/>
              </w:rPr>
              <w:lastRenderedPageBreak/>
              <w:t>1.62.2</w:t>
            </w:r>
          </w:p>
          <w:p w14:paraId="46188102" w14:textId="304711E9" w:rsidR="008D66BE" w:rsidRPr="004D2E7C" w:rsidRDefault="008D66BE" w:rsidP="008D66BE">
            <w:pPr>
              <w:rPr>
                <w:rFonts w:cs="Times New Roman"/>
                <w:lang w:val="sr-Cyrl-RS"/>
              </w:rPr>
            </w:pPr>
            <w:r>
              <w:rPr>
                <w:rFonts w:cs="Times New Roman"/>
                <w:b/>
              </w:rPr>
              <w:t>1.150.2.</w:t>
            </w:r>
          </w:p>
        </w:tc>
        <w:tc>
          <w:tcPr>
            <w:tcW w:w="1296" w:type="pct"/>
          </w:tcPr>
          <w:p w14:paraId="3186F681" w14:textId="77777777" w:rsidR="008D66BE" w:rsidRPr="004D2E7C" w:rsidRDefault="008D66BE" w:rsidP="008D66BE">
            <w:pPr>
              <w:autoSpaceDE w:val="0"/>
              <w:autoSpaceDN w:val="0"/>
              <w:adjustRightInd w:val="0"/>
              <w:ind w:firstLine="567"/>
              <w:jc w:val="both"/>
              <w:rPr>
                <w:rFonts w:eastAsia="MS Mincho" w:cs="Times New Roman"/>
                <w:color w:val="000000" w:themeColor="text1"/>
                <w:lang w:val="sr-Cyrl-CS" w:eastAsia="ja-JP"/>
              </w:rPr>
            </w:pPr>
            <w:r w:rsidRPr="004D2E7C">
              <w:rPr>
                <w:rFonts w:eastAsia="MS Mincho" w:cs="Times New Roman"/>
                <w:color w:val="000000" w:themeColor="text1"/>
                <w:lang w:val="sr-Cyrl-CS" w:eastAsia="ja-JP"/>
              </w:rPr>
              <w:t>Влада ближе уређује обавезе испоручиоца производа, и продавца у погледу енергетског означавања производа, које се односе на: садржај енергетске ознаке, њеног исправног постављања и тачности података на ознаци, коришћење рекласираних ознака енергетске ефикасности и друге услове којима се обезбеђује примена захтева енергетског означавања за производе из става 1. овог члана.</w:t>
            </w:r>
          </w:p>
          <w:p w14:paraId="21AB8B0E" w14:textId="77777777" w:rsidR="008D66BE" w:rsidRDefault="008D66BE" w:rsidP="008D66BE">
            <w:pPr>
              <w:tabs>
                <w:tab w:val="left" w:pos="1152"/>
              </w:tabs>
              <w:jc w:val="both"/>
              <w:rPr>
                <w:rFonts w:cs="Times New Roman"/>
                <w:lang w:val="sr-Cyrl-RS"/>
              </w:rPr>
            </w:pPr>
          </w:p>
          <w:p w14:paraId="46188103" w14:textId="4D0269E8" w:rsidR="008D66BE" w:rsidRPr="004D2E7C" w:rsidRDefault="008D66BE" w:rsidP="008D66BE">
            <w:pPr>
              <w:rPr>
                <w:rFonts w:cs="Times New Roman"/>
                <w:lang w:val="sr-Cyrl-RS"/>
              </w:rPr>
            </w:pPr>
            <w:r w:rsidRPr="00C30E0B">
              <w:rPr>
                <w:rFonts w:eastAsia="Times New Roman" w:cs="Times New Roman"/>
                <w:sz w:val="24"/>
                <w:szCs w:val="24"/>
                <w:lang w:val="sr-Cyrl-CS"/>
              </w:rPr>
              <w:t>Прописи за спровођење овог закона из чл. 7-9. ,чл. 15 – 16., члана 21., чл. 23-24., чл. 26-27., члана 30., члана 36., чл. 37-40., члана 47., члана 51., чл. 54-55. члана 57., члана 59., чл. 61-62, чл. 64-66., члана 73., члана 80., члана 83., члана 90., чл. 93-94., чл. 96-98., члана 100., и чл. 107-109. овог закона биће донети у року од 18 месеци од дана ступања на снагу овог закона, изузев подзаконских аката из става 1. овог члана</w:t>
            </w:r>
          </w:p>
        </w:tc>
        <w:tc>
          <w:tcPr>
            <w:tcW w:w="235" w:type="pct"/>
            <w:vAlign w:val="center"/>
          </w:tcPr>
          <w:p w14:paraId="46188104" w14:textId="2440B6A8" w:rsidR="008D66BE" w:rsidRPr="004D2E7C" w:rsidRDefault="008D66BE" w:rsidP="008D66BE">
            <w:pPr>
              <w:jc w:val="center"/>
              <w:rPr>
                <w:rFonts w:cs="Times New Roman"/>
                <w:lang w:val="sr-Cyrl-RS"/>
              </w:rPr>
            </w:pPr>
            <w:r>
              <w:rPr>
                <w:rFonts w:cs="Times New Roman"/>
                <w:lang w:val="sr-Cyrl-RS"/>
              </w:rPr>
              <w:t>Д</w:t>
            </w:r>
            <w:r w:rsidRPr="004D2E7C">
              <w:rPr>
                <w:rFonts w:cs="Times New Roman"/>
                <w:lang w:val="sr-Cyrl-RS"/>
              </w:rPr>
              <w:t>У</w:t>
            </w:r>
          </w:p>
        </w:tc>
        <w:tc>
          <w:tcPr>
            <w:tcW w:w="676" w:type="pct"/>
          </w:tcPr>
          <w:p w14:paraId="46188105" w14:textId="61AC17AE" w:rsidR="008D66BE" w:rsidRPr="004D2E7C" w:rsidRDefault="008D66BE" w:rsidP="008D66BE">
            <w:pPr>
              <w:rPr>
                <w:rFonts w:cs="Times New Roman"/>
                <w:spacing w:val="-6"/>
                <w:lang w:val="sr-Cyrl-RS"/>
              </w:rPr>
            </w:pPr>
            <w:r>
              <w:rPr>
                <w:rFonts w:cs="Times New Roman"/>
                <w:spacing w:val="-6"/>
                <w:lang w:val="sr-Cyrl-RS"/>
              </w:rPr>
              <w:t>Усклађеност ће бити постигнута доношењем Уредбе из 1.62.2.</w:t>
            </w:r>
          </w:p>
        </w:tc>
        <w:tc>
          <w:tcPr>
            <w:tcW w:w="699" w:type="pct"/>
            <w:vAlign w:val="center"/>
          </w:tcPr>
          <w:p w14:paraId="46188106" w14:textId="22156772" w:rsidR="008D66BE" w:rsidRPr="00247AA9" w:rsidRDefault="008D66BE" w:rsidP="008D66BE">
            <w:pPr>
              <w:rPr>
                <w:rFonts w:cs="Times New Roman"/>
              </w:rPr>
            </w:pPr>
          </w:p>
        </w:tc>
      </w:tr>
      <w:tr w:rsidR="008D66BE" w:rsidRPr="004D2E7C" w14:paraId="46188110" w14:textId="77777777" w:rsidTr="0011512E">
        <w:tc>
          <w:tcPr>
            <w:tcW w:w="280" w:type="pct"/>
            <w:shd w:val="clear" w:color="auto" w:fill="D9D9D9"/>
            <w:vAlign w:val="center"/>
          </w:tcPr>
          <w:p w14:paraId="46188108" w14:textId="77777777" w:rsidR="008D66BE" w:rsidRPr="004D2E7C" w:rsidRDefault="008D66BE" w:rsidP="008D66BE">
            <w:pPr>
              <w:jc w:val="center"/>
              <w:rPr>
                <w:rFonts w:eastAsia="Times New Roman" w:cs="Times New Roman"/>
                <w:lang w:val="sr-Cyrl-RS"/>
              </w:rPr>
            </w:pPr>
            <w:r w:rsidRPr="004D2E7C">
              <w:rPr>
                <w:rFonts w:eastAsia="Times New Roman" w:cs="Times New Roman"/>
                <w:lang w:val="sr-Cyrl-RS"/>
              </w:rPr>
              <w:lastRenderedPageBreak/>
              <w:t>11.13.2</w:t>
            </w:r>
          </w:p>
        </w:tc>
        <w:tc>
          <w:tcPr>
            <w:tcW w:w="1489" w:type="pct"/>
            <w:shd w:val="clear" w:color="auto" w:fill="D9D9D9"/>
            <w:vAlign w:val="center"/>
          </w:tcPr>
          <w:p w14:paraId="4618810A" w14:textId="2CBFBAF0" w:rsidR="008D66BE" w:rsidRPr="004D2E7C" w:rsidRDefault="008D66BE" w:rsidP="008D66BE">
            <w:pPr>
              <w:pStyle w:val="Normal1"/>
              <w:spacing w:before="0" w:beforeAutospacing="0" w:after="120" w:afterAutospacing="0"/>
              <w:jc w:val="both"/>
              <w:rPr>
                <w:sz w:val="22"/>
                <w:szCs w:val="22"/>
                <w:lang w:val="en-GB"/>
              </w:rPr>
            </w:pPr>
            <w:r w:rsidRPr="004D2E7C">
              <w:rPr>
                <w:sz w:val="22"/>
                <w:szCs w:val="22"/>
                <w:lang w:val="en-GB"/>
              </w:rPr>
              <w:t>By way of derogation from points (a), (b) and (c) of this paragraph, delegated acts referred to in point (e) of Article 16(3) may provide for specific rules for energy labels printed on the packaging.</w:t>
            </w:r>
          </w:p>
        </w:tc>
        <w:tc>
          <w:tcPr>
            <w:tcW w:w="325" w:type="pct"/>
            <w:vAlign w:val="center"/>
          </w:tcPr>
          <w:p w14:paraId="0829223D" w14:textId="77777777" w:rsidR="008D66BE" w:rsidRDefault="008D66BE" w:rsidP="008D66BE">
            <w:pPr>
              <w:jc w:val="center"/>
              <w:rPr>
                <w:rFonts w:cs="Times New Roman"/>
                <w:lang w:val="sr-Cyrl-RS"/>
              </w:rPr>
            </w:pPr>
            <w:r>
              <w:rPr>
                <w:rFonts w:cs="Times New Roman"/>
                <w:lang w:val="sr-Cyrl-RS"/>
              </w:rPr>
              <w:t>1.62.2</w:t>
            </w:r>
          </w:p>
          <w:p w14:paraId="4618810B" w14:textId="2D132041" w:rsidR="008D66BE" w:rsidRPr="004D2E7C" w:rsidRDefault="008D66BE" w:rsidP="008D66BE">
            <w:pPr>
              <w:rPr>
                <w:rFonts w:cs="Times New Roman"/>
                <w:lang w:val="sr-Cyrl-RS"/>
              </w:rPr>
            </w:pPr>
            <w:r>
              <w:rPr>
                <w:rFonts w:cs="Times New Roman"/>
                <w:b/>
              </w:rPr>
              <w:t>1.150.2.</w:t>
            </w:r>
          </w:p>
        </w:tc>
        <w:tc>
          <w:tcPr>
            <w:tcW w:w="1296" w:type="pct"/>
          </w:tcPr>
          <w:p w14:paraId="51C929E4" w14:textId="77777777" w:rsidR="008D66BE" w:rsidRPr="004D2E7C" w:rsidRDefault="008D66BE" w:rsidP="008D66BE">
            <w:pPr>
              <w:autoSpaceDE w:val="0"/>
              <w:autoSpaceDN w:val="0"/>
              <w:adjustRightInd w:val="0"/>
              <w:ind w:firstLine="567"/>
              <w:jc w:val="both"/>
              <w:rPr>
                <w:rFonts w:eastAsia="MS Mincho" w:cs="Times New Roman"/>
                <w:color w:val="000000" w:themeColor="text1"/>
                <w:lang w:val="sr-Cyrl-CS" w:eastAsia="ja-JP"/>
              </w:rPr>
            </w:pPr>
            <w:r w:rsidRPr="004D2E7C">
              <w:rPr>
                <w:rFonts w:eastAsia="MS Mincho" w:cs="Times New Roman"/>
                <w:color w:val="000000" w:themeColor="text1"/>
                <w:lang w:val="sr-Cyrl-CS" w:eastAsia="ja-JP"/>
              </w:rPr>
              <w:t xml:space="preserve">Влада ближе уређује обавезе испоручиоца производа, и продавца у погледу енергетског означавања производа, које се односе на: садржај енергетске ознаке, њеног исправног постављања и тачности података на </w:t>
            </w:r>
            <w:r w:rsidRPr="004D2E7C">
              <w:rPr>
                <w:rFonts w:eastAsia="MS Mincho" w:cs="Times New Roman"/>
                <w:color w:val="000000" w:themeColor="text1"/>
                <w:lang w:val="sr-Cyrl-CS" w:eastAsia="ja-JP"/>
              </w:rPr>
              <w:lastRenderedPageBreak/>
              <w:t>ознаци, коришћење рекласираних ознака енергетске ефикасности и друге услове којима се обезбеђује примена захтева енергетског означавања за производе из става 1. овог члана.</w:t>
            </w:r>
          </w:p>
          <w:p w14:paraId="2D58E639" w14:textId="77777777" w:rsidR="008D66BE" w:rsidRDefault="008D66BE" w:rsidP="008D66BE">
            <w:pPr>
              <w:tabs>
                <w:tab w:val="left" w:pos="1152"/>
              </w:tabs>
              <w:jc w:val="both"/>
              <w:rPr>
                <w:rFonts w:cs="Times New Roman"/>
                <w:lang w:val="sr-Cyrl-RS"/>
              </w:rPr>
            </w:pPr>
          </w:p>
          <w:p w14:paraId="4618810C" w14:textId="4684DCBE" w:rsidR="008D66BE" w:rsidRPr="004D2E7C" w:rsidRDefault="008D66BE" w:rsidP="008D66BE">
            <w:pPr>
              <w:rPr>
                <w:rFonts w:cs="Times New Roman"/>
                <w:lang w:val="sr-Cyrl-RS"/>
              </w:rPr>
            </w:pPr>
            <w:r w:rsidRPr="00C30E0B">
              <w:rPr>
                <w:rFonts w:eastAsia="Times New Roman" w:cs="Times New Roman"/>
                <w:sz w:val="24"/>
                <w:szCs w:val="24"/>
                <w:lang w:val="sr-Cyrl-CS"/>
              </w:rPr>
              <w:t>Прописи за спровођење овог закона из чл. 7-9. ,чл. 15 – 16., члана 21., чл. 23-24., чл. 26-27., члана 30., члана 36., чл. 37-40., члана 47., члана 51., чл. 54-55. члана 57., члана 59., чл. 61-62, чл. 64-66., члана 73., члана 80., члана 83., члана 90., чл. 93-94., чл. 96-98., члана 100., и чл. 107-109. овог закона биће донети у року од 18 месеци од дана ступања на снагу овог закона, изузев подзаконских аката из става 1. овог члана</w:t>
            </w:r>
          </w:p>
        </w:tc>
        <w:tc>
          <w:tcPr>
            <w:tcW w:w="235" w:type="pct"/>
            <w:vAlign w:val="center"/>
          </w:tcPr>
          <w:p w14:paraId="4618810D" w14:textId="33B1FA9D" w:rsidR="008D66BE" w:rsidRPr="004D2E7C" w:rsidRDefault="008D66BE" w:rsidP="008D66BE">
            <w:pPr>
              <w:jc w:val="center"/>
              <w:rPr>
                <w:rFonts w:cs="Times New Roman"/>
                <w:lang w:val="sr-Cyrl-RS"/>
              </w:rPr>
            </w:pPr>
            <w:r>
              <w:rPr>
                <w:rFonts w:cs="Times New Roman"/>
                <w:lang w:val="sr-Cyrl-RS"/>
              </w:rPr>
              <w:lastRenderedPageBreak/>
              <w:t>Д</w:t>
            </w:r>
            <w:r w:rsidRPr="004D2E7C">
              <w:rPr>
                <w:rFonts w:cs="Times New Roman"/>
                <w:lang w:val="sr-Cyrl-RS"/>
              </w:rPr>
              <w:t>У</w:t>
            </w:r>
          </w:p>
        </w:tc>
        <w:tc>
          <w:tcPr>
            <w:tcW w:w="676" w:type="pct"/>
          </w:tcPr>
          <w:p w14:paraId="4618810E" w14:textId="4DE82D7B" w:rsidR="008D66BE" w:rsidRPr="004D2E7C" w:rsidRDefault="008D66BE" w:rsidP="008D66BE">
            <w:pPr>
              <w:rPr>
                <w:rFonts w:cs="Times New Roman"/>
                <w:spacing w:val="-6"/>
                <w:lang w:val="sr-Cyrl-RS"/>
              </w:rPr>
            </w:pPr>
            <w:r>
              <w:rPr>
                <w:rFonts w:cs="Times New Roman"/>
                <w:spacing w:val="-6"/>
                <w:lang w:val="sr-Cyrl-RS"/>
              </w:rPr>
              <w:t>Усклађеност ће бити постигнута доношењем Уредбе из 1.62.2.</w:t>
            </w:r>
          </w:p>
        </w:tc>
        <w:tc>
          <w:tcPr>
            <w:tcW w:w="699" w:type="pct"/>
            <w:vAlign w:val="center"/>
          </w:tcPr>
          <w:p w14:paraId="4618810F" w14:textId="5F25965B" w:rsidR="008D66BE" w:rsidRPr="004D2E7C" w:rsidRDefault="008D66BE" w:rsidP="008D66BE">
            <w:pPr>
              <w:rPr>
                <w:rFonts w:cs="Times New Roman"/>
                <w:lang w:val="sr-Cyrl-RS"/>
              </w:rPr>
            </w:pPr>
          </w:p>
        </w:tc>
      </w:tr>
      <w:tr w:rsidR="00F01ECE" w:rsidRPr="004D2E7C" w14:paraId="46188146" w14:textId="77777777" w:rsidTr="006B3660">
        <w:tc>
          <w:tcPr>
            <w:tcW w:w="280" w:type="pct"/>
            <w:shd w:val="clear" w:color="auto" w:fill="D9D9D9"/>
            <w:vAlign w:val="center"/>
          </w:tcPr>
          <w:p w14:paraId="46188111" w14:textId="77777777" w:rsidR="00F01ECE" w:rsidRPr="004D2E7C" w:rsidRDefault="00F01ECE" w:rsidP="00F01ECE">
            <w:pPr>
              <w:jc w:val="center"/>
              <w:rPr>
                <w:rFonts w:eastAsia="Times New Roman" w:cs="Times New Roman"/>
                <w:lang w:val="sr-Cyrl-RS"/>
              </w:rPr>
            </w:pPr>
            <w:r w:rsidRPr="004D2E7C">
              <w:rPr>
                <w:rFonts w:eastAsia="Times New Roman" w:cs="Times New Roman"/>
                <w:lang w:val="sr-Cyrl-RS"/>
              </w:rPr>
              <w:lastRenderedPageBreak/>
              <w:t>12.1 – 12.12.</w:t>
            </w:r>
          </w:p>
        </w:tc>
        <w:tc>
          <w:tcPr>
            <w:tcW w:w="1489" w:type="pct"/>
            <w:shd w:val="clear" w:color="auto" w:fill="D9D9D9"/>
            <w:vAlign w:val="center"/>
          </w:tcPr>
          <w:p w14:paraId="46188112" w14:textId="77777777" w:rsidR="00F01ECE" w:rsidRPr="00247AA9" w:rsidRDefault="00F01ECE" w:rsidP="00F01ECE">
            <w:pPr>
              <w:pStyle w:val="Normal1"/>
              <w:spacing w:before="0" w:beforeAutospacing="0" w:after="0" w:afterAutospacing="0"/>
              <w:jc w:val="both"/>
              <w:rPr>
                <w:sz w:val="14"/>
                <w:szCs w:val="14"/>
                <w:lang w:val="en-GB"/>
              </w:rPr>
            </w:pPr>
          </w:p>
          <w:p w14:paraId="46188113" w14:textId="77777777" w:rsidR="00F01ECE" w:rsidRPr="004D2E7C" w:rsidRDefault="00F01ECE" w:rsidP="00F01ECE">
            <w:pPr>
              <w:pStyle w:val="Normal1"/>
              <w:spacing w:before="0" w:beforeAutospacing="0" w:after="0" w:afterAutospacing="0"/>
              <w:jc w:val="both"/>
              <w:rPr>
                <w:b/>
                <w:bCs/>
                <w:sz w:val="22"/>
                <w:szCs w:val="22"/>
                <w:lang w:val="en-GB"/>
              </w:rPr>
            </w:pPr>
            <w:r w:rsidRPr="004D2E7C">
              <w:rPr>
                <w:b/>
                <w:bCs/>
                <w:sz w:val="22"/>
                <w:szCs w:val="22"/>
                <w:lang w:val="en-GB"/>
              </w:rPr>
              <w:t>Product database</w:t>
            </w:r>
          </w:p>
          <w:p w14:paraId="46188114" w14:textId="77777777" w:rsidR="00F01ECE" w:rsidRPr="00247AA9" w:rsidRDefault="00F01ECE" w:rsidP="00F01ECE">
            <w:pPr>
              <w:pStyle w:val="Normal1"/>
              <w:spacing w:before="0" w:beforeAutospacing="0" w:after="0" w:afterAutospacing="0"/>
              <w:jc w:val="both"/>
              <w:rPr>
                <w:sz w:val="14"/>
                <w:szCs w:val="14"/>
                <w:lang w:val="en-GB"/>
              </w:rPr>
            </w:pPr>
          </w:p>
          <w:p w14:paraId="46188115" w14:textId="77777777" w:rsidR="00F01ECE" w:rsidRPr="004D2E7C" w:rsidRDefault="00F01ECE" w:rsidP="00F01ECE">
            <w:pPr>
              <w:pStyle w:val="Normal1"/>
              <w:spacing w:before="0" w:beforeAutospacing="0" w:after="0" w:afterAutospacing="0"/>
              <w:jc w:val="both"/>
              <w:rPr>
                <w:sz w:val="22"/>
                <w:szCs w:val="22"/>
                <w:lang w:val="en-GB"/>
              </w:rPr>
            </w:pPr>
            <w:r w:rsidRPr="004D2E7C">
              <w:rPr>
                <w:sz w:val="22"/>
                <w:szCs w:val="22"/>
                <w:lang w:val="en-GB"/>
              </w:rPr>
              <w:t>1. The Commission shall establish and maintain a product database consisting of a public part, a compliance part and an online portal giving access to those two parts.</w:t>
            </w:r>
          </w:p>
          <w:p w14:paraId="46188116" w14:textId="77777777" w:rsidR="00F01ECE" w:rsidRPr="004D2E7C" w:rsidRDefault="00F01ECE" w:rsidP="00F01ECE">
            <w:pPr>
              <w:pStyle w:val="Normal1"/>
              <w:spacing w:before="0" w:beforeAutospacing="0" w:after="0" w:afterAutospacing="0"/>
              <w:jc w:val="both"/>
              <w:rPr>
                <w:sz w:val="22"/>
                <w:szCs w:val="22"/>
                <w:lang w:val="en-GB"/>
              </w:rPr>
            </w:pPr>
            <w:r w:rsidRPr="004D2E7C">
              <w:rPr>
                <w:sz w:val="22"/>
                <w:szCs w:val="22"/>
                <w:lang w:val="en-GB"/>
              </w:rPr>
              <w:t>The product database shall not replace or modify the responsibilities of the market surveillance authorities.</w:t>
            </w:r>
          </w:p>
          <w:p w14:paraId="46188117" w14:textId="77777777" w:rsidR="00F01ECE" w:rsidRPr="00247AA9" w:rsidRDefault="00F01ECE" w:rsidP="00F01ECE">
            <w:pPr>
              <w:pStyle w:val="Normal1"/>
              <w:spacing w:before="0" w:beforeAutospacing="0" w:after="0" w:afterAutospacing="0"/>
              <w:jc w:val="both"/>
              <w:rPr>
                <w:sz w:val="12"/>
                <w:szCs w:val="12"/>
                <w:lang w:val="en-GB"/>
              </w:rPr>
            </w:pPr>
          </w:p>
          <w:p w14:paraId="46188118" w14:textId="77777777" w:rsidR="00F01ECE" w:rsidRPr="004D2E7C" w:rsidRDefault="00F01ECE" w:rsidP="00F01ECE">
            <w:pPr>
              <w:pStyle w:val="Normal1"/>
              <w:spacing w:before="0" w:beforeAutospacing="0" w:after="0" w:afterAutospacing="0"/>
              <w:jc w:val="both"/>
              <w:rPr>
                <w:sz w:val="22"/>
                <w:szCs w:val="22"/>
                <w:lang w:val="en-GB"/>
              </w:rPr>
            </w:pPr>
            <w:r w:rsidRPr="004D2E7C">
              <w:rPr>
                <w:sz w:val="22"/>
                <w:szCs w:val="22"/>
                <w:lang w:val="en-GB"/>
              </w:rPr>
              <w:t>2. The product database shall serve the following purposes:</w:t>
            </w:r>
          </w:p>
          <w:p w14:paraId="46188119" w14:textId="77777777" w:rsidR="00F01ECE" w:rsidRPr="004D2E7C" w:rsidRDefault="00F01ECE" w:rsidP="00F01ECE">
            <w:pPr>
              <w:pStyle w:val="Normal1"/>
              <w:spacing w:before="0" w:beforeAutospacing="0" w:after="0" w:afterAutospacing="0"/>
              <w:jc w:val="both"/>
              <w:rPr>
                <w:sz w:val="22"/>
                <w:szCs w:val="22"/>
                <w:lang w:val="en-GB"/>
              </w:rPr>
            </w:pPr>
            <w:r w:rsidRPr="004D2E7C">
              <w:rPr>
                <w:sz w:val="22"/>
                <w:szCs w:val="22"/>
                <w:lang w:val="en-GB"/>
              </w:rPr>
              <w:t xml:space="preserve">(a) to support market surveillance authorities in carrying out their tasks under this Regulation and </w:t>
            </w:r>
            <w:r w:rsidRPr="004D2E7C">
              <w:rPr>
                <w:sz w:val="22"/>
                <w:szCs w:val="22"/>
                <w:lang w:val="en-GB"/>
              </w:rPr>
              <w:lastRenderedPageBreak/>
              <w:t>the relevant delegated acts, including enforcement thereof;</w:t>
            </w:r>
          </w:p>
          <w:p w14:paraId="4618811A" w14:textId="77777777" w:rsidR="00F01ECE" w:rsidRPr="004D2E7C" w:rsidRDefault="00F01ECE" w:rsidP="00F01ECE">
            <w:pPr>
              <w:pStyle w:val="Normal1"/>
              <w:spacing w:before="0" w:beforeAutospacing="0" w:after="0" w:afterAutospacing="0"/>
              <w:jc w:val="both"/>
              <w:rPr>
                <w:sz w:val="22"/>
                <w:szCs w:val="22"/>
                <w:lang w:val="en-GB"/>
              </w:rPr>
            </w:pPr>
            <w:r w:rsidRPr="004D2E7C">
              <w:rPr>
                <w:sz w:val="22"/>
                <w:szCs w:val="22"/>
                <w:lang w:val="en-GB"/>
              </w:rPr>
              <w:t>(b) to provide the public with information about products placed on the market and their energy labels, and product information sheets;</w:t>
            </w:r>
          </w:p>
          <w:p w14:paraId="4618811B" w14:textId="77777777" w:rsidR="00F01ECE" w:rsidRPr="004D2E7C" w:rsidRDefault="00F01ECE" w:rsidP="00F01ECE">
            <w:pPr>
              <w:pStyle w:val="Normal1"/>
              <w:spacing w:before="0" w:beforeAutospacing="0" w:after="0" w:afterAutospacing="0"/>
              <w:jc w:val="both"/>
              <w:rPr>
                <w:sz w:val="22"/>
                <w:szCs w:val="22"/>
                <w:lang w:val="en-GB"/>
              </w:rPr>
            </w:pPr>
            <w:r w:rsidRPr="004D2E7C">
              <w:rPr>
                <w:sz w:val="22"/>
                <w:szCs w:val="22"/>
                <w:lang w:val="en-GB"/>
              </w:rPr>
              <w:t>(c) to provide the Commission with up-to-date energy efficiency information for products for reviewing energy labels;</w:t>
            </w:r>
          </w:p>
          <w:p w14:paraId="4618811C" w14:textId="77777777" w:rsidR="00F01ECE" w:rsidRPr="00247AA9" w:rsidRDefault="00F01ECE" w:rsidP="00F01ECE">
            <w:pPr>
              <w:pStyle w:val="Normal1"/>
              <w:spacing w:before="0" w:beforeAutospacing="0" w:after="0" w:afterAutospacing="0"/>
              <w:jc w:val="both"/>
              <w:rPr>
                <w:sz w:val="12"/>
                <w:szCs w:val="12"/>
                <w:lang w:val="en-GB"/>
              </w:rPr>
            </w:pPr>
          </w:p>
          <w:p w14:paraId="4618811D" w14:textId="77777777" w:rsidR="00F01ECE" w:rsidRPr="004D2E7C" w:rsidRDefault="00F01ECE" w:rsidP="00F01ECE">
            <w:pPr>
              <w:pStyle w:val="Normal1"/>
              <w:spacing w:before="0" w:beforeAutospacing="0" w:after="0" w:afterAutospacing="0"/>
              <w:jc w:val="both"/>
              <w:rPr>
                <w:sz w:val="22"/>
                <w:szCs w:val="22"/>
                <w:lang w:val="en-GB"/>
              </w:rPr>
            </w:pPr>
            <w:r w:rsidRPr="004D2E7C">
              <w:rPr>
                <w:sz w:val="22"/>
                <w:szCs w:val="22"/>
                <w:lang w:val="en-GB"/>
              </w:rPr>
              <w:t>3. The public part of the database and the online portal shall contain the information set out in points 1 and 2 of Annex I respectively which shall be made publicly available. The public part of the database shall meet the criteria in paragraph 7 of this Article, and the functional criteria set out in point 4 of Annex I.</w:t>
            </w:r>
          </w:p>
          <w:p w14:paraId="4618811E" w14:textId="77777777" w:rsidR="00F01ECE" w:rsidRPr="00247AA9" w:rsidRDefault="00F01ECE" w:rsidP="00F01ECE">
            <w:pPr>
              <w:pStyle w:val="Normal1"/>
              <w:spacing w:before="0" w:beforeAutospacing="0" w:after="0" w:afterAutospacing="0"/>
              <w:jc w:val="both"/>
              <w:rPr>
                <w:sz w:val="12"/>
                <w:szCs w:val="12"/>
                <w:lang w:val="en-GB"/>
              </w:rPr>
            </w:pPr>
          </w:p>
          <w:p w14:paraId="4618811F" w14:textId="77777777" w:rsidR="00F01ECE" w:rsidRPr="004D2E7C" w:rsidRDefault="00F01ECE" w:rsidP="00F01ECE">
            <w:pPr>
              <w:pStyle w:val="Normal1"/>
              <w:spacing w:before="0" w:beforeAutospacing="0" w:after="0" w:afterAutospacing="0"/>
              <w:jc w:val="both"/>
              <w:rPr>
                <w:sz w:val="22"/>
                <w:szCs w:val="22"/>
                <w:lang w:val="en-GB"/>
              </w:rPr>
            </w:pPr>
            <w:r w:rsidRPr="004D2E7C">
              <w:rPr>
                <w:sz w:val="22"/>
                <w:szCs w:val="22"/>
                <w:lang w:val="en-GB"/>
              </w:rPr>
              <w:t>4. The compliance part of the product database shall be accessible only to market surveillance authorities and to the Commission and shall contain the information set out in point 3 of Annex I, including the specific parts of the technical documentation as referred to in paragraph 5 of this Article. The compliance part shall meet the criteria in paragraphs 7 and 8 of this Article, and the functional criteria set out in point 4 of Annex I.</w:t>
            </w:r>
          </w:p>
          <w:p w14:paraId="46188120" w14:textId="77777777" w:rsidR="00F01ECE" w:rsidRPr="00247AA9" w:rsidRDefault="00F01ECE" w:rsidP="00F01ECE">
            <w:pPr>
              <w:pStyle w:val="Normal1"/>
              <w:spacing w:before="0" w:beforeAutospacing="0" w:after="0" w:afterAutospacing="0"/>
              <w:jc w:val="both"/>
              <w:rPr>
                <w:sz w:val="12"/>
                <w:szCs w:val="12"/>
                <w:lang w:val="en-GB"/>
              </w:rPr>
            </w:pPr>
          </w:p>
          <w:p w14:paraId="46188121" w14:textId="77777777" w:rsidR="00F01ECE" w:rsidRPr="004D2E7C" w:rsidRDefault="00F01ECE" w:rsidP="00F01ECE">
            <w:pPr>
              <w:pStyle w:val="Normal1"/>
              <w:spacing w:before="0" w:beforeAutospacing="0" w:after="0" w:afterAutospacing="0"/>
              <w:jc w:val="both"/>
              <w:rPr>
                <w:sz w:val="22"/>
                <w:szCs w:val="22"/>
                <w:lang w:val="en-GB"/>
              </w:rPr>
            </w:pPr>
            <w:r w:rsidRPr="004D2E7C">
              <w:rPr>
                <w:sz w:val="22"/>
                <w:szCs w:val="22"/>
                <w:lang w:val="en-GB"/>
              </w:rPr>
              <w:t>5. The mandatory specific parts of the technical documentation that the supplier shall enter into the database shall cover only:</w:t>
            </w:r>
          </w:p>
          <w:p w14:paraId="46188122" w14:textId="77777777" w:rsidR="00F01ECE" w:rsidRPr="004D2E7C" w:rsidRDefault="00F01ECE" w:rsidP="00F01ECE">
            <w:pPr>
              <w:pStyle w:val="Normal1"/>
              <w:spacing w:before="0" w:beforeAutospacing="0" w:after="0" w:afterAutospacing="0"/>
              <w:jc w:val="both"/>
              <w:rPr>
                <w:sz w:val="22"/>
                <w:szCs w:val="22"/>
                <w:lang w:val="en-GB"/>
              </w:rPr>
            </w:pPr>
            <w:r w:rsidRPr="004D2E7C">
              <w:rPr>
                <w:sz w:val="22"/>
                <w:szCs w:val="22"/>
                <w:lang w:val="en-GB"/>
              </w:rPr>
              <w:t>(a) a general description of the model, sufficient for it to be unequivocally and easily identified;</w:t>
            </w:r>
          </w:p>
          <w:p w14:paraId="46188123" w14:textId="77777777" w:rsidR="00F01ECE" w:rsidRPr="004D2E7C" w:rsidRDefault="00F01ECE" w:rsidP="00F01ECE">
            <w:pPr>
              <w:pStyle w:val="Normal1"/>
              <w:spacing w:before="0" w:beforeAutospacing="0" w:after="0" w:afterAutospacing="0"/>
              <w:jc w:val="both"/>
              <w:rPr>
                <w:sz w:val="22"/>
                <w:szCs w:val="22"/>
                <w:lang w:val="en-GB"/>
              </w:rPr>
            </w:pPr>
            <w:r w:rsidRPr="004D2E7C">
              <w:rPr>
                <w:sz w:val="22"/>
                <w:szCs w:val="22"/>
                <w:lang w:val="en-GB"/>
              </w:rPr>
              <w:t>(b) references to the harmonised standards applied or other measurement standards used;</w:t>
            </w:r>
          </w:p>
          <w:p w14:paraId="46188124" w14:textId="77777777" w:rsidR="00F01ECE" w:rsidRPr="004D2E7C" w:rsidRDefault="00F01ECE" w:rsidP="00F01ECE">
            <w:pPr>
              <w:pStyle w:val="Normal1"/>
              <w:spacing w:before="0" w:beforeAutospacing="0" w:after="0" w:afterAutospacing="0"/>
              <w:jc w:val="both"/>
              <w:rPr>
                <w:sz w:val="22"/>
                <w:szCs w:val="22"/>
                <w:lang w:val="en-GB"/>
              </w:rPr>
            </w:pPr>
            <w:r w:rsidRPr="004D2E7C">
              <w:rPr>
                <w:sz w:val="22"/>
                <w:szCs w:val="22"/>
                <w:lang w:val="en-GB"/>
              </w:rPr>
              <w:lastRenderedPageBreak/>
              <w:t>(c) specific precautions that shall be taken when the model is assembled, installed, maintained or tested;</w:t>
            </w:r>
          </w:p>
          <w:p w14:paraId="46188125" w14:textId="77777777" w:rsidR="00F01ECE" w:rsidRPr="004D2E7C" w:rsidRDefault="00F01ECE" w:rsidP="00F01ECE">
            <w:pPr>
              <w:pStyle w:val="Normal1"/>
              <w:spacing w:before="0" w:beforeAutospacing="0" w:after="0" w:afterAutospacing="0"/>
              <w:jc w:val="both"/>
              <w:rPr>
                <w:sz w:val="22"/>
                <w:szCs w:val="22"/>
                <w:lang w:val="en-GB"/>
              </w:rPr>
            </w:pPr>
            <w:r w:rsidRPr="004D2E7C">
              <w:rPr>
                <w:sz w:val="22"/>
                <w:szCs w:val="22"/>
                <w:lang w:val="en-GB"/>
              </w:rPr>
              <w:t>(d) the measured technical parameters of the model;</w:t>
            </w:r>
          </w:p>
          <w:p w14:paraId="46188126" w14:textId="77777777" w:rsidR="00F01ECE" w:rsidRPr="004D2E7C" w:rsidRDefault="00F01ECE" w:rsidP="00F01ECE">
            <w:pPr>
              <w:pStyle w:val="Normal1"/>
              <w:spacing w:before="0" w:beforeAutospacing="0" w:after="0" w:afterAutospacing="0"/>
              <w:jc w:val="both"/>
              <w:rPr>
                <w:sz w:val="22"/>
                <w:szCs w:val="22"/>
                <w:lang w:val="en-GB"/>
              </w:rPr>
            </w:pPr>
            <w:r w:rsidRPr="004D2E7C">
              <w:rPr>
                <w:sz w:val="22"/>
                <w:szCs w:val="22"/>
                <w:lang w:val="en-GB"/>
              </w:rPr>
              <w:t>(e) the calculations performed with the measured parameters;</w:t>
            </w:r>
          </w:p>
          <w:p w14:paraId="46188127" w14:textId="77777777" w:rsidR="00F01ECE" w:rsidRPr="004D2E7C" w:rsidRDefault="00F01ECE" w:rsidP="00F01ECE">
            <w:pPr>
              <w:pStyle w:val="Normal1"/>
              <w:spacing w:before="0" w:beforeAutospacing="0" w:after="0" w:afterAutospacing="0"/>
              <w:jc w:val="both"/>
              <w:rPr>
                <w:sz w:val="22"/>
                <w:szCs w:val="22"/>
                <w:lang w:val="en-GB"/>
              </w:rPr>
            </w:pPr>
            <w:r w:rsidRPr="004D2E7C">
              <w:rPr>
                <w:sz w:val="22"/>
                <w:szCs w:val="22"/>
                <w:lang w:val="en-GB"/>
              </w:rPr>
              <w:t>(f) testing conditions if not described sufficiently in point (b).</w:t>
            </w:r>
          </w:p>
          <w:p w14:paraId="46188128" w14:textId="77777777" w:rsidR="00F01ECE" w:rsidRPr="004D2E7C" w:rsidRDefault="00F01ECE" w:rsidP="00F01ECE">
            <w:pPr>
              <w:pStyle w:val="Normal1"/>
              <w:spacing w:before="0" w:beforeAutospacing="0" w:after="0" w:afterAutospacing="0"/>
              <w:jc w:val="both"/>
              <w:rPr>
                <w:sz w:val="22"/>
                <w:szCs w:val="22"/>
                <w:lang w:val="en-GB"/>
              </w:rPr>
            </w:pPr>
            <w:r w:rsidRPr="004D2E7C">
              <w:rPr>
                <w:sz w:val="22"/>
                <w:szCs w:val="22"/>
                <w:lang w:val="en-GB"/>
              </w:rPr>
              <w:t>In addition, the supplier may upload additional parts of the technical documentation on a voluntary basis into the database.</w:t>
            </w:r>
          </w:p>
          <w:p w14:paraId="46188129" w14:textId="77777777" w:rsidR="00F01ECE" w:rsidRPr="00247AA9" w:rsidRDefault="00F01ECE" w:rsidP="00F01ECE">
            <w:pPr>
              <w:pStyle w:val="Normal1"/>
              <w:spacing w:before="0" w:beforeAutospacing="0" w:after="0" w:afterAutospacing="0"/>
              <w:jc w:val="both"/>
              <w:rPr>
                <w:sz w:val="12"/>
                <w:szCs w:val="12"/>
                <w:lang w:val="en-GB"/>
              </w:rPr>
            </w:pPr>
          </w:p>
          <w:p w14:paraId="4618812A" w14:textId="77777777" w:rsidR="00F01ECE" w:rsidRPr="004D2E7C" w:rsidRDefault="00F01ECE" w:rsidP="00F01ECE">
            <w:pPr>
              <w:pStyle w:val="Normal1"/>
              <w:spacing w:before="0" w:beforeAutospacing="0" w:after="0" w:afterAutospacing="0"/>
              <w:jc w:val="both"/>
              <w:rPr>
                <w:sz w:val="22"/>
                <w:szCs w:val="22"/>
                <w:lang w:val="en-GB"/>
              </w:rPr>
            </w:pPr>
            <w:r w:rsidRPr="004D2E7C">
              <w:rPr>
                <w:sz w:val="22"/>
                <w:szCs w:val="22"/>
                <w:lang w:val="en-GB"/>
              </w:rPr>
              <w:t>6. When data other than those specified in paragraph 5 or not available in the public part of the database would become necessary for market surveillance authorities and/or the Commission for carrying out their tasks under this Regulation, they shall be able to obtain them from the supplier on request.</w:t>
            </w:r>
          </w:p>
          <w:p w14:paraId="4618812B" w14:textId="77777777" w:rsidR="00F01ECE" w:rsidRPr="00247AA9" w:rsidRDefault="00F01ECE" w:rsidP="00F01ECE">
            <w:pPr>
              <w:pStyle w:val="Normal1"/>
              <w:spacing w:before="0" w:beforeAutospacing="0" w:after="0" w:afterAutospacing="0"/>
              <w:jc w:val="both"/>
              <w:rPr>
                <w:sz w:val="12"/>
                <w:szCs w:val="12"/>
                <w:lang w:val="en-GB"/>
              </w:rPr>
            </w:pPr>
          </w:p>
          <w:p w14:paraId="4618812C" w14:textId="77777777" w:rsidR="00F01ECE" w:rsidRPr="004D2E7C" w:rsidRDefault="00F01ECE" w:rsidP="00F01ECE">
            <w:pPr>
              <w:pStyle w:val="Normal1"/>
              <w:spacing w:before="0" w:beforeAutospacing="0" w:after="0" w:afterAutospacing="0"/>
              <w:jc w:val="both"/>
              <w:rPr>
                <w:sz w:val="22"/>
                <w:szCs w:val="22"/>
                <w:lang w:val="en-GB"/>
              </w:rPr>
            </w:pPr>
            <w:r w:rsidRPr="004D2E7C">
              <w:rPr>
                <w:sz w:val="22"/>
                <w:szCs w:val="22"/>
                <w:lang w:val="en-GB"/>
              </w:rPr>
              <w:t>7. The product database shall be established in accordance with the following criteria:</w:t>
            </w:r>
          </w:p>
          <w:p w14:paraId="4618812D" w14:textId="77777777" w:rsidR="00F01ECE" w:rsidRPr="004D2E7C" w:rsidRDefault="00F01ECE" w:rsidP="00F01ECE">
            <w:pPr>
              <w:pStyle w:val="Normal1"/>
              <w:spacing w:before="0" w:beforeAutospacing="0" w:after="0" w:afterAutospacing="0"/>
              <w:jc w:val="both"/>
              <w:rPr>
                <w:sz w:val="22"/>
                <w:szCs w:val="22"/>
                <w:lang w:val="en-GB"/>
              </w:rPr>
            </w:pPr>
            <w:r w:rsidRPr="004D2E7C">
              <w:rPr>
                <w:sz w:val="22"/>
                <w:szCs w:val="22"/>
                <w:lang w:val="en-GB"/>
              </w:rPr>
              <w:t>(a) minimising the administrative burden for the supplier and other database users;</w:t>
            </w:r>
          </w:p>
          <w:p w14:paraId="4618812E" w14:textId="77777777" w:rsidR="00F01ECE" w:rsidRPr="004D2E7C" w:rsidRDefault="00F01ECE" w:rsidP="00F01ECE">
            <w:pPr>
              <w:pStyle w:val="Normal1"/>
              <w:spacing w:before="0" w:beforeAutospacing="0" w:after="0" w:afterAutospacing="0"/>
              <w:jc w:val="both"/>
              <w:rPr>
                <w:sz w:val="22"/>
                <w:szCs w:val="22"/>
                <w:lang w:val="en-GB"/>
              </w:rPr>
            </w:pPr>
            <w:r w:rsidRPr="004D2E7C">
              <w:rPr>
                <w:sz w:val="22"/>
                <w:szCs w:val="22"/>
                <w:lang w:val="en-GB"/>
              </w:rPr>
              <w:t>(b) user-friendliness and cost-effectiveness; and</w:t>
            </w:r>
          </w:p>
          <w:p w14:paraId="4618812F" w14:textId="77777777" w:rsidR="00F01ECE" w:rsidRPr="004D2E7C" w:rsidRDefault="00F01ECE" w:rsidP="00F01ECE">
            <w:pPr>
              <w:pStyle w:val="Normal1"/>
              <w:spacing w:before="0" w:beforeAutospacing="0" w:after="0" w:afterAutospacing="0"/>
              <w:jc w:val="both"/>
              <w:rPr>
                <w:sz w:val="22"/>
                <w:szCs w:val="22"/>
                <w:lang w:val="en-GB"/>
              </w:rPr>
            </w:pPr>
            <w:r w:rsidRPr="004D2E7C">
              <w:rPr>
                <w:sz w:val="22"/>
                <w:szCs w:val="22"/>
                <w:lang w:val="en-GB"/>
              </w:rPr>
              <w:t>(c) automatic avoidance of redundant registration.</w:t>
            </w:r>
          </w:p>
          <w:p w14:paraId="46188130" w14:textId="77777777" w:rsidR="00F01ECE" w:rsidRPr="00247AA9" w:rsidRDefault="00F01ECE" w:rsidP="00F01ECE">
            <w:pPr>
              <w:pStyle w:val="Normal1"/>
              <w:spacing w:before="0" w:beforeAutospacing="0" w:after="0" w:afterAutospacing="0"/>
              <w:jc w:val="both"/>
              <w:rPr>
                <w:sz w:val="12"/>
                <w:szCs w:val="12"/>
                <w:lang w:val="en-GB"/>
              </w:rPr>
            </w:pPr>
          </w:p>
          <w:p w14:paraId="46188131" w14:textId="77777777" w:rsidR="00F01ECE" w:rsidRPr="004D2E7C" w:rsidRDefault="00F01ECE" w:rsidP="00F01ECE">
            <w:pPr>
              <w:pStyle w:val="Normal1"/>
              <w:spacing w:before="0" w:beforeAutospacing="0" w:after="0" w:afterAutospacing="0"/>
              <w:jc w:val="both"/>
              <w:rPr>
                <w:sz w:val="22"/>
                <w:szCs w:val="22"/>
                <w:lang w:val="en-GB"/>
              </w:rPr>
            </w:pPr>
            <w:r w:rsidRPr="004D2E7C">
              <w:rPr>
                <w:sz w:val="22"/>
                <w:szCs w:val="22"/>
                <w:lang w:val="en-GB"/>
              </w:rPr>
              <w:t>8. The compliance part of the database shall be established in accordance with the following criteria:</w:t>
            </w:r>
          </w:p>
          <w:p w14:paraId="46188132" w14:textId="77777777" w:rsidR="00F01ECE" w:rsidRPr="004D2E7C" w:rsidRDefault="00F01ECE" w:rsidP="00F01ECE">
            <w:pPr>
              <w:pStyle w:val="Normal1"/>
              <w:spacing w:before="0" w:beforeAutospacing="0" w:after="0" w:afterAutospacing="0"/>
              <w:jc w:val="both"/>
              <w:rPr>
                <w:sz w:val="22"/>
                <w:szCs w:val="22"/>
                <w:lang w:val="en-GB"/>
              </w:rPr>
            </w:pPr>
            <w:r w:rsidRPr="004D2E7C">
              <w:rPr>
                <w:sz w:val="22"/>
                <w:szCs w:val="22"/>
                <w:lang w:val="en-GB"/>
              </w:rPr>
              <w:t>(a) protection from unintended use and the safeguarding of confidential information by way of strict security arrangements;</w:t>
            </w:r>
          </w:p>
          <w:p w14:paraId="46188133" w14:textId="77777777" w:rsidR="00F01ECE" w:rsidRPr="004D2E7C" w:rsidRDefault="00F01ECE" w:rsidP="00F01ECE">
            <w:pPr>
              <w:pStyle w:val="Normal1"/>
              <w:spacing w:before="0" w:beforeAutospacing="0" w:after="0" w:afterAutospacing="0"/>
              <w:jc w:val="both"/>
              <w:rPr>
                <w:sz w:val="22"/>
                <w:szCs w:val="22"/>
                <w:lang w:val="en-GB"/>
              </w:rPr>
            </w:pPr>
            <w:r w:rsidRPr="004D2E7C">
              <w:rPr>
                <w:sz w:val="22"/>
                <w:szCs w:val="22"/>
                <w:lang w:val="en-GB"/>
              </w:rPr>
              <w:t>(b) access rights based on the need-to-know principle;</w:t>
            </w:r>
          </w:p>
          <w:p w14:paraId="46188134" w14:textId="77777777" w:rsidR="00F01ECE" w:rsidRPr="004D2E7C" w:rsidRDefault="00F01ECE" w:rsidP="00F01ECE">
            <w:pPr>
              <w:pStyle w:val="Normal1"/>
              <w:spacing w:before="0" w:beforeAutospacing="0" w:after="0" w:afterAutospacing="0"/>
              <w:jc w:val="both"/>
              <w:rPr>
                <w:sz w:val="22"/>
                <w:szCs w:val="22"/>
                <w:lang w:val="en-GB"/>
              </w:rPr>
            </w:pPr>
            <w:r w:rsidRPr="004D2E7C">
              <w:rPr>
                <w:sz w:val="22"/>
                <w:szCs w:val="22"/>
                <w:lang w:val="en-GB"/>
              </w:rPr>
              <w:lastRenderedPageBreak/>
              <w:t>(c) processing of personal data in accordance with Regulation (EC) No 45/2001 and Directive 95/46/EC, as applicable;</w:t>
            </w:r>
          </w:p>
          <w:p w14:paraId="46188135" w14:textId="77777777" w:rsidR="00F01ECE" w:rsidRPr="004D2E7C" w:rsidRDefault="00F01ECE" w:rsidP="00F01ECE">
            <w:pPr>
              <w:pStyle w:val="Normal1"/>
              <w:spacing w:before="0" w:beforeAutospacing="0" w:after="0" w:afterAutospacing="0"/>
              <w:jc w:val="both"/>
              <w:rPr>
                <w:sz w:val="22"/>
                <w:szCs w:val="22"/>
                <w:lang w:val="en-GB"/>
              </w:rPr>
            </w:pPr>
            <w:r w:rsidRPr="004D2E7C">
              <w:rPr>
                <w:sz w:val="22"/>
                <w:szCs w:val="22"/>
                <w:lang w:val="en-GB"/>
              </w:rPr>
              <w:t>(d) limitation of data access in scope to prevent copying larger data sets;</w:t>
            </w:r>
          </w:p>
          <w:p w14:paraId="46188136" w14:textId="77777777" w:rsidR="00F01ECE" w:rsidRPr="004D2E7C" w:rsidRDefault="00F01ECE" w:rsidP="00F01ECE">
            <w:pPr>
              <w:pStyle w:val="Normal1"/>
              <w:spacing w:before="0" w:beforeAutospacing="0" w:after="0" w:afterAutospacing="0"/>
              <w:jc w:val="both"/>
              <w:rPr>
                <w:sz w:val="22"/>
                <w:szCs w:val="22"/>
                <w:lang w:val="en-GB"/>
              </w:rPr>
            </w:pPr>
            <w:r w:rsidRPr="004D2E7C">
              <w:rPr>
                <w:sz w:val="22"/>
                <w:szCs w:val="22"/>
                <w:lang w:val="en-GB"/>
              </w:rPr>
              <w:t>(e) traceability of data access for the supplier with regard to its technical documentation.</w:t>
            </w:r>
          </w:p>
          <w:p w14:paraId="46188137" w14:textId="77777777" w:rsidR="00F01ECE" w:rsidRPr="00247AA9" w:rsidRDefault="00F01ECE" w:rsidP="00F01ECE">
            <w:pPr>
              <w:pStyle w:val="Normal1"/>
              <w:spacing w:before="0" w:beforeAutospacing="0" w:after="0" w:afterAutospacing="0"/>
              <w:jc w:val="both"/>
              <w:rPr>
                <w:sz w:val="12"/>
                <w:szCs w:val="12"/>
                <w:lang w:val="en-GB"/>
              </w:rPr>
            </w:pPr>
          </w:p>
          <w:p w14:paraId="46188138" w14:textId="77777777" w:rsidR="00F01ECE" w:rsidRPr="004D2E7C" w:rsidRDefault="00F01ECE" w:rsidP="00F01ECE">
            <w:pPr>
              <w:pStyle w:val="Normal1"/>
              <w:spacing w:before="0" w:beforeAutospacing="0" w:after="0" w:afterAutospacing="0"/>
              <w:jc w:val="both"/>
              <w:rPr>
                <w:sz w:val="22"/>
                <w:szCs w:val="22"/>
                <w:lang w:val="en-GB"/>
              </w:rPr>
            </w:pPr>
            <w:r w:rsidRPr="004D2E7C">
              <w:rPr>
                <w:sz w:val="22"/>
                <w:szCs w:val="22"/>
                <w:lang w:val="en-GB"/>
              </w:rPr>
              <w:t>9. The data in the compliance part of the database shall be treated in accordance with Commission Decision (EU, Euratom) 2015/443</w:t>
            </w:r>
            <w:hyperlink r:id="rId18" w:anchor="ntr20-L_2017198EN.01000101-E0020" w:history="1">
              <w:r w:rsidRPr="004D2E7C">
                <w:rPr>
                  <w:rStyle w:val="Hyperlink"/>
                  <w:color w:val="auto"/>
                  <w:sz w:val="22"/>
                  <w:szCs w:val="22"/>
                  <w:lang w:val="en-GB"/>
                </w:rPr>
                <w:t> (</w:t>
              </w:r>
              <w:r w:rsidRPr="004D2E7C">
                <w:rPr>
                  <w:rStyle w:val="super"/>
                  <w:rFonts w:eastAsia="Calibri"/>
                  <w:sz w:val="22"/>
                  <w:szCs w:val="22"/>
                  <w:u w:val="single"/>
                  <w:vertAlign w:val="superscript"/>
                  <w:lang w:val="en-GB"/>
                </w:rPr>
                <w:t>20</w:t>
              </w:r>
              <w:r w:rsidRPr="004D2E7C">
                <w:rPr>
                  <w:rStyle w:val="Hyperlink"/>
                  <w:color w:val="auto"/>
                  <w:sz w:val="22"/>
                  <w:szCs w:val="22"/>
                  <w:lang w:val="en-GB"/>
                </w:rPr>
                <w:t>)</w:t>
              </w:r>
            </w:hyperlink>
            <w:r w:rsidRPr="004D2E7C">
              <w:rPr>
                <w:sz w:val="22"/>
                <w:szCs w:val="22"/>
                <w:lang w:val="en-GB"/>
              </w:rPr>
              <w:t>. In particular, the specific cyber-security arrangements of Commission Decision (EU, Euratom) 2017/46</w:t>
            </w:r>
            <w:hyperlink r:id="rId19" w:anchor="ntr21-L_2017198EN.01000101-E0021" w:history="1">
              <w:r w:rsidRPr="004D2E7C">
                <w:rPr>
                  <w:rStyle w:val="Hyperlink"/>
                  <w:color w:val="auto"/>
                  <w:sz w:val="22"/>
                  <w:szCs w:val="22"/>
                  <w:lang w:val="en-GB"/>
                </w:rPr>
                <w:t> (</w:t>
              </w:r>
              <w:r w:rsidRPr="004D2E7C">
                <w:rPr>
                  <w:rStyle w:val="super"/>
                  <w:rFonts w:eastAsia="Calibri"/>
                  <w:sz w:val="22"/>
                  <w:szCs w:val="22"/>
                  <w:u w:val="single"/>
                  <w:vertAlign w:val="superscript"/>
                  <w:lang w:val="en-GB"/>
                </w:rPr>
                <w:t>21</w:t>
              </w:r>
              <w:r w:rsidRPr="004D2E7C">
                <w:rPr>
                  <w:rStyle w:val="Hyperlink"/>
                  <w:color w:val="auto"/>
                  <w:sz w:val="22"/>
                  <w:szCs w:val="22"/>
                  <w:lang w:val="en-GB"/>
                </w:rPr>
                <w:t>)</w:t>
              </w:r>
            </w:hyperlink>
            <w:r w:rsidRPr="004D2E7C">
              <w:rPr>
                <w:sz w:val="22"/>
                <w:szCs w:val="22"/>
                <w:lang w:val="en-GB"/>
              </w:rPr>
              <w:t xml:space="preserve"> and its implementing rules shall apply. The confidentiality level shall reflect the consequential harm resulting from disclosure of the data to unauthorised persons.</w:t>
            </w:r>
          </w:p>
          <w:p w14:paraId="46188139" w14:textId="77777777" w:rsidR="00F01ECE" w:rsidRPr="00247AA9" w:rsidRDefault="00F01ECE" w:rsidP="00F01ECE">
            <w:pPr>
              <w:pStyle w:val="Normal1"/>
              <w:spacing w:before="0" w:beforeAutospacing="0" w:after="0" w:afterAutospacing="0"/>
              <w:jc w:val="both"/>
              <w:rPr>
                <w:sz w:val="12"/>
                <w:szCs w:val="12"/>
                <w:lang w:val="en-GB"/>
              </w:rPr>
            </w:pPr>
          </w:p>
          <w:p w14:paraId="4618813A" w14:textId="77777777" w:rsidR="00F01ECE" w:rsidRPr="004D2E7C" w:rsidRDefault="00F01ECE" w:rsidP="00F01ECE">
            <w:pPr>
              <w:pStyle w:val="Normal1"/>
              <w:spacing w:before="0" w:beforeAutospacing="0" w:after="0" w:afterAutospacing="0"/>
              <w:jc w:val="both"/>
              <w:rPr>
                <w:sz w:val="22"/>
                <w:szCs w:val="22"/>
                <w:lang w:val="en-GB"/>
              </w:rPr>
            </w:pPr>
            <w:r w:rsidRPr="004D2E7C">
              <w:rPr>
                <w:sz w:val="22"/>
                <w:szCs w:val="22"/>
                <w:lang w:val="en-GB"/>
              </w:rPr>
              <w:t>10.  The supplier shall have access and editing rights to the information it enters in the product database pursuant to Article 4(1) and (2). A record of changes shall be kept for market surveillance purposes, keeping track of the dates of any editing.</w:t>
            </w:r>
          </w:p>
          <w:p w14:paraId="4618813B" w14:textId="77777777" w:rsidR="00F01ECE" w:rsidRPr="00247AA9" w:rsidRDefault="00F01ECE" w:rsidP="00F01ECE">
            <w:pPr>
              <w:pStyle w:val="Normal1"/>
              <w:spacing w:before="0" w:beforeAutospacing="0" w:after="0" w:afterAutospacing="0"/>
              <w:jc w:val="both"/>
              <w:rPr>
                <w:sz w:val="12"/>
                <w:szCs w:val="12"/>
                <w:lang w:val="en-GB"/>
              </w:rPr>
            </w:pPr>
          </w:p>
          <w:p w14:paraId="4618813C" w14:textId="77777777" w:rsidR="00F01ECE" w:rsidRPr="004D2E7C" w:rsidRDefault="00F01ECE" w:rsidP="00F01ECE">
            <w:pPr>
              <w:pStyle w:val="Normal1"/>
              <w:spacing w:before="0" w:beforeAutospacing="0" w:after="0" w:afterAutospacing="0"/>
              <w:jc w:val="both"/>
              <w:rPr>
                <w:sz w:val="22"/>
                <w:szCs w:val="22"/>
                <w:lang w:val="en-GB"/>
              </w:rPr>
            </w:pPr>
            <w:r w:rsidRPr="004D2E7C">
              <w:rPr>
                <w:sz w:val="22"/>
                <w:szCs w:val="22"/>
                <w:lang w:val="en-GB"/>
              </w:rPr>
              <w:t>11. Customers using the public part of the product database shall be able to easily identify the best energy class populated for each product group, allowing them to compare model characteristics and to choose the most energy efficient products.</w:t>
            </w:r>
          </w:p>
          <w:p w14:paraId="4618813D" w14:textId="77777777" w:rsidR="00F01ECE" w:rsidRPr="00247AA9" w:rsidRDefault="00F01ECE" w:rsidP="00F01ECE">
            <w:pPr>
              <w:pStyle w:val="Normal1"/>
              <w:spacing w:before="0" w:beforeAutospacing="0" w:after="0" w:afterAutospacing="0"/>
              <w:jc w:val="both"/>
              <w:rPr>
                <w:sz w:val="12"/>
                <w:szCs w:val="12"/>
                <w:lang w:val="en-GB"/>
              </w:rPr>
            </w:pPr>
          </w:p>
          <w:p w14:paraId="4618813E" w14:textId="77777777" w:rsidR="00F01ECE" w:rsidRPr="004D2E7C" w:rsidRDefault="00F01ECE" w:rsidP="00247AA9">
            <w:pPr>
              <w:pStyle w:val="Normal1"/>
              <w:spacing w:before="0" w:beforeAutospacing="0" w:after="120" w:afterAutospacing="0"/>
              <w:jc w:val="both"/>
              <w:rPr>
                <w:sz w:val="22"/>
                <w:szCs w:val="22"/>
                <w:lang w:val="en-GB"/>
              </w:rPr>
            </w:pPr>
            <w:r w:rsidRPr="004D2E7C">
              <w:rPr>
                <w:sz w:val="22"/>
                <w:szCs w:val="22"/>
                <w:lang w:val="en-GB"/>
              </w:rPr>
              <w:t xml:space="preserve">12. The Commission shall be empowered to specify, by means of implementing acts, the operational details of the product database. After consulting the Consultation Forum provided for in Article 14, those implementing acts shall be </w:t>
            </w:r>
            <w:r w:rsidRPr="004D2E7C">
              <w:rPr>
                <w:sz w:val="22"/>
                <w:szCs w:val="22"/>
                <w:lang w:val="en-GB"/>
              </w:rPr>
              <w:lastRenderedPageBreak/>
              <w:t>adopted in accordance with the examination procedure referred to in Article 18(2).</w:t>
            </w:r>
          </w:p>
        </w:tc>
        <w:tc>
          <w:tcPr>
            <w:tcW w:w="325" w:type="pct"/>
          </w:tcPr>
          <w:p w14:paraId="4618813F" w14:textId="77777777" w:rsidR="00F01ECE" w:rsidRPr="004D2E7C" w:rsidRDefault="00F01ECE" w:rsidP="00F01ECE">
            <w:pPr>
              <w:rPr>
                <w:rFonts w:cs="Times New Roman"/>
                <w:lang w:val="sr-Cyrl-RS"/>
              </w:rPr>
            </w:pPr>
          </w:p>
        </w:tc>
        <w:tc>
          <w:tcPr>
            <w:tcW w:w="1296" w:type="pct"/>
          </w:tcPr>
          <w:p w14:paraId="46188140" w14:textId="77777777" w:rsidR="00F01ECE" w:rsidRPr="004D2E7C" w:rsidRDefault="00F01ECE" w:rsidP="00F01ECE">
            <w:pPr>
              <w:rPr>
                <w:rFonts w:cs="Times New Roman"/>
                <w:lang w:val="sr-Cyrl-RS"/>
              </w:rPr>
            </w:pPr>
          </w:p>
        </w:tc>
        <w:tc>
          <w:tcPr>
            <w:tcW w:w="235" w:type="pct"/>
            <w:vAlign w:val="center"/>
          </w:tcPr>
          <w:p w14:paraId="46188141" w14:textId="77777777" w:rsidR="00F01ECE" w:rsidRPr="004D2E7C" w:rsidRDefault="00F01ECE" w:rsidP="00F01ECE">
            <w:pPr>
              <w:jc w:val="center"/>
              <w:rPr>
                <w:rFonts w:cs="Times New Roman"/>
                <w:lang w:val="sr-Cyrl-RS"/>
              </w:rPr>
            </w:pPr>
            <w:r w:rsidRPr="004D2E7C">
              <w:rPr>
                <w:rFonts w:cs="Times New Roman"/>
                <w:lang w:val="sr-Cyrl-RS"/>
              </w:rPr>
              <w:t>НП</w:t>
            </w:r>
          </w:p>
        </w:tc>
        <w:tc>
          <w:tcPr>
            <w:tcW w:w="676" w:type="pct"/>
            <w:vAlign w:val="center"/>
          </w:tcPr>
          <w:p w14:paraId="46188142" w14:textId="77777777" w:rsidR="00F01ECE" w:rsidRPr="004D2E7C" w:rsidRDefault="00F01ECE" w:rsidP="00F01ECE">
            <w:pPr>
              <w:rPr>
                <w:rFonts w:cs="Times New Roman"/>
                <w:spacing w:val="-6"/>
                <w:lang w:val="sr-Cyrl-RS"/>
              </w:rPr>
            </w:pPr>
            <w:r w:rsidRPr="004D2E7C">
              <w:rPr>
                <w:rFonts w:cs="Times New Roman"/>
                <w:lang w:val="sr-Cyrl-RS"/>
              </w:rPr>
              <w:t>База се односи само на производе пласиране на тржиште Европске уније.</w:t>
            </w:r>
          </w:p>
          <w:p w14:paraId="46188143" w14:textId="77777777" w:rsidR="00F01ECE" w:rsidRPr="004D2E7C" w:rsidRDefault="00F01ECE" w:rsidP="00F01ECE">
            <w:pPr>
              <w:rPr>
                <w:rFonts w:cs="Times New Roman"/>
                <w:spacing w:val="-6"/>
                <w:lang w:val="sr-Cyrl-RS"/>
              </w:rPr>
            </w:pPr>
          </w:p>
          <w:p w14:paraId="46188144" w14:textId="77777777" w:rsidR="00F01ECE" w:rsidRPr="004D2E7C" w:rsidRDefault="00F01ECE" w:rsidP="00F01ECE">
            <w:pPr>
              <w:rPr>
                <w:rFonts w:cs="Times New Roman"/>
                <w:spacing w:val="-6"/>
                <w:lang w:val="sr-Cyrl-RS"/>
              </w:rPr>
            </w:pPr>
            <w:r w:rsidRPr="004D2E7C">
              <w:rPr>
                <w:rFonts w:cs="Times New Roman"/>
                <w:spacing w:val="-6"/>
                <w:lang w:val="sr-Cyrl-RS"/>
              </w:rPr>
              <w:t>Одредба се односи на обавезу Европске комисије.</w:t>
            </w:r>
          </w:p>
        </w:tc>
        <w:tc>
          <w:tcPr>
            <w:tcW w:w="699" w:type="pct"/>
            <w:vAlign w:val="center"/>
          </w:tcPr>
          <w:p w14:paraId="46188145" w14:textId="77777777" w:rsidR="00F01ECE" w:rsidRPr="004D2E7C" w:rsidRDefault="00F01ECE" w:rsidP="00F01ECE">
            <w:pPr>
              <w:rPr>
                <w:rFonts w:cs="Times New Roman"/>
                <w:lang w:val="sr-Cyrl-RS"/>
              </w:rPr>
            </w:pPr>
          </w:p>
        </w:tc>
      </w:tr>
      <w:tr w:rsidR="00F01ECE" w:rsidRPr="004D2E7C" w14:paraId="46188151" w14:textId="77777777" w:rsidTr="006B3660">
        <w:tc>
          <w:tcPr>
            <w:tcW w:w="280" w:type="pct"/>
            <w:shd w:val="clear" w:color="auto" w:fill="D9D9D9"/>
            <w:vAlign w:val="center"/>
          </w:tcPr>
          <w:p w14:paraId="46188147" w14:textId="733EC90D" w:rsidR="00F01ECE" w:rsidRPr="004D2E7C" w:rsidRDefault="00F01ECE" w:rsidP="00F01ECE">
            <w:pPr>
              <w:jc w:val="center"/>
              <w:rPr>
                <w:rFonts w:eastAsia="Times New Roman" w:cs="Times New Roman"/>
                <w:lang w:val="sr-Cyrl-RS"/>
              </w:rPr>
            </w:pPr>
            <w:r w:rsidRPr="004D2E7C">
              <w:rPr>
                <w:rFonts w:eastAsia="Times New Roman" w:cs="Times New Roman"/>
                <w:lang w:val="sr-Cyrl-RS"/>
              </w:rPr>
              <w:lastRenderedPageBreak/>
              <w:t>13.1 – 13.4.</w:t>
            </w:r>
          </w:p>
        </w:tc>
        <w:tc>
          <w:tcPr>
            <w:tcW w:w="1489" w:type="pct"/>
            <w:shd w:val="clear" w:color="auto" w:fill="D9D9D9"/>
            <w:vAlign w:val="center"/>
          </w:tcPr>
          <w:p w14:paraId="46188148" w14:textId="77777777" w:rsidR="00F01ECE" w:rsidRPr="00247AA9" w:rsidRDefault="00F01ECE" w:rsidP="00F01ECE">
            <w:pPr>
              <w:jc w:val="both"/>
              <w:rPr>
                <w:rFonts w:cs="Times New Roman"/>
                <w:sz w:val="14"/>
                <w:szCs w:val="14"/>
                <w:lang w:val="en-GB"/>
              </w:rPr>
            </w:pPr>
          </w:p>
          <w:p w14:paraId="46188149" w14:textId="5D78A898" w:rsidR="00F01ECE" w:rsidRPr="004D2E7C" w:rsidRDefault="00F01ECE" w:rsidP="00F01ECE">
            <w:pPr>
              <w:jc w:val="both"/>
              <w:rPr>
                <w:rFonts w:cs="Times New Roman"/>
                <w:b/>
                <w:bCs/>
                <w:lang w:val="en-GB"/>
              </w:rPr>
            </w:pPr>
            <w:r w:rsidRPr="004D2E7C">
              <w:rPr>
                <w:rFonts w:cs="Times New Roman"/>
                <w:b/>
                <w:bCs/>
                <w:lang w:val="en-GB"/>
              </w:rPr>
              <w:t>H</w:t>
            </w:r>
            <w:r w:rsidR="00247AA9">
              <w:rPr>
                <w:rFonts w:cs="Times New Roman"/>
                <w:b/>
                <w:bCs/>
                <w:lang w:val="en-GB"/>
              </w:rPr>
              <w:t>ARMONISED STANDARDS</w:t>
            </w:r>
          </w:p>
          <w:p w14:paraId="4618814A" w14:textId="77777777" w:rsidR="00F01ECE" w:rsidRPr="00247AA9" w:rsidRDefault="00F01ECE" w:rsidP="00F01ECE">
            <w:pPr>
              <w:jc w:val="both"/>
              <w:rPr>
                <w:rFonts w:cs="Times New Roman"/>
                <w:sz w:val="14"/>
                <w:szCs w:val="14"/>
                <w:lang w:val="en-GB"/>
              </w:rPr>
            </w:pPr>
          </w:p>
          <w:p w14:paraId="21C5163A" w14:textId="1D772516" w:rsidR="00F01ECE" w:rsidRPr="004D2E7C" w:rsidRDefault="00F01ECE" w:rsidP="00F01ECE">
            <w:pPr>
              <w:jc w:val="both"/>
              <w:rPr>
                <w:rFonts w:cs="Times New Roman"/>
                <w:lang w:val="en-GB"/>
              </w:rPr>
            </w:pPr>
            <w:r w:rsidRPr="004D2E7C">
              <w:rPr>
                <w:rFonts w:cs="Times New Roman"/>
                <w:lang w:val="en-GB"/>
              </w:rPr>
              <w:t xml:space="preserve">1. After the adoption of a delegated act pursuant to Article 16 of this Regulation setting specific labelling requirements the Commission shall, in accordance with Regulation (EU) No 1025/2012, publish references to the harmonised standards that satisfy the relevant measurement and calculation requirements of the delegated act in the </w:t>
            </w:r>
            <w:r w:rsidRPr="004D2E7C">
              <w:rPr>
                <w:rStyle w:val="italic"/>
                <w:rFonts w:cs="Times New Roman"/>
                <w:lang w:val="en-GB"/>
              </w:rPr>
              <w:t>Official Journal of the European Union</w:t>
            </w:r>
            <w:r w:rsidRPr="004D2E7C">
              <w:rPr>
                <w:rFonts w:cs="Times New Roman"/>
                <w:lang w:val="en-GB"/>
              </w:rPr>
              <w:t>.</w:t>
            </w:r>
          </w:p>
          <w:p w14:paraId="25D67D1F" w14:textId="77777777" w:rsidR="00F01ECE" w:rsidRPr="004D2E7C" w:rsidRDefault="00F01ECE" w:rsidP="00F01ECE">
            <w:pPr>
              <w:jc w:val="both"/>
              <w:rPr>
                <w:rFonts w:cs="Times New Roman"/>
                <w:lang w:val="en-GB"/>
              </w:rPr>
            </w:pPr>
            <w:r w:rsidRPr="004D2E7C">
              <w:rPr>
                <w:rFonts w:cs="Times New Roman"/>
                <w:lang w:val="en-GB"/>
              </w:rPr>
              <w:t>2. Where such harmonised standards are applied during the conformity assessment of a product, the model shall be presumed to be in conformity with the relevant measurement and calculation requirements of the delegated act.</w:t>
            </w:r>
          </w:p>
          <w:p w14:paraId="308AC39D" w14:textId="77777777" w:rsidR="00F01ECE" w:rsidRPr="004D2E7C" w:rsidRDefault="00F01ECE" w:rsidP="00F01ECE">
            <w:pPr>
              <w:jc w:val="both"/>
              <w:rPr>
                <w:rFonts w:cs="Times New Roman"/>
                <w:lang w:val="en-GB"/>
              </w:rPr>
            </w:pPr>
            <w:r w:rsidRPr="004D2E7C">
              <w:rPr>
                <w:rFonts w:cs="Times New Roman"/>
                <w:lang w:val="en-GB"/>
              </w:rPr>
              <w:t>3. Harmonised standards shall aim to simulate real-life usage as far as possible while maintaining a standard test method. Test methods shall furthermore take into account the associated costs for industry and small and medium sized enterprises (SMEs).</w:t>
            </w:r>
          </w:p>
          <w:p w14:paraId="4618814B" w14:textId="567F1E19" w:rsidR="00F01ECE" w:rsidRPr="004D2E7C" w:rsidRDefault="00F01ECE" w:rsidP="00F01ECE">
            <w:pPr>
              <w:jc w:val="both"/>
              <w:rPr>
                <w:rFonts w:eastAsia="Times New Roman" w:cs="Times New Roman"/>
                <w:lang w:val="en-GB"/>
              </w:rPr>
            </w:pPr>
            <w:r w:rsidRPr="004D2E7C">
              <w:rPr>
                <w:rFonts w:cs="Times New Roman"/>
                <w:lang w:val="en-GB"/>
              </w:rPr>
              <w:t>4. Measurement and calculation methods included in the harmonised standards shall be reliable, accurate and reproducible, and aligned with the requirements of Article 3(4) and (5).</w:t>
            </w:r>
          </w:p>
        </w:tc>
        <w:tc>
          <w:tcPr>
            <w:tcW w:w="325" w:type="pct"/>
            <w:vAlign w:val="center"/>
          </w:tcPr>
          <w:p w14:paraId="4618814C" w14:textId="1707F760" w:rsidR="00F01ECE" w:rsidRPr="00247AA9" w:rsidRDefault="00F01ECE" w:rsidP="00F01ECE">
            <w:pPr>
              <w:jc w:val="center"/>
              <w:rPr>
                <w:rFonts w:cs="Times New Roman"/>
                <w:b/>
                <w:bCs/>
                <w:lang w:val="sr-Cyrl-RS"/>
              </w:rPr>
            </w:pPr>
            <w:r w:rsidRPr="00247AA9">
              <w:rPr>
                <w:rFonts w:cs="Times New Roman"/>
                <w:b/>
                <w:bCs/>
                <w:lang w:val="sr-Cyrl-RS"/>
              </w:rPr>
              <w:t>1.</w:t>
            </w:r>
            <w:r w:rsidR="00247AA9" w:rsidRPr="00247AA9">
              <w:rPr>
                <w:rFonts w:cs="Times New Roman"/>
                <w:b/>
                <w:bCs/>
              </w:rPr>
              <w:t>66</w:t>
            </w:r>
            <w:r w:rsidRPr="00247AA9">
              <w:rPr>
                <w:rFonts w:cs="Times New Roman"/>
                <w:b/>
                <w:bCs/>
                <w:lang w:val="sr-Cyrl-RS"/>
              </w:rPr>
              <w:t>.</w:t>
            </w:r>
          </w:p>
        </w:tc>
        <w:tc>
          <w:tcPr>
            <w:tcW w:w="1296" w:type="pct"/>
            <w:vAlign w:val="center"/>
          </w:tcPr>
          <w:p w14:paraId="21867609" w14:textId="77777777" w:rsidR="00F01ECE" w:rsidRPr="004D2E7C" w:rsidRDefault="00F01ECE" w:rsidP="00F01ECE">
            <w:pPr>
              <w:jc w:val="center"/>
              <w:rPr>
                <w:rFonts w:eastAsia="Times New Roman" w:cs="Times New Roman"/>
                <w:b/>
                <w:lang w:val="sr-Cyrl-RS"/>
              </w:rPr>
            </w:pPr>
            <w:r w:rsidRPr="004D2E7C">
              <w:rPr>
                <w:rFonts w:eastAsia="Times New Roman" w:cs="Times New Roman"/>
                <w:b/>
                <w:lang w:val="sr-Cyrl-RS"/>
              </w:rPr>
              <w:t>Хармонизовани Стандарди који се користе у прописима о енергетском означавању производа и еко-дизајну</w:t>
            </w:r>
          </w:p>
          <w:p w14:paraId="3E6AED85" w14:textId="2D58857F" w:rsidR="00F01ECE" w:rsidRPr="004D2E7C" w:rsidRDefault="00F01ECE" w:rsidP="00F01ECE">
            <w:pPr>
              <w:jc w:val="center"/>
              <w:rPr>
                <w:rFonts w:eastAsia="Times New Roman" w:cs="Times New Roman"/>
                <w:b/>
                <w:lang w:val="sr-Cyrl-RS"/>
              </w:rPr>
            </w:pPr>
          </w:p>
          <w:p w14:paraId="4D8F20D0" w14:textId="77777777" w:rsidR="00247AA9" w:rsidRPr="00247AA9" w:rsidRDefault="00247AA9" w:rsidP="00247AA9">
            <w:pPr>
              <w:ind w:firstLine="567"/>
              <w:jc w:val="both"/>
              <w:rPr>
                <w:rFonts w:eastAsia="Times New Roman" w:cs="Times New Roman"/>
                <w:color w:val="000000" w:themeColor="text1"/>
                <w:lang w:val="sr-Cyrl-RS"/>
              </w:rPr>
            </w:pPr>
            <w:r w:rsidRPr="00247AA9">
              <w:rPr>
                <w:rFonts w:eastAsia="Times New Roman" w:cs="Times New Roman"/>
                <w:color w:val="000000" w:themeColor="text1"/>
                <w:lang w:val="sr-Cyrl-CS"/>
              </w:rPr>
              <w:t>Министар саставља списак српских стандарда или техничких спецификација за производе на које се односе чл. 62.</w:t>
            </w:r>
            <w:r w:rsidRPr="00247AA9">
              <w:rPr>
                <w:rFonts w:eastAsia="Times New Roman" w:cs="Times New Roman"/>
                <w:color w:val="000000" w:themeColor="text1"/>
              </w:rPr>
              <w:t xml:space="preserve">, </w:t>
            </w:r>
            <w:r w:rsidRPr="00247AA9">
              <w:rPr>
                <w:rFonts w:eastAsia="Times New Roman" w:cs="Times New Roman"/>
                <w:color w:val="000000" w:themeColor="text1"/>
                <w:lang w:val="sr-Cyrl-RS"/>
              </w:rPr>
              <w:t>64</w:t>
            </w:r>
            <w:r w:rsidRPr="00247AA9">
              <w:rPr>
                <w:rFonts w:eastAsia="Times New Roman" w:cs="Times New Roman"/>
                <w:color w:val="000000" w:themeColor="text1"/>
              </w:rPr>
              <w:t>.</w:t>
            </w:r>
            <w:r w:rsidRPr="00247AA9">
              <w:rPr>
                <w:rFonts w:eastAsia="Times New Roman" w:cs="Times New Roman"/>
                <w:color w:val="000000" w:themeColor="text1"/>
                <w:lang w:val="sr-Cyrl-CS"/>
              </w:rPr>
              <w:t xml:space="preserve"> и 65. овог закона.</w:t>
            </w:r>
          </w:p>
          <w:p w14:paraId="4618814D" w14:textId="6A674A29" w:rsidR="00F01ECE" w:rsidRPr="00247AA9" w:rsidRDefault="00247AA9" w:rsidP="00247AA9">
            <w:pPr>
              <w:ind w:firstLine="567"/>
              <w:jc w:val="both"/>
              <w:rPr>
                <w:rFonts w:eastAsia="Times New Roman" w:cs="Times New Roman"/>
                <w:color w:val="000000" w:themeColor="text1"/>
                <w:sz w:val="24"/>
                <w:lang w:val="sr-Cyrl-CS"/>
              </w:rPr>
            </w:pPr>
            <w:r w:rsidRPr="00247AA9">
              <w:rPr>
                <w:rFonts w:eastAsia="Times New Roman" w:cs="Times New Roman"/>
                <w:color w:val="000000" w:themeColor="text1"/>
                <w:lang w:val="sr-Cyrl-CS"/>
              </w:rPr>
              <w:t xml:space="preserve">Списак из става </w:t>
            </w:r>
            <w:r w:rsidRPr="00247AA9">
              <w:rPr>
                <w:rFonts w:eastAsia="Times New Roman" w:cs="Times New Roman"/>
                <w:color w:val="000000" w:themeColor="text1"/>
                <w:lang w:val="sr-Latn-CS"/>
              </w:rPr>
              <w:t>1</w:t>
            </w:r>
            <w:r w:rsidRPr="00247AA9">
              <w:rPr>
                <w:rFonts w:eastAsia="Times New Roman" w:cs="Times New Roman"/>
                <w:color w:val="000000" w:themeColor="text1"/>
                <w:lang w:val="sr-Cyrl-CS"/>
              </w:rPr>
              <w:t>. овог члана објављује се у „Службеном гласнику Републике Србије“.</w:t>
            </w:r>
          </w:p>
        </w:tc>
        <w:tc>
          <w:tcPr>
            <w:tcW w:w="235" w:type="pct"/>
            <w:vAlign w:val="center"/>
          </w:tcPr>
          <w:p w14:paraId="4618814E" w14:textId="5E67F291" w:rsidR="00F01ECE" w:rsidRPr="004D2E7C" w:rsidRDefault="00CE37EF" w:rsidP="00F01ECE">
            <w:pPr>
              <w:jc w:val="center"/>
              <w:rPr>
                <w:rFonts w:cs="Times New Roman"/>
                <w:lang w:val="sr-Cyrl-RS"/>
              </w:rPr>
            </w:pPr>
            <w:r>
              <w:rPr>
                <w:rFonts w:cs="Times New Roman"/>
                <w:lang w:val="sr-Cyrl-RS"/>
              </w:rPr>
              <w:t>ДУ</w:t>
            </w:r>
          </w:p>
        </w:tc>
        <w:tc>
          <w:tcPr>
            <w:tcW w:w="676" w:type="pct"/>
            <w:vAlign w:val="center"/>
          </w:tcPr>
          <w:p w14:paraId="4618814F" w14:textId="08208B95" w:rsidR="00F01ECE" w:rsidRPr="004D2E7C" w:rsidRDefault="00F01ECE" w:rsidP="00F01ECE">
            <w:pPr>
              <w:rPr>
                <w:rFonts w:cs="Times New Roman"/>
                <w:lang w:val="sr-Cyrl-RS"/>
              </w:rPr>
            </w:pPr>
          </w:p>
        </w:tc>
        <w:tc>
          <w:tcPr>
            <w:tcW w:w="699" w:type="pct"/>
            <w:vAlign w:val="center"/>
          </w:tcPr>
          <w:p w14:paraId="46188150" w14:textId="16216502" w:rsidR="00F01ECE" w:rsidRPr="004D2E7C" w:rsidRDefault="008D66BE" w:rsidP="00F01ECE">
            <w:pPr>
              <w:rPr>
                <w:rFonts w:cs="Times New Roman"/>
                <w:lang w:val="sr-Cyrl-RS"/>
              </w:rPr>
            </w:pPr>
            <w:r>
              <w:rPr>
                <w:rFonts w:cs="Times New Roman"/>
                <w:spacing w:val="-6"/>
                <w:lang w:val="sr-Cyrl-RS"/>
              </w:rPr>
              <w:t>Усклађеност ће бити постигнута доношењем Уредбе из 1.62.2.</w:t>
            </w:r>
          </w:p>
        </w:tc>
      </w:tr>
      <w:tr w:rsidR="00F01ECE" w:rsidRPr="004D2E7C" w14:paraId="46188177" w14:textId="77777777" w:rsidTr="006B3660">
        <w:tc>
          <w:tcPr>
            <w:tcW w:w="280" w:type="pct"/>
            <w:shd w:val="clear" w:color="auto" w:fill="D9D9D9"/>
            <w:vAlign w:val="center"/>
          </w:tcPr>
          <w:p w14:paraId="4618816B" w14:textId="77777777" w:rsidR="00F01ECE" w:rsidRPr="004D2E7C" w:rsidRDefault="00F01ECE" w:rsidP="00F01ECE">
            <w:pPr>
              <w:jc w:val="center"/>
              <w:rPr>
                <w:rFonts w:eastAsia="Times New Roman" w:cs="Times New Roman"/>
                <w:lang w:val="sr-Cyrl-RS"/>
              </w:rPr>
            </w:pPr>
            <w:r w:rsidRPr="004D2E7C">
              <w:rPr>
                <w:rFonts w:eastAsia="Times New Roman" w:cs="Times New Roman"/>
                <w:lang w:val="sr-Cyrl-RS"/>
              </w:rPr>
              <w:t>14.</w:t>
            </w:r>
          </w:p>
        </w:tc>
        <w:tc>
          <w:tcPr>
            <w:tcW w:w="1489" w:type="pct"/>
            <w:shd w:val="clear" w:color="auto" w:fill="D9D9D9"/>
            <w:vAlign w:val="center"/>
          </w:tcPr>
          <w:p w14:paraId="4618816C" w14:textId="77777777" w:rsidR="00F01ECE" w:rsidRPr="00247AA9" w:rsidRDefault="00F01ECE" w:rsidP="00F01ECE">
            <w:pPr>
              <w:jc w:val="both"/>
              <w:rPr>
                <w:rFonts w:cs="Times New Roman"/>
                <w:sz w:val="14"/>
                <w:szCs w:val="14"/>
                <w:lang w:val="en-GB"/>
              </w:rPr>
            </w:pPr>
          </w:p>
          <w:p w14:paraId="4618816D" w14:textId="77777777" w:rsidR="00F01ECE" w:rsidRPr="004D2E7C" w:rsidRDefault="00F01ECE" w:rsidP="00F01ECE">
            <w:pPr>
              <w:jc w:val="both"/>
              <w:rPr>
                <w:rFonts w:cs="Times New Roman"/>
                <w:b/>
                <w:bCs/>
                <w:lang w:val="en-GB"/>
              </w:rPr>
            </w:pPr>
            <w:r w:rsidRPr="004D2E7C">
              <w:rPr>
                <w:rFonts w:cs="Times New Roman"/>
                <w:b/>
                <w:bCs/>
                <w:lang w:val="en-GB"/>
              </w:rPr>
              <w:t>Consultation Forum</w:t>
            </w:r>
          </w:p>
          <w:p w14:paraId="4618816E" w14:textId="77777777" w:rsidR="00F01ECE" w:rsidRPr="00247AA9" w:rsidRDefault="00F01ECE" w:rsidP="00F01ECE">
            <w:pPr>
              <w:jc w:val="both"/>
              <w:rPr>
                <w:rFonts w:cs="Times New Roman"/>
                <w:sz w:val="14"/>
                <w:szCs w:val="14"/>
                <w:lang w:val="en-GB"/>
              </w:rPr>
            </w:pPr>
          </w:p>
          <w:p w14:paraId="4618816F" w14:textId="77777777" w:rsidR="00F01ECE" w:rsidRPr="004D2E7C" w:rsidRDefault="00F01ECE" w:rsidP="00F01ECE">
            <w:pPr>
              <w:jc w:val="both"/>
              <w:rPr>
                <w:rFonts w:eastAsia="Times New Roman" w:cs="Times New Roman"/>
                <w:lang w:val="en-GB"/>
              </w:rPr>
            </w:pPr>
            <w:r w:rsidRPr="004D2E7C">
              <w:rPr>
                <w:rFonts w:cs="Times New Roman"/>
                <w:lang w:val="en-GB"/>
              </w:rPr>
              <w:t xml:space="preserve">1. In the conduct of its activities under this Regulation the Commission shall ensure, in respect of each delegated act adopted pursuant to Article 16 </w:t>
            </w:r>
            <w:r w:rsidRPr="004D2E7C">
              <w:rPr>
                <w:rFonts w:cs="Times New Roman"/>
                <w:lang w:val="en-GB"/>
              </w:rPr>
              <w:lastRenderedPageBreak/>
              <w:t>and each implementing act adopted pursuant to Article 12(12) of this Regulation, a balanced participation of Member States' representatives and interested parties concerned with the product group in question, such as industry, including SMEs and craft industry, trade unions, traders, retailers, importers, environmental protection groups and consumer organisations. For this purpose, the Commission shall establish a Consultation Forum in which these parties shall meet. The Consultation Forum shall be combined with the Consultation Forum referred to in Article 18 of Directive 2009/125/EC.</w:t>
            </w:r>
          </w:p>
          <w:p w14:paraId="46188171" w14:textId="043F83A7" w:rsidR="00F01ECE" w:rsidRPr="004D2E7C" w:rsidRDefault="00F01ECE" w:rsidP="00F01ECE">
            <w:pPr>
              <w:jc w:val="both"/>
              <w:rPr>
                <w:rFonts w:eastAsia="Times New Roman" w:cs="Times New Roman"/>
                <w:lang w:val="en-GB"/>
              </w:rPr>
            </w:pPr>
            <w:r w:rsidRPr="004D2E7C">
              <w:rPr>
                <w:rFonts w:cs="Times New Roman"/>
                <w:lang w:val="en-GB"/>
              </w:rPr>
              <w:t>2. Where appropriate, when preparing delegated acts, the Commission shall test the design and content of the labels for specific product groups with representative groups of Union customers to ensure their clear understanding of the labels.</w:t>
            </w:r>
          </w:p>
        </w:tc>
        <w:tc>
          <w:tcPr>
            <w:tcW w:w="325" w:type="pct"/>
          </w:tcPr>
          <w:p w14:paraId="46188172" w14:textId="77777777" w:rsidR="00F01ECE" w:rsidRPr="004D2E7C" w:rsidRDefault="00F01ECE" w:rsidP="00F01ECE">
            <w:pPr>
              <w:rPr>
                <w:rFonts w:cs="Times New Roman"/>
                <w:lang w:val="sr-Cyrl-RS"/>
              </w:rPr>
            </w:pPr>
          </w:p>
        </w:tc>
        <w:tc>
          <w:tcPr>
            <w:tcW w:w="1296" w:type="pct"/>
          </w:tcPr>
          <w:p w14:paraId="46188173" w14:textId="77777777" w:rsidR="00F01ECE" w:rsidRPr="004D2E7C" w:rsidRDefault="00F01ECE" w:rsidP="00F01ECE">
            <w:pPr>
              <w:rPr>
                <w:rFonts w:cs="Times New Roman"/>
                <w:lang w:val="sr-Cyrl-RS"/>
              </w:rPr>
            </w:pPr>
          </w:p>
        </w:tc>
        <w:tc>
          <w:tcPr>
            <w:tcW w:w="235" w:type="pct"/>
            <w:vAlign w:val="center"/>
          </w:tcPr>
          <w:p w14:paraId="46188174" w14:textId="77777777" w:rsidR="00F01ECE" w:rsidRPr="004D2E7C" w:rsidRDefault="00F01ECE" w:rsidP="00F01ECE">
            <w:pPr>
              <w:jc w:val="center"/>
              <w:rPr>
                <w:rFonts w:cs="Times New Roman"/>
                <w:lang w:val="sr-Cyrl-RS"/>
              </w:rPr>
            </w:pPr>
            <w:r w:rsidRPr="004D2E7C">
              <w:rPr>
                <w:rFonts w:cs="Times New Roman"/>
                <w:lang w:val="sr-Cyrl-RS"/>
              </w:rPr>
              <w:t>НП</w:t>
            </w:r>
          </w:p>
        </w:tc>
        <w:tc>
          <w:tcPr>
            <w:tcW w:w="676" w:type="pct"/>
            <w:vAlign w:val="center"/>
          </w:tcPr>
          <w:p w14:paraId="46188175" w14:textId="77777777" w:rsidR="00F01ECE" w:rsidRPr="004D2E7C" w:rsidRDefault="00F01ECE" w:rsidP="00F01ECE">
            <w:pPr>
              <w:rPr>
                <w:rFonts w:cs="Times New Roman"/>
                <w:lang w:val="sr-Cyrl-RS"/>
              </w:rPr>
            </w:pPr>
            <w:r w:rsidRPr="004D2E7C">
              <w:rPr>
                <w:rFonts w:cs="Times New Roman"/>
                <w:lang w:val="sr-Cyrl-RS"/>
              </w:rPr>
              <w:t>Одредба се односи на чланице ЕУ.</w:t>
            </w:r>
          </w:p>
        </w:tc>
        <w:tc>
          <w:tcPr>
            <w:tcW w:w="699" w:type="pct"/>
            <w:vAlign w:val="center"/>
          </w:tcPr>
          <w:p w14:paraId="46188176" w14:textId="77777777" w:rsidR="00F01ECE" w:rsidRPr="004D2E7C" w:rsidRDefault="00F01ECE" w:rsidP="00F01ECE">
            <w:pPr>
              <w:rPr>
                <w:rFonts w:cs="Times New Roman"/>
                <w:lang w:val="sr-Cyrl-RS"/>
              </w:rPr>
            </w:pPr>
          </w:p>
        </w:tc>
      </w:tr>
      <w:tr w:rsidR="00F01ECE" w:rsidRPr="004D2E7C" w14:paraId="46188185" w14:textId="77777777" w:rsidTr="006B3660">
        <w:tc>
          <w:tcPr>
            <w:tcW w:w="280" w:type="pct"/>
            <w:shd w:val="clear" w:color="auto" w:fill="D9D9D9"/>
            <w:vAlign w:val="center"/>
          </w:tcPr>
          <w:p w14:paraId="46188178" w14:textId="77777777" w:rsidR="00F01ECE" w:rsidRPr="004D2E7C" w:rsidRDefault="00F01ECE" w:rsidP="00F01ECE">
            <w:pPr>
              <w:jc w:val="center"/>
              <w:rPr>
                <w:rFonts w:eastAsia="Times New Roman" w:cs="Times New Roman"/>
                <w:lang w:val="sr-Cyrl-RS"/>
              </w:rPr>
            </w:pPr>
            <w:r w:rsidRPr="004D2E7C">
              <w:rPr>
                <w:rFonts w:cs="Times New Roman"/>
                <w:lang w:val="sr-Cyrl-RS"/>
              </w:rPr>
              <w:lastRenderedPageBreak/>
              <w:t>15.</w:t>
            </w:r>
          </w:p>
        </w:tc>
        <w:tc>
          <w:tcPr>
            <w:tcW w:w="1489" w:type="pct"/>
            <w:shd w:val="clear" w:color="auto" w:fill="D9D9D9"/>
            <w:vAlign w:val="center"/>
          </w:tcPr>
          <w:p w14:paraId="46188179" w14:textId="77777777" w:rsidR="00F01ECE" w:rsidRPr="00247AA9" w:rsidRDefault="00F01ECE" w:rsidP="00F01ECE">
            <w:pPr>
              <w:jc w:val="both"/>
              <w:rPr>
                <w:rFonts w:cs="Times New Roman"/>
                <w:sz w:val="14"/>
                <w:szCs w:val="14"/>
                <w:lang w:val="en-GB"/>
              </w:rPr>
            </w:pPr>
          </w:p>
          <w:p w14:paraId="4618817A" w14:textId="77777777" w:rsidR="00F01ECE" w:rsidRPr="004D2E7C" w:rsidRDefault="00F01ECE" w:rsidP="00F01ECE">
            <w:pPr>
              <w:jc w:val="both"/>
              <w:rPr>
                <w:rFonts w:cs="Times New Roman"/>
                <w:b/>
                <w:bCs/>
                <w:lang w:val="en-GB"/>
              </w:rPr>
            </w:pPr>
            <w:r w:rsidRPr="004D2E7C">
              <w:rPr>
                <w:rFonts w:cs="Times New Roman"/>
                <w:b/>
                <w:bCs/>
                <w:lang w:val="en-GB"/>
              </w:rPr>
              <w:t>Working plan</w:t>
            </w:r>
          </w:p>
          <w:p w14:paraId="4618817B" w14:textId="77777777" w:rsidR="00F01ECE" w:rsidRPr="00247AA9" w:rsidRDefault="00F01ECE" w:rsidP="00F01ECE">
            <w:pPr>
              <w:jc w:val="both"/>
              <w:rPr>
                <w:rFonts w:cs="Times New Roman"/>
                <w:sz w:val="14"/>
                <w:szCs w:val="14"/>
                <w:lang w:val="en-GB"/>
              </w:rPr>
            </w:pPr>
          </w:p>
          <w:p w14:paraId="4618817C" w14:textId="77777777" w:rsidR="00F01ECE" w:rsidRPr="004D2E7C" w:rsidRDefault="00F01ECE" w:rsidP="00F01ECE">
            <w:pPr>
              <w:jc w:val="both"/>
              <w:rPr>
                <w:rFonts w:cs="Times New Roman"/>
                <w:lang w:val="en-GB"/>
              </w:rPr>
            </w:pPr>
            <w:r w:rsidRPr="004D2E7C">
              <w:rPr>
                <w:rFonts w:cs="Times New Roman"/>
                <w:lang w:val="en-GB"/>
              </w:rPr>
              <w:t>The Commission shall, after consulting the Consultation Forum referred to in Article 14, establish a long-term working plan which shall be made publicly available. The working plan shall set out an indicative list of product groups which are considered to be priorities for the adoption of delegated acts. The working plan shall also set out plans for the revision and rescaling of labels for product groups in accordance with Article 11(4) and (5), with the exception of the rescaling of labels which were in force at 1 August 2017 for which the rescaling is provided for in Article 11 of this Regulation.</w:t>
            </w:r>
          </w:p>
          <w:p w14:paraId="4618817D" w14:textId="77777777" w:rsidR="00F01ECE" w:rsidRPr="004D2E7C" w:rsidRDefault="00F01ECE" w:rsidP="00F01ECE">
            <w:pPr>
              <w:jc w:val="both"/>
              <w:rPr>
                <w:rFonts w:cs="Times New Roman"/>
                <w:lang w:val="en-GB"/>
              </w:rPr>
            </w:pPr>
            <w:r w:rsidRPr="004D2E7C">
              <w:rPr>
                <w:rFonts w:cs="Times New Roman"/>
                <w:lang w:val="en-GB"/>
              </w:rPr>
              <w:lastRenderedPageBreak/>
              <w:t>The Commission shall update the working plan periodically after consulting the Consultation Forum. The working plan may be combined with the working plan required by Article 16 of Directive 2009/125/EC and shall be reviewed every three years.</w:t>
            </w:r>
          </w:p>
          <w:p w14:paraId="4618817F" w14:textId="2A723102" w:rsidR="00F01ECE" w:rsidRPr="004D2E7C" w:rsidRDefault="00F01ECE" w:rsidP="00247AA9">
            <w:pPr>
              <w:spacing w:after="120"/>
              <w:jc w:val="both"/>
              <w:rPr>
                <w:rFonts w:eastAsia="Times New Roman" w:cs="Times New Roman"/>
                <w:lang w:val="en-GB"/>
              </w:rPr>
            </w:pPr>
            <w:r w:rsidRPr="004D2E7C">
              <w:rPr>
                <w:rFonts w:cs="Times New Roman"/>
                <w:lang w:val="en-GB"/>
              </w:rPr>
              <w:t>The Commission shall inform the European Parliament and the Council annually of the progress made in the implementation of the working plan.</w:t>
            </w:r>
          </w:p>
        </w:tc>
        <w:tc>
          <w:tcPr>
            <w:tcW w:w="325" w:type="pct"/>
          </w:tcPr>
          <w:p w14:paraId="46188180" w14:textId="77777777" w:rsidR="00F01ECE" w:rsidRPr="004D2E7C" w:rsidRDefault="00F01ECE" w:rsidP="00F01ECE">
            <w:pPr>
              <w:rPr>
                <w:rFonts w:cs="Times New Roman"/>
                <w:lang w:val="sr-Cyrl-RS"/>
              </w:rPr>
            </w:pPr>
          </w:p>
        </w:tc>
        <w:tc>
          <w:tcPr>
            <w:tcW w:w="1296" w:type="pct"/>
          </w:tcPr>
          <w:p w14:paraId="46188181" w14:textId="77777777" w:rsidR="00F01ECE" w:rsidRPr="004D2E7C" w:rsidRDefault="00F01ECE" w:rsidP="00F01ECE">
            <w:pPr>
              <w:rPr>
                <w:rFonts w:cs="Times New Roman"/>
                <w:lang w:val="sr-Cyrl-RS"/>
              </w:rPr>
            </w:pPr>
          </w:p>
        </w:tc>
        <w:tc>
          <w:tcPr>
            <w:tcW w:w="235" w:type="pct"/>
            <w:vAlign w:val="center"/>
          </w:tcPr>
          <w:p w14:paraId="46188182" w14:textId="77777777" w:rsidR="00F01ECE" w:rsidRPr="004D2E7C" w:rsidRDefault="00F01ECE" w:rsidP="00F01ECE">
            <w:pPr>
              <w:jc w:val="center"/>
              <w:rPr>
                <w:rFonts w:cs="Times New Roman"/>
                <w:lang w:val="sr-Cyrl-RS"/>
              </w:rPr>
            </w:pPr>
            <w:r w:rsidRPr="004D2E7C">
              <w:rPr>
                <w:rFonts w:cs="Times New Roman"/>
                <w:lang w:val="sr-Cyrl-RS"/>
              </w:rPr>
              <w:t>НП</w:t>
            </w:r>
          </w:p>
        </w:tc>
        <w:tc>
          <w:tcPr>
            <w:tcW w:w="676" w:type="pct"/>
            <w:vAlign w:val="center"/>
          </w:tcPr>
          <w:p w14:paraId="46188183" w14:textId="792C302C" w:rsidR="00F01ECE" w:rsidRPr="004D2E7C" w:rsidRDefault="00F01ECE" w:rsidP="00F01ECE">
            <w:pPr>
              <w:rPr>
                <w:rFonts w:cs="Times New Roman"/>
                <w:spacing w:val="-6"/>
                <w:lang w:val="sr-Cyrl-RS"/>
              </w:rPr>
            </w:pPr>
            <w:r w:rsidRPr="004D2E7C">
              <w:rPr>
                <w:rFonts w:cs="Times New Roman"/>
                <w:lang w:val="sr-Cyrl-RS"/>
              </w:rPr>
              <w:t>Одредба се односи на обавезу Европске комисије.</w:t>
            </w:r>
          </w:p>
        </w:tc>
        <w:tc>
          <w:tcPr>
            <w:tcW w:w="699" w:type="pct"/>
            <w:vAlign w:val="center"/>
          </w:tcPr>
          <w:p w14:paraId="46188184" w14:textId="77777777" w:rsidR="00F01ECE" w:rsidRPr="004D2E7C" w:rsidRDefault="00F01ECE" w:rsidP="00F01ECE">
            <w:pPr>
              <w:rPr>
                <w:rFonts w:cs="Times New Roman"/>
                <w:lang w:val="sr-Cyrl-RS"/>
              </w:rPr>
            </w:pPr>
          </w:p>
        </w:tc>
      </w:tr>
      <w:tr w:rsidR="00F01ECE" w:rsidRPr="004D2E7C" w14:paraId="46188190" w14:textId="77777777" w:rsidTr="006B3660">
        <w:tc>
          <w:tcPr>
            <w:tcW w:w="280" w:type="pct"/>
            <w:shd w:val="clear" w:color="auto" w:fill="D9D9D9"/>
            <w:vAlign w:val="center"/>
          </w:tcPr>
          <w:p w14:paraId="46188186" w14:textId="77777777" w:rsidR="00F01ECE" w:rsidRPr="004D2E7C" w:rsidRDefault="00F01ECE" w:rsidP="00F01ECE">
            <w:pPr>
              <w:jc w:val="center"/>
              <w:rPr>
                <w:rFonts w:eastAsia="Times New Roman" w:cs="Times New Roman"/>
                <w:lang w:val="sr-Cyrl-RS"/>
              </w:rPr>
            </w:pPr>
            <w:r w:rsidRPr="004D2E7C">
              <w:rPr>
                <w:rFonts w:eastAsia="Times New Roman" w:cs="Times New Roman"/>
                <w:lang w:val="sr-Cyrl-RS"/>
              </w:rPr>
              <w:lastRenderedPageBreak/>
              <w:t>16.1.</w:t>
            </w:r>
          </w:p>
        </w:tc>
        <w:tc>
          <w:tcPr>
            <w:tcW w:w="1489" w:type="pct"/>
            <w:shd w:val="clear" w:color="auto" w:fill="D9D9D9"/>
            <w:vAlign w:val="center"/>
          </w:tcPr>
          <w:p w14:paraId="46188187" w14:textId="77777777" w:rsidR="00F01ECE" w:rsidRPr="004D2E7C" w:rsidRDefault="00F01ECE" w:rsidP="00F01ECE">
            <w:pPr>
              <w:jc w:val="both"/>
              <w:rPr>
                <w:rFonts w:cs="Times New Roman"/>
                <w:lang w:val="en-GB"/>
              </w:rPr>
            </w:pPr>
          </w:p>
          <w:p w14:paraId="46188188" w14:textId="303F8EE3" w:rsidR="00F01ECE" w:rsidRPr="004D2E7C" w:rsidRDefault="00F01ECE" w:rsidP="00F01ECE">
            <w:pPr>
              <w:jc w:val="both"/>
              <w:rPr>
                <w:rFonts w:cs="Times New Roman"/>
                <w:b/>
                <w:bCs/>
                <w:lang w:val="en-GB"/>
              </w:rPr>
            </w:pPr>
            <w:r w:rsidRPr="004D2E7C">
              <w:rPr>
                <w:rFonts w:cs="Times New Roman"/>
                <w:b/>
                <w:bCs/>
                <w:lang w:val="en-GB"/>
              </w:rPr>
              <w:t>D</w:t>
            </w:r>
            <w:r w:rsidR="00247AA9">
              <w:rPr>
                <w:rFonts w:cs="Times New Roman"/>
                <w:b/>
                <w:bCs/>
                <w:lang w:val="en-GB"/>
              </w:rPr>
              <w:t>ELEGATED ACTS</w:t>
            </w:r>
          </w:p>
          <w:p w14:paraId="46188189" w14:textId="77777777" w:rsidR="00F01ECE" w:rsidRPr="004D2E7C" w:rsidRDefault="00F01ECE" w:rsidP="00F01ECE">
            <w:pPr>
              <w:jc w:val="both"/>
              <w:rPr>
                <w:rFonts w:cs="Times New Roman"/>
                <w:lang w:val="en-GB"/>
              </w:rPr>
            </w:pPr>
          </w:p>
          <w:p w14:paraId="4618818A" w14:textId="77777777" w:rsidR="00F01ECE" w:rsidRPr="004D2E7C" w:rsidRDefault="00F01ECE" w:rsidP="00F01ECE">
            <w:pPr>
              <w:jc w:val="both"/>
              <w:rPr>
                <w:rFonts w:eastAsia="Times New Roman" w:cs="Times New Roman"/>
                <w:lang w:val="en-GB"/>
              </w:rPr>
            </w:pPr>
            <w:r w:rsidRPr="004D2E7C">
              <w:rPr>
                <w:rFonts w:cs="Times New Roman"/>
                <w:lang w:val="en-GB"/>
              </w:rPr>
              <w:t>The Commission is empowered to adopt delegated acts in accordance with Article 17 in order to supplement this Regulation by establishing detailed requirements relating to labels for specific product groups.</w:t>
            </w:r>
          </w:p>
        </w:tc>
        <w:tc>
          <w:tcPr>
            <w:tcW w:w="325" w:type="pct"/>
            <w:vAlign w:val="center"/>
          </w:tcPr>
          <w:p w14:paraId="4618818B" w14:textId="5F84B481" w:rsidR="00F01ECE" w:rsidRPr="004D2E7C" w:rsidRDefault="00F01ECE" w:rsidP="00F01ECE">
            <w:pPr>
              <w:jc w:val="center"/>
              <w:rPr>
                <w:rFonts w:cs="Times New Roman"/>
                <w:b/>
                <w:bCs/>
                <w:lang w:val="sr-Cyrl-RS"/>
              </w:rPr>
            </w:pPr>
            <w:r w:rsidRPr="004D2E7C">
              <w:rPr>
                <w:rFonts w:cs="Times New Roman"/>
                <w:b/>
                <w:bCs/>
                <w:lang w:val="sr-Cyrl-RS"/>
              </w:rPr>
              <w:t>1.6</w:t>
            </w:r>
            <w:r w:rsidR="009865DC">
              <w:rPr>
                <w:rFonts w:cs="Times New Roman"/>
                <w:b/>
                <w:bCs/>
              </w:rPr>
              <w:t>2</w:t>
            </w:r>
            <w:r w:rsidRPr="004D2E7C">
              <w:rPr>
                <w:rFonts w:cs="Times New Roman"/>
                <w:b/>
                <w:bCs/>
                <w:lang w:val="sr-Cyrl-RS"/>
              </w:rPr>
              <w:t>.3</w:t>
            </w:r>
          </w:p>
        </w:tc>
        <w:tc>
          <w:tcPr>
            <w:tcW w:w="1296" w:type="pct"/>
            <w:vAlign w:val="center"/>
          </w:tcPr>
          <w:p w14:paraId="4618818C" w14:textId="3D95DA55" w:rsidR="00F01ECE" w:rsidRPr="009865DC" w:rsidRDefault="009865DC" w:rsidP="009865DC">
            <w:pPr>
              <w:autoSpaceDE w:val="0"/>
              <w:autoSpaceDN w:val="0"/>
              <w:adjustRightInd w:val="0"/>
              <w:jc w:val="both"/>
              <w:rPr>
                <w:rFonts w:eastAsia="MS Mincho" w:cs="Times New Roman"/>
                <w:color w:val="000000" w:themeColor="text1"/>
                <w:lang w:val="sr-Cyrl-CS" w:eastAsia="ja-JP"/>
              </w:rPr>
            </w:pPr>
            <w:r w:rsidRPr="009865DC">
              <w:rPr>
                <w:rFonts w:eastAsia="MS Mincho" w:cs="Times New Roman"/>
                <w:color w:val="000000" w:themeColor="text1"/>
                <w:lang w:val="sr-Cyrl-CS" w:eastAsia="ja-JP"/>
              </w:rPr>
              <w:t>Министар доноси техничке прописе којима се прописују захтеви енергетског означавања производа, ближе се утврђују обавезе испоручилаца производа и продаваца, прописује се врста производа на које се захтеви односе, дефинишу се мерне методе, поступак провере</w:t>
            </w:r>
            <w:r w:rsidRPr="009865DC">
              <w:rPr>
                <w:rFonts w:eastAsia="MS Mincho" w:cs="Times New Roman"/>
                <w:color w:val="000000" w:themeColor="text1"/>
                <w:lang w:eastAsia="ja-JP"/>
              </w:rPr>
              <w:t xml:space="preserve"> </w:t>
            </w:r>
            <w:r w:rsidRPr="009865DC">
              <w:rPr>
                <w:rFonts w:eastAsia="MS Mincho" w:cs="Times New Roman"/>
                <w:color w:val="000000" w:themeColor="text1"/>
                <w:lang w:val="sr-Cyrl-CS" w:eastAsia="ja-JP"/>
              </w:rPr>
              <w:t>усаглашености производа са захтевима енергетског означавања у сврху тржишног надзора, поступак одређивања класе енергетске ефикасности, изглед дизајн и формат енергетске ознаке, листу са подацима, садржај техничке документације, информације које је потребно обезбедити приликом у визуелног оглашавања у техничким и промотивним материјалима приликом продаје на даљину и у телемаркетингу, информације које је потребно обезбедити у случају продаје на даљину преко интернета, као и друге захтеве у вези енергетског означавања за поједине врсте производа.</w:t>
            </w:r>
          </w:p>
        </w:tc>
        <w:tc>
          <w:tcPr>
            <w:tcW w:w="235" w:type="pct"/>
            <w:vAlign w:val="center"/>
          </w:tcPr>
          <w:p w14:paraId="4618818D" w14:textId="77777777" w:rsidR="00F01ECE" w:rsidRPr="004D2E7C" w:rsidRDefault="00F01ECE" w:rsidP="00F01ECE">
            <w:pPr>
              <w:jc w:val="center"/>
              <w:rPr>
                <w:rFonts w:cs="Times New Roman"/>
                <w:lang w:val="sr-Cyrl-RS"/>
              </w:rPr>
            </w:pPr>
            <w:r w:rsidRPr="004D2E7C">
              <w:rPr>
                <w:rFonts w:cs="Times New Roman"/>
                <w:lang w:val="sr-Cyrl-RS"/>
              </w:rPr>
              <w:t>ПУ</w:t>
            </w:r>
          </w:p>
        </w:tc>
        <w:tc>
          <w:tcPr>
            <w:tcW w:w="676" w:type="pct"/>
          </w:tcPr>
          <w:p w14:paraId="4618818E" w14:textId="77777777" w:rsidR="00F01ECE" w:rsidRPr="004D2E7C" w:rsidRDefault="00F01ECE" w:rsidP="00F01ECE">
            <w:pPr>
              <w:rPr>
                <w:rFonts w:cs="Times New Roman"/>
                <w:lang w:val="sr-Cyrl-RS"/>
              </w:rPr>
            </w:pPr>
          </w:p>
        </w:tc>
        <w:tc>
          <w:tcPr>
            <w:tcW w:w="699" w:type="pct"/>
            <w:vAlign w:val="center"/>
          </w:tcPr>
          <w:p w14:paraId="4618818F" w14:textId="77777777" w:rsidR="00F01ECE" w:rsidRPr="004D2E7C" w:rsidRDefault="00F01ECE" w:rsidP="00F01ECE">
            <w:pPr>
              <w:rPr>
                <w:rFonts w:cs="Times New Roman"/>
                <w:lang w:val="sr-Cyrl-RS"/>
              </w:rPr>
            </w:pPr>
          </w:p>
        </w:tc>
      </w:tr>
      <w:tr w:rsidR="00F01ECE" w:rsidRPr="004D2E7C" w14:paraId="4618819D" w14:textId="77777777" w:rsidTr="006B3660">
        <w:tc>
          <w:tcPr>
            <w:tcW w:w="280" w:type="pct"/>
            <w:shd w:val="clear" w:color="auto" w:fill="D9D9D9"/>
            <w:vAlign w:val="center"/>
          </w:tcPr>
          <w:p w14:paraId="46188191" w14:textId="77777777" w:rsidR="00F01ECE" w:rsidRPr="004D2E7C" w:rsidRDefault="00F01ECE" w:rsidP="00F01ECE">
            <w:pPr>
              <w:jc w:val="center"/>
              <w:rPr>
                <w:rFonts w:eastAsia="Times New Roman" w:cs="Times New Roman"/>
                <w:lang w:val="sr-Cyrl-RS"/>
              </w:rPr>
            </w:pPr>
            <w:r w:rsidRPr="004D2E7C">
              <w:rPr>
                <w:rFonts w:eastAsia="Times New Roman" w:cs="Times New Roman"/>
                <w:lang w:val="sr-Cyrl-RS"/>
              </w:rPr>
              <w:lastRenderedPageBreak/>
              <w:t>16.2.</w:t>
            </w:r>
          </w:p>
        </w:tc>
        <w:tc>
          <w:tcPr>
            <w:tcW w:w="1489" w:type="pct"/>
            <w:shd w:val="clear" w:color="auto" w:fill="D9D9D9"/>
            <w:vAlign w:val="center"/>
          </w:tcPr>
          <w:p w14:paraId="46188192" w14:textId="77777777" w:rsidR="00F01ECE" w:rsidRPr="004D2E7C" w:rsidRDefault="00F01ECE" w:rsidP="00F01ECE">
            <w:pPr>
              <w:pStyle w:val="Normal1"/>
              <w:spacing w:before="0" w:beforeAutospacing="0" w:after="0" w:afterAutospacing="0"/>
              <w:jc w:val="both"/>
              <w:rPr>
                <w:sz w:val="22"/>
                <w:szCs w:val="22"/>
                <w:lang w:val="en-GB"/>
              </w:rPr>
            </w:pPr>
            <w:r w:rsidRPr="004D2E7C">
              <w:rPr>
                <w:sz w:val="22"/>
                <w:szCs w:val="22"/>
                <w:lang w:val="en-GB"/>
              </w:rPr>
              <w:t>The delegated acts referred to in paragraph 1 shall specify product groups which satisfy the following criteria:</w:t>
            </w:r>
          </w:p>
          <w:p w14:paraId="46188193" w14:textId="77777777" w:rsidR="00F01ECE" w:rsidRPr="004D2E7C" w:rsidRDefault="00F01ECE" w:rsidP="00F01ECE">
            <w:pPr>
              <w:pStyle w:val="Normal1"/>
              <w:spacing w:before="0" w:beforeAutospacing="0" w:after="0" w:afterAutospacing="0"/>
              <w:jc w:val="both"/>
              <w:rPr>
                <w:sz w:val="22"/>
                <w:szCs w:val="22"/>
                <w:lang w:val="en-GB"/>
              </w:rPr>
            </w:pPr>
            <w:r w:rsidRPr="004D2E7C">
              <w:rPr>
                <w:sz w:val="22"/>
                <w:szCs w:val="22"/>
                <w:lang w:val="en-GB"/>
              </w:rPr>
              <w:t>(a) according to the most recently available figures and considering the quantities placed on the Union market, the product group shall have significant potential for saving energy and where relevant, other resources;</w:t>
            </w:r>
          </w:p>
          <w:p w14:paraId="46188194" w14:textId="77777777" w:rsidR="00F01ECE" w:rsidRPr="004D2E7C" w:rsidRDefault="00F01ECE" w:rsidP="00F01ECE">
            <w:pPr>
              <w:pStyle w:val="Normal1"/>
              <w:spacing w:before="0" w:beforeAutospacing="0" w:after="0" w:afterAutospacing="0"/>
              <w:jc w:val="both"/>
              <w:rPr>
                <w:sz w:val="22"/>
                <w:szCs w:val="22"/>
                <w:lang w:val="en-GB"/>
              </w:rPr>
            </w:pPr>
            <w:r w:rsidRPr="004D2E7C">
              <w:rPr>
                <w:sz w:val="22"/>
                <w:szCs w:val="22"/>
                <w:lang w:val="en-GB"/>
              </w:rPr>
              <w:t>(b) within the product group, models with equivalent functionality shall differ significantly in the relevant performance levels;</w:t>
            </w:r>
          </w:p>
          <w:p w14:paraId="46188195" w14:textId="77777777" w:rsidR="00F01ECE" w:rsidRPr="004D2E7C" w:rsidRDefault="00F01ECE" w:rsidP="00F01ECE">
            <w:pPr>
              <w:pStyle w:val="Normal1"/>
              <w:spacing w:before="0" w:beforeAutospacing="0" w:after="0" w:afterAutospacing="0"/>
              <w:jc w:val="both"/>
              <w:rPr>
                <w:sz w:val="22"/>
                <w:szCs w:val="22"/>
                <w:lang w:val="en-GB"/>
              </w:rPr>
            </w:pPr>
            <w:r w:rsidRPr="004D2E7C">
              <w:rPr>
                <w:sz w:val="22"/>
                <w:szCs w:val="22"/>
                <w:lang w:val="en-GB"/>
              </w:rPr>
              <w:t>(c) there shall be no significant negative impact as regards the affordability and the life cycle cost of the product group;</w:t>
            </w:r>
          </w:p>
          <w:p w14:paraId="46188197" w14:textId="38E5D289" w:rsidR="00F01ECE" w:rsidRPr="004D2E7C" w:rsidRDefault="00F01ECE" w:rsidP="00F01ECE">
            <w:pPr>
              <w:pStyle w:val="Normal1"/>
              <w:spacing w:before="0" w:beforeAutospacing="0" w:after="0" w:afterAutospacing="0"/>
              <w:jc w:val="both"/>
              <w:rPr>
                <w:sz w:val="22"/>
                <w:szCs w:val="22"/>
                <w:lang w:val="en-GB"/>
              </w:rPr>
            </w:pPr>
            <w:r w:rsidRPr="004D2E7C">
              <w:rPr>
                <w:sz w:val="22"/>
                <w:szCs w:val="22"/>
                <w:lang w:val="en-GB"/>
              </w:rPr>
              <w:t>(d) the introduction of energy labelling requirements for a product group shall not have a significant negative impact on the functionality of the product during use;</w:t>
            </w:r>
          </w:p>
        </w:tc>
        <w:tc>
          <w:tcPr>
            <w:tcW w:w="325" w:type="pct"/>
          </w:tcPr>
          <w:p w14:paraId="46188198" w14:textId="77777777" w:rsidR="00F01ECE" w:rsidRPr="004D2E7C" w:rsidRDefault="00F01ECE" w:rsidP="00F01ECE">
            <w:pPr>
              <w:rPr>
                <w:rFonts w:cs="Times New Roman"/>
                <w:lang w:val="sr-Cyrl-RS"/>
              </w:rPr>
            </w:pPr>
          </w:p>
        </w:tc>
        <w:tc>
          <w:tcPr>
            <w:tcW w:w="1296" w:type="pct"/>
          </w:tcPr>
          <w:p w14:paraId="46188199" w14:textId="77777777" w:rsidR="00F01ECE" w:rsidRPr="004D2E7C" w:rsidRDefault="00F01ECE" w:rsidP="00F01ECE">
            <w:pPr>
              <w:rPr>
                <w:rFonts w:cs="Times New Roman"/>
                <w:lang w:val="sr-Cyrl-RS"/>
              </w:rPr>
            </w:pPr>
          </w:p>
        </w:tc>
        <w:tc>
          <w:tcPr>
            <w:tcW w:w="235" w:type="pct"/>
            <w:vAlign w:val="center"/>
          </w:tcPr>
          <w:p w14:paraId="4618819A" w14:textId="77777777" w:rsidR="00F01ECE" w:rsidRPr="004D2E7C" w:rsidRDefault="00F01ECE" w:rsidP="00F01ECE">
            <w:pPr>
              <w:jc w:val="center"/>
              <w:rPr>
                <w:rFonts w:cs="Times New Roman"/>
                <w:lang w:val="sr-Cyrl-RS"/>
              </w:rPr>
            </w:pPr>
            <w:r w:rsidRPr="004D2E7C">
              <w:rPr>
                <w:rFonts w:cs="Times New Roman"/>
                <w:lang w:val="sr-Cyrl-RS"/>
              </w:rPr>
              <w:t>НП</w:t>
            </w:r>
          </w:p>
        </w:tc>
        <w:tc>
          <w:tcPr>
            <w:tcW w:w="676" w:type="pct"/>
            <w:vAlign w:val="center"/>
          </w:tcPr>
          <w:p w14:paraId="4618819B" w14:textId="7AE503F6" w:rsidR="00F01ECE" w:rsidRPr="004D2E7C" w:rsidRDefault="00F01ECE" w:rsidP="00F01ECE">
            <w:pPr>
              <w:pStyle w:val="Normal1"/>
              <w:spacing w:before="0" w:beforeAutospacing="0" w:after="0" w:afterAutospacing="0"/>
              <w:rPr>
                <w:sz w:val="22"/>
                <w:szCs w:val="22"/>
                <w:lang w:val="sr-Cyrl-RS"/>
              </w:rPr>
            </w:pPr>
            <w:r w:rsidRPr="004D2E7C">
              <w:rPr>
                <w:sz w:val="22"/>
                <w:szCs w:val="22"/>
                <w:lang w:val="sr-Cyrl-RS"/>
              </w:rPr>
              <w:t>Одредб</w:t>
            </w:r>
            <w:r w:rsidR="009865DC">
              <w:rPr>
                <w:sz w:val="22"/>
                <w:szCs w:val="22"/>
              </w:rPr>
              <w:t>a</w:t>
            </w:r>
            <w:r w:rsidRPr="004D2E7C">
              <w:rPr>
                <w:sz w:val="22"/>
                <w:szCs w:val="22"/>
                <w:lang w:val="sr-Cyrl-RS"/>
              </w:rPr>
              <w:t xml:space="preserve"> се однос</w:t>
            </w:r>
            <w:r w:rsidR="009865DC">
              <w:rPr>
                <w:sz w:val="22"/>
                <w:szCs w:val="22"/>
                <w:lang w:val="sr-Cyrl-RS"/>
              </w:rPr>
              <w:t>и</w:t>
            </w:r>
            <w:r w:rsidRPr="004D2E7C">
              <w:rPr>
                <w:sz w:val="22"/>
                <w:szCs w:val="22"/>
                <w:lang w:val="sr-Cyrl-RS"/>
              </w:rPr>
              <w:t xml:space="preserve"> на обавезу Европске комисије.</w:t>
            </w:r>
          </w:p>
        </w:tc>
        <w:tc>
          <w:tcPr>
            <w:tcW w:w="699" w:type="pct"/>
            <w:vAlign w:val="center"/>
          </w:tcPr>
          <w:p w14:paraId="4618819C" w14:textId="77777777" w:rsidR="00F01ECE" w:rsidRPr="004D2E7C" w:rsidRDefault="00F01ECE" w:rsidP="00F01ECE">
            <w:pPr>
              <w:rPr>
                <w:rFonts w:cs="Times New Roman"/>
                <w:lang w:val="sr-Cyrl-RS"/>
              </w:rPr>
            </w:pPr>
          </w:p>
        </w:tc>
      </w:tr>
      <w:tr w:rsidR="00F01ECE" w:rsidRPr="004D2E7C" w14:paraId="461881B7" w14:textId="77777777" w:rsidTr="009865DC">
        <w:tc>
          <w:tcPr>
            <w:tcW w:w="280" w:type="pct"/>
            <w:shd w:val="clear" w:color="auto" w:fill="D9D9D9"/>
            <w:vAlign w:val="center"/>
          </w:tcPr>
          <w:p w14:paraId="4618819E" w14:textId="77777777" w:rsidR="00F01ECE" w:rsidRPr="004D2E7C" w:rsidRDefault="00F01ECE" w:rsidP="00F01ECE">
            <w:pPr>
              <w:jc w:val="center"/>
              <w:rPr>
                <w:rFonts w:eastAsia="Times New Roman" w:cs="Times New Roman"/>
                <w:lang w:val="sr-Cyrl-RS"/>
              </w:rPr>
            </w:pPr>
            <w:r w:rsidRPr="004D2E7C">
              <w:rPr>
                <w:rFonts w:eastAsia="Times New Roman" w:cs="Times New Roman"/>
                <w:lang w:val="sr-Cyrl-RS"/>
              </w:rPr>
              <w:t>16.3.</w:t>
            </w:r>
          </w:p>
        </w:tc>
        <w:tc>
          <w:tcPr>
            <w:tcW w:w="1489" w:type="pct"/>
            <w:shd w:val="clear" w:color="auto" w:fill="D9D9D9"/>
            <w:vAlign w:val="center"/>
          </w:tcPr>
          <w:p w14:paraId="4618819F" w14:textId="77777777" w:rsidR="00F01ECE" w:rsidRPr="004D2E7C" w:rsidRDefault="00F01ECE" w:rsidP="00F01ECE">
            <w:pPr>
              <w:pStyle w:val="Normal1"/>
              <w:spacing w:before="0" w:beforeAutospacing="0" w:after="0" w:afterAutospacing="0"/>
              <w:jc w:val="both"/>
              <w:rPr>
                <w:sz w:val="22"/>
                <w:szCs w:val="22"/>
                <w:lang w:val="en-GB"/>
              </w:rPr>
            </w:pPr>
            <w:r w:rsidRPr="004D2E7C">
              <w:rPr>
                <w:sz w:val="22"/>
                <w:szCs w:val="22"/>
                <w:lang w:val="en-GB"/>
              </w:rPr>
              <w:t xml:space="preserve">Delegated acts relating to specific product groups shall specify, in particular: </w:t>
            </w:r>
          </w:p>
          <w:p w14:paraId="461881A0" w14:textId="77777777" w:rsidR="00F01ECE" w:rsidRPr="004D2E7C" w:rsidRDefault="00F01ECE" w:rsidP="00F01ECE">
            <w:pPr>
              <w:pStyle w:val="Normal1"/>
              <w:spacing w:before="0" w:beforeAutospacing="0" w:after="0" w:afterAutospacing="0"/>
              <w:jc w:val="both"/>
              <w:rPr>
                <w:sz w:val="22"/>
                <w:szCs w:val="22"/>
                <w:lang w:val="en-GB"/>
              </w:rPr>
            </w:pPr>
            <w:r w:rsidRPr="004D2E7C">
              <w:rPr>
                <w:sz w:val="22"/>
                <w:szCs w:val="22"/>
                <w:lang w:val="en-GB"/>
              </w:rPr>
              <w:t>(a) the definition of the specific product group falling under the definition of ‘energy-related product’ set out in point 1 of Article 2 which is to be covered by the detailed labelling requirements;</w:t>
            </w:r>
          </w:p>
          <w:p w14:paraId="461881A1" w14:textId="77777777" w:rsidR="00F01ECE" w:rsidRPr="004D2E7C" w:rsidRDefault="00F01ECE" w:rsidP="00F01ECE">
            <w:pPr>
              <w:pStyle w:val="Normal1"/>
              <w:spacing w:before="0" w:beforeAutospacing="0" w:after="0" w:afterAutospacing="0"/>
              <w:jc w:val="both"/>
              <w:rPr>
                <w:sz w:val="22"/>
                <w:szCs w:val="22"/>
                <w:lang w:val="en-GB"/>
              </w:rPr>
            </w:pPr>
            <w:r w:rsidRPr="004D2E7C">
              <w:rPr>
                <w:sz w:val="22"/>
                <w:szCs w:val="22"/>
                <w:lang w:val="en-GB"/>
              </w:rPr>
              <w:t xml:space="preserve">(b) the design and content of the label, including a scale showing consumption of energy consisting of A to G, which as far as possible shall have uniform design characteristics across product groups and shall in all cases be clear and legible. The A to G steps of the classification shall correspond to significant energy and cost savings and appropriate product differentiation from the customer's perspective. It shall also specify how the A to G </w:t>
            </w:r>
            <w:r w:rsidRPr="004D2E7C">
              <w:rPr>
                <w:sz w:val="22"/>
                <w:szCs w:val="22"/>
                <w:lang w:val="en-GB"/>
              </w:rPr>
              <w:lastRenderedPageBreak/>
              <w:t>steps of the classification, and where applicable energy consumption is displayed in a prominent position on the label;</w:t>
            </w:r>
          </w:p>
          <w:p w14:paraId="461881A2" w14:textId="77777777" w:rsidR="00F01ECE" w:rsidRPr="004D2E7C" w:rsidRDefault="00F01ECE" w:rsidP="00F01ECE">
            <w:pPr>
              <w:pStyle w:val="Normal1"/>
              <w:spacing w:before="0" w:beforeAutospacing="0" w:after="0" w:afterAutospacing="0"/>
              <w:jc w:val="both"/>
              <w:rPr>
                <w:sz w:val="22"/>
                <w:szCs w:val="22"/>
                <w:lang w:val="en-GB"/>
              </w:rPr>
            </w:pPr>
            <w:r w:rsidRPr="004D2E7C">
              <w:rPr>
                <w:sz w:val="22"/>
                <w:szCs w:val="22"/>
                <w:lang w:val="en-GB"/>
              </w:rPr>
              <w:t>(c) where appropriate, the use of other resources and supplementary information concerning the product, in which case the label shall emphasise the energy efficiency of the product. Supplementary information shall be unambiguous and with no negative impact on the clear intelligibility and effectiveness of the label as a whole towards customers. It shall be based on data relating to physical product characteristics that are measurable and verifiable by market surveillance authorities;</w:t>
            </w:r>
          </w:p>
          <w:p w14:paraId="461881A3" w14:textId="77777777" w:rsidR="00F01ECE" w:rsidRPr="004D2E7C" w:rsidRDefault="00F01ECE" w:rsidP="00F01ECE">
            <w:pPr>
              <w:pStyle w:val="Normal1"/>
              <w:spacing w:before="0" w:beforeAutospacing="0" w:after="0" w:afterAutospacing="0"/>
              <w:jc w:val="both"/>
              <w:rPr>
                <w:sz w:val="22"/>
                <w:szCs w:val="22"/>
                <w:lang w:val="en-GB"/>
              </w:rPr>
            </w:pPr>
            <w:r w:rsidRPr="004D2E7C">
              <w:rPr>
                <w:sz w:val="22"/>
                <w:szCs w:val="22"/>
                <w:lang w:val="en-GB"/>
              </w:rPr>
              <w:t>(d) where appropriate, the inclusion of a reference in the label allowing customers to identify products that are energy smart, that is to say, capable of automatically changing and optimising their consumption patterns in response to external stimuli (such as signals from or via a central home energy managing system, price signals, direct control signals, local measurement) or capable of delivering other services which increase energy efficiency and the up-take of renewable energy, with the aim to improve the environmental impact of energy use over the whole energy system;</w:t>
            </w:r>
          </w:p>
          <w:p w14:paraId="461881A4" w14:textId="77777777" w:rsidR="00F01ECE" w:rsidRPr="004D2E7C" w:rsidRDefault="00F01ECE" w:rsidP="00F01ECE">
            <w:pPr>
              <w:pStyle w:val="Normal1"/>
              <w:spacing w:before="0" w:beforeAutospacing="0" w:after="0" w:afterAutospacing="0"/>
              <w:jc w:val="both"/>
              <w:rPr>
                <w:sz w:val="22"/>
                <w:szCs w:val="22"/>
                <w:lang w:val="en-GB"/>
              </w:rPr>
            </w:pPr>
            <w:r w:rsidRPr="004D2E7C">
              <w:rPr>
                <w:sz w:val="22"/>
                <w:szCs w:val="22"/>
                <w:lang w:val="en-GB"/>
              </w:rPr>
              <w:t>(e) the locations where the label shall be displayed, such as attached to the product unit where no damage is caused to it, printed on the packaging, provided in electronic format or displayed online, taking into account the requirements of Article 3(1), and the implications for customers, suppliers and dealers;</w:t>
            </w:r>
          </w:p>
          <w:p w14:paraId="461881A5" w14:textId="77777777" w:rsidR="00F01ECE" w:rsidRPr="004D2E7C" w:rsidRDefault="00F01ECE" w:rsidP="00F01ECE">
            <w:pPr>
              <w:pStyle w:val="Normal1"/>
              <w:spacing w:before="0" w:beforeAutospacing="0" w:after="0" w:afterAutospacing="0"/>
              <w:jc w:val="both"/>
              <w:rPr>
                <w:sz w:val="22"/>
                <w:szCs w:val="22"/>
                <w:lang w:val="en-GB"/>
              </w:rPr>
            </w:pPr>
            <w:r w:rsidRPr="004D2E7C">
              <w:rPr>
                <w:sz w:val="22"/>
                <w:szCs w:val="22"/>
                <w:lang w:val="en-GB"/>
              </w:rPr>
              <w:lastRenderedPageBreak/>
              <w:t>(f) where appropriate, electronic means for labelling products;</w:t>
            </w:r>
          </w:p>
          <w:p w14:paraId="461881A6" w14:textId="77777777" w:rsidR="00F01ECE" w:rsidRPr="004D2E7C" w:rsidRDefault="00F01ECE" w:rsidP="00F01ECE">
            <w:pPr>
              <w:pStyle w:val="Normal1"/>
              <w:spacing w:before="0" w:beforeAutospacing="0" w:after="0" w:afterAutospacing="0"/>
              <w:jc w:val="both"/>
              <w:rPr>
                <w:sz w:val="22"/>
                <w:szCs w:val="22"/>
                <w:lang w:val="en-GB"/>
              </w:rPr>
            </w:pPr>
            <w:r w:rsidRPr="004D2E7C">
              <w:rPr>
                <w:sz w:val="22"/>
                <w:szCs w:val="22"/>
                <w:lang w:val="en-GB"/>
              </w:rPr>
              <w:t>(g) the manner in which the label and product information sheet are to be provided in the case of distance selling;</w:t>
            </w:r>
          </w:p>
          <w:p w14:paraId="461881A7" w14:textId="77777777" w:rsidR="00F01ECE" w:rsidRPr="004D2E7C" w:rsidRDefault="00F01ECE" w:rsidP="00F01ECE">
            <w:pPr>
              <w:pStyle w:val="Normal1"/>
              <w:spacing w:before="0" w:beforeAutospacing="0" w:after="0" w:afterAutospacing="0"/>
              <w:jc w:val="both"/>
              <w:rPr>
                <w:sz w:val="22"/>
                <w:szCs w:val="22"/>
                <w:lang w:val="en-GB"/>
              </w:rPr>
            </w:pPr>
            <w:r w:rsidRPr="004D2E7C">
              <w:rPr>
                <w:sz w:val="22"/>
                <w:szCs w:val="22"/>
                <w:lang w:val="en-GB"/>
              </w:rPr>
              <w:t>(h) the required contents and, where appropriate, the format and other details concerning the product information sheet and the technical documentation, including the possibility to enter the parameters of the product information sheet into the database in accordance with Article 3(1);</w:t>
            </w:r>
          </w:p>
          <w:p w14:paraId="461881A8" w14:textId="77777777" w:rsidR="00F01ECE" w:rsidRPr="004D2E7C" w:rsidRDefault="00F01ECE" w:rsidP="00F01ECE">
            <w:pPr>
              <w:pStyle w:val="Normal1"/>
              <w:spacing w:before="0" w:beforeAutospacing="0" w:after="0" w:afterAutospacing="0"/>
              <w:jc w:val="both"/>
              <w:rPr>
                <w:sz w:val="22"/>
                <w:szCs w:val="22"/>
                <w:lang w:val="en-GB"/>
              </w:rPr>
            </w:pPr>
            <w:r w:rsidRPr="004D2E7C">
              <w:rPr>
                <w:sz w:val="22"/>
                <w:szCs w:val="22"/>
                <w:lang w:val="en-GB"/>
              </w:rPr>
              <w:t>(i) the verification tolerances to be used by Member States when verifying compliance with the requirements;</w:t>
            </w:r>
          </w:p>
          <w:p w14:paraId="461881A9" w14:textId="77777777" w:rsidR="00F01ECE" w:rsidRPr="004D2E7C" w:rsidRDefault="00F01ECE" w:rsidP="00F01ECE">
            <w:pPr>
              <w:pStyle w:val="Normal1"/>
              <w:spacing w:before="0" w:beforeAutospacing="0" w:after="0" w:afterAutospacing="0"/>
              <w:jc w:val="both"/>
              <w:rPr>
                <w:sz w:val="22"/>
                <w:szCs w:val="22"/>
                <w:lang w:val="en-GB"/>
              </w:rPr>
            </w:pPr>
            <w:r w:rsidRPr="004D2E7C">
              <w:rPr>
                <w:sz w:val="22"/>
                <w:szCs w:val="22"/>
                <w:lang w:val="en-GB"/>
              </w:rPr>
              <w:t>(j) how the energy class and the range of the efficiency classes available on the label shall be included in visual advertisements and technical promotional material, including legibility and visibility;</w:t>
            </w:r>
          </w:p>
          <w:p w14:paraId="461881AA" w14:textId="77777777" w:rsidR="00F01ECE" w:rsidRPr="004D2E7C" w:rsidRDefault="00F01ECE" w:rsidP="00F01ECE">
            <w:pPr>
              <w:pStyle w:val="Normal1"/>
              <w:spacing w:before="0" w:beforeAutospacing="0" w:after="0" w:afterAutospacing="0"/>
              <w:jc w:val="both"/>
              <w:rPr>
                <w:sz w:val="22"/>
                <w:szCs w:val="22"/>
                <w:lang w:val="en-GB"/>
              </w:rPr>
            </w:pPr>
            <w:r w:rsidRPr="004D2E7C">
              <w:rPr>
                <w:sz w:val="22"/>
                <w:szCs w:val="22"/>
                <w:lang w:val="en-GB"/>
              </w:rPr>
              <w:t>(k) the measurement and calculation methods referred to in Article 13, to be used to determine label and product information sheet information, including the definition of the energy efficiency index (EEI), or equivalent parameter;</w:t>
            </w:r>
          </w:p>
          <w:p w14:paraId="461881AB" w14:textId="77777777" w:rsidR="00F01ECE" w:rsidRPr="004D2E7C" w:rsidRDefault="00F01ECE" w:rsidP="00F01ECE">
            <w:pPr>
              <w:pStyle w:val="Normal1"/>
              <w:spacing w:before="0" w:beforeAutospacing="0" w:after="0" w:afterAutospacing="0"/>
              <w:jc w:val="both"/>
              <w:rPr>
                <w:sz w:val="22"/>
                <w:szCs w:val="22"/>
                <w:lang w:val="en-GB"/>
              </w:rPr>
            </w:pPr>
            <w:r w:rsidRPr="004D2E7C">
              <w:rPr>
                <w:sz w:val="22"/>
                <w:szCs w:val="22"/>
                <w:lang w:val="en-GB"/>
              </w:rPr>
              <w:t>(l) whether for larger appliances a higher level of energy efficiency is required to reach a given energy class;</w:t>
            </w:r>
          </w:p>
          <w:p w14:paraId="461881AC" w14:textId="77777777" w:rsidR="00F01ECE" w:rsidRPr="004D2E7C" w:rsidRDefault="00F01ECE" w:rsidP="00F01ECE">
            <w:pPr>
              <w:pStyle w:val="Normal1"/>
              <w:spacing w:before="0" w:beforeAutospacing="0" w:after="0" w:afterAutospacing="0"/>
              <w:jc w:val="both"/>
              <w:rPr>
                <w:sz w:val="22"/>
                <w:szCs w:val="22"/>
                <w:lang w:val="en-GB"/>
              </w:rPr>
            </w:pPr>
            <w:r w:rsidRPr="004D2E7C">
              <w:rPr>
                <w:sz w:val="22"/>
                <w:szCs w:val="22"/>
                <w:lang w:val="en-GB"/>
              </w:rPr>
              <w:t xml:space="preserve">(m) the format of any additional references on the label allowing customers to access through electronic means more detailed information on the product performance included in the product information sheet. The format of those references may take the form of a website address, a dynamic </w:t>
            </w:r>
            <w:r w:rsidRPr="004D2E7C">
              <w:rPr>
                <w:sz w:val="22"/>
                <w:szCs w:val="22"/>
                <w:lang w:val="en-GB"/>
              </w:rPr>
              <w:lastRenderedPageBreak/>
              <w:t>quickresponse code (QR code), a link on online labels or any other appropriate consumer-oriented means;</w:t>
            </w:r>
          </w:p>
          <w:p w14:paraId="461881AD" w14:textId="77777777" w:rsidR="00F01ECE" w:rsidRPr="004D2E7C" w:rsidRDefault="00F01ECE" w:rsidP="00F01ECE">
            <w:pPr>
              <w:pStyle w:val="Normal1"/>
              <w:spacing w:before="0" w:beforeAutospacing="0" w:after="0" w:afterAutospacing="0"/>
              <w:jc w:val="both"/>
              <w:rPr>
                <w:sz w:val="22"/>
                <w:szCs w:val="22"/>
                <w:lang w:val="en-GB"/>
              </w:rPr>
            </w:pPr>
            <w:r w:rsidRPr="004D2E7C">
              <w:rPr>
                <w:sz w:val="22"/>
                <w:szCs w:val="22"/>
                <w:lang w:val="en-GB"/>
              </w:rPr>
              <w:t>(n) how, where appropriate energy classes describing the product's energy consumption during use should be shown on the product's interactive display;</w:t>
            </w:r>
          </w:p>
          <w:p w14:paraId="461881AE" w14:textId="77777777" w:rsidR="00F01ECE" w:rsidRPr="004D2E7C" w:rsidRDefault="00F01ECE" w:rsidP="00F01ECE">
            <w:pPr>
              <w:pStyle w:val="Normal1"/>
              <w:spacing w:before="0" w:beforeAutospacing="0" w:after="0" w:afterAutospacing="0"/>
              <w:jc w:val="both"/>
              <w:rPr>
                <w:sz w:val="22"/>
                <w:szCs w:val="22"/>
                <w:lang w:val="en-GB"/>
              </w:rPr>
            </w:pPr>
            <w:r w:rsidRPr="004D2E7C">
              <w:rPr>
                <w:sz w:val="22"/>
                <w:szCs w:val="22"/>
                <w:lang w:val="en-GB"/>
              </w:rPr>
              <w:t>(o) the date for the evaluation and possible consequent revision of the delegated act;</w:t>
            </w:r>
          </w:p>
          <w:p w14:paraId="461881AF" w14:textId="77777777" w:rsidR="00F01ECE" w:rsidRPr="004D2E7C" w:rsidRDefault="00F01ECE" w:rsidP="00F01ECE">
            <w:pPr>
              <w:pStyle w:val="Normal1"/>
              <w:spacing w:before="0" w:beforeAutospacing="0" w:after="0" w:afterAutospacing="0"/>
              <w:jc w:val="both"/>
              <w:rPr>
                <w:sz w:val="22"/>
                <w:szCs w:val="22"/>
                <w:lang w:val="en-GB"/>
              </w:rPr>
            </w:pPr>
            <w:r w:rsidRPr="004D2E7C">
              <w:rPr>
                <w:sz w:val="22"/>
                <w:szCs w:val="22"/>
                <w:lang w:val="en-GB"/>
              </w:rPr>
              <w:t>(p) where appropriate, differences in energy performances in different climatic regions;</w:t>
            </w:r>
          </w:p>
          <w:p w14:paraId="461881B0" w14:textId="77777777" w:rsidR="00F01ECE" w:rsidRPr="004D2E7C" w:rsidRDefault="00F01ECE" w:rsidP="00F01ECE">
            <w:pPr>
              <w:pStyle w:val="Normal1"/>
              <w:spacing w:before="0" w:beforeAutospacing="0" w:after="0" w:afterAutospacing="0"/>
              <w:jc w:val="both"/>
              <w:rPr>
                <w:sz w:val="22"/>
                <w:szCs w:val="22"/>
                <w:lang w:val="en-GB"/>
              </w:rPr>
            </w:pPr>
            <w:r w:rsidRPr="004D2E7C">
              <w:rPr>
                <w:sz w:val="22"/>
                <w:szCs w:val="22"/>
                <w:lang w:val="en-GB"/>
              </w:rPr>
              <w:t>(q) as regards the requirement of keeping information in the compliance part of the database in Article 4(6), a retention period of less than 15 years, where appropriate in relation to the average lifespan of the product.</w:t>
            </w:r>
          </w:p>
          <w:p w14:paraId="461881B1" w14:textId="77777777" w:rsidR="00F01ECE" w:rsidRPr="004D2E7C" w:rsidRDefault="00F01ECE" w:rsidP="00F01ECE">
            <w:pPr>
              <w:pStyle w:val="Normal1"/>
              <w:spacing w:before="0" w:beforeAutospacing="0" w:after="0" w:afterAutospacing="0"/>
              <w:jc w:val="both"/>
              <w:rPr>
                <w:sz w:val="22"/>
                <w:szCs w:val="22"/>
                <w:lang w:val="en-GB"/>
              </w:rPr>
            </w:pPr>
          </w:p>
        </w:tc>
        <w:tc>
          <w:tcPr>
            <w:tcW w:w="325" w:type="pct"/>
          </w:tcPr>
          <w:p w14:paraId="461881B2" w14:textId="77777777" w:rsidR="00F01ECE" w:rsidRPr="004D2E7C" w:rsidRDefault="00F01ECE" w:rsidP="00F01ECE">
            <w:pPr>
              <w:rPr>
                <w:rFonts w:cs="Times New Roman"/>
                <w:lang w:val="sr-Cyrl-RS"/>
              </w:rPr>
            </w:pPr>
          </w:p>
        </w:tc>
        <w:tc>
          <w:tcPr>
            <w:tcW w:w="1296" w:type="pct"/>
          </w:tcPr>
          <w:p w14:paraId="461881B3" w14:textId="77777777" w:rsidR="00F01ECE" w:rsidRPr="004D2E7C" w:rsidRDefault="00F01ECE" w:rsidP="00F01ECE">
            <w:pPr>
              <w:rPr>
                <w:rFonts w:cs="Times New Roman"/>
                <w:lang w:val="sr-Cyrl-RS"/>
              </w:rPr>
            </w:pPr>
          </w:p>
        </w:tc>
        <w:tc>
          <w:tcPr>
            <w:tcW w:w="235" w:type="pct"/>
            <w:vAlign w:val="center"/>
          </w:tcPr>
          <w:p w14:paraId="461881B4" w14:textId="77777777" w:rsidR="00F01ECE" w:rsidRPr="004D2E7C" w:rsidRDefault="00F01ECE" w:rsidP="00F01ECE">
            <w:pPr>
              <w:jc w:val="center"/>
              <w:rPr>
                <w:rFonts w:cs="Times New Roman"/>
                <w:lang w:val="sr-Cyrl-RS"/>
              </w:rPr>
            </w:pPr>
            <w:r w:rsidRPr="004D2E7C">
              <w:rPr>
                <w:rFonts w:cs="Times New Roman"/>
                <w:lang w:val="sr-Cyrl-RS"/>
              </w:rPr>
              <w:t>НП</w:t>
            </w:r>
          </w:p>
        </w:tc>
        <w:tc>
          <w:tcPr>
            <w:tcW w:w="676" w:type="pct"/>
            <w:vAlign w:val="center"/>
          </w:tcPr>
          <w:p w14:paraId="461881B5" w14:textId="63CA9B92" w:rsidR="00F01ECE" w:rsidRPr="009865DC" w:rsidRDefault="00F01ECE" w:rsidP="009865DC">
            <w:pPr>
              <w:pStyle w:val="Normal1"/>
              <w:spacing w:before="0" w:beforeAutospacing="0" w:after="0" w:afterAutospacing="0"/>
              <w:rPr>
                <w:sz w:val="22"/>
                <w:szCs w:val="22"/>
              </w:rPr>
            </w:pPr>
            <w:r w:rsidRPr="004D2E7C">
              <w:rPr>
                <w:sz w:val="22"/>
                <w:szCs w:val="22"/>
                <w:lang w:val="sr-Cyrl-RS"/>
              </w:rPr>
              <w:t>Одредба се односи на обавезу Европске комисије</w:t>
            </w:r>
            <w:r w:rsidR="009865DC">
              <w:rPr>
                <w:sz w:val="22"/>
                <w:szCs w:val="22"/>
              </w:rPr>
              <w:t>.</w:t>
            </w:r>
          </w:p>
        </w:tc>
        <w:tc>
          <w:tcPr>
            <w:tcW w:w="699" w:type="pct"/>
            <w:vAlign w:val="center"/>
          </w:tcPr>
          <w:p w14:paraId="461881B6" w14:textId="77777777" w:rsidR="00F01ECE" w:rsidRPr="004D2E7C" w:rsidRDefault="00F01ECE" w:rsidP="00F01ECE">
            <w:pPr>
              <w:rPr>
                <w:rFonts w:cs="Times New Roman"/>
                <w:lang w:val="sr-Cyrl-RS"/>
              </w:rPr>
            </w:pPr>
          </w:p>
        </w:tc>
      </w:tr>
      <w:tr w:rsidR="00F01ECE" w:rsidRPr="004D2E7C" w14:paraId="461881BF" w14:textId="77777777" w:rsidTr="009865DC">
        <w:tc>
          <w:tcPr>
            <w:tcW w:w="280" w:type="pct"/>
            <w:shd w:val="clear" w:color="auto" w:fill="D9D9D9"/>
            <w:vAlign w:val="center"/>
          </w:tcPr>
          <w:p w14:paraId="461881B8" w14:textId="77777777" w:rsidR="00F01ECE" w:rsidRPr="004D2E7C" w:rsidRDefault="00F01ECE" w:rsidP="00F01ECE">
            <w:pPr>
              <w:jc w:val="center"/>
              <w:rPr>
                <w:rFonts w:eastAsia="Times New Roman" w:cs="Times New Roman"/>
                <w:lang w:val="sr-Cyrl-RS"/>
              </w:rPr>
            </w:pPr>
            <w:r w:rsidRPr="004D2E7C">
              <w:rPr>
                <w:rFonts w:eastAsia="Times New Roman" w:cs="Times New Roman"/>
                <w:lang w:val="sr-Cyrl-RS"/>
              </w:rPr>
              <w:lastRenderedPageBreak/>
              <w:t>16.4.</w:t>
            </w:r>
          </w:p>
        </w:tc>
        <w:tc>
          <w:tcPr>
            <w:tcW w:w="1489" w:type="pct"/>
            <w:shd w:val="clear" w:color="auto" w:fill="D9D9D9"/>
            <w:vAlign w:val="center"/>
          </w:tcPr>
          <w:p w14:paraId="461881B9" w14:textId="77777777" w:rsidR="00F01ECE" w:rsidRPr="004D2E7C" w:rsidRDefault="00F01ECE" w:rsidP="00F01ECE">
            <w:pPr>
              <w:jc w:val="both"/>
              <w:rPr>
                <w:rFonts w:eastAsia="Times New Roman" w:cs="Times New Roman"/>
                <w:lang w:val="en-GB"/>
              </w:rPr>
            </w:pPr>
            <w:r w:rsidRPr="004D2E7C">
              <w:rPr>
                <w:rFonts w:cs="Times New Roman"/>
                <w:lang w:val="en-GB"/>
              </w:rPr>
              <w:t>The Commission shall adopt a separate delegated act for each specific product group. When the Commission decides on the timing for the adoption of the delegated act for a specific product group, it shall not delay the adoption on grounds related to the adoption of a delegated act concerning another specific product group, unless exceptional circumstances warrant otherwise.</w:t>
            </w:r>
          </w:p>
        </w:tc>
        <w:tc>
          <w:tcPr>
            <w:tcW w:w="325" w:type="pct"/>
          </w:tcPr>
          <w:p w14:paraId="461881BA" w14:textId="77777777" w:rsidR="00F01ECE" w:rsidRPr="004D2E7C" w:rsidRDefault="00F01ECE" w:rsidP="00F01ECE">
            <w:pPr>
              <w:rPr>
                <w:rFonts w:cs="Times New Roman"/>
                <w:lang w:val="sr-Cyrl-RS"/>
              </w:rPr>
            </w:pPr>
          </w:p>
        </w:tc>
        <w:tc>
          <w:tcPr>
            <w:tcW w:w="1296" w:type="pct"/>
          </w:tcPr>
          <w:p w14:paraId="461881BB" w14:textId="77777777" w:rsidR="00F01ECE" w:rsidRPr="004D2E7C" w:rsidRDefault="00F01ECE" w:rsidP="00F01ECE">
            <w:pPr>
              <w:rPr>
                <w:rFonts w:cs="Times New Roman"/>
                <w:lang w:val="sr-Cyrl-RS"/>
              </w:rPr>
            </w:pPr>
          </w:p>
        </w:tc>
        <w:tc>
          <w:tcPr>
            <w:tcW w:w="235" w:type="pct"/>
            <w:vAlign w:val="center"/>
          </w:tcPr>
          <w:p w14:paraId="461881BC" w14:textId="77777777" w:rsidR="00F01ECE" w:rsidRPr="004D2E7C" w:rsidRDefault="00F01ECE" w:rsidP="00F01ECE">
            <w:pPr>
              <w:jc w:val="center"/>
              <w:rPr>
                <w:rFonts w:cs="Times New Roman"/>
                <w:lang w:val="sr-Cyrl-RS"/>
              </w:rPr>
            </w:pPr>
            <w:r w:rsidRPr="004D2E7C">
              <w:rPr>
                <w:rFonts w:cs="Times New Roman"/>
                <w:lang w:val="sr-Cyrl-RS"/>
              </w:rPr>
              <w:t>НП</w:t>
            </w:r>
          </w:p>
        </w:tc>
        <w:tc>
          <w:tcPr>
            <w:tcW w:w="676" w:type="pct"/>
            <w:vAlign w:val="center"/>
          </w:tcPr>
          <w:p w14:paraId="461881BD" w14:textId="77777777" w:rsidR="00F01ECE" w:rsidRPr="004D2E7C" w:rsidRDefault="00F01ECE" w:rsidP="009865DC">
            <w:pPr>
              <w:pStyle w:val="Normal1"/>
              <w:spacing w:before="0" w:beforeAutospacing="0" w:after="0" w:afterAutospacing="0"/>
              <w:rPr>
                <w:spacing w:val="-6"/>
                <w:sz w:val="22"/>
                <w:szCs w:val="22"/>
                <w:lang w:val="sr-Cyrl-RS"/>
              </w:rPr>
            </w:pPr>
            <w:r w:rsidRPr="004D2E7C">
              <w:rPr>
                <w:spacing w:val="-6"/>
                <w:sz w:val="22"/>
                <w:szCs w:val="22"/>
                <w:lang w:val="sr-Cyrl-RS"/>
              </w:rPr>
              <w:t>Одредба се односи на обавезу Европске комисије</w:t>
            </w:r>
          </w:p>
        </w:tc>
        <w:tc>
          <w:tcPr>
            <w:tcW w:w="699" w:type="pct"/>
            <w:vAlign w:val="center"/>
          </w:tcPr>
          <w:p w14:paraId="461881BE" w14:textId="77777777" w:rsidR="00F01ECE" w:rsidRPr="004D2E7C" w:rsidRDefault="00F01ECE" w:rsidP="00F01ECE">
            <w:pPr>
              <w:rPr>
                <w:rFonts w:cs="Times New Roman"/>
                <w:lang w:val="sr-Cyrl-RS"/>
              </w:rPr>
            </w:pPr>
          </w:p>
        </w:tc>
      </w:tr>
      <w:tr w:rsidR="00F01ECE" w:rsidRPr="004D2E7C" w14:paraId="461881C8" w14:textId="77777777" w:rsidTr="009865DC">
        <w:tc>
          <w:tcPr>
            <w:tcW w:w="280" w:type="pct"/>
            <w:shd w:val="clear" w:color="auto" w:fill="D9D9D9"/>
            <w:vAlign w:val="center"/>
          </w:tcPr>
          <w:p w14:paraId="461881C0" w14:textId="77777777" w:rsidR="00F01ECE" w:rsidRPr="004D2E7C" w:rsidRDefault="00F01ECE" w:rsidP="00F01ECE">
            <w:pPr>
              <w:jc w:val="center"/>
              <w:rPr>
                <w:rFonts w:eastAsia="Times New Roman" w:cs="Times New Roman"/>
                <w:lang w:val="sr-Cyrl-RS"/>
              </w:rPr>
            </w:pPr>
            <w:r w:rsidRPr="004D2E7C">
              <w:rPr>
                <w:rFonts w:eastAsia="Times New Roman" w:cs="Times New Roman"/>
                <w:lang w:val="sr-Cyrl-RS"/>
              </w:rPr>
              <w:t>16.5.</w:t>
            </w:r>
          </w:p>
        </w:tc>
        <w:tc>
          <w:tcPr>
            <w:tcW w:w="1489" w:type="pct"/>
            <w:shd w:val="clear" w:color="auto" w:fill="D9D9D9"/>
            <w:vAlign w:val="center"/>
          </w:tcPr>
          <w:p w14:paraId="461881C2" w14:textId="6BC0030C" w:rsidR="00F01ECE" w:rsidRPr="004D2E7C" w:rsidRDefault="00F01ECE" w:rsidP="00F01ECE">
            <w:pPr>
              <w:jc w:val="both"/>
              <w:rPr>
                <w:rFonts w:eastAsia="Times New Roman" w:cs="Times New Roman"/>
                <w:lang w:val="en-GB"/>
              </w:rPr>
            </w:pPr>
            <w:r w:rsidRPr="004D2E7C">
              <w:rPr>
                <w:rFonts w:cs="Times New Roman"/>
                <w:lang w:val="en-GB"/>
              </w:rPr>
              <w:t>The Commission shall keep an updated inventory of all relevant delegated acts, as well as of the measures developing Directive 2009/125/EC, including complete references to all relevant harmonised standards.</w:t>
            </w:r>
          </w:p>
        </w:tc>
        <w:tc>
          <w:tcPr>
            <w:tcW w:w="325" w:type="pct"/>
          </w:tcPr>
          <w:p w14:paraId="461881C3" w14:textId="77777777" w:rsidR="00F01ECE" w:rsidRPr="004D2E7C" w:rsidRDefault="00F01ECE" w:rsidP="00F01ECE">
            <w:pPr>
              <w:rPr>
                <w:rFonts w:cs="Times New Roman"/>
                <w:lang w:val="sr-Cyrl-RS"/>
              </w:rPr>
            </w:pPr>
          </w:p>
        </w:tc>
        <w:tc>
          <w:tcPr>
            <w:tcW w:w="1296" w:type="pct"/>
          </w:tcPr>
          <w:p w14:paraId="461881C4" w14:textId="77777777" w:rsidR="00F01ECE" w:rsidRPr="004D2E7C" w:rsidRDefault="00F01ECE" w:rsidP="00F01ECE">
            <w:pPr>
              <w:rPr>
                <w:rFonts w:cs="Times New Roman"/>
                <w:lang w:val="sr-Cyrl-RS"/>
              </w:rPr>
            </w:pPr>
          </w:p>
        </w:tc>
        <w:tc>
          <w:tcPr>
            <w:tcW w:w="235" w:type="pct"/>
            <w:vAlign w:val="center"/>
          </w:tcPr>
          <w:p w14:paraId="461881C5" w14:textId="77777777" w:rsidR="00F01ECE" w:rsidRPr="004D2E7C" w:rsidRDefault="00F01ECE" w:rsidP="00F01ECE">
            <w:pPr>
              <w:jc w:val="center"/>
              <w:rPr>
                <w:rFonts w:cs="Times New Roman"/>
                <w:lang w:val="sr-Cyrl-RS"/>
              </w:rPr>
            </w:pPr>
            <w:r w:rsidRPr="004D2E7C">
              <w:rPr>
                <w:rFonts w:cs="Times New Roman"/>
                <w:lang w:val="sr-Cyrl-RS"/>
              </w:rPr>
              <w:t>НП</w:t>
            </w:r>
          </w:p>
        </w:tc>
        <w:tc>
          <w:tcPr>
            <w:tcW w:w="676" w:type="pct"/>
            <w:vAlign w:val="center"/>
          </w:tcPr>
          <w:p w14:paraId="461881C6" w14:textId="3ED5E057" w:rsidR="00F01ECE" w:rsidRPr="004D2E7C" w:rsidRDefault="00F01ECE" w:rsidP="009865DC">
            <w:pPr>
              <w:pStyle w:val="Normal1"/>
              <w:spacing w:before="0" w:beforeAutospacing="0" w:after="0" w:afterAutospacing="0"/>
              <w:rPr>
                <w:spacing w:val="-6"/>
                <w:sz w:val="22"/>
                <w:szCs w:val="22"/>
                <w:lang w:val="sr-Cyrl-RS"/>
              </w:rPr>
            </w:pPr>
            <w:r w:rsidRPr="004D2E7C">
              <w:rPr>
                <w:spacing w:val="-6"/>
                <w:sz w:val="22"/>
                <w:szCs w:val="22"/>
                <w:lang w:val="sr-Cyrl-RS"/>
              </w:rPr>
              <w:t>Одредба се односи на обавезу Европске комисије</w:t>
            </w:r>
            <w:r w:rsidR="009865DC">
              <w:rPr>
                <w:spacing w:val="-6"/>
                <w:sz w:val="22"/>
                <w:szCs w:val="22"/>
                <w:lang w:val="sr-Cyrl-RS"/>
              </w:rPr>
              <w:t>.</w:t>
            </w:r>
          </w:p>
        </w:tc>
        <w:tc>
          <w:tcPr>
            <w:tcW w:w="699" w:type="pct"/>
            <w:vAlign w:val="center"/>
          </w:tcPr>
          <w:p w14:paraId="461881C7" w14:textId="77777777" w:rsidR="00F01ECE" w:rsidRPr="004D2E7C" w:rsidRDefault="00F01ECE" w:rsidP="00F01ECE">
            <w:pPr>
              <w:rPr>
                <w:rFonts w:cs="Times New Roman"/>
                <w:lang w:val="sr-Cyrl-RS"/>
              </w:rPr>
            </w:pPr>
          </w:p>
        </w:tc>
      </w:tr>
      <w:tr w:rsidR="00F01ECE" w:rsidRPr="004D2E7C" w14:paraId="461881D8" w14:textId="77777777" w:rsidTr="006B3660">
        <w:tc>
          <w:tcPr>
            <w:tcW w:w="280" w:type="pct"/>
            <w:shd w:val="clear" w:color="auto" w:fill="D9D9D9"/>
            <w:vAlign w:val="center"/>
          </w:tcPr>
          <w:p w14:paraId="461881C9" w14:textId="77777777" w:rsidR="00F01ECE" w:rsidRPr="004D2E7C" w:rsidRDefault="00F01ECE" w:rsidP="00F01ECE">
            <w:pPr>
              <w:jc w:val="center"/>
              <w:rPr>
                <w:rFonts w:eastAsia="Times New Roman" w:cs="Times New Roman"/>
                <w:lang w:val="sr-Cyrl-RS"/>
              </w:rPr>
            </w:pPr>
            <w:r w:rsidRPr="004D2E7C">
              <w:rPr>
                <w:rFonts w:cs="Times New Roman"/>
                <w:lang w:val="sr-Cyrl-RS"/>
              </w:rPr>
              <w:t>17.</w:t>
            </w:r>
          </w:p>
        </w:tc>
        <w:tc>
          <w:tcPr>
            <w:tcW w:w="1489" w:type="pct"/>
            <w:shd w:val="clear" w:color="auto" w:fill="D9D9D9"/>
            <w:vAlign w:val="center"/>
          </w:tcPr>
          <w:p w14:paraId="501093BF" w14:textId="77777777" w:rsidR="00F01ECE" w:rsidRPr="009865DC" w:rsidRDefault="00F01ECE" w:rsidP="00F01ECE">
            <w:pPr>
              <w:jc w:val="both"/>
              <w:rPr>
                <w:rFonts w:cs="Times New Roman"/>
                <w:b/>
                <w:bCs/>
                <w:sz w:val="14"/>
                <w:szCs w:val="14"/>
                <w:lang w:val="en-GB"/>
              </w:rPr>
            </w:pPr>
          </w:p>
          <w:p w14:paraId="461881CA" w14:textId="3AFE7D10" w:rsidR="00F01ECE" w:rsidRPr="004D2E7C" w:rsidRDefault="00F01ECE" w:rsidP="00F01ECE">
            <w:pPr>
              <w:jc w:val="both"/>
              <w:rPr>
                <w:rFonts w:cs="Times New Roman"/>
                <w:b/>
                <w:bCs/>
                <w:lang w:val="en-GB"/>
              </w:rPr>
            </w:pPr>
            <w:r w:rsidRPr="004D2E7C">
              <w:rPr>
                <w:rFonts w:cs="Times New Roman"/>
                <w:b/>
                <w:bCs/>
                <w:lang w:val="en-GB"/>
              </w:rPr>
              <w:t>Exercise of the delegation</w:t>
            </w:r>
          </w:p>
          <w:p w14:paraId="461881CB" w14:textId="77777777" w:rsidR="00F01ECE" w:rsidRPr="009865DC" w:rsidRDefault="00F01ECE" w:rsidP="00F01ECE">
            <w:pPr>
              <w:jc w:val="both"/>
              <w:rPr>
                <w:rFonts w:cs="Times New Roman"/>
                <w:sz w:val="14"/>
                <w:szCs w:val="14"/>
                <w:lang w:val="en-GB"/>
              </w:rPr>
            </w:pPr>
          </w:p>
          <w:p w14:paraId="461881CC" w14:textId="77777777" w:rsidR="00F01ECE" w:rsidRPr="004D2E7C" w:rsidRDefault="00F01ECE" w:rsidP="00F01ECE">
            <w:pPr>
              <w:jc w:val="both"/>
              <w:rPr>
                <w:rFonts w:cs="Times New Roman"/>
                <w:lang w:val="en-GB"/>
              </w:rPr>
            </w:pPr>
            <w:r w:rsidRPr="004D2E7C">
              <w:rPr>
                <w:rFonts w:cs="Times New Roman"/>
                <w:lang w:val="en-GB"/>
              </w:rPr>
              <w:lastRenderedPageBreak/>
              <w:t>1. The power to adopt delegated acts is conferred on the Commission subject to the conditions laid down in this Article.</w:t>
            </w:r>
          </w:p>
          <w:p w14:paraId="461881CD" w14:textId="77777777" w:rsidR="00F01ECE" w:rsidRPr="004D2E7C" w:rsidRDefault="00F01ECE" w:rsidP="00F01ECE">
            <w:pPr>
              <w:jc w:val="both"/>
              <w:rPr>
                <w:rFonts w:cs="Times New Roman"/>
                <w:lang w:val="en-GB"/>
              </w:rPr>
            </w:pPr>
            <w:r w:rsidRPr="004D2E7C">
              <w:rPr>
                <w:rFonts w:cs="Times New Roman"/>
                <w:lang w:val="en-GB"/>
              </w:rPr>
              <w:t>2. The power to adopt delegated acts referred to in Article 11(4) and (5) and Article 16 shall be conferred on the Commission for a period of six years from 1 August 2017. The Commission shall draw up a report in respect of the delegation of power not later than nine months before the end of the six-year period. The delegation of power shall be tacitly extended for periods of an identical duration, unless the European Parliament or the Council opposes such extension not later than three months before the end of each period.</w:t>
            </w:r>
          </w:p>
          <w:p w14:paraId="461881CE" w14:textId="77777777" w:rsidR="00F01ECE" w:rsidRPr="004D2E7C" w:rsidRDefault="00F01ECE" w:rsidP="00F01ECE">
            <w:pPr>
              <w:jc w:val="both"/>
              <w:rPr>
                <w:rFonts w:cs="Times New Roman"/>
                <w:lang w:val="en-GB"/>
              </w:rPr>
            </w:pPr>
            <w:r w:rsidRPr="004D2E7C">
              <w:rPr>
                <w:rFonts w:cs="Times New Roman"/>
                <w:lang w:val="en-GB"/>
              </w:rPr>
              <w:t xml:space="preserve">3. The delegation of power referred to in Article 11(4) and (5) and Article 16 may be revoked at any time by the European Parliament or by the Council. A decision to revoke shall put an end to the delegation of the power specified in that decision. It shall take effect on the day following the publication of the decision in the </w:t>
            </w:r>
            <w:r w:rsidRPr="004D2E7C">
              <w:rPr>
                <w:rStyle w:val="italic"/>
                <w:rFonts w:cs="Times New Roman"/>
                <w:lang w:val="en-GB"/>
              </w:rPr>
              <w:t>Official Journal of the European Union</w:t>
            </w:r>
            <w:r w:rsidRPr="004D2E7C">
              <w:rPr>
                <w:rFonts w:cs="Times New Roman"/>
                <w:lang w:val="en-GB"/>
              </w:rPr>
              <w:t xml:space="preserve"> or at a later date specified therein. It shall not affect the validity of any delegated acts already in force.</w:t>
            </w:r>
          </w:p>
          <w:p w14:paraId="461881CF" w14:textId="77777777" w:rsidR="00F01ECE" w:rsidRPr="004D2E7C" w:rsidRDefault="00F01ECE" w:rsidP="00F01ECE">
            <w:pPr>
              <w:jc w:val="both"/>
              <w:rPr>
                <w:rFonts w:cs="Times New Roman"/>
                <w:lang w:val="en-GB"/>
              </w:rPr>
            </w:pPr>
            <w:r w:rsidRPr="004D2E7C">
              <w:rPr>
                <w:rFonts w:cs="Times New Roman"/>
                <w:lang w:val="en-GB"/>
              </w:rPr>
              <w:t>4. Before adopting a delegated act, the Commission shall consult experts designated by each Member State in accordance with the principles laid down in the Interinstitutional Agreement of 13 April 2016 on Better Law-Making. The consultation of Member States' experts shall take place after the consultation pursuant to Article 14.</w:t>
            </w:r>
          </w:p>
          <w:p w14:paraId="461881D0" w14:textId="77777777" w:rsidR="00F01ECE" w:rsidRPr="004D2E7C" w:rsidRDefault="00F01ECE" w:rsidP="00F01ECE">
            <w:pPr>
              <w:jc w:val="both"/>
              <w:rPr>
                <w:rFonts w:cs="Times New Roman"/>
                <w:lang w:val="en-GB"/>
              </w:rPr>
            </w:pPr>
            <w:r w:rsidRPr="004D2E7C">
              <w:rPr>
                <w:rFonts w:cs="Times New Roman"/>
                <w:lang w:val="en-GB"/>
              </w:rPr>
              <w:lastRenderedPageBreak/>
              <w:t>5. As soon as it adopts a delegated act, the Commission shall notify it simultaneously to the European Parliament and to the Council.</w:t>
            </w:r>
          </w:p>
          <w:p w14:paraId="461881D2" w14:textId="5FFD1695" w:rsidR="00F01ECE" w:rsidRPr="004D2E7C" w:rsidRDefault="00F01ECE" w:rsidP="00F01ECE">
            <w:pPr>
              <w:jc w:val="both"/>
              <w:rPr>
                <w:rFonts w:eastAsia="Times New Roman" w:cs="Times New Roman"/>
                <w:lang w:val="en-GB"/>
              </w:rPr>
            </w:pPr>
            <w:r w:rsidRPr="004D2E7C">
              <w:rPr>
                <w:rFonts w:cs="Times New Roman"/>
                <w:spacing w:val="-6"/>
                <w:lang w:val="en-GB"/>
              </w:rPr>
              <w:t>6. A delegated act adopted pursuant to Article 11(4) and (5) and Article 16 shall enter into force only if no objection has been expressed either by the European Parliament or the Council within a period of two months of notification of that act to the European Parliament and the Council or if, before the expiry of that period, the European Parliament and the Council have both informed the Commission that they will not object. That period may be extended by two months at the initiative of the European Parliament or of the Council.</w:t>
            </w:r>
          </w:p>
        </w:tc>
        <w:tc>
          <w:tcPr>
            <w:tcW w:w="325" w:type="pct"/>
          </w:tcPr>
          <w:p w14:paraId="461881D3" w14:textId="77777777" w:rsidR="00F01ECE" w:rsidRPr="004D2E7C" w:rsidRDefault="00F01ECE" w:rsidP="00F01ECE">
            <w:pPr>
              <w:rPr>
                <w:rFonts w:cs="Times New Roman"/>
                <w:lang w:val="sr-Cyrl-RS"/>
              </w:rPr>
            </w:pPr>
          </w:p>
        </w:tc>
        <w:tc>
          <w:tcPr>
            <w:tcW w:w="1296" w:type="pct"/>
          </w:tcPr>
          <w:p w14:paraId="461881D4" w14:textId="77777777" w:rsidR="00F01ECE" w:rsidRPr="004D2E7C" w:rsidRDefault="00F01ECE" w:rsidP="00F01ECE">
            <w:pPr>
              <w:rPr>
                <w:rFonts w:cs="Times New Roman"/>
                <w:lang w:val="sr-Cyrl-RS"/>
              </w:rPr>
            </w:pPr>
          </w:p>
        </w:tc>
        <w:tc>
          <w:tcPr>
            <w:tcW w:w="235" w:type="pct"/>
            <w:vAlign w:val="center"/>
          </w:tcPr>
          <w:p w14:paraId="461881D5" w14:textId="77777777" w:rsidR="00F01ECE" w:rsidRPr="004D2E7C" w:rsidRDefault="00F01ECE" w:rsidP="00F01ECE">
            <w:pPr>
              <w:jc w:val="center"/>
              <w:rPr>
                <w:rFonts w:cs="Times New Roman"/>
                <w:lang w:val="sr-Cyrl-RS"/>
              </w:rPr>
            </w:pPr>
            <w:r w:rsidRPr="004D2E7C">
              <w:rPr>
                <w:rFonts w:cs="Times New Roman"/>
                <w:lang w:val="sr-Cyrl-RS"/>
              </w:rPr>
              <w:t>НП</w:t>
            </w:r>
          </w:p>
        </w:tc>
        <w:tc>
          <w:tcPr>
            <w:tcW w:w="676" w:type="pct"/>
            <w:vAlign w:val="center"/>
          </w:tcPr>
          <w:p w14:paraId="461881D6" w14:textId="77777777" w:rsidR="00F01ECE" w:rsidRPr="004D2E7C" w:rsidRDefault="00F01ECE" w:rsidP="00F01ECE">
            <w:pPr>
              <w:rPr>
                <w:rFonts w:cs="Times New Roman"/>
                <w:lang w:val="sr-Cyrl-RS"/>
              </w:rPr>
            </w:pPr>
            <w:r w:rsidRPr="004D2E7C">
              <w:rPr>
                <w:rFonts w:cs="Times New Roman"/>
                <w:spacing w:val="-6"/>
                <w:lang w:val="sr-Cyrl-RS"/>
              </w:rPr>
              <w:t>Одредбе су процедуралног карактера</w:t>
            </w:r>
            <w:r w:rsidRPr="004D2E7C">
              <w:rPr>
                <w:rFonts w:cs="Times New Roman"/>
                <w:lang w:val="sr-Cyrl-RS"/>
              </w:rPr>
              <w:t xml:space="preserve">. </w:t>
            </w:r>
          </w:p>
        </w:tc>
        <w:tc>
          <w:tcPr>
            <w:tcW w:w="699" w:type="pct"/>
            <w:vAlign w:val="center"/>
          </w:tcPr>
          <w:p w14:paraId="461881D7" w14:textId="77777777" w:rsidR="00F01ECE" w:rsidRPr="004D2E7C" w:rsidRDefault="00F01ECE" w:rsidP="00F01ECE">
            <w:pPr>
              <w:rPr>
                <w:rFonts w:cs="Times New Roman"/>
                <w:lang w:val="sr-Cyrl-RS"/>
              </w:rPr>
            </w:pPr>
          </w:p>
        </w:tc>
      </w:tr>
      <w:tr w:rsidR="00F01ECE" w:rsidRPr="004D2E7C" w14:paraId="461881E4" w14:textId="77777777" w:rsidTr="006B3660">
        <w:tc>
          <w:tcPr>
            <w:tcW w:w="280" w:type="pct"/>
            <w:shd w:val="clear" w:color="auto" w:fill="D9D9D9"/>
            <w:vAlign w:val="center"/>
          </w:tcPr>
          <w:p w14:paraId="461881D9" w14:textId="77777777" w:rsidR="00F01ECE" w:rsidRPr="004D2E7C" w:rsidRDefault="00F01ECE" w:rsidP="00F01ECE">
            <w:pPr>
              <w:jc w:val="center"/>
              <w:rPr>
                <w:rFonts w:cs="Times New Roman"/>
                <w:lang w:val="sr-Cyrl-RS"/>
              </w:rPr>
            </w:pPr>
            <w:r w:rsidRPr="004D2E7C">
              <w:rPr>
                <w:rFonts w:cs="Times New Roman"/>
                <w:lang w:val="sr-Cyrl-RS"/>
              </w:rPr>
              <w:lastRenderedPageBreak/>
              <w:t>18.</w:t>
            </w:r>
          </w:p>
        </w:tc>
        <w:tc>
          <w:tcPr>
            <w:tcW w:w="1489" w:type="pct"/>
            <w:shd w:val="clear" w:color="auto" w:fill="D9D9D9"/>
            <w:vAlign w:val="center"/>
          </w:tcPr>
          <w:p w14:paraId="42686BDB" w14:textId="77777777" w:rsidR="00F01ECE" w:rsidRPr="009865DC" w:rsidRDefault="00F01ECE" w:rsidP="00F01ECE">
            <w:pPr>
              <w:jc w:val="both"/>
              <w:rPr>
                <w:rFonts w:cs="Times New Roman"/>
                <w:b/>
                <w:bCs/>
                <w:sz w:val="14"/>
                <w:szCs w:val="14"/>
                <w:lang w:val="en-GB"/>
              </w:rPr>
            </w:pPr>
          </w:p>
          <w:p w14:paraId="461881DA" w14:textId="5EE6416A" w:rsidR="00F01ECE" w:rsidRPr="004D2E7C" w:rsidRDefault="00F01ECE" w:rsidP="00F01ECE">
            <w:pPr>
              <w:jc w:val="both"/>
              <w:rPr>
                <w:rFonts w:cs="Times New Roman"/>
                <w:b/>
                <w:bCs/>
                <w:lang w:val="en-GB"/>
              </w:rPr>
            </w:pPr>
            <w:r w:rsidRPr="004D2E7C">
              <w:rPr>
                <w:rFonts w:cs="Times New Roman"/>
                <w:b/>
                <w:bCs/>
                <w:lang w:val="en-GB"/>
              </w:rPr>
              <w:t>Committee procedure</w:t>
            </w:r>
          </w:p>
          <w:p w14:paraId="461881DB" w14:textId="77777777" w:rsidR="00F01ECE" w:rsidRPr="009865DC" w:rsidRDefault="00F01ECE" w:rsidP="00F01ECE">
            <w:pPr>
              <w:jc w:val="both"/>
              <w:rPr>
                <w:rFonts w:cs="Times New Roman"/>
                <w:sz w:val="14"/>
                <w:szCs w:val="14"/>
                <w:lang w:val="en-GB"/>
              </w:rPr>
            </w:pPr>
          </w:p>
          <w:p w14:paraId="461881DC" w14:textId="77777777" w:rsidR="00F01ECE" w:rsidRPr="004D2E7C" w:rsidRDefault="00F01ECE" w:rsidP="00F01ECE">
            <w:pPr>
              <w:jc w:val="both"/>
              <w:rPr>
                <w:rFonts w:cs="Times New Roman"/>
                <w:lang w:val="en-GB"/>
              </w:rPr>
            </w:pPr>
            <w:r w:rsidRPr="004D2E7C">
              <w:rPr>
                <w:rFonts w:cs="Times New Roman"/>
                <w:lang w:val="en-GB"/>
              </w:rPr>
              <w:t>1. The Commission shall be assisted by the committee established by Article 19 of Directive 2009/125/EC. That committee shall be a committee within the meaning of Regulation (EU) No 182/2011.</w:t>
            </w:r>
          </w:p>
          <w:p w14:paraId="461881DE" w14:textId="79D62956" w:rsidR="00F01ECE" w:rsidRPr="004D2E7C" w:rsidRDefault="00F01ECE" w:rsidP="00F01ECE">
            <w:pPr>
              <w:jc w:val="both"/>
              <w:rPr>
                <w:rFonts w:cs="Times New Roman"/>
                <w:lang w:val="en-GB"/>
              </w:rPr>
            </w:pPr>
            <w:r w:rsidRPr="004D2E7C">
              <w:rPr>
                <w:rFonts w:cs="Times New Roman"/>
                <w:lang w:val="en-GB"/>
              </w:rPr>
              <w:t>2. Where reference is made to this paragraph, Article 5 of Regulation (EU) No 182/2011 shall apply.</w:t>
            </w:r>
          </w:p>
        </w:tc>
        <w:tc>
          <w:tcPr>
            <w:tcW w:w="325" w:type="pct"/>
          </w:tcPr>
          <w:p w14:paraId="461881DF" w14:textId="77777777" w:rsidR="00F01ECE" w:rsidRPr="004D2E7C" w:rsidRDefault="00F01ECE" w:rsidP="00F01ECE">
            <w:pPr>
              <w:rPr>
                <w:rFonts w:cs="Times New Roman"/>
                <w:lang w:val="sr-Cyrl-RS"/>
              </w:rPr>
            </w:pPr>
          </w:p>
        </w:tc>
        <w:tc>
          <w:tcPr>
            <w:tcW w:w="1296" w:type="pct"/>
          </w:tcPr>
          <w:p w14:paraId="461881E0" w14:textId="77777777" w:rsidR="00F01ECE" w:rsidRPr="004D2E7C" w:rsidRDefault="00F01ECE" w:rsidP="00F01ECE">
            <w:pPr>
              <w:rPr>
                <w:rFonts w:cs="Times New Roman"/>
                <w:lang w:val="sr-Cyrl-RS"/>
              </w:rPr>
            </w:pPr>
          </w:p>
        </w:tc>
        <w:tc>
          <w:tcPr>
            <w:tcW w:w="235" w:type="pct"/>
            <w:vAlign w:val="center"/>
          </w:tcPr>
          <w:p w14:paraId="461881E1" w14:textId="77777777" w:rsidR="00F01ECE" w:rsidRPr="004D2E7C" w:rsidRDefault="00F01ECE" w:rsidP="00F01ECE">
            <w:pPr>
              <w:jc w:val="center"/>
              <w:rPr>
                <w:rFonts w:cs="Times New Roman"/>
                <w:lang w:val="sr-Cyrl-RS"/>
              </w:rPr>
            </w:pPr>
            <w:r w:rsidRPr="004D2E7C">
              <w:rPr>
                <w:rFonts w:cs="Times New Roman"/>
                <w:lang w:val="sr-Cyrl-RS"/>
              </w:rPr>
              <w:t>НП</w:t>
            </w:r>
          </w:p>
        </w:tc>
        <w:tc>
          <w:tcPr>
            <w:tcW w:w="676" w:type="pct"/>
            <w:vAlign w:val="center"/>
          </w:tcPr>
          <w:p w14:paraId="461881E2" w14:textId="77777777" w:rsidR="00F01ECE" w:rsidRPr="004D2E7C" w:rsidRDefault="00F01ECE" w:rsidP="00F01ECE">
            <w:pPr>
              <w:rPr>
                <w:rFonts w:cs="Times New Roman"/>
                <w:lang w:val="sr-Cyrl-RS"/>
              </w:rPr>
            </w:pPr>
            <w:r w:rsidRPr="004D2E7C">
              <w:rPr>
                <w:rFonts w:cs="Times New Roman"/>
                <w:spacing w:val="-6"/>
                <w:lang w:val="sr-Cyrl-RS"/>
              </w:rPr>
              <w:t>Одредбе су процедуралног карактера</w:t>
            </w:r>
            <w:r w:rsidRPr="004D2E7C">
              <w:rPr>
                <w:rFonts w:cs="Times New Roman"/>
                <w:lang w:val="sr-Cyrl-RS"/>
              </w:rPr>
              <w:t>.</w:t>
            </w:r>
          </w:p>
        </w:tc>
        <w:tc>
          <w:tcPr>
            <w:tcW w:w="699" w:type="pct"/>
            <w:vAlign w:val="center"/>
          </w:tcPr>
          <w:p w14:paraId="461881E3" w14:textId="77777777" w:rsidR="00F01ECE" w:rsidRPr="004D2E7C" w:rsidRDefault="00F01ECE" w:rsidP="00F01ECE">
            <w:pPr>
              <w:rPr>
                <w:rFonts w:cs="Times New Roman"/>
                <w:lang w:val="sr-Cyrl-RS"/>
              </w:rPr>
            </w:pPr>
          </w:p>
        </w:tc>
      </w:tr>
      <w:tr w:rsidR="00F01ECE" w:rsidRPr="004D2E7C" w14:paraId="461881EF" w14:textId="77777777" w:rsidTr="006B3660">
        <w:tc>
          <w:tcPr>
            <w:tcW w:w="280" w:type="pct"/>
            <w:shd w:val="clear" w:color="auto" w:fill="D9D9D9"/>
            <w:vAlign w:val="center"/>
          </w:tcPr>
          <w:p w14:paraId="461881E5" w14:textId="77777777" w:rsidR="00F01ECE" w:rsidRPr="004D2E7C" w:rsidRDefault="00F01ECE" w:rsidP="00F01ECE">
            <w:pPr>
              <w:jc w:val="center"/>
              <w:rPr>
                <w:rFonts w:cs="Times New Roman"/>
                <w:lang w:val="sr-Cyrl-RS"/>
              </w:rPr>
            </w:pPr>
            <w:r w:rsidRPr="004D2E7C">
              <w:rPr>
                <w:rFonts w:cs="Times New Roman"/>
                <w:lang w:val="sr-Cyrl-RS"/>
              </w:rPr>
              <w:t>19.</w:t>
            </w:r>
          </w:p>
        </w:tc>
        <w:tc>
          <w:tcPr>
            <w:tcW w:w="1489" w:type="pct"/>
            <w:shd w:val="clear" w:color="auto" w:fill="D9D9D9"/>
            <w:vAlign w:val="center"/>
          </w:tcPr>
          <w:p w14:paraId="35001304" w14:textId="77777777" w:rsidR="00F01ECE" w:rsidRPr="009865DC" w:rsidRDefault="00F01ECE" w:rsidP="00F01ECE">
            <w:pPr>
              <w:jc w:val="both"/>
              <w:rPr>
                <w:rFonts w:cs="Times New Roman"/>
                <w:b/>
                <w:bCs/>
                <w:sz w:val="14"/>
                <w:szCs w:val="14"/>
                <w:lang w:val="en-GB"/>
              </w:rPr>
            </w:pPr>
          </w:p>
          <w:p w14:paraId="461881E6" w14:textId="0425B0E6" w:rsidR="00F01ECE" w:rsidRPr="004D2E7C" w:rsidRDefault="00F01ECE" w:rsidP="00F01ECE">
            <w:pPr>
              <w:jc w:val="both"/>
              <w:rPr>
                <w:rFonts w:cs="Times New Roman"/>
                <w:b/>
                <w:bCs/>
                <w:lang w:val="en-GB"/>
              </w:rPr>
            </w:pPr>
            <w:r w:rsidRPr="004D2E7C">
              <w:rPr>
                <w:rFonts w:cs="Times New Roman"/>
                <w:b/>
                <w:bCs/>
                <w:lang w:val="en-GB"/>
              </w:rPr>
              <w:t>Evaluation and report</w:t>
            </w:r>
          </w:p>
          <w:p w14:paraId="461881E7" w14:textId="77777777" w:rsidR="00F01ECE" w:rsidRPr="009865DC" w:rsidRDefault="00F01ECE" w:rsidP="00F01ECE">
            <w:pPr>
              <w:jc w:val="both"/>
              <w:rPr>
                <w:rFonts w:cs="Times New Roman"/>
                <w:sz w:val="14"/>
                <w:szCs w:val="14"/>
                <w:lang w:val="en-GB"/>
              </w:rPr>
            </w:pPr>
          </w:p>
          <w:p w14:paraId="461881E9" w14:textId="25DE2FDC" w:rsidR="00F01ECE" w:rsidRPr="004D2E7C" w:rsidRDefault="00F01ECE" w:rsidP="00F01ECE">
            <w:pPr>
              <w:jc w:val="both"/>
              <w:rPr>
                <w:rFonts w:cs="Times New Roman"/>
                <w:lang w:val="en-GB"/>
              </w:rPr>
            </w:pPr>
            <w:r w:rsidRPr="004D2E7C">
              <w:rPr>
                <w:rFonts w:cs="Times New Roman"/>
                <w:lang w:val="en-GB"/>
              </w:rPr>
              <w:t xml:space="preserve">By 2 August 2025, the Commission shall assess the implementation of this Regulation and submit a report to the European Parliament and to the Council. That report shall assess how effectively this Regulation and the delegated and implementing acts adopted pursuant thereto have allowed customers to choose more efficient products, taking </w:t>
            </w:r>
            <w:r w:rsidRPr="004D2E7C">
              <w:rPr>
                <w:rFonts w:cs="Times New Roman"/>
                <w:lang w:val="en-GB"/>
              </w:rPr>
              <w:lastRenderedPageBreak/>
              <w:t>into account its impacts on business, energy consumption, greenhouse gas emissions, market surveillance activities, and the cost to establish and maintain the database.</w:t>
            </w:r>
          </w:p>
        </w:tc>
        <w:tc>
          <w:tcPr>
            <w:tcW w:w="325" w:type="pct"/>
          </w:tcPr>
          <w:p w14:paraId="461881EA" w14:textId="77777777" w:rsidR="00F01ECE" w:rsidRPr="004D2E7C" w:rsidRDefault="00F01ECE" w:rsidP="00F01ECE">
            <w:pPr>
              <w:rPr>
                <w:rFonts w:cs="Times New Roman"/>
                <w:lang w:val="sr-Cyrl-RS"/>
              </w:rPr>
            </w:pPr>
          </w:p>
        </w:tc>
        <w:tc>
          <w:tcPr>
            <w:tcW w:w="1296" w:type="pct"/>
          </w:tcPr>
          <w:p w14:paraId="461881EB" w14:textId="77777777" w:rsidR="00F01ECE" w:rsidRPr="004D2E7C" w:rsidRDefault="00F01ECE" w:rsidP="00F01ECE">
            <w:pPr>
              <w:rPr>
                <w:rFonts w:cs="Times New Roman"/>
                <w:lang w:val="sr-Cyrl-RS"/>
              </w:rPr>
            </w:pPr>
          </w:p>
        </w:tc>
        <w:tc>
          <w:tcPr>
            <w:tcW w:w="235" w:type="pct"/>
            <w:vAlign w:val="center"/>
          </w:tcPr>
          <w:p w14:paraId="461881EC" w14:textId="77777777" w:rsidR="00F01ECE" w:rsidRPr="004D2E7C" w:rsidRDefault="00F01ECE" w:rsidP="00F01ECE">
            <w:pPr>
              <w:jc w:val="center"/>
              <w:rPr>
                <w:rFonts w:cs="Times New Roman"/>
                <w:lang w:val="sr-Cyrl-RS"/>
              </w:rPr>
            </w:pPr>
            <w:r w:rsidRPr="004D2E7C">
              <w:rPr>
                <w:rFonts w:cs="Times New Roman"/>
                <w:lang w:val="sr-Cyrl-RS"/>
              </w:rPr>
              <w:t>НП</w:t>
            </w:r>
          </w:p>
        </w:tc>
        <w:tc>
          <w:tcPr>
            <w:tcW w:w="676" w:type="pct"/>
            <w:vAlign w:val="center"/>
          </w:tcPr>
          <w:p w14:paraId="461881ED" w14:textId="77777777" w:rsidR="00F01ECE" w:rsidRPr="004D2E7C" w:rsidRDefault="00F01ECE" w:rsidP="00F01ECE">
            <w:pPr>
              <w:rPr>
                <w:rFonts w:cs="Times New Roman"/>
                <w:lang w:val="sr-Cyrl-RS"/>
              </w:rPr>
            </w:pPr>
            <w:r w:rsidRPr="004D2E7C">
              <w:rPr>
                <w:rFonts w:cs="Times New Roman"/>
                <w:spacing w:val="-6"/>
                <w:lang w:val="sr-Cyrl-RS"/>
              </w:rPr>
              <w:t>Одредба се односи на обавезе Европске комисије</w:t>
            </w:r>
            <w:r w:rsidRPr="004D2E7C">
              <w:rPr>
                <w:rFonts w:cs="Times New Roman"/>
                <w:lang w:val="sr-Cyrl-RS"/>
              </w:rPr>
              <w:t>.</w:t>
            </w:r>
          </w:p>
        </w:tc>
        <w:tc>
          <w:tcPr>
            <w:tcW w:w="699" w:type="pct"/>
            <w:vAlign w:val="center"/>
          </w:tcPr>
          <w:p w14:paraId="461881EE" w14:textId="77777777" w:rsidR="00F01ECE" w:rsidRPr="004D2E7C" w:rsidRDefault="00F01ECE" w:rsidP="00F01ECE">
            <w:pPr>
              <w:rPr>
                <w:rFonts w:cs="Times New Roman"/>
                <w:lang w:val="sr-Cyrl-RS"/>
              </w:rPr>
            </w:pPr>
          </w:p>
        </w:tc>
      </w:tr>
      <w:tr w:rsidR="00F01ECE" w:rsidRPr="004D2E7C" w14:paraId="461881FF" w14:textId="77777777" w:rsidTr="006B3660">
        <w:tc>
          <w:tcPr>
            <w:tcW w:w="280" w:type="pct"/>
            <w:shd w:val="clear" w:color="auto" w:fill="D9D9D9"/>
            <w:vAlign w:val="center"/>
          </w:tcPr>
          <w:p w14:paraId="461881F0" w14:textId="77777777" w:rsidR="00F01ECE" w:rsidRPr="004D2E7C" w:rsidRDefault="00F01ECE" w:rsidP="00F01ECE">
            <w:pPr>
              <w:jc w:val="center"/>
              <w:rPr>
                <w:rFonts w:eastAsia="Times New Roman" w:cs="Times New Roman"/>
                <w:lang w:val="sr-Cyrl-RS"/>
              </w:rPr>
            </w:pPr>
            <w:r w:rsidRPr="004D2E7C">
              <w:rPr>
                <w:rFonts w:cs="Times New Roman"/>
                <w:lang w:val="sr-Cyrl-RS"/>
              </w:rPr>
              <w:lastRenderedPageBreak/>
              <w:t>20.</w:t>
            </w:r>
          </w:p>
        </w:tc>
        <w:tc>
          <w:tcPr>
            <w:tcW w:w="1489" w:type="pct"/>
            <w:shd w:val="clear" w:color="auto" w:fill="D9D9D9"/>
            <w:vAlign w:val="center"/>
          </w:tcPr>
          <w:p w14:paraId="461881F1" w14:textId="77777777" w:rsidR="00F01ECE" w:rsidRPr="004D2E7C" w:rsidRDefault="00F01ECE" w:rsidP="009865DC">
            <w:pPr>
              <w:spacing w:before="120"/>
              <w:jc w:val="both"/>
              <w:rPr>
                <w:rFonts w:cs="Times New Roman"/>
                <w:b/>
                <w:bCs/>
                <w:lang w:val="en-GB"/>
              </w:rPr>
            </w:pPr>
            <w:r w:rsidRPr="004D2E7C">
              <w:rPr>
                <w:rFonts w:cs="Times New Roman"/>
                <w:b/>
                <w:bCs/>
                <w:lang w:val="en-GB"/>
              </w:rPr>
              <w:t>Repeal and transitional measures</w:t>
            </w:r>
          </w:p>
          <w:p w14:paraId="461881F2" w14:textId="77777777" w:rsidR="00F01ECE" w:rsidRPr="009865DC" w:rsidRDefault="00F01ECE" w:rsidP="00F01ECE">
            <w:pPr>
              <w:jc w:val="both"/>
              <w:rPr>
                <w:rFonts w:cs="Times New Roman"/>
                <w:sz w:val="14"/>
                <w:szCs w:val="14"/>
                <w:lang w:val="en-GB"/>
              </w:rPr>
            </w:pPr>
          </w:p>
          <w:p w14:paraId="461881F3" w14:textId="77777777" w:rsidR="00F01ECE" w:rsidRPr="004D2E7C" w:rsidRDefault="00F01ECE" w:rsidP="00F01ECE">
            <w:pPr>
              <w:jc w:val="both"/>
              <w:rPr>
                <w:rFonts w:cs="Times New Roman"/>
                <w:lang w:val="en-GB"/>
              </w:rPr>
            </w:pPr>
            <w:r w:rsidRPr="004D2E7C">
              <w:rPr>
                <w:rFonts w:cs="Times New Roman"/>
                <w:lang w:val="en-GB"/>
              </w:rPr>
              <w:t>1. Directive 2010/30/EU is repealed with effect from 1 August 2017.</w:t>
            </w:r>
          </w:p>
          <w:p w14:paraId="461881F4" w14:textId="77777777" w:rsidR="00F01ECE" w:rsidRPr="004D2E7C" w:rsidRDefault="00F01ECE" w:rsidP="00F01ECE">
            <w:pPr>
              <w:jc w:val="both"/>
              <w:rPr>
                <w:rFonts w:cs="Times New Roman"/>
                <w:lang w:val="en-GB"/>
              </w:rPr>
            </w:pPr>
            <w:r w:rsidRPr="004D2E7C">
              <w:rPr>
                <w:rFonts w:cs="Times New Roman"/>
                <w:lang w:val="en-GB"/>
              </w:rPr>
              <w:t>2. References to the repealed Directive shall be construed as references to this Regulation and shall be read in accordance with the correlation table set out in Annex II.</w:t>
            </w:r>
          </w:p>
          <w:p w14:paraId="461881F5" w14:textId="77777777" w:rsidR="00F01ECE" w:rsidRPr="004D2E7C" w:rsidRDefault="00F01ECE" w:rsidP="00F01ECE">
            <w:pPr>
              <w:jc w:val="both"/>
              <w:rPr>
                <w:rFonts w:cs="Times New Roman"/>
                <w:lang w:val="en-GB"/>
              </w:rPr>
            </w:pPr>
            <w:r w:rsidRPr="004D2E7C">
              <w:rPr>
                <w:rFonts w:cs="Times New Roman"/>
                <w:lang w:val="en-GB"/>
              </w:rPr>
              <w:t>3. For models, the units of which were placed on the market or put into service in accordance with Directive 2010/30/EU before 1 August 2017, the supplier shall, for a period ending five years after the final unit was manufactured, make an electronic version of the technical documentation available for inspection within 10 days of a request received from market surveillance authorities or the Commission.</w:t>
            </w:r>
          </w:p>
          <w:p w14:paraId="461881F6" w14:textId="77777777" w:rsidR="00F01ECE" w:rsidRPr="004D2E7C" w:rsidRDefault="00F01ECE" w:rsidP="00F01ECE">
            <w:pPr>
              <w:jc w:val="both"/>
              <w:rPr>
                <w:rFonts w:cs="Times New Roman"/>
                <w:lang w:val="en-GB"/>
              </w:rPr>
            </w:pPr>
            <w:r w:rsidRPr="004D2E7C">
              <w:rPr>
                <w:rFonts w:cs="Times New Roman"/>
                <w:lang w:val="en-GB"/>
              </w:rPr>
              <w:t>4. Delegated acts adopted pursuant to Article 10 of Directive 2010/30/EU and Directive 96/60/EC shall remain in force until they are repealed by a delegated act adopted pursuant to Article 16 of this Regulation covering the relevant product group.</w:t>
            </w:r>
          </w:p>
          <w:p w14:paraId="461881F7" w14:textId="77777777" w:rsidR="00F01ECE" w:rsidRPr="004D2E7C" w:rsidRDefault="00F01ECE" w:rsidP="00F01ECE">
            <w:pPr>
              <w:jc w:val="both"/>
              <w:rPr>
                <w:rFonts w:cs="Times New Roman"/>
                <w:lang w:val="en-GB"/>
              </w:rPr>
            </w:pPr>
            <w:r w:rsidRPr="004D2E7C">
              <w:rPr>
                <w:rFonts w:cs="Times New Roman"/>
                <w:lang w:val="en-GB"/>
              </w:rPr>
              <w:t>Obligations under this Regulation shall apply in relation to product groups covered by delegated acts adopted pursuant to Article 10 of Directive 2010/30/EU and by Directive 96/60/EC.</w:t>
            </w:r>
          </w:p>
          <w:p w14:paraId="461881F8" w14:textId="77777777" w:rsidR="00F01ECE" w:rsidRPr="004D2E7C" w:rsidRDefault="00F01ECE" w:rsidP="00F01ECE">
            <w:pPr>
              <w:jc w:val="both"/>
              <w:rPr>
                <w:rFonts w:eastAsia="Times New Roman" w:cs="Times New Roman"/>
                <w:lang w:val="en-GB"/>
              </w:rPr>
            </w:pPr>
            <w:r w:rsidRPr="004D2E7C">
              <w:rPr>
                <w:rFonts w:cs="Times New Roman"/>
                <w:lang w:val="en-GB"/>
              </w:rPr>
              <w:t xml:space="preserve">5. With regard to product groups already covered by delegated acts adopted pursuant to Article 10 of Directive 2010/30/EU, or by Directive 96/60/EC, </w:t>
            </w:r>
            <w:r w:rsidRPr="004D2E7C">
              <w:rPr>
                <w:rFonts w:cs="Times New Roman"/>
                <w:lang w:val="en-GB"/>
              </w:rPr>
              <w:lastRenderedPageBreak/>
              <w:t>where the Commission adopts delegated acts pursuant to Article 16 of this Regulation, the energy efficiency classification established by Directive 2010/30/EU may, by way of derogation from point (b) of Article 16(3) of this Regulation, continue to apply until the date on which the delegated acts introducing rescaled labels pursuant to Article 11 of this Regulation become applicable.</w:t>
            </w:r>
          </w:p>
          <w:p w14:paraId="461881F9" w14:textId="77777777" w:rsidR="00F01ECE" w:rsidRPr="004D2E7C" w:rsidRDefault="00F01ECE" w:rsidP="00F01ECE">
            <w:pPr>
              <w:jc w:val="both"/>
              <w:rPr>
                <w:rFonts w:eastAsia="Times New Roman" w:cs="Times New Roman"/>
                <w:lang w:val="en-GB"/>
              </w:rPr>
            </w:pPr>
          </w:p>
        </w:tc>
        <w:tc>
          <w:tcPr>
            <w:tcW w:w="325" w:type="pct"/>
          </w:tcPr>
          <w:p w14:paraId="461881FA" w14:textId="77777777" w:rsidR="00F01ECE" w:rsidRPr="004D2E7C" w:rsidRDefault="00F01ECE" w:rsidP="00F01ECE">
            <w:pPr>
              <w:rPr>
                <w:rFonts w:cs="Times New Roman"/>
                <w:lang w:val="sr-Cyrl-RS"/>
              </w:rPr>
            </w:pPr>
          </w:p>
        </w:tc>
        <w:tc>
          <w:tcPr>
            <w:tcW w:w="1296" w:type="pct"/>
          </w:tcPr>
          <w:p w14:paraId="461881FB" w14:textId="77777777" w:rsidR="00F01ECE" w:rsidRPr="004D2E7C" w:rsidRDefault="00F01ECE" w:rsidP="00F01ECE">
            <w:pPr>
              <w:rPr>
                <w:rFonts w:cs="Times New Roman"/>
                <w:lang w:val="sr-Cyrl-RS"/>
              </w:rPr>
            </w:pPr>
          </w:p>
        </w:tc>
        <w:tc>
          <w:tcPr>
            <w:tcW w:w="235" w:type="pct"/>
            <w:vAlign w:val="center"/>
          </w:tcPr>
          <w:p w14:paraId="461881FC" w14:textId="77777777" w:rsidR="00F01ECE" w:rsidRPr="004D2E7C" w:rsidRDefault="00F01ECE" w:rsidP="00F01ECE">
            <w:pPr>
              <w:jc w:val="center"/>
              <w:rPr>
                <w:rFonts w:cs="Times New Roman"/>
                <w:lang w:val="sr-Cyrl-RS"/>
              </w:rPr>
            </w:pPr>
            <w:r w:rsidRPr="004D2E7C">
              <w:rPr>
                <w:rFonts w:cs="Times New Roman"/>
                <w:lang w:val="sr-Cyrl-RS"/>
              </w:rPr>
              <w:t>НП</w:t>
            </w:r>
          </w:p>
        </w:tc>
        <w:tc>
          <w:tcPr>
            <w:tcW w:w="676" w:type="pct"/>
            <w:vAlign w:val="center"/>
          </w:tcPr>
          <w:p w14:paraId="461881FD" w14:textId="77777777" w:rsidR="00F01ECE" w:rsidRPr="004D2E7C" w:rsidRDefault="00F01ECE" w:rsidP="00F01ECE">
            <w:pPr>
              <w:rPr>
                <w:rFonts w:cs="Times New Roman"/>
                <w:lang w:val="sr-Cyrl-RS"/>
              </w:rPr>
            </w:pPr>
            <w:r w:rsidRPr="004D2E7C">
              <w:rPr>
                <w:rFonts w:cs="Times New Roman"/>
                <w:lang w:val="sr-Cyrl-RS"/>
              </w:rPr>
              <w:t>Одредбе су процедуралног карактера.</w:t>
            </w:r>
          </w:p>
        </w:tc>
        <w:tc>
          <w:tcPr>
            <w:tcW w:w="699" w:type="pct"/>
            <w:vAlign w:val="center"/>
          </w:tcPr>
          <w:p w14:paraId="461881FE" w14:textId="77777777" w:rsidR="00F01ECE" w:rsidRPr="004D2E7C" w:rsidRDefault="00F01ECE" w:rsidP="00F01ECE">
            <w:pPr>
              <w:rPr>
                <w:rFonts w:cs="Times New Roman"/>
                <w:lang w:val="sr-Cyrl-RS"/>
              </w:rPr>
            </w:pPr>
          </w:p>
        </w:tc>
      </w:tr>
      <w:tr w:rsidR="00F01ECE" w:rsidRPr="004D2E7C" w14:paraId="4618820D" w14:textId="77777777" w:rsidTr="006B3660">
        <w:tc>
          <w:tcPr>
            <w:tcW w:w="280" w:type="pct"/>
            <w:shd w:val="clear" w:color="auto" w:fill="D9D9D9"/>
            <w:vAlign w:val="center"/>
          </w:tcPr>
          <w:p w14:paraId="46188200" w14:textId="77777777" w:rsidR="00F01ECE" w:rsidRPr="004D2E7C" w:rsidRDefault="00F01ECE" w:rsidP="00F01ECE">
            <w:pPr>
              <w:jc w:val="center"/>
              <w:rPr>
                <w:rFonts w:cs="Times New Roman"/>
                <w:lang w:val="sr-Cyrl-RS"/>
              </w:rPr>
            </w:pPr>
            <w:r w:rsidRPr="004D2E7C">
              <w:rPr>
                <w:rFonts w:cs="Times New Roman"/>
                <w:lang w:val="sr-Cyrl-RS"/>
              </w:rPr>
              <w:lastRenderedPageBreak/>
              <w:t>21.</w:t>
            </w:r>
          </w:p>
        </w:tc>
        <w:tc>
          <w:tcPr>
            <w:tcW w:w="1489" w:type="pct"/>
            <w:shd w:val="clear" w:color="auto" w:fill="D9D9D9"/>
            <w:vAlign w:val="center"/>
          </w:tcPr>
          <w:p w14:paraId="46188201" w14:textId="77777777" w:rsidR="00F01ECE" w:rsidRPr="004D2E7C" w:rsidRDefault="00F01ECE" w:rsidP="00F01ECE">
            <w:pPr>
              <w:jc w:val="both"/>
              <w:rPr>
                <w:rFonts w:cs="Times New Roman"/>
                <w:b/>
                <w:bCs/>
                <w:lang w:val="en-GB"/>
              </w:rPr>
            </w:pPr>
            <w:r w:rsidRPr="004D2E7C">
              <w:rPr>
                <w:rFonts w:cs="Times New Roman"/>
                <w:b/>
                <w:bCs/>
                <w:lang w:val="en-GB"/>
              </w:rPr>
              <w:t>Entry into force and application</w:t>
            </w:r>
          </w:p>
          <w:p w14:paraId="46188202" w14:textId="77777777" w:rsidR="00F01ECE" w:rsidRPr="004D2E7C" w:rsidRDefault="00F01ECE" w:rsidP="00F01ECE">
            <w:pPr>
              <w:pStyle w:val="Normal1"/>
              <w:spacing w:before="0" w:beforeAutospacing="0" w:after="0" w:afterAutospacing="0"/>
              <w:jc w:val="both"/>
              <w:rPr>
                <w:sz w:val="22"/>
                <w:szCs w:val="22"/>
                <w:lang w:val="en-GB"/>
              </w:rPr>
            </w:pPr>
          </w:p>
          <w:p w14:paraId="46188203" w14:textId="77777777" w:rsidR="00F01ECE" w:rsidRPr="004D2E7C" w:rsidRDefault="00F01ECE" w:rsidP="00F01ECE">
            <w:pPr>
              <w:pStyle w:val="Normal1"/>
              <w:spacing w:before="0" w:beforeAutospacing="0" w:after="0" w:afterAutospacing="0"/>
              <w:jc w:val="both"/>
              <w:rPr>
                <w:sz w:val="22"/>
                <w:szCs w:val="22"/>
                <w:lang w:val="en-GB"/>
              </w:rPr>
            </w:pPr>
            <w:r w:rsidRPr="004D2E7C">
              <w:rPr>
                <w:sz w:val="22"/>
                <w:szCs w:val="22"/>
                <w:lang w:val="en-GB"/>
              </w:rPr>
              <w:t xml:space="preserve">This Regulation shall enter into force on the fourth day following that of its publication in the </w:t>
            </w:r>
            <w:r w:rsidRPr="004D2E7C">
              <w:rPr>
                <w:rStyle w:val="italic"/>
                <w:sz w:val="22"/>
                <w:szCs w:val="22"/>
                <w:lang w:val="en-GB"/>
              </w:rPr>
              <w:t>Official Journal of the European Union</w:t>
            </w:r>
            <w:r w:rsidRPr="004D2E7C">
              <w:rPr>
                <w:sz w:val="22"/>
                <w:szCs w:val="22"/>
                <w:lang w:val="en-GB"/>
              </w:rPr>
              <w:t>.</w:t>
            </w:r>
          </w:p>
          <w:p w14:paraId="46188204" w14:textId="77777777" w:rsidR="00F01ECE" w:rsidRPr="004D2E7C" w:rsidRDefault="00F01ECE" w:rsidP="00F01ECE">
            <w:pPr>
              <w:pStyle w:val="Normal1"/>
              <w:spacing w:before="0" w:beforeAutospacing="0" w:after="0" w:afterAutospacing="0"/>
              <w:jc w:val="both"/>
              <w:rPr>
                <w:sz w:val="22"/>
                <w:szCs w:val="22"/>
                <w:lang w:val="en-GB"/>
              </w:rPr>
            </w:pPr>
            <w:r w:rsidRPr="004D2E7C">
              <w:rPr>
                <w:sz w:val="22"/>
                <w:szCs w:val="22"/>
                <w:lang w:val="en-GB"/>
              </w:rPr>
              <w:t>It shall apply from 1 August 2017.</w:t>
            </w:r>
          </w:p>
          <w:p w14:paraId="46188205" w14:textId="77777777" w:rsidR="00F01ECE" w:rsidRPr="004D2E7C" w:rsidRDefault="00F01ECE" w:rsidP="00F01ECE">
            <w:pPr>
              <w:pStyle w:val="Normal1"/>
              <w:spacing w:before="0" w:beforeAutospacing="0" w:after="0" w:afterAutospacing="0"/>
              <w:jc w:val="both"/>
              <w:rPr>
                <w:sz w:val="22"/>
                <w:szCs w:val="22"/>
                <w:lang w:val="en-GB"/>
              </w:rPr>
            </w:pPr>
            <w:r w:rsidRPr="004D2E7C">
              <w:rPr>
                <w:sz w:val="22"/>
                <w:szCs w:val="22"/>
                <w:lang w:val="en-GB"/>
              </w:rPr>
              <w:t>By way of derogation from the second paragraph, Article 4 concerning the obligations of suppliers in relation to the product database shall apply from 1 January 2019.</w:t>
            </w:r>
          </w:p>
          <w:p w14:paraId="46188207" w14:textId="5A0EC844" w:rsidR="00F01ECE" w:rsidRPr="004D2E7C" w:rsidRDefault="00F01ECE" w:rsidP="00F01ECE">
            <w:pPr>
              <w:jc w:val="both"/>
              <w:rPr>
                <w:rFonts w:cs="Times New Roman"/>
                <w:lang w:val="en-GB"/>
              </w:rPr>
            </w:pPr>
            <w:r w:rsidRPr="004D2E7C">
              <w:rPr>
                <w:rFonts w:cs="Times New Roman"/>
                <w:lang w:val="en-GB"/>
              </w:rPr>
              <w:t>This Regulation shall be binding in its entirety and directly applicable in all Member States.</w:t>
            </w:r>
          </w:p>
        </w:tc>
        <w:tc>
          <w:tcPr>
            <w:tcW w:w="325" w:type="pct"/>
          </w:tcPr>
          <w:p w14:paraId="46188208" w14:textId="77777777" w:rsidR="00F01ECE" w:rsidRPr="004D2E7C" w:rsidRDefault="00F01ECE" w:rsidP="00F01ECE">
            <w:pPr>
              <w:rPr>
                <w:rFonts w:cs="Times New Roman"/>
                <w:lang w:val="sr-Cyrl-RS"/>
              </w:rPr>
            </w:pPr>
          </w:p>
        </w:tc>
        <w:tc>
          <w:tcPr>
            <w:tcW w:w="1296" w:type="pct"/>
          </w:tcPr>
          <w:p w14:paraId="46188209" w14:textId="77777777" w:rsidR="00F01ECE" w:rsidRPr="004D2E7C" w:rsidRDefault="00F01ECE" w:rsidP="00F01ECE">
            <w:pPr>
              <w:rPr>
                <w:rFonts w:cs="Times New Roman"/>
                <w:lang w:val="sr-Cyrl-RS"/>
              </w:rPr>
            </w:pPr>
          </w:p>
        </w:tc>
        <w:tc>
          <w:tcPr>
            <w:tcW w:w="235" w:type="pct"/>
            <w:vAlign w:val="center"/>
          </w:tcPr>
          <w:p w14:paraId="4618820A" w14:textId="77777777" w:rsidR="00F01ECE" w:rsidRPr="004D2E7C" w:rsidRDefault="00F01ECE" w:rsidP="00F01ECE">
            <w:pPr>
              <w:jc w:val="center"/>
              <w:rPr>
                <w:rFonts w:cs="Times New Roman"/>
                <w:lang w:val="sr-Cyrl-RS"/>
              </w:rPr>
            </w:pPr>
            <w:r w:rsidRPr="004D2E7C">
              <w:rPr>
                <w:rFonts w:cs="Times New Roman"/>
                <w:lang w:val="sr-Cyrl-RS"/>
              </w:rPr>
              <w:t>НП</w:t>
            </w:r>
          </w:p>
        </w:tc>
        <w:tc>
          <w:tcPr>
            <w:tcW w:w="676" w:type="pct"/>
            <w:vAlign w:val="center"/>
          </w:tcPr>
          <w:p w14:paraId="4618820B" w14:textId="77777777" w:rsidR="00F01ECE" w:rsidRPr="004D2E7C" w:rsidRDefault="00F01ECE" w:rsidP="00F01ECE">
            <w:pPr>
              <w:rPr>
                <w:rFonts w:cs="Times New Roman"/>
                <w:lang w:val="sr-Cyrl-RS"/>
              </w:rPr>
            </w:pPr>
            <w:r w:rsidRPr="004D2E7C">
              <w:rPr>
                <w:rFonts w:cs="Times New Roman"/>
                <w:spacing w:val="-6"/>
                <w:lang w:val="sr-Cyrl-RS"/>
              </w:rPr>
              <w:t>Одредбе су процедуралног карактера.</w:t>
            </w:r>
          </w:p>
        </w:tc>
        <w:tc>
          <w:tcPr>
            <w:tcW w:w="699" w:type="pct"/>
            <w:vAlign w:val="center"/>
          </w:tcPr>
          <w:p w14:paraId="4618820C" w14:textId="77777777" w:rsidR="00F01ECE" w:rsidRPr="004D2E7C" w:rsidRDefault="00F01ECE" w:rsidP="00F01ECE">
            <w:pPr>
              <w:rPr>
                <w:rFonts w:cs="Times New Roman"/>
                <w:lang w:val="sr-Cyrl-RS"/>
              </w:rPr>
            </w:pPr>
          </w:p>
        </w:tc>
      </w:tr>
      <w:tr w:rsidR="00F01ECE" w:rsidRPr="004D2E7C" w14:paraId="46188217" w14:textId="77777777" w:rsidTr="006B3660">
        <w:tc>
          <w:tcPr>
            <w:tcW w:w="280" w:type="pct"/>
            <w:shd w:val="clear" w:color="auto" w:fill="D9D9D9"/>
            <w:vAlign w:val="center"/>
          </w:tcPr>
          <w:p w14:paraId="4618820E" w14:textId="77777777" w:rsidR="00F01ECE" w:rsidRPr="004D2E7C" w:rsidRDefault="00F01ECE" w:rsidP="00F01ECE">
            <w:pPr>
              <w:jc w:val="center"/>
              <w:rPr>
                <w:rFonts w:cs="Times New Roman"/>
                <w:lang w:val="sr-Cyrl-RS"/>
              </w:rPr>
            </w:pPr>
            <w:r w:rsidRPr="004D2E7C">
              <w:rPr>
                <w:rFonts w:eastAsia="Times New Roman" w:cs="Times New Roman"/>
                <w:lang w:val="sr-Cyrl-RS"/>
              </w:rPr>
              <w:t>Annex</w:t>
            </w:r>
            <w:r w:rsidRPr="004D2E7C">
              <w:rPr>
                <w:rFonts w:cs="Times New Roman"/>
                <w:lang w:val="sr-Cyrl-RS"/>
              </w:rPr>
              <w:t xml:space="preserve"> I</w:t>
            </w:r>
          </w:p>
        </w:tc>
        <w:tc>
          <w:tcPr>
            <w:tcW w:w="1489" w:type="pct"/>
            <w:shd w:val="clear" w:color="auto" w:fill="D9D9D9"/>
            <w:vAlign w:val="center"/>
          </w:tcPr>
          <w:p w14:paraId="4618820F" w14:textId="77777777" w:rsidR="00F01ECE" w:rsidRPr="004D2E7C" w:rsidRDefault="00F01ECE" w:rsidP="00F01ECE">
            <w:pPr>
              <w:jc w:val="both"/>
              <w:rPr>
                <w:rStyle w:val="bold"/>
                <w:rFonts w:cs="Times New Roman"/>
                <w:lang w:val="en-GB"/>
              </w:rPr>
            </w:pPr>
          </w:p>
          <w:p w14:paraId="46188210" w14:textId="77777777" w:rsidR="00F01ECE" w:rsidRPr="004D2E7C" w:rsidRDefault="00F01ECE" w:rsidP="00F01ECE">
            <w:pPr>
              <w:jc w:val="both"/>
              <w:rPr>
                <w:rFonts w:cs="Times New Roman"/>
                <w:lang w:val="en-GB"/>
              </w:rPr>
            </w:pPr>
            <w:r w:rsidRPr="004D2E7C">
              <w:rPr>
                <w:rStyle w:val="bold"/>
                <w:rFonts w:cs="Times New Roman"/>
                <w:lang w:val="en-GB"/>
              </w:rPr>
              <w:t>Information to be entered in the product database and functional criteria for the public part of the database</w:t>
            </w:r>
          </w:p>
          <w:p w14:paraId="46188211" w14:textId="77777777" w:rsidR="00F01ECE" w:rsidRPr="004D2E7C" w:rsidRDefault="00F01ECE" w:rsidP="00F01ECE">
            <w:pPr>
              <w:jc w:val="both"/>
              <w:rPr>
                <w:rFonts w:cs="Times New Roman"/>
                <w:vanish/>
                <w:lang w:val="en-GB"/>
              </w:rPr>
            </w:pPr>
          </w:p>
        </w:tc>
        <w:tc>
          <w:tcPr>
            <w:tcW w:w="325" w:type="pct"/>
          </w:tcPr>
          <w:p w14:paraId="46188212" w14:textId="77777777" w:rsidR="00F01ECE" w:rsidRPr="004D2E7C" w:rsidRDefault="00F01ECE" w:rsidP="00F01ECE">
            <w:pPr>
              <w:rPr>
                <w:rFonts w:cs="Times New Roman"/>
                <w:lang w:val="sr-Cyrl-RS"/>
              </w:rPr>
            </w:pPr>
          </w:p>
        </w:tc>
        <w:tc>
          <w:tcPr>
            <w:tcW w:w="1296" w:type="pct"/>
          </w:tcPr>
          <w:p w14:paraId="46188213" w14:textId="77777777" w:rsidR="00F01ECE" w:rsidRPr="004D2E7C" w:rsidRDefault="00F01ECE" w:rsidP="00F01ECE">
            <w:pPr>
              <w:rPr>
                <w:rFonts w:cs="Times New Roman"/>
                <w:vanish/>
                <w:lang w:val="sr-Cyrl-RS"/>
              </w:rPr>
            </w:pPr>
          </w:p>
        </w:tc>
        <w:tc>
          <w:tcPr>
            <w:tcW w:w="235" w:type="pct"/>
            <w:vAlign w:val="center"/>
          </w:tcPr>
          <w:p w14:paraId="46188214" w14:textId="77777777" w:rsidR="00F01ECE" w:rsidRPr="004D2E7C" w:rsidRDefault="00F01ECE" w:rsidP="00F01ECE">
            <w:pPr>
              <w:jc w:val="center"/>
              <w:rPr>
                <w:rFonts w:cs="Times New Roman"/>
                <w:lang w:val="sr-Cyrl-RS"/>
              </w:rPr>
            </w:pPr>
            <w:r w:rsidRPr="004D2E7C">
              <w:rPr>
                <w:rFonts w:cs="Times New Roman"/>
                <w:lang w:val="sr-Cyrl-RS"/>
              </w:rPr>
              <w:t>НП</w:t>
            </w:r>
          </w:p>
        </w:tc>
        <w:tc>
          <w:tcPr>
            <w:tcW w:w="676" w:type="pct"/>
            <w:vAlign w:val="center"/>
          </w:tcPr>
          <w:p w14:paraId="46188215" w14:textId="77777777" w:rsidR="00F01ECE" w:rsidRPr="004D2E7C" w:rsidRDefault="00F01ECE" w:rsidP="00F01ECE">
            <w:pPr>
              <w:rPr>
                <w:rFonts w:cs="Times New Roman"/>
                <w:lang w:val="sr-Cyrl-RS"/>
              </w:rPr>
            </w:pPr>
            <w:r w:rsidRPr="004D2E7C">
              <w:rPr>
                <w:rFonts w:cs="Times New Roman"/>
                <w:lang w:val="sr-Cyrl-RS"/>
              </w:rPr>
              <w:t>Анекс се може имплементирати само у земљама чланицама ЕУ.</w:t>
            </w:r>
          </w:p>
        </w:tc>
        <w:tc>
          <w:tcPr>
            <w:tcW w:w="699" w:type="pct"/>
            <w:vAlign w:val="center"/>
          </w:tcPr>
          <w:p w14:paraId="46188216" w14:textId="77777777" w:rsidR="00F01ECE" w:rsidRPr="004D2E7C" w:rsidRDefault="00F01ECE" w:rsidP="00F01ECE">
            <w:pPr>
              <w:rPr>
                <w:rFonts w:cs="Times New Roman"/>
                <w:lang w:val="sr-Cyrl-RS"/>
              </w:rPr>
            </w:pPr>
          </w:p>
        </w:tc>
      </w:tr>
      <w:tr w:rsidR="00F01ECE" w:rsidRPr="004D2E7C" w14:paraId="46188221" w14:textId="77777777" w:rsidTr="006B3660">
        <w:tc>
          <w:tcPr>
            <w:tcW w:w="280" w:type="pct"/>
            <w:shd w:val="clear" w:color="auto" w:fill="D9D9D9"/>
            <w:vAlign w:val="center"/>
          </w:tcPr>
          <w:p w14:paraId="46188218" w14:textId="77777777" w:rsidR="00F01ECE" w:rsidRPr="004D2E7C" w:rsidRDefault="00F01ECE" w:rsidP="00F01ECE">
            <w:pPr>
              <w:jc w:val="center"/>
              <w:rPr>
                <w:rFonts w:cs="Times New Roman"/>
                <w:lang w:val="sr-Cyrl-RS"/>
              </w:rPr>
            </w:pPr>
            <w:r w:rsidRPr="004D2E7C">
              <w:rPr>
                <w:rFonts w:eastAsia="Times New Roman" w:cs="Times New Roman"/>
                <w:lang w:val="sr-Cyrl-RS"/>
              </w:rPr>
              <w:t>Annex</w:t>
            </w:r>
            <w:r w:rsidRPr="004D2E7C">
              <w:rPr>
                <w:rFonts w:cs="Times New Roman"/>
                <w:lang w:val="sr-Cyrl-RS"/>
              </w:rPr>
              <w:t xml:space="preserve"> II</w:t>
            </w:r>
          </w:p>
        </w:tc>
        <w:tc>
          <w:tcPr>
            <w:tcW w:w="1489" w:type="pct"/>
            <w:shd w:val="clear" w:color="auto" w:fill="D9D9D9"/>
            <w:vAlign w:val="center"/>
          </w:tcPr>
          <w:p w14:paraId="46188219" w14:textId="77777777" w:rsidR="00F01ECE" w:rsidRPr="004D2E7C" w:rsidRDefault="00F01ECE" w:rsidP="00F01ECE">
            <w:pPr>
              <w:jc w:val="both"/>
              <w:rPr>
                <w:rFonts w:eastAsia="Times New Roman" w:cs="Times New Roman"/>
                <w:lang w:val="en-GB"/>
              </w:rPr>
            </w:pPr>
          </w:p>
          <w:p w14:paraId="4618821A" w14:textId="77777777" w:rsidR="00F01ECE" w:rsidRPr="004D2E7C" w:rsidRDefault="00F01ECE" w:rsidP="00F01ECE">
            <w:pPr>
              <w:jc w:val="both"/>
              <w:rPr>
                <w:rFonts w:cs="Times New Roman"/>
                <w:lang w:val="en-GB"/>
              </w:rPr>
            </w:pPr>
            <w:r w:rsidRPr="004D2E7C">
              <w:rPr>
                <w:rFonts w:eastAsia="Times New Roman" w:cs="Times New Roman"/>
                <w:lang w:val="en-GB"/>
              </w:rPr>
              <w:t xml:space="preserve">Correlation table </w:t>
            </w:r>
          </w:p>
          <w:p w14:paraId="4618821B" w14:textId="77777777" w:rsidR="00F01ECE" w:rsidRPr="004D2E7C" w:rsidRDefault="00F01ECE" w:rsidP="00F01ECE">
            <w:pPr>
              <w:jc w:val="both"/>
              <w:rPr>
                <w:rFonts w:cs="Times New Roman"/>
                <w:lang w:val="en-GB"/>
              </w:rPr>
            </w:pPr>
          </w:p>
        </w:tc>
        <w:tc>
          <w:tcPr>
            <w:tcW w:w="325" w:type="pct"/>
          </w:tcPr>
          <w:p w14:paraId="4618821C" w14:textId="77777777" w:rsidR="00F01ECE" w:rsidRPr="004D2E7C" w:rsidRDefault="00F01ECE" w:rsidP="00F01ECE">
            <w:pPr>
              <w:rPr>
                <w:rFonts w:cs="Times New Roman"/>
                <w:lang w:val="sr-Cyrl-RS"/>
              </w:rPr>
            </w:pPr>
          </w:p>
        </w:tc>
        <w:tc>
          <w:tcPr>
            <w:tcW w:w="1296" w:type="pct"/>
          </w:tcPr>
          <w:p w14:paraId="4618821D" w14:textId="77777777" w:rsidR="00F01ECE" w:rsidRPr="004D2E7C" w:rsidRDefault="00F01ECE" w:rsidP="00F01ECE">
            <w:pPr>
              <w:rPr>
                <w:rFonts w:cs="Times New Roman"/>
                <w:lang w:val="sr-Cyrl-RS"/>
              </w:rPr>
            </w:pPr>
          </w:p>
        </w:tc>
        <w:tc>
          <w:tcPr>
            <w:tcW w:w="235" w:type="pct"/>
            <w:vAlign w:val="center"/>
          </w:tcPr>
          <w:p w14:paraId="4618821E" w14:textId="77777777" w:rsidR="00F01ECE" w:rsidRPr="004D2E7C" w:rsidRDefault="00F01ECE" w:rsidP="00F01ECE">
            <w:pPr>
              <w:jc w:val="center"/>
              <w:rPr>
                <w:rFonts w:cs="Times New Roman"/>
                <w:lang w:val="sr-Cyrl-RS"/>
              </w:rPr>
            </w:pPr>
            <w:r w:rsidRPr="004D2E7C">
              <w:rPr>
                <w:rFonts w:cs="Times New Roman"/>
                <w:lang w:val="sr-Cyrl-RS"/>
              </w:rPr>
              <w:t>НП</w:t>
            </w:r>
          </w:p>
        </w:tc>
        <w:tc>
          <w:tcPr>
            <w:tcW w:w="676" w:type="pct"/>
            <w:vAlign w:val="center"/>
          </w:tcPr>
          <w:p w14:paraId="4618821F" w14:textId="77777777" w:rsidR="00F01ECE" w:rsidRPr="004D2E7C" w:rsidRDefault="00F01ECE" w:rsidP="00F01ECE">
            <w:pPr>
              <w:rPr>
                <w:rFonts w:cs="Times New Roman"/>
                <w:lang w:val="sr-Cyrl-RS"/>
              </w:rPr>
            </w:pPr>
            <w:r w:rsidRPr="004D2E7C">
              <w:rPr>
                <w:rFonts w:cs="Times New Roman"/>
                <w:lang w:val="sr-Cyrl-RS"/>
              </w:rPr>
              <w:t>У питању су одредбе процедуралног карактера.</w:t>
            </w:r>
          </w:p>
        </w:tc>
        <w:tc>
          <w:tcPr>
            <w:tcW w:w="699" w:type="pct"/>
            <w:vAlign w:val="center"/>
          </w:tcPr>
          <w:p w14:paraId="46188220" w14:textId="77777777" w:rsidR="00F01ECE" w:rsidRPr="004D2E7C" w:rsidRDefault="00F01ECE" w:rsidP="00F01ECE">
            <w:pPr>
              <w:rPr>
                <w:rFonts w:cs="Times New Roman"/>
                <w:lang w:val="sr-Cyrl-RS"/>
              </w:rPr>
            </w:pPr>
          </w:p>
        </w:tc>
      </w:tr>
    </w:tbl>
    <w:p w14:paraId="46188223" w14:textId="77777777" w:rsidR="00760539" w:rsidRPr="00427F93" w:rsidRDefault="00760539" w:rsidP="004E6125">
      <w:pPr>
        <w:rPr>
          <w:rFonts w:cs="Times New Roman"/>
          <w:sz w:val="18"/>
          <w:szCs w:val="18"/>
        </w:rPr>
      </w:pPr>
    </w:p>
    <w:sectPr w:rsidR="00760539" w:rsidRPr="00427F93" w:rsidSect="002950D4">
      <w:footerReference w:type="default" r:id="rId20"/>
      <w:pgSz w:w="16840" w:h="11907" w:orient="landscape" w:code="9"/>
      <w:pgMar w:top="1134" w:right="851" w:bottom="851" w:left="851" w:header="454" w:footer="454" w:gutter="0"/>
      <w:cols w:space="720"/>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D95CAB" w16cex:dateUtc="2021-02-18T20:3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123C949F" w16cid:durableId="23D95CAB"/>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69D251" w14:textId="77777777" w:rsidR="00D66A0C" w:rsidRDefault="00D66A0C">
      <w:r>
        <w:separator/>
      </w:r>
    </w:p>
  </w:endnote>
  <w:endnote w:type="continuationSeparator" w:id="0">
    <w:p w14:paraId="73C17763" w14:textId="77777777" w:rsidR="00D66A0C" w:rsidRDefault="00D66A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S Mincho">
    <w:altName w:val="Yu Gothic UI"/>
    <w:panose1 w:val="020206090402050803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18378680"/>
      <w:docPartObj>
        <w:docPartGallery w:val="Page Numbers (Bottom of Page)"/>
        <w:docPartUnique/>
      </w:docPartObj>
    </w:sdtPr>
    <w:sdtEndPr>
      <w:rPr>
        <w:noProof/>
      </w:rPr>
    </w:sdtEndPr>
    <w:sdtContent>
      <w:p w14:paraId="48C70C47" w14:textId="38A5D69B" w:rsidR="002950D4" w:rsidRDefault="002950D4">
        <w:pPr>
          <w:pStyle w:val="Footer"/>
          <w:jc w:val="right"/>
        </w:pPr>
        <w:r>
          <w:fldChar w:fldCharType="begin"/>
        </w:r>
        <w:r>
          <w:instrText xml:space="preserve"> PAGE   \* MERGEFORMAT </w:instrText>
        </w:r>
        <w:r>
          <w:fldChar w:fldCharType="separate"/>
        </w:r>
        <w:r w:rsidR="00CA3E3F">
          <w:rPr>
            <w:noProof/>
          </w:rPr>
          <w:t>25</w:t>
        </w:r>
        <w:r>
          <w:rPr>
            <w:noProof/>
          </w:rPr>
          <w:fldChar w:fldCharType="end"/>
        </w:r>
      </w:p>
    </w:sdtContent>
  </w:sdt>
  <w:p w14:paraId="1FFE4345" w14:textId="77777777" w:rsidR="002950D4" w:rsidRDefault="002950D4">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6D6E94" w14:textId="77777777" w:rsidR="00D66A0C" w:rsidRDefault="00D66A0C">
      <w:r>
        <w:separator/>
      </w:r>
    </w:p>
  </w:footnote>
  <w:footnote w:type="continuationSeparator" w:id="0">
    <w:p w14:paraId="3F6E9584" w14:textId="77777777" w:rsidR="00D66A0C" w:rsidRDefault="00D66A0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AA7139"/>
    <w:multiLevelType w:val="hybridMultilevel"/>
    <w:tmpl w:val="9A9850F2"/>
    <w:lvl w:ilvl="0" w:tplc="A6CA391E">
      <w:start w:val="6"/>
      <w:numFmt w:val="bullet"/>
      <w:lvlText w:val="-"/>
      <w:lvlJc w:val="left"/>
      <w:pPr>
        <w:ind w:left="810" w:hanging="360"/>
      </w:pPr>
      <w:rPr>
        <w:rFonts w:ascii="Times New Roman" w:eastAsia="Calibri" w:hAnsi="Times New Roman" w:cs="Times New Roman"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 w15:restartNumberingAfterBreak="0">
    <w:nsid w:val="228C0D9C"/>
    <w:multiLevelType w:val="hybridMultilevel"/>
    <w:tmpl w:val="824E5514"/>
    <w:lvl w:ilvl="0" w:tplc="C52252CE">
      <w:start w:val="1"/>
      <w:numFmt w:val="decimal"/>
      <w:lvlText w:val="%1)"/>
      <w:lvlJc w:val="left"/>
      <w:pPr>
        <w:ind w:left="1260" w:hanging="360"/>
      </w:pPr>
      <w:rPr>
        <w:rFonts w:hint="default"/>
        <w:color w:val="auto"/>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 w15:restartNumberingAfterBreak="0">
    <w:nsid w:val="2D444C14"/>
    <w:multiLevelType w:val="hybridMultilevel"/>
    <w:tmpl w:val="305A4298"/>
    <w:lvl w:ilvl="0" w:tplc="0F185764">
      <w:start w:val="1"/>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CF0624B"/>
    <w:multiLevelType w:val="hybridMultilevel"/>
    <w:tmpl w:val="648E27A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AFF2AD9"/>
    <w:multiLevelType w:val="hybridMultilevel"/>
    <w:tmpl w:val="D4788476"/>
    <w:lvl w:ilvl="0" w:tplc="9B80F7B0">
      <w:start w:val="1"/>
      <w:numFmt w:val="decimal"/>
      <w:lvlText w:val="%1)"/>
      <w:lvlJc w:val="left"/>
      <w:pPr>
        <w:tabs>
          <w:tab w:val="num" w:pos="1620"/>
        </w:tabs>
        <w:ind w:left="1620" w:hanging="360"/>
      </w:pPr>
      <w:rPr>
        <w:rFonts w:ascii="Arial" w:hAnsi="Arial" w:cs="Times New Roman" w:hint="default"/>
        <w:b w:val="0"/>
        <w:i w:val="0"/>
        <w:sz w:val="22"/>
        <w:szCs w:val="24"/>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num w:numId="1">
    <w:abstractNumId w:val="4"/>
  </w:num>
  <w:num w:numId="2">
    <w:abstractNumId w:val="2"/>
  </w:num>
  <w:num w:numId="3">
    <w:abstractNumId w:val="0"/>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042A"/>
    <w:rsid w:val="00000366"/>
    <w:rsid w:val="00000A79"/>
    <w:rsid w:val="000027FD"/>
    <w:rsid w:val="00005548"/>
    <w:rsid w:val="00005BEF"/>
    <w:rsid w:val="00014106"/>
    <w:rsid w:val="000175E3"/>
    <w:rsid w:val="00023599"/>
    <w:rsid w:val="00025599"/>
    <w:rsid w:val="000312E2"/>
    <w:rsid w:val="00037235"/>
    <w:rsid w:val="00041295"/>
    <w:rsid w:val="000524AD"/>
    <w:rsid w:val="000549F4"/>
    <w:rsid w:val="00054D00"/>
    <w:rsid w:val="000627CE"/>
    <w:rsid w:val="0006766E"/>
    <w:rsid w:val="00070D6E"/>
    <w:rsid w:val="00072039"/>
    <w:rsid w:val="0007712A"/>
    <w:rsid w:val="000814EB"/>
    <w:rsid w:val="00082F18"/>
    <w:rsid w:val="00087019"/>
    <w:rsid w:val="00087E6D"/>
    <w:rsid w:val="00094658"/>
    <w:rsid w:val="00097252"/>
    <w:rsid w:val="000A0FAC"/>
    <w:rsid w:val="000A4816"/>
    <w:rsid w:val="000B4C45"/>
    <w:rsid w:val="000C2B83"/>
    <w:rsid w:val="000C4A1C"/>
    <w:rsid w:val="000D0A9C"/>
    <w:rsid w:val="000E68DC"/>
    <w:rsid w:val="000F0CFB"/>
    <w:rsid w:val="000F286B"/>
    <w:rsid w:val="000F2C33"/>
    <w:rsid w:val="000F3C5D"/>
    <w:rsid w:val="000F3DCE"/>
    <w:rsid w:val="000F5A9D"/>
    <w:rsid w:val="00100491"/>
    <w:rsid w:val="00116DD9"/>
    <w:rsid w:val="0012063A"/>
    <w:rsid w:val="00120862"/>
    <w:rsid w:val="001215A1"/>
    <w:rsid w:val="001250B5"/>
    <w:rsid w:val="00132DDD"/>
    <w:rsid w:val="001334FA"/>
    <w:rsid w:val="00135D9C"/>
    <w:rsid w:val="00140511"/>
    <w:rsid w:val="00145A79"/>
    <w:rsid w:val="0015061A"/>
    <w:rsid w:val="0015146A"/>
    <w:rsid w:val="001569F9"/>
    <w:rsid w:val="00163037"/>
    <w:rsid w:val="00170A06"/>
    <w:rsid w:val="0017101F"/>
    <w:rsid w:val="0017238B"/>
    <w:rsid w:val="0018033F"/>
    <w:rsid w:val="00181703"/>
    <w:rsid w:val="0018691B"/>
    <w:rsid w:val="001950F8"/>
    <w:rsid w:val="001A09B1"/>
    <w:rsid w:val="001A117D"/>
    <w:rsid w:val="001A79D8"/>
    <w:rsid w:val="001B0DD8"/>
    <w:rsid w:val="001C7E48"/>
    <w:rsid w:val="001D11A6"/>
    <w:rsid w:val="001D6931"/>
    <w:rsid w:val="001D7709"/>
    <w:rsid w:val="001E475E"/>
    <w:rsid w:val="001E7125"/>
    <w:rsid w:val="001F2434"/>
    <w:rsid w:val="001F6E26"/>
    <w:rsid w:val="001F7946"/>
    <w:rsid w:val="00203F11"/>
    <w:rsid w:val="00207621"/>
    <w:rsid w:val="00211092"/>
    <w:rsid w:val="002126BF"/>
    <w:rsid w:val="0021322D"/>
    <w:rsid w:val="00215817"/>
    <w:rsid w:val="002243D8"/>
    <w:rsid w:val="002252EC"/>
    <w:rsid w:val="00227A57"/>
    <w:rsid w:val="0023370C"/>
    <w:rsid w:val="00241196"/>
    <w:rsid w:val="00247AA9"/>
    <w:rsid w:val="0025042A"/>
    <w:rsid w:val="0025510E"/>
    <w:rsid w:val="00263FBD"/>
    <w:rsid w:val="0026437C"/>
    <w:rsid w:val="00264E0A"/>
    <w:rsid w:val="00265596"/>
    <w:rsid w:val="002950D4"/>
    <w:rsid w:val="00297B8D"/>
    <w:rsid w:val="002A0174"/>
    <w:rsid w:val="002A1727"/>
    <w:rsid w:val="002A752C"/>
    <w:rsid w:val="002B6A26"/>
    <w:rsid w:val="002C3123"/>
    <w:rsid w:val="002D0431"/>
    <w:rsid w:val="002D5FD2"/>
    <w:rsid w:val="002D71BD"/>
    <w:rsid w:val="002E0D1B"/>
    <w:rsid w:val="002E1227"/>
    <w:rsid w:val="002E1EB3"/>
    <w:rsid w:val="002E29EC"/>
    <w:rsid w:val="002E7A2B"/>
    <w:rsid w:val="002F4B0A"/>
    <w:rsid w:val="002F631C"/>
    <w:rsid w:val="00300BB6"/>
    <w:rsid w:val="003016B4"/>
    <w:rsid w:val="003025F1"/>
    <w:rsid w:val="00305DB0"/>
    <w:rsid w:val="00306F83"/>
    <w:rsid w:val="00313564"/>
    <w:rsid w:val="00315A59"/>
    <w:rsid w:val="00316F74"/>
    <w:rsid w:val="0032094F"/>
    <w:rsid w:val="00322DA4"/>
    <w:rsid w:val="00322EC0"/>
    <w:rsid w:val="00322EC2"/>
    <w:rsid w:val="00330F58"/>
    <w:rsid w:val="00350178"/>
    <w:rsid w:val="00353230"/>
    <w:rsid w:val="00354D54"/>
    <w:rsid w:val="003575C7"/>
    <w:rsid w:val="0036017F"/>
    <w:rsid w:val="0036271A"/>
    <w:rsid w:val="00372FA4"/>
    <w:rsid w:val="00380522"/>
    <w:rsid w:val="00381AB4"/>
    <w:rsid w:val="003A2E7F"/>
    <w:rsid w:val="003A3F90"/>
    <w:rsid w:val="003A7B45"/>
    <w:rsid w:val="003B0BDA"/>
    <w:rsid w:val="003B141E"/>
    <w:rsid w:val="003B2D5F"/>
    <w:rsid w:val="003B501A"/>
    <w:rsid w:val="003B6A3C"/>
    <w:rsid w:val="003D3816"/>
    <w:rsid w:val="003E06B0"/>
    <w:rsid w:val="003E1049"/>
    <w:rsid w:val="003E1831"/>
    <w:rsid w:val="003E379B"/>
    <w:rsid w:val="003E69B2"/>
    <w:rsid w:val="00400151"/>
    <w:rsid w:val="00404262"/>
    <w:rsid w:val="004132A0"/>
    <w:rsid w:val="00413422"/>
    <w:rsid w:val="004243CB"/>
    <w:rsid w:val="0042521D"/>
    <w:rsid w:val="00427CC8"/>
    <w:rsid w:val="00427F93"/>
    <w:rsid w:val="00431F79"/>
    <w:rsid w:val="0043294B"/>
    <w:rsid w:val="00435EC3"/>
    <w:rsid w:val="00440E96"/>
    <w:rsid w:val="00442BA0"/>
    <w:rsid w:val="004470E3"/>
    <w:rsid w:val="0045024D"/>
    <w:rsid w:val="00454EE1"/>
    <w:rsid w:val="0045534A"/>
    <w:rsid w:val="004632A8"/>
    <w:rsid w:val="0046621F"/>
    <w:rsid w:val="00472310"/>
    <w:rsid w:val="00474782"/>
    <w:rsid w:val="00475EBF"/>
    <w:rsid w:val="004821CB"/>
    <w:rsid w:val="004823A2"/>
    <w:rsid w:val="00493DDE"/>
    <w:rsid w:val="004A19BB"/>
    <w:rsid w:val="004A3AF1"/>
    <w:rsid w:val="004B40D0"/>
    <w:rsid w:val="004B5101"/>
    <w:rsid w:val="004C12BD"/>
    <w:rsid w:val="004C47FA"/>
    <w:rsid w:val="004C4A5D"/>
    <w:rsid w:val="004C4CC0"/>
    <w:rsid w:val="004D286F"/>
    <w:rsid w:val="004D2E7C"/>
    <w:rsid w:val="004D6046"/>
    <w:rsid w:val="004E460E"/>
    <w:rsid w:val="004E6125"/>
    <w:rsid w:val="004F4A3D"/>
    <w:rsid w:val="00501B49"/>
    <w:rsid w:val="00502F41"/>
    <w:rsid w:val="005037B4"/>
    <w:rsid w:val="005045EF"/>
    <w:rsid w:val="00505242"/>
    <w:rsid w:val="00511EE0"/>
    <w:rsid w:val="00513B2C"/>
    <w:rsid w:val="00514173"/>
    <w:rsid w:val="0052140F"/>
    <w:rsid w:val="005268C7"/>
    <w:rsid w:val="0053154C"/>
    <w:rsid w:val="00532413"/>
    <w:rsid w:val="005368AC"/>
    <w:rsid w:val="005471A3"/>
    <w:rsid w:val="00551845"/>
    <w:rsid w:val="005528DD"/>
    <w:rsid w:val="00556A4E"/>
    <w:rsid w:val="00572676"/>
    <w:rsid w:val="00574C1E"/>
    <w:rsid w:val="00581307"/>
    <w:rsid w:val="00582A2F"/>
    <w:rsid w:val="00583F66"/>
    <w:rsid w:val="005866E0"/>
    <w:rsid w:val="005A0423"/>
    <w:rsid w:val="005A5669"/>
    <w:rsid w:val="005A68EF"/>
    <w:rsid w:val="005B249D"/>
    <w:rsid w:val="005B3122"/>
    <w:rsid w:val="005B51E2"/>
    <w:rsid w:val="005C0D15"/>
    <w:rsid w:val="005C4006"/>
    <w:rsid w:val="005D2842"/>
    <w:rsid w:val="005D5678"/>
    <w:rsid w:val="005D7E8F"/>
    <w:rsid w:val="005E182E"/>
    <w:rsid w:val="005E3FFC"/>
    <w:rsid w:val="005F64F7"/>
    <w:rsid w:val="005F7A6E"/>
    <w:rsid w:val="00603C37"/>
    <w:rsid w:val="0061025D"/>
    <w:rsid w:val="00610779"/>
    <w:rsid w:val="00611656"/>
    <w:rsid w:val="006132B1"/>
    <w:rsid w:val="00626B63"/>
    <w:rsid w:val="0063153E"/>
    <w:rsid w:val="00632FA7"/>
    <w:rsid w:val="0063453E"/>
    <w:rsid w:val="006425AE"/>
    <w:rsid w:val="00653116"/>
    <w:rsid w:val="0067499D"/>
    <w:rsid w:val="00692150"/>
    <w:rsid w:val="006948B0"/>
    <w:rsid w:val="006A15A6"/>
    <w:rsid w:val="006A2010"/>
    <w:rsid w:val="006B101C"/>
    <w:rsid w:val="006B11F4"/>
    <w:rsid w:val="006B3660"/>
    <w:rsid w:val="006B6BBA"/>
    <w:rsid w:val="006C4C68"/>
    <w:rsid w:val="006C6A92"/>
    <w:rsid w:val="006D3F49"/>
    <w:rsid w:val="006E1C42"/>
    <w:rsid w:val="006F493F"/>
    <w:rsid w:val="007074D5"/>
    <w:rsid w:val="007200D3"/>
    <w:rsid w:val="00722BE3"/>
    <w:rsid w:val="007233F0"/>
    <w:rsid w:val="0072618C"/>
    <w:rsid w:val="00730E8E"/>
    <w:rsid w:val="007336D6"/>
    <w:rsid w:val="00741616"/>
    <w:rsid w:val="00743075"/>
    <w:rsid w:val="00743224"/>
    <w:rsid w:val="0075540D"/>
    <w:rsid w:val="007554BD"/>
    <w:rsid w:val="00755EAC"/>
    <w:rsid w:val="00760539"/>
    <w:rsid w:val="00764D10"/>
    <w:rsid w:val="00765935"/>
    <w:rsid w:val="00765AB4"/>
    <w:rsid w:val="0077796A"/>
    <w:rsid w:val="00783BF4"/>
    <w:rsid w:val="00785A79"/>
    <w:rsid w:val="00792C31"/>
    <w:rsid w:val="00793368"/>
    <w:rsid w:val="00793442"/>
    <w:rsid w:val="007A0DB1"/>
    <w:rsid w:val="007A17D5"/>
    <w:rsid w:val="007A2084"/>
    <w:rsid w:val="007A418E"/>
    <w:rsid w:val="007B6080"/>
    <w:rsid w:val="007B6589"/>
    <w:rsid w:val="007B70FF"/>
    <w:rsid w:val="007C35E2"/>
    <w:rsid w:val="007F159B"/>
    <w:rsid w:val="007F2B0A"/>
    <w:rsid w:val="007F5992"/>
    <w:rsid w:val="00802BBE"/>
    <w:rsid w:val="00802EF4"/>
    <w:rsid w:val="0081021A"/>
    <w:rsid w:val="00810D46"/>
    <w:rsid w:val="008113FE"/>
    <w:rsid w:val="008158C4"/>
    <w:rsid w:val="0081608C"/>
    <w:rsid w:val="00816456"/>
    <w:rsid w:val="008207B9"/>
    <w:rsid w:val="00821832"/>
    <w:rsid w:val="008225D8"/>
    <w:rsid w:val="008228B6"/>
    <w:rsid w:val="00823F2B"/>
    <w:rsid w:val="0083156E"/>
    <w:rsid w:val="008340EC"/>
    <w:rsid w:val="0084418E"/>
    <w:rsid w:val="008464D5"/>
    <w:rsid w:val="00850EE8"/>
    <w:rsid w:val="00860F3E"/>
    <w:rsid w:val="00867199"/>
    <w:rsid w:val="00876AFE"/>
    <w:rsid w:val="00880C04"/>
    <w:rsid w:val="008819C0"/>
    <w:rsid w:val="0088460E"/>
    <w:rsid w:val="00891A9B"/>
    <w:rsid w:val="00892333"/>
    <w:rsid w:val="008A17C3"/>
    <w:rsid w:val="008B046E"/>
    <w:rsid w:val="008B2A15"/>
    <w:rsid w:val="008B2BC4"/>
    <w:rsid w:val="008B7597"/>
    <w:rsid w:val="008C08FA"/>
    <w:rsid w:val="008D407C"/>
    <w:rsid w:val="008D66BE"/>
    <w:rsid w:val="008D73C0"/>
    <w:rsid w:val="0090296D"/>
    <w:rsid w:val="00912097"/>
    <w:rsid w:val="00912C2D"/>
    <w:rsid w:val="00923E6C"/>
    <w:rsid w:val="009263A3"/>
    <w:rsid w:val="009307B9"/>
    <w:rsid w:val="00931AB2"/>
    <w:rsid w:val="00934816"/>
    <w:rsid w:val="009360E4"/>
    <w:rsid w:val="00936F54"/>
    <w:rsid w:val="0094454A"/>
    <w:rsid w:val="00944CF6"/>
    <w:rsid w:val="0094618F"/>
    <w:rsid w:val="00947FA2"/>
    <w:rsid w:val="00970957"/>
    <w:rsid w:val="00972839"/>
    <w:rsid w:val="00974E56"/>
    <w:rsid w:val="009778D3"/>
    <w:rsid w:val="009829EE"/>
    <w:rsid w:val="009865DC"/>
    <w:rsid w:val="00992FFA"/>
    <w:rsid w:val="00997B1E"/>
    <w:rsid w:val="009A4EE4"/>
    <w:rsid w:val="009A5F74"/>
    <w:rsid w:val="009A7783"/>
    <w:rsid w:val="009B2F0E"/>
    <w:rsid w:val="009B4D22"/>
    <w:rsid w:val="009B7A9A"/>
    <w:rsid w:val="009C515C"/>
    <w:rsid w:val="009D2D29"/>
    <w:rsid w:val="009D3863"/>
    <w:rsid w:val="009D68A2"/>
    <w:rsid w:val="009E1DA7"/>
    <w:rsid w:val="009E26C3"/>
    <w:rsid w:val="009E28D0"/>
    <w:rsid w:val="009E3B06"/>
    <w:rsid w:val="009E740C"/>
    <w:rsid w:val="009F067D"/>
    <w:rsid w:val="00A01902"/>
    <w:rsid w:val="00A02759"/>
    <w:rsid w:val="00A104D5"/>
    <w:rsid w:val="00A10957"/>
    <w:rsid w:val="00A13E12"/>
    <w:rsid w:val="00A14BCA"/>
    <w:rsid w:val="00A15C37"/>
    <w:rsid w:val="00A17BBA"/>
    <w:rsid w:val="00A17CE4"/>
    <w:rsid w:val="00A21EA0"/>
    <w:rsid w:val="00A2279B"/>
    <w:rsid w:val="00A235F4"/>
    <w:rsid w:val="00A26E75"/>
    <w:rsid w:val="00A35C98"/>
    <w:rsid w:val="00A370DF"/>
    <w:rsid w:val="00A43A6D"/>
    <w:rsid w:val="00A44FBF"/>
    <w:rsid w:val="00A47416"/>
    <w:rsid w:val="00A55335"/>
    <w:rsid w:val="00A614E1"/>
    <w:rsid w:val="00A67609"/>
    <w:rsid w:val="00A7392C"/>
    <w:rsid w:val="00A73BC9"/>
    <w:rsid w:val="00A817DF"/>
    <w:rsid w:val="00A8586D"/>
    <w:rsid w:val="00A908BC"/>
    <w:rsid w:val="00AA3919"/>
    <w:rsid w:val="00AA4CA9"/>
    <w:rsid w:val="00AC1C3B"/>
    <w:rsid w:val="00AC7873"/>
    <w:rsid w:val="00AD4512"/>
    <w:rsid w:val="00AE2A03"/>
    <w:rsid w:val="00AE3CAB"/>
    <w:rsid w:val="00AE6939"/>
    <w:rsid w:val="00AE6C53"/>
    <w:rsid w:val="00AF05FE"/>
    <w:rsid w:val="00AF22AE"/>
    <w:rsid w:val="00AF2A4A"/>
    <w:rsid w:val="00AF6DED"/>
    <w:rsid w:val="00AF7750"/>
    <w:rsid w:val="00B00B76"/>
    <w:rsid w:val="00B013CC"/>
    <w:rsid w:val="00B05685"/>
    <w:rsid w:val="00B0581B"/>
    <w:rsid w:val="00B102B1"/>
    <w:rsid w:val="00B21C77"/>
    <w:rsid w:val="00B27825"/>
    <w:rsid w:val="00B27ECD"/>
    <w:rsid w:val="00B326F0"/>
    <w:rsid w:val="00B34A1C"/>
    <w:rsid w:val="00B355D6"/>
    <w:rsid w:val="00B37945"/>
    <w:rsid w:val="00B44C2A"/>
    <w:rsid w:val="00B5214D"/>
    <w:rsid w:val="00B52612"/>
    <w:rsid w:val="00B528F0"/>
    <w:rsid w:val="00B56C36"/>
    <w:rsid w:val="00B60A8D"/>
    <w:rsid w:val="00B62028"/>
    <w:rsid w:val="00B65419"/>
    <w:rsid w:val="00B6627F"/>
    <w:rsid w:val="00B74872"/>
    <w:rsid w:val="00B81145"/>
    <w:rsid w:val="00B8357A"/>
    <w:rsid w:val="00B86D49"/>
    <w:rsid w:val="00B8771A"/>
    <w:rsid w:val="00B904C5"/>
    <w:rsid w:val="00B918BB"/>
    <w:rsid w:val="00B93EE3"/>
    <w:rsid w:val="00BA4611"/>
    <w:rsid w:val="00BA4808"/>
    <w:rsid w:val="00BB6CC1"/>
    <w:rsid w:val="00BB70EB"/>
    <w:rsid w:val="00BC03E8"/>
    <w:rsid w:val="00BC3F7B"/>
    <w:rsid w:val="00BD090F"/>
    <w:rsid w:val="00BD3A4D"/>
    <w:rsid w:val="00BD6C5D"/>
    <w:rsid w:val="00BF3DFC"/>
    <w:rsid w:val="00BF3F37"/>
    <w:rsid w:val="00BF4F1E"/>
    <w:rsid w:val="00C03C31"/>
    <w:rsid w:val="00C107CD"/>
    <w:rsid w:val="00C117A7"/>
    <w:rsid w:val="00C141D8"/>
    <w:rsid w:val="00C14F72"/>
    <w:rsid w:val="00C153B8"/>
    <w:rsid w:val="00C21027"/>
    <w:rsid w:val="00C30008"/>
    <w:rsid w:val="00C303B9"/>
    <w:rsid w:val="00C41065"/>
    <w:rsid w:val="00C43291"/>
    <w:rsid w:val="00C4431B"/>
    <w:rsid w:val="00C469D7"/>
    <w:rsid w:val="00C50EF6"/>
    <w:rsid w:val="00C515FA"/>
    <w:rsid w:val="00C52D6D"/>
    <w:rsid w:val="00C5520C"/>
    <w:rsid w:val="00C561D0"/>
    <w:rsid w:val="00C563C6"/>
    <w:rsid w:val="00C60140"/>
    <w:rsid w:val="00C673E7"/>
    <w:rsid w:val="00C70526"/>
    <w:rsid w:val="00C7656B"/>
    <w:rsid w:val="00C81542"/>
    <w:rsid w:val="00C818DC"/>
    <w:rsid w:val="00C84159"/>
    <w:rsid w:val="00C916BA"/>
    <w:rsid w:val="00C949CD"/>
    <w:rsid w:val="00C965FF"/>
    <w:rsid w:val="00CA030D"/>
    <w:rsid w:val="00CA3E3F"/>
    <w:rsid w:val="00CA42BF"/>
    <w:rsid w:val="00CA4C50"/>
    <w:rsid w:val="00CA6EFA"/>
    <w:rsid w:val="00CB5E72"/>
    <w:rsid w:val="00CB7FA5"/>
    <w:rsid w:val="00CC1604"/>
    <w:rsid w:val="00CC3A4A"/>
    <w:rsid w:val="00CC3F12"/>
    <w:rsid w:val="00CC6EB1"/>
    <w:rsid w:val="00CC7DEA"/>
    <w:rsid w:val="00CD0AEC"/>
    <w:rsid w:val="00CD4D82"/>
    <w:rsid w:val="00CD67B7"/>
    <w:rsid w:val="00CE37EF"/>
    <w:rsid w:val="00CE5708"/>
    <w:rsid w:val="00CF26BD"/>
    <w:rsid w:val="00CF5E04"/>
    <w:rsid w:val="00CF633E"/>
    <w:rsid w:val="00D00E0A"/>
    <w:rsid w:val="00D03F8B"/>
    <w:rsid w:val="00D06A04"/>
    <w:rsid w:val="00D114C1"/>
    <w:rsid w:val="00D1326B"/>
    <w:rsid w:val="00D2702F"/>
    <w:rsid w:val="00D3223A"/>
    <w:rsid w:val="00D328FF"/>
    <w:rsid w:val="00D36211"/>
    <w:rsid w:val="00D60811"/>
    <w:rsid w:val="00D655AD"/>
    <w:rsid w:val="00D66A0C"/>
    <w:rsid w:val="00D75C7E"/>
    <w:rsid w:val="00D7764F"/>
    <w:rsid w:val="00D77ACB"/>
    <w:rsid w:val="00D87628"/>
    <w:rsid w:val="00D93ADD"/>
    <w:rsid w:val="00DA0B63"/>
    <w:rsid w:val="00DA124E"/>
    <w:rsid w:val="00DA3A32"/>
    <w:rsid w:val="00DB43C2"/>
    <w:rsid w:val="00DB6477"/>
    <w:rsid w:val="00DD347C"/>
    <w:rsid w:val="00DD34B9"/>
    <w:rsid w:val="00DE0D29"/>
    <w:rsid w:val="00DE0EC9"/>
    <w:rsid w:val="00DE3DED"/>
    <w:rsid w:val="00DE6567"/>
    <w:rsid w:val="00DE6A22"/>
    <w:rsid w:val="00E0382F"/>
    <w:rsid w:val="00E13339"/>
    <w:rsid w:val="00E205F6"/>
    <w:rsid w:val="00E25D2A"/>
    <w:rsid w:val="00E30789"/>
    <w:rsid w:val="00E334D7"/>
    <w:rsid w:val="00E37AC7"/>
    <w:rsid w:val="00E400E8"/>
    <w:rsid w:val="00E44784"/>
    <w:rsid w:val="00E45AA0"/>
    <w:rsid w:val="00E50910"/>
    <w:rsid w:val="00E51DF9"/>
    <w:rsid w:val="00E522D2"/>
    <w:rsid w:val="00E571CB"/>
    <w:rsid w:val="00E72804"/>
    <w:rsid w:val="00E827B4"/>
    <w:rsid w:val="00E924F4"/>
    <w:rsid w:val="00E94CEE"/>
    <w:rsid w:val="00EB685C"/>
    <w:rsid w:val="00ED6C00"/>
    <w:rsid w:val="00ED6E48"/>
    <w:rsid w:val="00ED727B"/>
    <w:rsid w:val="00EE0AE4"/>
    <w:rsid w:val="00EE1D0F"/>
    <w:rsid w:val="00EF4466"/>
    <w:rsid w:val="00F01ECE"/>
    <w:rsid w:val="00F02D94"/>
    <w:rsid w:val="00F07371"/>
    <w:rsid w:val="00F15788"/>
    <w:rsid w:val="00F2391D"/>
    <w:rsid w:val="00F24AA3"/>
    <w:rsid w:val="00F24ECA"/>
    <w:rsid w:val="00F25162"/>
    <w:rsid w:val="00F26DC9"/>
    <w:rsid w:val="00F30272"/>
    <w:rsid w:val="00F30F4A"/>
    <w:rsid w:val="00F3473E"/>
    <w:rsid w:val="00F35F22"/>
    <w:rsid w:val="00F36E2F"/>
    <w:rsid w:val="00F41D88"/>
    <w:rsid w:val="00F4308F"/>
    <w:rsid w:val="00F46B42"/>
    <w:rsid w:val="00F46E04"/>
    <w:rsid w:val="00F569FC"/>
    <w:rsid w:val="00F654FB"/>
    <w:rsid w:val="00F65A44"/>
    <w:rsid w:val="00F7736E"/>
    <w:rsid w:val="00F81B28"/>
    <w:rsid w:val="00F83A67"/>
    <w:rsid w:val="00F8513C"/>
    <w:rsid w:val="00F86C8B"/>
    <w:rsid w:val="00FA06F5"/>
    <w:rsid w:val="00FA6F43"/>
    <w:rsid w:val="00FB29D8"/>
    <w:rsid w:val="00FB2E38"/>
    <w:rsid w:val="00FB5F4A"/>
    <w:rsid w:val="00FB675E"/>
    <w:rsid w:val="00FC352E"/>
    <w:rsid w:val="00FC3DD3"/>
    <w:rsid w:val="00FC5779"/>
    <w:rsid w:val="00FC76F8"/>
    <w:rsid w:val="00FD58E0"/>
    <w:rsid w:val="00FE00DB"/>
    <w:rsid w:val="00FE1BFE"/>
    <w:rsid w:val="00FE396C"/>
    <w:rsid w:val="00FF4E34"/>
    <w:rsid w:val="00FF65C5"/>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6187D5C"/>
  <w15:docId w15:val="{B6DE43BA-7A07-43EE-809B-3212D8FF7B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B7A9A"/>
    <w:rPr>
      <w:rFonts w:eastAsia="Calibri"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ps">
    <w:name w:val="hps"/>
    <w:basedOn w:val="DefaultParagraphFont"/>
    <w:uiPriority w:val="99"/>
    <w:rsid w:val="0025042A"/>
  </w:style>
  <w:style w:type="paragraph" w:styleId="BalloonText">
    <w:name w:val="Balloon Text"/>
    <w:basedOn w:val="Normal"/>
    <w:link w:val="BalloonTextChar"/>
    <w:rsid w:val="0025042A"/>
    <w:rPr>
      <w:rFonts w:ascii="Tahoma" w:hAnsi="Tahoma" w:cs="Tahoma"/>
      <w:sz w:val="16"/>
      <w:szCs w:val="16"/>
    </w:rPr>
  </w:style>
  <w:style w:type="character" w:customStyle="1" w:styleId="BalloonTextChar">
    <w:name w:val="Balloon Text Char"/>
    <w:link w:val="BalloonText"/>
    <w:rsid w:val="0025042A"/>
    <w:rPr>
      <w:rFonts w:ascii="Tahoma" w:eastAsia="Calibri" w:hAnsi="Tahoma" w:cs="Tahoma"/>
      <w:sz w:val="16"/>
      <w:szCs w:val="16"/>
    </w:rPr>
  </w:style>
  <w:style w:type="paragraph" w:styleId="FootnoteText">
    <w:name w:val="footnote text"/>
    <w:basedOn w:val="Normal"/>
    <w:semiHidden/>
    <w:rsid w:val="003025F1"/>
    <w:rPr>
      <w:sz w:val="20"/>
      <w:szCs w:val="20"/>
    </w:rPr>
  </w:style>
  <w:style w:type="character" w:styleId="FootnoteReference">
    <w:name w:val="footnote reference"/>
    <w:semiHidden/>
    <w:rsid w:val="003025F1"/>
    <w:rPr>
      <w:vertAlign w:val="superscript"/>
    </w:rPr>
  </w:style>
  <w:style w:type="character" w:customStyle="1" w:styleId="tw4winMark">
    <w:name w:val="tw4winMark"/>
    <w:rsid w:val="003E1049"/>
    <w:rPr>
      <w:rFonts w:ascii="Courier New" w:hAnsi="Courier New"/>
      <w:vanish/>
      <w:color w:val="800080"/>
      <w:vertAlign w:val="subscript"/>
    </w:rPr>
  </w:style>
  <w:style w:type="paragraph" w:customStyle="1" w:styleId="Clan">
    <w:name w:val="Clan"/>
    <w:basedOn w:val="Normal"/>
    <w:rsid w:val="00947FA2"/>
    <w:pPr>
      <w:keepNext/>
      <w:tabs>
        <w:tab w:val="left" w:pos="1080"/>
      </w:tabs>
      <w:spacing w:before="120" w:after="120"/>
      <w:ind w:left="720" w:right="720"/>
      <w:jc w:val="center"/>
    </w:pPr>
    <w:rPr>
      <w:rFonts w:ascii="Arial" w:eastAsia="Times New Roman" w:hAnsi="Arial"/>
      <w:b/>
      <w:lang w:val="sr-Cyrl-CS"/>
    </w:rPr>
  </w:style>
  <w:style w:type="paragraph" w:styleId="ListParagraph">
    <w:name w:val="List Paragraph"/>
    <w:basedOn w:val="Normal"/>
    <w:qFormat/>
    <w:rsid w:val="0043294B"/>
    <w:pPr>
      <w:spacing w:line="288" w:lineRule="auto"/>
      <w:ind w:left="708"/>
      <w:jc w:val="both"/>
    </w:pPr>
    <w:rPr>
      <w:rFonts w:eastAsia="Times New Roman" w:cs="Times New Roman"/>
      <w:sz w:val="24"/>
      <w:szCs w:val="20"/>
      <w:lang w:val="en-GB" w:eastAsia="cs-CZ"/>
    </w:rPr>
  </w:style>
  <w:style w:type="character" w:styleId="CommentReference">
    <w:name w:val="annotation reference"/>
    <w:basedOn w:val="DefaultParagraphFont"/>
    <w:uiPriority w:val="99"/>
    <w:rsid w:val="009B4D22"/>
    <w:rPr>
      <w:sz w:val="16"/>
      <w:szCs w:val="16"/>
    </w:rPr>
  </w:style>
  <w:style w:type="paragraph" w:styleId="CommentText">
    <w:name w:val="annotation text"/>
    <w:aliases w:val="Char4"/>
    <w:basedOn w:val="Normal"/>
    <w:link w:val="CommentTextChar"/>
    <w:rsid w:val="009B4D22"/>
    <w:rPr>
      <w:sz w:val="20"/>
      <w:szCs w:val="20"/>
    </w:rPr>
  </w:style>
  <w:style w:type="character" w:customStyle="1" w:styleId="CommentTextChar">
    <w:name w:val="Comment Text Char"/>
    <w:aliases w:val="Char4 Char"/>
    <w:basedOn w:val="DefaultParagraphFont"/>
    <w:link w:val="CommentText"/>
    <w:rsid w:val="009B4D22"/>
    <w:rPr>
      <w:rFonts w:eastAsia="Calibri" w:cs="Arial"/>
    </w:rPr>
  </w:style>
  <w:style w:type="paragraph" w:styleId="CommentSubject">
    <w:name w:val="annotation subject"/>
    <w:basedOn w:val="CommentText"/>
    <w:next w:val="CommentText"/>
    <w:link w:val="CommentSubjectChar"/>
    <w:rsid w:val="009B4D22"/>
    <w:rPr>
      <w:b/>
      <w:bCs/>
    </w:rPr>
  </w:style>
  <w:style w:type="character" w:customStyle="1" w:styleId="CommentSubjectChar">
    <w:name w:val="Comment Subject Char"/>
    <w:basedOn w:val="CommentTextChar"/>
    <w:link w:val="CommentSubject"/>
    <w:rsid w:val="009B4D22"/>
    <w:rPr>
      <w:rFonts w:eastAsia="Calibri" w:cs="Arial"/>
      <w:b/>
      <w:bCs/>
    </w:rPr>
  </w:style>
  <w:style w:type="character" w:customStyle="1" w:styleId="FontStyle32">
    <w:name w:val="Font Style32"/>
    <w:rsid w:val="008B046E"/>
    <w:rPr>
      <w:rFonts w:ascii="Book Antiqua" w:hAnsi="Book Antiqua"/>
      <w:color w:val="000000"/>
      <w:sz w:val="16"/>
    </w:rPr>
  </w:style>
  <w:style w:type="character" w:styleId="Hyperlink">
    <w:name w:val="Hyperlink"/>
    <w:basedOn w:val="DefaultParagraphFont"/>
    <w:uiPriority w:val="99"/>
    <w:unhideWhenUsed/>
    <w:rsid w:val="00802EF4"/>
    <w:rPr>
      <w:color w:val="0000FF"/>
      <w:u w:val="single"/>
    </w:rPr>
  </w:style>
  <w:style w:type="character" w:styleId="Strong">
    <w:name w:val="Strong"/>
    <w:uiPriority w:val="22"/>
    <w:qFormat/>
    <w:rsid w:val="007554BD"/>
    <w:rPr>
      <w:b/>
      <w:bCs/>
    </w:rPr>
  </w:style>
  <w:style w:type="paragraph" w:customStyle="1" w:styleId="doc-ti">
    <w:name w:val="doc-ti"/>
    <w:basedOn w:val="Normal"/>
    <w:rsid w:val="00264E0A"/>
    <w:pPr>
      <w:spacing w:before="100" w:beforeAutospacing="1" w:after="100" w:afterAutospacing="1"/>
    </w:pPr>
    <w:rPr>
      <w:rFonts w:eastAsia="Times New Roman" w:cs="Times New Roman"/>
      <w:sz w:val="24"/>
      <w:szCs w:val="24"/>
    </w:rPr>
  </w:style>
  <w:style w:type="character" w:styleId="Emphasis">
    <w:name w:val="Emphasis"/>
    <w:basedOn w:val="DefaultParagraphFont"/>
    <w:uiPriority w:val="20"/>
    <w:qFormat/>
    <w:rsid w:val="00264E0A"/>
    <w:rPr>
      <w:i/>
      <w:iCs/>
    </w:rPr>
  </w:style>
  <w:style w:type="paragraph" w:customStyle="1" w:styleId="Normal1">
    <w:name w:val="Normal1"/>
    <w:basedOn w:val="Normal"/>
    <w:rsid w:val="00264E0A"/>
    <w:pPr>
      <w:spacing w:before="100" w:beforeAutospacing="1" w:after="100" w:afterAutospacing="1"/>
    </w:pPr>
    <w:rPr>
      <w:rFonts w:eastAsia="Times New Roman" w:cs="Times New Roman"/>
      <w:sz w:val="24"/>
      <w:szCs w:val="24"/>
    </w:rPr>
  </w:style>
  <w:style w:type="character" w:customStyle="1" w:styleId="super">
    <w:name w:val="super"/>
    <w:basedOn w:val="DefaultParagraphFont"/>
    <w:rsid w:val="005866E0"/>
  </w:style>
  <w:style w:type="character" w:customStyle="1" w:styleId="italic">
    <w:name w:val="italic"/>
    <w:basedOn w:val="DefaultParagraphFont"/>
    <w:rsid w:val="00972839"/>
  </w:style>
  <w:style w:type="character" w:customStyle="1" w:styleId="bold">
    <w:name w:val="bold"/>
    <w:basedOn w:val="DefaultParagraphFont"/>
    <w:rsid w:val="000F0CFB"/>
  </w:style>
  <w:style w:type="paragraph" w:customStyle="1" w:styleId="ti-art">
    <w:name w:val="ti-art"/>
    <w:basedOn w:val="Normal"/>
    <w:rsid w:val="00A26E75"/>
    <w:pPr>
      <w:spacing w:before="100" w:beforeAutospacing="1" w:after="100" w:afterAutospacing="1"/>
    </w:pPr>
    <w:rPr>
      <w:rFonts w:eastAsia="Times New Roman" w:cs="Times New Roman"/>
      <w:sz w:val="24"/>
      <w:szCs w:val="24"/>
    </w:rPr>
  </w:style>
  <w:style w:type="paragraph" w:customStyle="1" w:styleId="Style22">
    <w:name w:val="Style22"/>
    <w:basedOn w:val="Normal"/>
    <w:rsid w:val="00AF7750"/>
    <w:pPr>
      <w:widowControl w:val="0"/>
      <w:autoSpaceDE w:val="0"/>
      <w:autoSpaceDN w:val="0"/>
      <w:adjustRightInd w:val="0"/>
    </w:pPr>
    <w:rPr>
      <w:rFonts w:ascii="Book Antiqua" w:eastAsia="Times New Roman" w:hAnsi="Book Antiqua" w:cs="Book Antiqua"/>
      <w:sz w:val="24"/>
      <w:szCs w:val="24"/>
      <w:lang w:val="sr-Latn-CS" w:eastAsia="sr-Latn-CS"/>
    </w:rPr>
  </w:style>
  <w:style w:type="paragraph" w:customStyle="1" w:styleId="1tekst">
    <w:name w:val="_1tekst"/>
    <w:basedOn w:val="Normal"/>
    <w:rsid w:val="00B37945"/>
    <w:pPr>
      <w:ind w:left="150" w:right="150" w:firstLine="240"/>
      <w:jc w:val="both"/>
    </w:pPr>
    <w:rPr>
      <w:rFonts w:ascii="Tahoma" w:eastAsiaTheme="minorEastAsia" w:hAnsi="Tahoma" w:cs="Tahoma"/>
      <w:sz w:val="23"/>
      <w:szCs w:val="23"/>
    </w:rPr>
  </w:style>
  <w:style w:type="paragraph" w:styleId="Header">
    <w:name w:val="header"/>
    <w:basedOn w:val="Normal"/>
    <w:link w:val="HeaderChar"/>
    <w:unhideWhenUsed/>
    <w:rsid w:val="002950D4"/>
    <w:pPr>
      <w:tabs>
        <w:tab w:val="center" w:pos="4680"/>
        <w:tab w:val="right" w:pos="9360"/>
      </w:tabs>
    </w:pPr>
  </w:style>
  <w:style w:type="character" w:customStyle="1" w:styleId="HeaderChar">
    <w:name w:val="Header Char"/>
    <w:basedOn w:val="DefaultParagraphFont"/>
    <w:link w:val="Header"/>
    <w:rsid w:val="002950D4"/>
    <w:rPr>
      <w:rFonts w:eastAsia="Calibri" w:cs="Arial"/>
      <w:sz w:val="22"/>
      <w:szCs w:val="22"/>
    </w:rPr>
  </w:style>
  <w:style w:type="paragraph" w:styleId="Footer">
    <w:name w:val="footer"/>
    <w:basedOn w:val="Normal"/>
    <w:link w:val="FooterChar"/>
    <w:uiPriority w:val="99"/>
    <w:unhideWhenUsed/>
    <w:rsid w:val="002950D4"/>
    <w:pPr>
      <w:tabs>
        <w:tab w:val="center" w:pos="4680"/>
        <w:tab w:val="right" w:pos="9360"/>
      </w:tabs>
    </w:pPr>
  </w:style>
  <w:style w:type="character" w:customStyle="1" w:styleId="FooterChar">
    <w:name w:val="Footer Char"/>
    <w:basedOn w:val="DefaultParagraphFont"/>
    <w:link w:val="Footer"/>
    <w:uiPriority w:val="99"/>
    <w:rsid w:val="002950D4"/>
    <w:rPr>
      <w:rFonts w:eastAsia="Calibri"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774897">
      <w:bodyDiv w:val="1"/>
      <w:marLeft w:val="0"/>
      <w:marRight w:val="0"/>
      <w:marTop w:val="0"/>
      <w:marBottom w:val="0"/>
      <w:divBdr>
        <w:top w:val="none" w:sz="0" w:space="0" w:color="auto"/>
        <w:left w:val="none" w:sz="0" w:space="0" w:color="auto"/>
        <w:bottom w:val="none" w:sz="0" w:space="0" w:color="auto"/>
        <w:right w:val="none" w:sz="0" w:space="0" w:color="auto"/>
      </w:divBdr>
    </w:div>
    <w:div w:id="108747648">
      <w:bodyDiv w:val="1"/>
      <w:marLeft w:val="0"/>
      <w:marRight w:val="0"/>
      <w:marTop w:val="0"/>
      <w:marBottom w:val="0"/>
      <w:divBdr>
        <w:top w:val="none" w:sz="0" w:space="0" w:color="auto"/>
        <w:left w:val="none" w:sz="0" w:space="0" w:color="auto"/>
        <w:bottom w:val="none" w:sz="0" w:space="0" w:color="auto"/>
        <w:right w:val="none" w:sz="0" w:space="0" w:color="auto"/>
      </w:divBdr>
    </w:div>
    <w:div w:id="243421797">
      <w:bodyDiv w:val="1"/>
      <w:marLeft w:val="0"/>
      <w:marRight w:val="0"/>
      <w:marTop w:val="0"/>
      <w:marBottom w:val="0"/>
      <w:divBdr>
        <w:top w:val="none" w:sz="0" w:space="0" w:color="auto"/>
        <w:left w:val="none" w:sz="0" w:space="0" w:color="auto"/>
        <w:bottom w:val="none" w:sz="0" w:space="0" w:color="auto"/>
        <w:right w:val="none" w:sz="0" w:space="0" w:color="auto"/>
      </w:divBdr>
    </w:div>
    <w:div w:id="468328004">
      <w:bodyDiv w:val="1"/>
      <w:marLeft w:val="0"/>
      <w:marRight w:val="0"/>
      <w:marTop w:val="0"/>
      <w:marBottom w:val="0"/>
      <w:divBdr>
        <w:top w:val="none" w:sz="0" w:space="0" w:color="auto"/>
        <w:left w:val="none" w:sz="0" w:space="0" w:color="auto"/>
        <w:bottom w:val="none" w:sz="0" w:space="0" w:color="auto"/>
        <w:right w:val="none" w:sz="0" w:space="0" w:color="auto"/>
      </w:divBdr>
    </w:div>
    <w:div w:id="506750174">
      <w:bodyDiv w:val="1"/>
      <w:marLeft w:val="0"/>
      <w:marRight w:val="0"/>
      <w:marTop w:val="0"/>
      <w:marBottom w:val="0"/>
      <w:divBdr>
        <w:top w:val="none" w:sz="0" w:space="0" w:color="auto"/>
        <w:left w:val="none" w:sz="0" w:space="0" w:color="auto"/>
        <w:bottom w:val="none" w:sz="0" w:space="0" w:color="auto"/>
        <w:right w:val="none" w:sz="0" w:space="0" w:color="auto"/>
      </w:divBdr>
    </w:div>
    <w:div w:id="508906916">
      <w:bodyDiv w:val="1"/>
      <w:marLeft w:val="0"/>
      <w:marRight w:val="0"/>
      <w:marTop w:val="0"/>
      <w:marBottom w:val="0"/>
      <w:divBdr>
        <w:top w:val="none" w:sz="0" w:space="0" w:color="auto"/>
        <w:left w:val="none" w:sz="0" w:space="0" w:color="auto"/>
        <w:bottom w:val="none" w:sz="0" w:space="0" w:color="auto"/>
        <w:right w:val="none" w:sz="0" w:space="0" w:color="auto"/>
      </w:divBdr>
    </w:div>
    <w:div w:id="533544355">
      <w:bodyDiv w:val="1"/>
      <w:marLeft w:val="0"/>
      <w:marRight w:val="0"/>
      <w:marTop w:val="0"/>
      <w:marBottom w:val="0"/>
      <w:divBdr>
        <w:top w:val="none" w:sz="0" w:space="0" w:color="auto"/>
        <w:left w:val="none" w:sz="0" w:space="0" w:color="auto"/>
        <w:bottom w:val="none" w:sz="0" w:space="0" w:color="auto"/>
        <w:right w:val="none" w:sz="0" w:space="0" w:color="auto"/>
      </w:divBdr>
    </w:div>
    <w:div w:id="627513390">
      <w:bodyDiv w:val="1"/>
      <w:marLeft w:val="0"/>
      <w:marRight w:val="0"/>
      <w:marTop w:val="0"/>
      <w:marBottom w:val="0"/>
      <w:divBdr>
        <w:top w:val="none" w:sz="0" w:space="0" w:color="auto"/>
        <w:left w:val="none" w:sz="0" w:space="0" w:color="auto"/>
        <w:bottom w:val="none" w:sz="0" w:space="0" w:color="auto"/>
        <w:right w:val="none" w:sz="0" w:space="0" w:color="auto"/>
      </w:divBdr>
    </w:div>
    <w:div w:id="641689723">
      <w:bodyDiv w:val="1"/>
      <w:marLeft w:val="0"/>
      <w:marRight w:val="0"/>
      <w:marTop w:val="0"/>
      <w:marBottom w:val="0"/>
      <w:divBdr>
        <w:top w:val="none" w:sz="0" w:space="0" w:color="auto"/>
        <w:left w:val="none" w:sz="0" w:space="0" w:color="auto"/>
        <w:bottom w:val="none" w:sz="0" w:space="0" w:color="auto"/>
        <w:right w:val="none" w:sz="0" w:space="0" w:color="auto"/>
      </w:divBdr>
    </w:div>
    <w:div w:id="693728887">
      <w:bodyDiv w:val="1"/>
      <w:marLeft w:val="0"/>
      <w:marRight w:val="0"/>
      <w:marTop w:val="0"/>
      <w:marBottom w:val="0"/>
      <w:divBdr>
        <w:top w:val="none" w:sz="0" w:space="0" w:color="auto"/>
        <w:left w:val="none" w:sz="0" w:space="0" w:color="auto"/>
        <w:bottom w:val="none" w:sz="0" w:space="0" w:color="auto"/>
        <w:right w:val="none" w:sz="0" w:space="0" w:color="auto"/>
      </w:divBdr>
    </w:div>
    <w:div w:id="735206810">
      <w:bodyDiv w:val="1"/>
      <w:marLeft w:val="0"/>
      <w:marRight w:val="0"/>
      <w:marTop w:val="0"/>
      <w:marBottom w:val="0"/>
      <w:divBdr>
        <w:top w:val="none" w:sz="0" w:space="0" w:color="auto"/>
        <w:left w:val="none" w:sz="0" w:space="0" w:color="auto"/>
        <w:bottom w:val="none" w:sz="0" w:space="0" w:color="auto"/>
        <w:right w:val="none" w:sz="0" w:space="0" w:color="auto"/>
      </w:divBdr>
    </w:div>
    <w:div w:id="905870496">
      <w:bodyDiv w:val="1"/>
      <w:marLeft w:val="0"/>
      <w:marRight w:val="0"/>
      <w:marTop w:val="0"/>
      <w:marBottom w:val="0"/>
      <w:divBdr>
        <w:top w:val="none" w:sz="0" w:space="0" w:color="auto"/>
        <w:left w:val="none" w:sz="0" w:space="0" w:color="auto"/>
        <w:bottom w:val="none" w:sz="0" w:space="0" w:color="auto"/>
        <w:right w:val="none" w:sz="0" w:space="0" w:color="auto"/>
      </w:divBdr>
    </w:div>
    <w:div w:id="931086548">
      <w:bodyDiv w:val="1"/>
      <w:marLeft w:val="0"/>
      <w:marRight w:val="0"/>
      <w:marTop w:val="0"/>
      <w:marBottom w:val="0"/>
      <w:divBdr>
        <w:top w:val="none" w:sz="0" w:space="0" w:color="auto"/>
        <w:left w:val="none" w:sz="0" w:space="0" w:color="auto"/>
        <w:bottom w:val="none" w:sz="0" w:space="0" w:color="auto"/>
        <w:right w:val="none" w:sz="0" w:space="0" w:color="auto"/>
      </w:divBdr>
    </w:div>
    <w:div w:id="958608867">
      <w:bodyDiv w:val="1"/>
      <w:marLeft w:val="0"/>
      <w:marRight w:val="0"/>
      <w:marTop w:val="0"/>
      <w:marBottom w:val="0"/>
      <w:divBdr>
        <w:top w:val="none" w:sz="0" w:space="0" w:color="auto"/>
        <w:left w:val="none" w:sz="0" w:space="0" w:color="auto"/>
        <w:bottom w:val="none" w:sz="0" w:space="0" w:color="auto"/>
        <w:right w:val="none" w:sz="0" w:space="0" w:color="auto"/>
      </w:divBdr>
    </w:div>
    <w:div w:id="1092160388">
      <w:bodyDiv w:val="1"/>
      <w:marLeft w:val="0"/>
      <w:marRight w:val="0"/>
      <w:marTop w:val="0"/>
      <w:marBottom w:val="0"/>
      <w:divBdr>
        <w:top w:val="none" w:sz="0" w:space="0" w:color="auto"/>
        <w:left w:val="none" w:sz="0" w:space="0" w:color="auto"/>
        <w:bottom w:val="none" w:sz="0" w:space="0" w:color="auto"/>
        <w:right w:val="none" w:sz="0" w:space="0" w:color="auto"/>
      </w:divBdr>
      <w:divsChild>
        <w:div w:id="1368336145">
          <w:marLeft w:val="0"/>
          <w:marRight w:val="0"/>
          <w:marTop w:val="0"/>
          <w:marBottom w:val="0"/>
          <w:divBdr>
            <w:top w:val="none" w:sz="0" w:space="0" w:color="auto"/>
            <w:left w:val="none" w:sz="0" w:space="0" w:color="auto"/>
            <w:bottom w:val="none" w:sz="0" w:space="0" w:color="auto"/>
            <w:right w:val="none" w:sz="0" w:space="0" w:color="auto"/>
          </w:divBdr>
          <w:divsChild>
            <w:div w:id="2111848027">
              <w:marLeft w:val="0"/>
              <w:marRight w:val="0"/>
              <w:marTop w:val="0"/>
              <w:marBottom w:val="0"/>
              <w:divBdr>
                <w:top w:val="none" w:sz="0" w:space="0" w:color="auto"/>
                <w:left w:val="none" w:sz="0" w:space="0" w:color="auto"/>
                <w:bottom w:val="none" w:sz="0" w:space="0" w:color="auto"/>
                <w:right w:val="none" w:sz="0" w:space="0" w:color="auto"/>
              </w:divBdr>
              <w:divsChild>
                <w:div w:id="1904295009">
                  <w:marLeft w:val="0"/>
                  <w:marRight w:val="0"/>
                  <w:marTop w:val="0"/>
                  <w:marBottom w:val="0"/>
                  <w:divBdr>
                    <w:top w:val="none" w:sz="0" w:space="0" w:color="auto"/>
                    <w:left w:val="none" w:sz="0" w:space="0" w:color="auto"/>
                    <w:bottom w:val="none" w:sz="0" w:space="0" w:color="auto"/>
                    <w:right w:val="none" w:sz="0" w:space="0" w:color="auto"/>
                  </w:divBdr>
                  <w:divsChild>
                    <w:div w:id="1760758224">
                      <w:marLeft w:val="0"/>
                      <w:marRight w:val="0"/>
                      <w:marTop w:val="75"/>
                      <w:marBottom w:val="0"/>
                      <w:divBdr>
                        <w:top w:val="single" w:sz="12" w:space="0" w:color="884306"/>
                        <w:left w:val="single" w:sz="12" w:space="0" w:color="884306"/>
                        <w:bottom w:val="single" w:sz="12" w:space="0" w:color="884306"/>
                        <w:right w:val="single" w:sz="12" w:space="0" w:color="884306"/>
                      </w:divBdr>
                      <w:divsChild>
                        <w:div w:id="1047074274">
                          <w:marLeft w:val="0"/>
                          <w:marRight w:val="0"/>
                          <w:marTop w:val="0"/>
                          <w:marBottom w:val="900"/>
                          <w:divBdr>
                            <w:top w:val="none" w:sz="0" w:space="0" w:color="auto"/>
                            <w:left w:val="none" w:sz="0" w:space="0" w:color="auto"/>
                            <w:bottom w:val="none" w:sz="0" w:space="0" w:color="auto"/>
                            <w:right w:val="none" w:sz="0" w:space="0" w:color="auto"/>
                          </w:divBdr>
                          <w:divsChild>
                            <w:div w:id="419718576">
                              <w:marLeft w:val="0"/>
                              <w:marRight w:val="0"/>
                              <w:marTop w:val="0"/>
                              <w:marBottom w:val="0"/>
                              <w:divBdr>
                                <w:top w:val="none" w:sz="0" w:space="0" w:color="auto"/>
                                <w:left w:val="none" w:sz="0" w:space="0" w:color="auto"/>
                                <w:bottom w:val="none" w:sz="0" w:space="0" w:color="auto"/>
                                <w:right w:val="none" w:sz="0" w:space="0" w:color="auto"/>
                              </w:divBdr>
                              <w:divsChild>
                                <w:div w:id="1451167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14925319">
      <w:bodyDiv w:val="1"/>
      <w:marLeft w:val="0"/>
      <w:marRight w:val="0"/>
      <w:marTop w:val="0"/>
      <w:marBottom w:val="0"/>
      <w:divBdr>
        <w:top w:val="none" w:sz="0" w:space="0" w:color="auto"/>
        <w:left w:val="none" w:sz="0" w:space="0" w:color="auto"/>
        <w:bottom w:val="none" w:sz="0" w:space="0" w:color="auto"/>
        <w:right w:val="none" w:sz="0" w:space="0" w:color="auto"/>
      </w:divBdr>
    </w:div>
    <w:div w:id="1277718471">
      <w:bodyDiv w:val="1"/>
      <w:marLeft w:val="0"/>
      <w:marRight w:val="0"/>
      <w:marTop w:val="0"/>
      <w:marBottom w:val="0"/>
      <w:divBdr>
        <w:top w:val="none" w:sz="0" w:space="0" w:color="auto"/>
        <w:left w:val="none" w:sz="0" w:space="0" w:color="auto"/>
        <w:bottom w:val="none" w:sz="0" w:space="0" w:color="auto"/>
        <w:right w:val="none" w:sz="0" w:space="0" w:color="auto"/>
      </w:divBdr>
    </w:div>
    <w:div w:id="1295258048">
      <w:bodyDiv w:val="1"/>
      <w:marLeft w:val="0"/>
      <w:marRight w:val="0"/>
      <w:marTop w:val="0"/>
      <w:marBottom w:val="0"/>
      <w:divBdr>
        <w:top w:val="none" w:sz="0" w:space="0" w:color="auto"/>
        <w:left w:val="none" w:sz="0" w:space="0" w:color="auto"/>
        <w:bottom w:val="none" w:sz="0" w:space="0" w:color="auto"/>
        <w:right w:val="none" w:sz="0" w:space="0" w:color="auto"/>
      </w:divBdr>
    </w:div>
    <w:div w:id="1329794984">
      <w:bodyDiv w:val="1"/>
      <w:marLeft w:val="0"/>
      <w:marRight w:val="0"/>
      <w:marTop w:val="0"/>
      <w:marBottom w:val="0"/>
      <w:divBdr>
        <w:top w:val="none" w:sz="0" w:space="0" w:color="auto"/>
        <w:left w:val="none" w:sz="0" w:space="0" w:color="auto"/>
        <w:bottom w:val="none" w:sz="0" w:space="0" w:color="auto"/>
        <w:right w:val="none" w:sz="0" w:space="0" w:color="auto"/>
      </w:divBdr>
    </w:div>
    <w:div w:id="1354376817">
      <w:bodyDiv w:val="1"/>
      <w:marLeft w:val="0"/>
      <w:marRight w:val="0"/>
      <w:marTop w:val="0"/>
      <w:marBottom w:val="0"/>
      <w:divBdr>
        <w:top w:val="none" w:sz="0" w:space="0" w:color="auto"/>
        <w:left w:val="none" w:sz="0" w:space="0" w:color="auto"/>
        <w:bottom w:val="none" w:sz="0" w:space="0" w:color="auto"/>
        <w:right w:val="none" w:sz="0" w:space="0" w:color="auto"/>
      </w:divBdr>
    </w:div>
    <w:div w:id="1410805191">
      <w:bodyDiv w:val="1"/>
      <w:marLeft w:val="0"/>
      <w:marRight w:val="0"/>
      <w:marTop w:val="0"/>
      <w:marBottom w:val="0"/>
      <w:divBdr>
        <w:top w:val="none" w:sz="0" w:space="0" w:color="auto"/>
        <w:left w:val="none" w:sz="0" w:space="0" w:color="auto"/>
        <w:bottom w:val="none" w:sz="0" w:space="0" w:color="auto"/>
        <w:right w:val="none" w:sz="0" w:space="0" w:color="auto"/>
      </w:divBdr>
    </w:div>
    <w:div w:id="1432430980">
      <w:bodyDiv w:val="1"/>
      <w:marLeft w:val="0"/>
      <w:marRight w:val="0"/>
      <w:marTop w:val="0"/>
      <w:marBottom w:val="0"/>
      <w:divBdr>
        <w:top w:val="none" w:sz="0" w:space="0" w:color="auto"/>
        <w:left w:val="none" w:sz="0" w:space="0" w:color="auto"/>
        <w:bottom w:val="none" w:sz="0" w:space="0" w:color="auto"/>
        <w:right w:val="none" w:sz="0" w:space="0" w:color="auto"/>
      </w:divBdr>
    </w:div>
    <w:div w:id="1464226404">
      <w:bodyDiv w:val="1"/>
      <w:marLeft w:val="0"/>
      <w:marRight w:val="0"/>
      <w:marTop w:val="0"/>
      <w:marBottom w:val="0"/>
      <w:divBdr>
        <w:top w:val="none" w:sz="0" w:space="0" w:color="auto"/>
        <w:left w:val="none" w:sz="0" w:space="0" w:color="auto"/>
        <w:bottom w:val="none" w:sz="0" w:space="0" w:color="auto"/>
        <w:right w:val="none" w:sz="0" w:space="0" w:color="auto"/>
      </w:divBdr>
    </w:div>
    <w:div w:id="1469469473">
      <w:bodyDiv w:val="1"/>
      <w:marLeft w:val="0"/>
      <w:marRight w:val="0"/>
      <w:marTop w:val="0"/>
      <w:marBottom w:val="0"/>
      <w:divBdr>
        <w:top w:val="none" w:sz="0" w:space="0" w:color="auto"/>
        <w:left w:val="none" w:sz="0" w:space="0" w:color="auto"/>
        <w:bottom w:val="none" w:sz="0" w:space="0" w:color="auto"/>
        <w:right w:val="none" w:sz="0" w:space="0" w:color="auto"/>
      </w:divBdr>
    </w:div>
    <w:div w:id="1492065465">
      <w:bodyDiv w:val="1"/>
      <w:marLeft w:val="0"/>
      <w:marRight w:val="0"/>
      <w:marTop w:val="0"/>
      <w:marBottom w:val="0"/>
      <w:divBdr>
        <w:top w:val="none" w:sz="0" w:space="0" w:color="auto"/>
        <w:left w:val="none" w:sz="0" w:space="0" w:color="auto"/>
        <w:bottom w:val="none" w:sz="0" w:space="0" w:color="auto"/>
        <w:right w:val="none" w:sz="0" w:space="0" w:color="auto"/>
      </w:divBdr>
    </w:div>
    <w:div w:id="1609578230">
      <w:bodyDiv w:val="1"/>
      <w:marLeft w:val="0"/>
      <w:marRight w:val="0"/>
      <w:marTop w:val="0"/>
      <w:marBottom w:val="0"/>
      <w:divBdr>
        <w:top w:val="none" w:sz="0" w:space="0" w:color="auto"/>
        <w:left w:val="none" w:sz="0" w:space="0" w:color="auto"/>
        <w:bottom w:val="none" w:sz="0" w:space="0" w:color="auto"/>
        <w:right w:val="none" w:sz="0" w:space="0" w:color="auto"/>
      </w:divBdr>
    </w:div>
    <w:div w:id="1637105642">
      <w:bodyDiv w:val="1"/>
      <w:marLeft w:val="0"/>
      <w:marRight w:val="0"/>
      <w:marTop w:val="0"/>
      <w:marBottom w:val="0"/>
      <w:divBdr>
        <w:top w:val="none" w:sz="0" w:space="0" w:color="auto"/>
        <w:left w:val="none" w:sz="0" w:space="0" w:color="auto"/>
        <w:bottom w:val="none" w:sz="0" w:space="0" w:color="auto"/>
        <w:right w:val="none" w:sz="0" w:space="0" w:color="auto"/>
      </w:divBdr>
      <w:divsChild>
        <w:div w:id="1995864665">
          <w:marLeft w:val="0"/>
          <w:marRight w:val="0"/>
          <w:marTop w:val="0"/>
          <w:marBottom w:val="0"/>
          <w:divBdr>
            <w:top w:val="none" w:sz="0" w:space="0" w:color="auto"/>
            <w:left w:val="none" w:sz="0" w:space="0" w:color="auto"/>
            <w:bottom w:val="none" w:sz="0" w:space="0" w:color="auto"/>
            <w:right w:val="none" w:sz="0" w:space="0" w:color="auto"/>
          </w:divBdr>
          <w:divsChild>
            <w:div w:id="1464926835">
              <w:marLeft w:val="0"/>
              <w:marRight w:val="0"/>
              <w:marTop w:val="0"/>
              <w:marBottom w:val="0"/>
              <w:divBdr>
                <w:top w:val="none" w:sz="0" w:space="0" w:color="auto"/>
                <w:left w:val="none" w:sz="0" w:space="0" w:color="auto"/>
                <w:bottom w:val="none" w:sz="0" w:space="0" w:color="auto"/>
                <w:right w:val="none" w:sz="0" w:space="0" w:color="auto"/>
              </w:divBdr>
              <w:divsChild>
                <w:div w:id="2106609811">
                  <w:marLeft w:val="0"/>
                  <w:marRight w:val="0"/>
                  <w:marTop w:val="0"/>
                  <w:marBottom w:val="0"/>
                  <w:divBdr>
                    <w:top w:val="none" w:sz="0" w:space="0" w:color="auto"/>
                    <w:left w:val="none" w:sz="0" w:space="0" w:color="auto"/>
                    <w:bottom w:val="none" w:sz="0" w:space="0" w:color="auto"/>
                    <w:right w:val="none" w:sz="0" w:space="0" w:color="auto"/>
                  </w:divBdr>
                  <w:divsChild>
                    <w:div w:id="1137525540">
                      <w:marLeft w:val="0"/>
                      <w:marRight w:val="0"/>
                      <w:marTop w:val="75"/>
                      <w:marBottom w:val="0"/>
                      <w:divBdr>
                        <w:top w:val="single" w:sz="12" w:space="0" w:color="884306"/>
                        <w:left w:val="single" w:sz="12" w:space="0" w:color="884306"/>
                        <w:bottom w:val="single" w:sz="12" w:space="0" w:color="884306"/>
                        <w:right w:val="single" w:sz="12" w:space="0" w:color="884306"/>
                      </w:divBdr>
                      <w:divsChild>
                        <w:div w:id="827676672">
                          <w:marLeft w:val="0"/>
                          <w:marRight w:val="0"/>
                          <w:marTop w:val="0"/>
                          <w:marBottom w:val="900"/>
                          <w:divBdr>
                            <w:top w:val="none" w:sz="0" w:space="0" w:color="auto"/>
                            <w:left w:val="none" w:sz="0" w:space="0" w:color="auto"/>
                            <w:bottom w:val="none" w:sz="0" w:space="0" w:color="auto"/>
                            <w:right w:val="none" w:sz="0" w:space="0" w:color="auto"/>
                          </w:divBdr>
                          <w:divsChild>
                            <w:div w:id="1108310446">
                              <w:marLeft w:val="0"/>
                              <w:marRight w:val="0"/>
                              <w:marTop w:val="0"/>
                              <w:marBottom w:val="0"/>
                              <w:divBdr>
                                <w:top w:val="none" w:sz="0" w:space="0" w:color="auto"/>
                                <w:left w:val="none" w:sz="0" w:space="0" w:color="auto"/>
                                <w:bottom w:val="none" w:sz="0" w:space="0" w:color="auto"/>
                                <w:right w:val="none" w:sz="0" w:space="0" w:color="auto"/>
                              </w:divBdr>
                              <w:divsChild>
                                <w:div w:id="1609115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0524380">
      <w:bodyDiv w:val="1"/>
      <w:marLeft w:val="0"/>
      <w:marRight w:val="0"/>
      <w:marTop w:val="0"/>
      <w:marBottom w:val="0"/>
      <w:divBdr>
        <w:top w:val="none" w:sz="0" w:space="0" w:color="auto"/>
        <w:left w:val="none" w:sz="0" w:space="0" w:color="auto"/>
        <w:bottom w:val="none" w:sz="0" w:space="0" w:color="auto"/>
        <w:right w:val="none" w:sz="0" w:space="0" w:color="auto"/>
      </w:divBdr>
    </w:div>
    <w:div w:id="2051804603">
      <w:bodyDiv w:val="1"/>
      <w:marLeft w:val="0"/>
      <w:marRight w:val="0"/>
      <w:marTop w:val="0"/>
      <w:marBottom w:val="0"/>
      <w:divBdr>
        <w:top w:val="none" w:sz="0" w:space="0" w:color="auto"/>
        <w:left w:val="none" w:sz="0" w:space="0" w:color="auto"/>
        <w:bottom w:val="none" w:sz="0" w:space="0" w:color="auto"/>
        <w:right w:val="none" w:sz="0" w:space="0" w:color="auto"/>
      </w:divBdr>
    </w:div>
    <w:div w:id="2053192098">
      <w:bodyDiv w:val="1"/>
      <w:marLeft w:val="0"/>
      <w:marRight w:val="0"/>
      <w:marTop w:val="0"/>
      <w:marBottom w:val="0"/>
      <w:divBdr>
        <w:top w:val="none" w:sz="0" w:space="0" w:color="auto"/>
        <w:left w:val="none" w:sz="0" w:space="0" w:color="auto"/>
        <w:bottom w:val="none" w:sz="0" w:space="0" w:color="auto"/>
        <w:right w:val="none" w:sz="0" w:space="0" w:color="auto"/>
      </w:divBdr>
    </w:div>
    <w:div w:id="2080899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ur-lex.europa.eu/legal-content/EN/AUTO/?uri=CELEX:32020R0740" TargetMode="External"/><Relationship Id="rId13" Type="http://schemas.openxmlformats.org/officeDocument/2006/relationships/hyperlink" Target="http://eur-lex.europa.eu/legal-content/EN/TXT/HTML/?uri=CELEX:32017R1369&amp;from=EN" TargetMode="External"/><Relationship Id="rId18" Type="http://schemas.openxmlformats.org/officeDocument/2006/relationships/hyperlink" Target="http://eur-lex.europa.eu/legal-content/EN/TXT/HTML/?uri=CELEX:32017R1369&amp;from=EN"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eur-lex.europa.eu/legal-content/EN/TXT/HTML/?uri=CELEX:32017R1369&amp;from=EN" TargetMode="External"/><Relationship Id="rId17" Type="http://schemas.openxmlformats.org/officeDocument/2006/relationships/hyperlink" Target="http://eur-lex.europa.eu/legal-content/EN/TXT/HTML/?uri=CELEX:32017R1369&amp;from=EN" TargetMode="External"/><Relationship Id="rId25"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hyperlink" Target="http://eur-lex.europa.eu/legal-content/EN/TXT/HTML/?uri=CELEX:32017R1369&amp;from=EN"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ur-lex.europa.eu/legal-content/EN/TXT/HTML/?uri=CELEX:32017R1369&amp;from=EN" TargetMode="External"/><Relationship Id="rId24"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hyperlink" Target="http://eur-lex.europa.eu/legal-content/EN/TXT/HTML/?uri=CELEX:32017R1369&amp;from=EN" TargetMode="External"/><Relationship Id="rId10" Type="http://schemas.openxmlformats.org/officeDocument/2006/relationships/hyperlink" Target="http://eur-lex.europa.eu/legal-content/EN/TXT/HTML/?uri=CELEX:32017R1369&amp;from=EN" TargetMode="External"/><Relationship Id="rId19" Type="http://schemas.openxmlformats.org/officeDocument/2006/relationships/hyperlink" Target="http://eur-lex.europa.eu/legal-content/EN/TXT/HTML/?uri=CELEX:32017R1369&amp;from=EN" TargetMode="External"/><Relationship Id="rId4" Type="http://schemas.openxmlformats.org/officeDocument/2006/relationships/settings" Target="settings.xml"/><Relationship Id="rId9" Type="http://schemas.openxmlformats.org/officeDocument/2006/relationships/hyperlink" Target="http://eur-lex.europa.eu/legal-content/EN/TXT/HTML/?uri=CELEX:32017R1369&amp;from=EN" TargetMode="External"/><Relationship Id="rId14" Type="http://schemas.openxmlformats.org/officeDocument/2006/relationships/hyperlink" Target="http://eur-lex.europa.eu/legal-content/EN/TXT/HTML/?uri=CELEX:32017R1369&amp;from=EN"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C19911-FA6B-4B92-8AD4-7FF1450F55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53</Pages>
  <Words>13330</Words>
  <Characters>75986</Characters>
  <Application>Microsoft Office Word</Application>
  <DocSecurity>0</DocSecurity>
  <Lines>633</Lines>
  <Paragraphs>178</Paragraphs>
  <ScaleCrop>false</ScaleCrop>
  <HeadingPairs>
    <vt:vector size="2" baseType="variant">
      <vt:variant>
        <vt:lpstr>Title</vt:lpstr>
      </vt:variant>
      <vt:variant>
        <vt:i4>1</vt:i4>
      </vt:variant>
    </vt:vector>
  </HeadingPairs>
  <TitlesOfParts>
    <vt:vector size="1" baseType="lpstr">
      <vt:lpstr>TU- 2017-1369-EU</vt:lpstr>
    </vt:vector>
  </TitlesOfParts>
  <Company>KEI</Company>
  <LinksUpToDate>false</LinksUpToDate>
  <CharactersWithSpaces>89138</CharactersWithSpaces>
  <SharedDoc>false</SharedDoc>
  <HLinks>
    <vt:vector size="6" baseType="variant">
      <vt:variant>
        <vt:i4>2031711</vt:i4>
      </vt:variant>
      <vt:variant>
        <vt:i4>0</vt:i4>
      </vt:variant>
      <vt:variant>
        <vt:i4>0</vt:i4>
      </vt:variant>
      <vt:variant>
        <vt:i4>5</vt:i4>
      </vt:variant>
      <vt:variant>
        <vt:lpwstr>http://eur-lex.europa.eu/legal-content/EN/AUTO/?uri=celex:32009L0125</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TU- 2017-1369-EU</dc:title>
  <dc:creator>SrKo;MRE RS</dc:creator>
  <cp:lastModifiedBy>Snezana Marinovic</cp:lastModifiedBy>
  <cp:revision>4</cp:revision>
  <cp:lastPrinted>2021-03-29T09:03:00Z</cp:lastPrinted>
  <dcterms:created xsi:type="dcterms:W3CDTF">2021-02-24T11:13:00Z</dcterms:created>
  <dcterms:modified xsi:type="dcterms:W3CDTF">2021-03-29T09:03:00Z</dcterms:modified>
</cp:coreProperties>
</file>