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621"/>
        <w:gridCol w:w="3507"/>
      </w:tblGrid>
      <w:tr w:rsidR="00474782" w:rsidRPr="000A0FAC" w14:paraId="46187D61"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46187D5C" w14:textId="3F23DD79" w:rsidR="0025042A" w:rsidRPr="000A0FAC" w:rsidRDefault="0025042A" w:rsidP="004E6125">
            <w:pPr>
              <w:spacing w:before="120" w:after="120"/>
              <w:jc w:val="both"/>
              <w:rPr>
                <w:rFonts w:cs="Times New Roman"/>
                <w:lang w:val="sr-Cyrl-RS"/>
              </w:rPr>
            </w:pPr>
            <w:r w:rsidRPr="000A0FAC">
              <w:rPr>
                <w:rFonts w:cs="Times New Roman"/>
                <w:lang w:val="sr-Cyrl-RS"/>
              </w:rPr>
              <w:t xml:space="preserve">1. Назив прописа </w:t>
            </w:r>
            <w:r w:rsidR="00C117A7" w:rsidRPr="000A0FAC">
              <w:rPr>
                <w:rFonts w:cs="Times New Roman"/>
                <w:lang w:val="sr-Cyrl-RS"/>
              </w:rPr>
              <w:t>Европске</w:t>
            </w:r>
            <w:r w:rsidRPr="000A0FAC">
              <w:rPr>
                <w:rFonts w:cs="Times New Roman"/>
                <w:lang w:val="sr-Cyrl-RS"/>
              </w:rPr>
              <w:t xml:space="preserve"> уније: </w:t>
            </w:r>
          </w:p>
          <w:p w14:paraId="47174768" w14:textId="2469BDE3" w:rsidR="00B1124B" w:rsidRDefault="00B1124B" w:rsidP="00B30E18">
            <w:pPr>
              <w:jc w:val="both"/>
              <w:rPr>
                <w:rFonts w:cs="Times New Roman"/>
                <w:b/>
                <w:bCs/>
                <w:lang w:val="hr-HR"/>
              </w:rPr>
            </w:pPr>
            <w:r w:rsidRPr="00B1124B">
              <w:rPr>
                <w:rFonts w:cs="Times New Roman"/>
                <w:b/>
                <w:bCs/>
              </w:rPr>
              <w:t xml:space="preserve">Regulation (EU) 2020/740 of the European Parliament and of the Council of 25 May 2020 on the labelling of </w:t>
            </w:r>
            <w:proofErr w:type="spellStart"/>
            <w:r w:rsidRPr="00B1124B">
              <w:rPr>
                <w:rFonts w:cs="Times New Roman"/>
                <w:b/>
                <w:bCs/>
              </w:rPr>
              <w:t>tyres</w:t>
            </w:r>
            <w:proofErr w:type="spellEnd"/>
            <w:r w:rsidRPr="00B1124B">
              <w:rPr>
                <w:rFonts w:cs="Times New Roman"/>
                <w:b/>
                <w:bCs/>
              </w:rPr>
              <w:t xml:space="preserve"> with respect to fuel efficiency and other parameters, amending Regulation (EU) 2017/1369 and repealing Regulation (EC) No 1222/2009</w:t>
            </w:r>
            <w:r w:rsidR="00B30E18">
              <w:rPr>
                <w:rFonts w:cs="Times New Roman"/>
                <w:b/>
                <w:bCs/>
              </w:rPr>
              <w:t xml:space="preserve"> </w:t>
            </w:r>
            <w:r w:rsidRPr="00B1124B">
              <w:rPr>
                <w:rFonts w:cs="Times New Roman"/>
                <w:lang w:val="hr-HR"/>
              </w:rPr>
              <w:t>(OJ L 177 5.6.2020, p. 1)</w:t>
            </w:r>
            <w:r w:rsidR="00B30E18" w:rsidRPr="00B30E18">
              <w:rPr>
                <w:rFonts w:cs="Times New Roman"/>
                <w:b/>
                <w:bCs/>
                <w:lang w:val="hr-HR"/>
              </w:rPr>
              <w:t xml:space="preserve"> </w:t>
            </w:r>
          </w:p>
          <w:p w14:paraId="07A6649E" w14:textId="195ABDD8" w:rsidR="007227D5" w:rsidRPr="007227D5" w:rsidRDefault="007227D5" w:rsidP="007227D5">
            <w:pPr>
              <w:jc w:val="both"/>
              <w:rPr>
                <w:rFonts w:cs="Times New Roman"/>
                <w:lang w:val="en-GB"/>
              </w:rPr>
            </w:pPr>
            <w:r w:rsidRPr="007227D5">
              <w:rPr>
                <w:rFonts w:cs="Times New Roman"/>
                <w:lang w:val="en-GB"/>
              </w:rPr>
              <w:t xml:space="preserve">Corrected by </w:t>
            </w:r>
            <w:r>
              <w:rPr>
                <w:rFonts w:cs="Times New Roman"/>
                <w:lang w:val="en-GB"/>
              </w:rPr>
              <w:t xml:space="preserve">Corrigendum, </w:t>
            </w:r>
            <w:r w:rsidRPr="007227D5">
              <w:rPr>
                <w:rFonts w:cs="Times New Roman"/>
                <w:lang w:val="en-GB"/>
              </w:rPr>
              <w:t xml:space="preserve">OJ L 241, 27.7.2020, p. 46 (2020/740) </w:t>
            </w:r>
          </w:p>
          <w:p w14:paraId="607934BF" w14:textId="77777777" w:rsidR="00B30E18" w:rsidRPr="007227D5" w:rsidRDefault="00B30E18" w:rsidP="00B30E18">
            <w:pPr>
              <w:jc w:val="both"/>
              <w:rPr>
                <w:rFonts w:cs="Times New Roman"/>
                <w:lang w:val="en-GB"/>
              </w:rPr>
            </w:pPr>
          </w:p>
          <w:p w14:paraId="46187D5E" w14:textId="3E040B36" w:rsidR="007554BD" w:rsidRPr="00F40F68" w:rsidRDefault="00F40F68" w:rsidP="00B30E18">
            <w:pPr>
              <w:spacing w:after="120"/>
              <w:jc w:val="both"/>
              <w:rPr>
                <w:lang w:val="sr-Cyrl-RS"/>
              </w:rPr>
            </w:pPr>
            <w:r w:rsidRPr="00B30E18">
              <w:rPr>
                <w:b/>
                <w:bCs/>
                <w:lang w:val="sr-Cyrl-RS"/>
              </w:rPr>
              <w:t>Уредба (ЕУ)</w:t>
            </w:r>
            <w:r w:rsidR="001A4D12">
              <w:rPr>
                <w:b/>
                <w:bCs/>
              </w:rPr>
              <w:t xml:space="preserve"> </w:t>
            </w:r>
            <w:r w:rsidRPr="00B30E18">
              <w:rPr>
                <w:b/>
                <w:bCs/>
                <w:lang w:val="sr-Cyrl-RS"/>
              </w:rPr>
              <w:t>2020/740</w:t>
            </w:r>
            <w:r w:rsidRPr="00B30E18">
              <w:rPr>
                <w:lang w:val="sr-Cyrl-RS"/>
              </w:rPr>
              <w:t xml:space="preserve"> Европског парламента и Савета од 25. маја 2020. године </w:t>
            </w:r>
            <w:r w:rsidRPr="00B30E18">
              <w:rPr>
                <w:b/>
                <w:bCs/>
                <w:lang w:val="sr-Cyrl-RS"/>
              </w:rPr>
              <w:t>о</w:t>
            </w:r>
            <w:r w:rsidRPr="00B30E18">
              <w:rPr>
                <w:b/>
                <w:bCs/>
                <w:lang w:val="sr-Latn-RS"/>
              </w:rPr>
              <w:t xml:space="preserve"> </w:t>
            </w:r>
            <w:r w:rsidRPr="00B30E18">
              <w:rPr>
                <w:b/>
                <w:bCs/>
                <w:lang w:val="sr-Cyrl-RS"/>
              </w:rPr>
              <w:t>означавању гума</w:t>
            </w:r>
            <w:r w:rsidRPr="00B30E18">
              <w:rPr>
                <w:lang w:val="sr-Cyrl-RS"/>
              </w:rPr>
              <w:t xml:space="preserve"> с обзиром на ефикасност потрошње горива и друге параметре, измени Уредбе (ЕУ) 2017/1369 и стављању изван снаге Уредбе (ЕЗ) 1222/2009</w:t>
            </w:r>
            <w:r>
              <w:rPr>
                <w:lang w:val="sr-Cyrl-RS"/>
              </w:rPr>
              <w:t xml:space="preserve"> </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46187D5F" w14:textId="77777777" w:rsidR="0025042A" w:rsidRPr="000A0FAC" w:rsidRDefault="0025042A" w:rsidP="004E6125">
            <w:pPr>
              <w:spacing w:before="120" w:after="120"/>
              <w:jc w:val="both"/>
              <w:rPr>
                <w:rFonts w:cs="Times New Roman"/>
                <w:iCs/>
                <w:lang w:val="sr-Cyrl-RS"/>
              </w:rPr>
            </w:pPr>
            <w:r w:rsidRPr="000A0FAC">
              <w:rPr>
                <w:rFonts w:cs="Times New Roman"/>
                <w:iCs/>
                <w:lang w:val="sr-Cyrl-RS"/>
              </w:rPr>
              <w:t>2. „CELEX” ознака ЕУ прописа</w:t>
            </w:r>
          </w:p>
          <w:p w14:paraId="46187D60" w14:textId="4A68AE2C" w:rsidR="0025042A" w:rsidRPr="00463ED7" w:rsidRDefault="00FD7A94" w:rsidP="004E6125">
            <w:pPr>
              <w:spacing w:before="120" w:after="120"/>
              <w:jc w:val="both"/>
              <w:rPr>
                <w:rFonts w:cs="Times New Roman"/>
                <w:iCs/>
                <w:lang w:val="sr-Latn-RS"/>
              </w:rPr>
            </w:pPr>
            <w:r>
              <w:rPr>
                <w:rFonts w:cs="Times New Roman"/>
                <w:iCs/>
                <w:lang w:val="sr-Latn-RS"/>
              </w:rPr>
              <w:t>32020R0740</w:t>
            </w:r>
          </w:p>
        </w:tc>
      </w:tr>
      <w:tr w:rsidR="00474782" w:rsidRPr="000A0FAC" w14:paraId="46187D68"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46187D63" w14:textId="7EBB60C0" w:rsidR="0025042A" w:rsidRPr="000A0FAC" w:rsidRDefault="0025042A" w:rsidP="004E6125">
            <w:pPr>
              <w:rPr>
                <w:rFonts w:cs="Times New Roman"/>
                <w:lang w:val="sr-Cyrl-RS"/>
              </w:rPr>
            </w:pPr>
            <w:r w:rsidRPr="000A0FAC">
              <w:rPr>
                <w:rFonts w:cs="Times New Roman"/>
                <w:lang w:val="sr-Cyrl-RS"/>
              </w:rPr>
              <w:t xml:space="preserve">3. Орган државне управе, односно други овлашћени предлагач прописа: </w:t>
            </w:r>
            <w:r w:rsidR="00BC0F56">
              <w:rPr>
                <w:rFonts w:cs="Times New Roman"/>
                <w:lang w:val="sr-Cyrl-RS"/>
              </w:rPr>
              <w:t>Влада</w:t>
            </w:r>
          </w:p>
          <w:p w14:paraId="46187D65" w14:textId="32CBD68D" w:rsidR="002A0174" w:rsidRPr="007227D5" w:rsidRDefault="00BC0F56" w:rsidP="004E6125">
            <w:pPr>
              <w:rPr>
                <w:rFonts w:cs="Times New Roman"/>
              </w:rPr>
            </w:pPr>
            <w:r>
              <w:rPr>
                <w:rFonts w:cs="Times New Roman"/>
                <w:lang w:val="sr-Cyrl-RS"/>
              </w:rPr>
              <w:t xml:space="preserve">Обрађивач </w:t>
            </w:r>
            <w:r w:rsidR="00B0581B" w:rsidRPr="000A0FAC">
              <w:rPr>
                <w:rFonts w:cs="Times New Roman"/>
                <w:lang w:val="sr-Cyrl-RS"/>
              </w:rPr>
              <w:t>Министарство рударства и енергетике</w:t>
            </w:r>
            <w:r w:rsidR="007227D5">
              <w:rPr>
                <w:rFonts w:cs="Times New Roman"/>
              </w:rPr>
              <w:t xml:space="preserve"> </w:t>
            </w:r>
          </w:p>
        </w:tc>
        <w:tc>
          <w:tcPr>
            <w:tcW w:w="1159" w:type="pct"/>
            <w:tcBorders>
              <w:top w:val="single" w:sz="4" w:space="0" w:color="auto"/>
              <w:left w:val="single" w:sz="4" w:space="0" w:color="auto"/>
              <w:bottom w:val="single" w:sz="4" w:space="0" w:color="auto"/>
              <w:right w:val="single" w:sz="4" w:space="0" w:color="auto"/>
            </w:tcBorders>
          </w:tcPr>
          <w:p w14:paraId="46187D66" w14:textId="77777777" w:rsidR="0025042A" w:rsidRPr="000A0FAC" w:rsidRDefault="0025042A" w:rsidP="004E6125">
            <w:pPr>
              <w:jc w:val="both"/>
              <w:rPr>
                <w:rFonts w:cs="Times New Roman"/>
                <w:iCs/>
                <w:lang w:val="sr-Cyrl-RS"/>
              </w:rPr>
            </w:pPr>
            <w:r w:rsidRPr="000A0FAC">
              <w:rPr>
                <w:rFonts w:cs="Times New Roman"/>
                <w:iCs/>
                <w:lang w:val="sr-Cyrl-RS"/>
              </w:rPr>
              <w:t xml:space="preserve">4. Датум израде табеле: </w:t>
            </w:r>
          </w:p>
          <w:p w14:paraId="46187D67" w14:textId="6A5FC942" w:rsidR="00B0581B" w:rsidRPr="009918E5" w:rsidRDefault="009918E5" w:rsidP="00582A2F">
            <w:pPr>
              <w:jc w:val="both"/>
              <w:rPr>
                <w:rFonts w:cs="Times New Roman"/>
                <w:iCs/>
              </w:rPr>
            </w:pPr>
            <w:r>
              <w:rPr>
                <w:rFonts w:cs="Times New Roman"/>
                <w:iCs/>
              </w:rPr>
              <w:t>21.2.2021.</w:t>
            </w:r>
          </w:p>
        </w:tc>
      </w:tr>
      <w:tr w:rsidR="00474782" w:rsidRPr="000A0FAC" w14:paraId="46187D71" w14:textId="77777777" w:rsidTr="004E460E">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46187D69" w14:textId="4B4D7362" w:rsidR="0025042A" w:rsidRPr="000A0FAC" w:rsidRDefault="0025042A" w:rsidP="004E6125">
            <w:pPr>
              <w:spacing w:before="120" w:after="120"/>
              <w:jc w:val="both"/>
              <w:rPr>
                <w:lang w:val="sr-Cyrl-RS"/>
              </w:rPr>
            </w:pPr>
            <w:r w:rsidRPr="000A0FAC">
              <w:rPr>
                <w:rFonts w:cs="Times New Roman"/>
                <w:lang w:val="sr-Cyrl-RS"/>
              </w:rPr>
              <w:t>5. Назив (</w:t>
            </w:r>
            <w:r w:rsidR="00CC47DD">
              <w:rPr>
                <w:rFonts w:cs="Times New Roman"/>
                <w:lang w:val="sr-Cyrl-RS"/>
              </w:rPr>
              <w:t>Нацрт</w:t>
            </w:r>
            <w:bookmarkStart w:id="0" w:name="_GoBack"/>
            <w:bookmarkEnd w:id="0"/>
            <w:r w:rsidRPr="000A0FAC">
              <w:rPr>
                <w:rFonts w:cs="Times New Roman"/>
                <w:lang w:val="sr-Cyrl-RS"/>
              </w:rPr>
              <w:t>, предлога) прописа чије одредбе су предмет анализе усклађености са прописом Европске уније</w:t>
            </w:r>
            <w:r w:rsidRPr="000A0FAC">
              <w:rPr>
                <w:lang w:val="sr-Cyrl-RS"/>
              </w:rPr>
              <w:t>:</w:t>
            </w:r>
          </w:p>
          <w:p w14:paraId="46187D6A" w14:textId="2F953AB3" w:rsidR="00B37945" w:rsidRPr="000A0FAC" w:rsidRDefault="00CA4C50" w:rsidP="002A0174">
            <w:pPr>
              <w:jc w:val="both"/>
              <w:rPr>
                <w:lang w:val="sr-Cyrl-RS"/>
              </w:rPr>
            </w:pPr>
            <w:r w:rsidRPr="000A0FAC">
              <w:rPr>
                <w:lang w:val="sr-Cyrl-RS"/>
              </w:rPr>
              <w:t>1</w:t>
            </w:r>
            <w:r w:rsidR="00A13E12" w:rsidRPr="000A0FAC">
              <w:rPr>
                <w:lang w:val="sr-Cyrl-RS"/>
              </w:rPr>
              <w:t>.</w:t>
            </w:r>
            <w:r w:rsidR="00BC0F56">
              <w:rPr>
                <w:b/>
                <w:bCs/>
                <w:lang w:val="sr-Cyrl-RS"/>
              </w:rPr>
              <w:t>Предлог</w:t>
            </w:r>
            <w:r w:rsidR="00B62028" w:rsidRPr="000A0FAC">
              <w:rPr>
                <w:b/>
                <w:bCs/>
                <w:lang w:val="sr-Cyrl-RS"/>
              </w:rPr>
              <w:t xml:space="preserve"> </w:t>
            </w:r>
            <w:r w:rsidR="00BC0F56" w:rsidRPr="000A0FAC">
              <w:rPr>
                <w:b/>
                <w:bCs/>
                <w:lang w:val="sr-Cyrl-RS"/>
              </w:rPr>
              <w:t xml:space="preserve">закона </w:t>
            </w:r>
            <w:r w:rsidR="00B62028" w:rsidRPr="000A0FAC">
              <w:rPr>
                <w:b/>
                <w:bCs/>
                <w:lang w:val="sr-Cyrl-RS"/>
              </w:rPr>
              <w:t xml:space="preserve">о </w:t>
            </w:r>
            <w:r w:rsidR="00C117A7">
              <w:rPr>
                <w:b/>
                <w:bCs/>
                <w:lang w:val="sr-Cyrl-RS"/>
              </w:rPr>
              <w:t>енергетској ефикасности и рационалној употреби</w:t>
            </w:r>
            <w:r w:rsidR="00B62028" w:rsidRPr="000A0FAC">
              <w:rPr>
                <w:b/>
                <w:bCs/>
                <w:lang w:val="sr-Cyrl-RS"/>
              </w:rPr>
              <w:t xml:space="preserve"> енергије</w:t>
            </w:r>
            <w:r w:rsidR="00C117A7">
              <w:rPr>
                <w:b/>
                <w:bCs/>
                <w:lang w:val="sr-Cyrl-RS"/>
              </w:rPr>
              <w:t xml:space="preserve"> (</w:t>
            </w:r>
            <w:r w:rsidR="00BC0F56">
              <w:rPr>
                <w:b/>
                <w:bCs/>
                <w:lang w:val="sr-Cyrl-RS"/>
              </w:rPr>
              <w:t>Предлог</w:t>
            </w:r>
            <w:r w:rsidR="00C117A7">
              <w:rPr>
                <w:b/>
                <w:bCs/>
                <w:lang w:val="sr-Cyrl-RS"/>
              </w:rPr>
              <w:t xml:space="preserve"> ЗЕЕРУЕ)</w:t>
            </w:r>
          </w:p>
          <w:p w14:paraId="46187D6B" w14:textId="77777777" w:rsidR="00037235" w:rsidRPr="000A0FAC" w:rsidRDefault="00037235" w:rsidP="00037235">
            <w:pPr>
              <w:rPr>
                <w:lang w:val="sr-Cyrl-RS"/>
              </w:rPr>
            </w:pPr>
            <w:r w:rsidRPr="000A0FAC">
              <w:rPr>
                <w:rFonts w:cs="Times New Roman"/>
                <w:lang w:val="sr-Cyrl-RS"/>
              </w:rPr>
              <w:t>2. Уредба о врстама производа који утичу на потрошњу енергије за које је неопходно означавање потрошње енергије и других ресурса (</w:t>
            </w:r>
            <w:proofErr w:type="spellStart"/>
            <w:r w:rsidRPr="000A0FAC">
              <w:rPr>
                <w:rFonts w:cs="Times New Roman"/>
                <w:lang w:val="sr-Cyrl-RS"/>
              </w:rPr>
              <w:t>Сл</w:t>
            </w:r>
            <w:proofErr w:type="spellEnd"/>
            <w:r w:rsidRPr="000A0FAC">
              <w:rPr>
                <w:rFonts w:cs="Times New Roman"/>
                <w:lang w:val="sr-Cyrl-RS"/>
              </w:rPr>
              <w:t>. гласник РС, бр. 92/13 и 80/16)</w:t>
            </w:r>
          </w:p>
          <w:p w14:paraId="46187D6C" w14:textId="77777777" w:rsidR="00037235" w:rsidRPr="000A0FAC" w:rsidRDefault="009778D3" w:rsidP="00037235">
            <w:pPr>
              <w:jc w:val="both"/>
              <w:rPr>
                <w:lang w:val="sr-Cyrl-RS"/>
              </w:rPr>
            </w:pPr>
            <w:r w:rsidRPr="000A0FAC">
              <w:rPr>
                <w:lang w:val="sr-Cyrl-RS"/>
              </w:rPr>
              <w:t xml:space="preserve">3. </w:t>
            </w:r>
            <w:r w:rsidRPr="000A0FAC">
              <w:rPr>
                <w:rFonts w:cs="Times New Roman"/>
                <w:lang w:val="sr-Cyrl-RS"/>
              </w:rPr>
              <w:t>Закон о стандардизацији (</w:t>
            </w:r>
            <w:proofErr w:type="spellStart"/>
            <w:r w:rsidRPr="000A0FAC">
              <w:rPr>
                <w:rFonts w:cs="Times New Roman"/>
                <w:lang w:val="sr-Cyrl-RS"/>
              </w:rPr>
              <w:t>Сл</w:t>
            </w:r>
            <w:proofErr w:type="spellEnd"/>
            <w:r w:rsidRPr="000A0FAC">
              <w:rPr>
                <w:rFonts w:cs="Times New Roman"/>
                <w:lang w:val="sr-Cyrl-RS"/>
              </w:rPr>
              <w:t>. гласник РС, бр. 36/09 и 46/15)</w:t>
            </w:r>
          </w:p>
          <w:p w14:paraId="46187D6E" w14:textId="5409B2D3" w:rsidR="00493DDE" w:rsidRPr="002A0DCB" w:rsidRDefault="00493DDE" w:rsidP="00037235">
            <w:pPr>
              <w:jc w:val="both"/>
              <w:rPr>
                <w:lang w:val="sr-Latn-RS"/>
              </w:rPr>
            </w:pPr>
            <w:r w:rsidRPr="000A0FAC">
              <w:rPr>
                <w:rFonts w:cs="Times New Roman"/>
                <w:lang w:val="sr-Cyrl-RS"/>
              </w:rPr>
              <w:t>4. Закон о тржишном надзору (</w:t>
            </w:r>
            <w:proofErr w:type="spellStart"/>
            <w:r w:rsidRPr="000A0FAC">
              <w:rPr>
                <w:rFonts w:cs="Times New Roman"/>
                <w:lang w:val="sr-Cyrl-RS"/>
              </w:rPr>
              <w:t>Сл</w:t>
            </w:r>
            <w:proofErr w:type="spellEnd"/>
            <w:r w:rsidRPr="000A0FAC">
              <w:rPr>
                <w:rFonts w:cs="Times New Roman"/>
                <w:lang w:val="sr-Cyrl-RS"/>
              </w:rPr>
              <w:t>.</w:t>
            </w:r>
            <w:r w:rsidR="000A0FAC">
              <w:rPr>
                <w:rFonts w:cs="Times New Roman"/>
                <w:lang w:val="sr-Latn-RS"/>
              </w:rPr>
              <w:t xml:space="preserve"> </w:t>
            </w:r>
            <w:r w:rsidR="000A0FAC">
              <w:rPr>
                <w:rFonts w:cs="Times New Roman"/>
                <w:lang w:val="sr-Cyrl-RS"/>
              </w:rPr>
              <w:t>г</w:t>
            </w:r>
            <w:r w:rsidRPr="000A0FAC">
              <w:rPr>
                <w:rFonts w:cs="Times New Roman"/>
                <w:lang w:val="sr-Cyrl-RS"/>
              </w:rPr>
              <w:t>ласник</w:t>
            </w:r>
            <w:r w:rsidR="000A0FAC">
              <w:rPr>
                <w:rFonts w:cs="Times New Roman"/>
                <w:lang w:val="sr-Latn-RS"/>
              </w:rPr>
              <w:t xml:space="preserve"> </w:t>
            </w:r>
            <w:r w:rsidRPr="000A0FAC">
              <w:rPr>
                <w:rFonts w:cs="Times New Roman"/>
                <w:lang w:val="sr-Cyrl-RS"/>
              </w:rPr>
              <w:t>РС, бр. 92/11)</w:t>
            </w:r>
            <w:r w:rsidR="002A0DCB">
              <w:rPr>
                <w:rFonts w:cs="Times New Roman"/>
                <w:lang w:val="sr-Latn-RS"/>
              </w:rPr>
              <w:t xml:space="preserve"> </w:t>
            </w:r>
          </w:p>
        </w:tc>
        <w:tc>
          <w:tcPr>
            <w:tcW w:w="1159" w:type="pct"/>
            <w:tcBorders>
              <w:top w:val="single" w:sz="4" w:space="0" w:color="auto"/>
              <w:left w:val="single" w:sz="4" w:space="0" w:color="auto"/>
              <w:bottom w:val="single" w:sz="4" w:space="0" w:color="auto"/>
              <w:right w:val="single" w:sz="4" w:space="0" w:color="auto"/>
            </w:tcBorders>
          </w:tcPr>
          <w:p w14:paraId="46187D6F" w14:textId="77777777" w:rsidR="0025042A" w:rsidRPr="000A0FAC" w:rsidRDefault="0025042A" w:rsidP="009918E5">
            <w:pPr>
              <w:spacing w:before="120" w:after="120"/>
              <w:rPr>
                <w:rStyle w:val="hps"/>
                <w:rFonts w:cs="Times New Roman"/>
                <w:iCs/>
                <w:lang w:val="sr-Cyrl-RS"/>
              </w:rPr>
            </w:pPr>
            <w:r w:rsidRPr="000A0FAC">
              <w:rPr>
                <w:rFonts w:cs="Times New Roman"/>
                <w:iCs/>
                <w:lang w:val="sr-Cyrl-RS"/>
              </w:rPr>
              <w:t>6. Бројчане ознаке (шифре) планираних прописа из базе НПAA</w:t>
            </w:r>
            <w:r w:rsidRPr="000A0FAC">
              <w:rPr>
                <w:rStyle w:val="hps"/>
                <w:rFonts w:cs="Times New Roman"/>
                <w:iCs/>
                <w:lang w:val="sr-Cyrl-RS"/>
              </w:rPr>
              <w:t>:</w:t>
            </w:r>
          </w:p>
          <w:p w14:paraId="46187D70" w14:textId="04E65EF3" w:rsidR="001D11A6" w:rsidRPr="000A0FAC" w:rsidRDefault="00BF4F1E" w:rsidP="00582A2F">
            <w:pPr>
              <w:spacing w:before="120" w:after="120"/>
              <w:jc w:val="both"/>
              <w:rPr>
                <w:rFonts w:cs="Times New Roman"/>
                <w:iCs/>
                <w:lang w:val="sr-Cyrl-RS"/>
              </w:rPr>
            </w:pPr>
            <w:r w:rsidRPr="009918E5">
              <w:rPr>
                <w:rFonts w:cs="Times New Roman"/>
                <w:iCs/>
                <w:lang w:val="sr-Cyrl-RS"/>
              </w:rPr>
              <w:t>20</w:t>
            </w:r>
            <w:r w:rsidR="009918E5" w:rsidRPr="009918E5">
              <w:rPr>
                <w:rFonts w:cs="Times New Roman"/>
                <w:iCs/>
              </w:rPr>
              <w:t>21</w:t>
            </w:r>
            <w:r w:rsidR="00501B49" w:rsidRPr="009918E5">
              <w:rPr>
                <w:rFonts w:cs="Times New Roman"/>
                <w:iCs/>
                <w:lang w:val="sr-Cyrl-RS"/>
              </w:rPr>
              <w:t>-</w:t>
            </w:r>
            <w:r w:rsidR="009918E5" w:rsidRPr="009918E5">
              <w:rPr>
                <w:rFonts w:cs="Times New Roman"/>
                <w:iCs/>
              </w:rPr>
              <w:t>1</w:t>
            </w:r>
          </w:p>
        </w:tc>
      </w:tr>
    </w:tbl>
    <w:p w14:paraId="46187D72" w14:textId="77777777" w:rsidR="0025042A" w:rsidRPr="000A0FAC" w:rsidRDefault="0025042A" w:rsidP="000A0FAC">
      <w:pPr>
        <w:rPr>
          <w:rFonts w:cs="Times New Roman"/>
          <w:lang w:val="sr-Cyrl-RS"/>
        </w:rPr>
      </w:pPr>
    </w:p>
    <w:p w14:paraId="46187D73" w14:textId="0FBA371A" w:rsidR="007554BD" w:rsidRPr="000A0FAC" w:rsidRDefault="007554BD" w:rsidP="000A0FAC">
      <w:pPr>
        <w:rPr>
          <w:rFonts w:cs="Times New Roman"/>
          <w:lang w:val="sr-Cyrl-RS"/>
        </w:rPr>
      </w:pPr>
      <w:r w:rsidRPr="000A0FAC">
        <w:rPr>
          <w:rFonts w:cs="Times New Roman"/>
          <w:lang w:val="sr-Cyrl-RS"/>
        </w:rPr>
        <w:t>Усклађеност (Потпуно усклађено - ПУ, делимично усклађено - ДУ, неусклађено - НУ, непреносиво – НП)</w:t>
      </w:r>
      <w:r w:rsidR="00A614E1">
        <w:rPr>
          <w:rFonts w:cs="Times New Roman"/>
          <w:lang w:val="sr-Cyrl-RS"/>
        </w:rPr>
        <w:t xml:space="preserve"> </w:t>
      </w:r>
    </w:p>
    <w:p w14:paraId="46187D74" w14:textId="77777777" w:rsidR="004E6125" w:rsidRPr="000A0FAC" w:rsidRDefault="004E6125" w:rsidP="000A0FAC">
      <w:pPr>
        <w:rPr>
          <w:rFonts w:cs="Times New Roman"/>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5128"/>
      </w:tblGrid>
      <w:tr w:rsidR="00ED6C00" w:rsidRPr="000A0FAC" w14:paraId="46187D76" w14:textId="77777777" w:rsidTr="000C4A1C">
        <w:trPr>
          <w:jc w:val="center"/>
        </w:trPr>
        <w:tc>
          <w:tcPr>
            <w:tcW w:w="5000" w:type="pct"/>
          </w:tcPr>
          <w:p w14:paraId="46187D75" w14:textId="77777777" w:rsidR="00ED6C00" w:rsidRPr="000A0FAC" w:rsidRDefault="00ED6C00" w:rsidP="000A0FAC">
            <w:pPr>
              <w:jc w:val="both"/>
              <w:rPr>
                <w:rFonts w:cs="Times New Roman"/>
                <w:lang w:val="sr-Cyrl-RS"/>
              </w:rPr>
            </w:pPr>
            <w:r w:rsidRPr="000A0FAC">
              <w:rPr>
                <w:rFonts w:cs="Times New Roman"/>
                <w:lang w:val="sr-Cyrl-RS"/>
              </w:rPr>
              <w:t>7. Усклађеност одредби прописа са одредбама прописа ЕУ:</w:t>
            </w:r>
          </w:p>
        </w:tc>
      </w:tr>
    </w:tbl>
    <w:p w14:paraId="46187D77" w14:textId="77777777" w:rsidR="00442BA0" w:rsidRPr="000A0FAC" w:rsidRDefault="00442BA0" w:rsidP="000A0FAC">
      <w:pPr>
        <w:rPr>
          <w:rFonts w:cs="Times New Roman"/>
          <w:lang w:val="sr-Cyrl-RS"/>
        </w:rPr>
      </w:pPr>
    </w:p>
    <w:tbl>
      <w:tblPr>
        <w:tblW w:w="15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7"/>
        <w:gridCol w:w="4559"/>
        <w:gridCol w:w="995"/>
        <w:gridCol w:w="3968"/>
        <w:gridCol w:w="719"/>
        <w:gridCol w:w="2070"/>
        <w:gridCol w:w="2140"/>
      </w:tblGrid>
      <w:tr w:rsidR="00227A57" w:rsidRPr="004D2E7C" w14:paraId="46187D80" w14:textId="77777777" w:rsidTr="00D9567F">
        <w:trPr>
          <w:tblHeader/>
        </w:trPr>
        <w:tc>
          <w:tcPr>
            <w:tcW w:w="280" w:type="pct"/>
            <w:shd w:val="clear" w:color="auto" w:fill="D9D9D9"/>
            <w:vAlign w:val="center"/>
          </w:tcPr>
          <w:p w14:paraId="46187D79" w14:textId="77777777" w:rsidR="006C4C68" w:rsidRPr="004D2E7C" w:rsidRDefault="006C4C68" w:rsidP="002A0174">
            <w:pPr>
              <w:jc w:val="center"/>
              <w:rPr>
                <w:rFonts w:cs="Times New Roman"/>
                <w:b/>
                <w:bCs/>
                <w:lang w:val="sr-Cyrl-RS"/>
              </w:rPr>
            </w:pPr>
            <w:r w:rsidRPr="004D2E7C">
              <w:rPr>
                <w:rFonts w:cs="Times New Roman"/>
                <w:b/>
                <w:bCs/>
                <w:lang w:val="sr-Cyrl-RS"/>
              </w:rPr>
              <w:t>а)</w:t>
            </w:r>
          </w:p>
        </w:tc>
        <w:tc>
          <w:tcPr>
            <w:tcW w:w="1489" w:type="pct"/>
            <w:shd w:val="clear" w:color="auto" w:fill="D9D9D9"/>
            <w:vAlign w:val="center"/>
          </w:tcPr>
          <w:p w14:paraId="46187D7A" w14:textId="77777777" w:rsidR="006C4C68" w:rsidRPr="004D2E7C" w:rsidRDefault="006C4C68" w:rsidP="002A0174">
            <w:pPr>
              <w:jc w:val="center"/>
              <w:rPr>
                <w:rFonts w:cs="Times New Roman"/>
                <w:b/>
                <w:bCs/>
                <w:lang w:val="en-GB"/>
              </w:rPr>
            </w:pPr>
            <w:r w:rsidRPr="004D2E7C">
              <w:rPr>
                <w:rFonts w:cs="Times New Roman"/>
                <w:b/>
                <w:bCs/>
                <w:lang w:val="en-GB"/>
              </w:rPr>
              <w:t>а1)</w:t>
            </w:r>
          </w:p>
        </w:tc>
        <w:tc>
          <w:tcPr>
            <w:tcW w:w="325" w:type="pct"/>
            <w:vAlign w:val="center"/>
          </w:tcPr>
          <w:p w14:paraId="46187D7B" w14:textId="77777777" w:rsidR="006C4C68" w:rsidRPr="004D2E7C" w:rsidRDefault="006C4C68" w:rsidP="00D9567F">
            <w:pPr>
              <w:jc w:val="center"/>
              <w:rPr>
                <w:rFonts w:cs="Times New Roman"/>
                <w:b/>
                <w:bCs/>
                <w:lang w:val="sr-Cyrl-RS"/>
              </w:rPr>
            </w:pPr>
            <w:r w:rsidRPr="004D2E7C">
              <w:rPr>
                <w:rFonts w:cs="Times New Roman"/>
                <w:b/>
                <w:bCs/>
                <w:lang w:val="sr-Cyrl-RS"/>
              </w:rPr>
              <w:t>б)</w:t>
            </w:r>
          </w:p>
        </w:tc>
        <w:tc>
          <w:tcPr>
            <w:tcW w:w="1296" w:type="pct"/>
            <w:vAlign w:val="center"/>
          </w:tcPr>
          <w:p w14:paraId="46187D7C" w14:textId="77777777" w:rsidR="006C4C68" w:rsidRPr="004D2E7C" w:rsidRDefault="006C4C68" w:rsidP="002A0174">
            <w:pPr>
              <w:jc w:val="center"/>
              <w:rPr>
                <w:rFonts w:cs="Times New Roman"/>
                <w:b/>
                <w:bCs/>
                <w:lang w:val="sr-Cyrl-RS"/>
              </w:rPr>
            </w:pPr>
            <w:r w:rsidRPr="004D2E7C">
              <w:rPr>
                <w:rFonts w:cs="Times New Roman"/>
                <w:b/>
                <w:bCs/>
                <w:lang w:val="sr-Cyrl-RS"/>
              </w:rPr>
              <w:t>б1)</w:t>
            </w:r>
          </w:p>
        </w:tc>
        <w:tc>
          <w:tcPr>
            <w:tcW w:w="235" w:type="pct"/>
            <w:vAlign w:val="center"/>
          </w:tcPr>
          <w:p w14:paraId="46187D7D" w14:textId="77777777" w:rsidR="006C4C68" w:rsidRPr="004D2E7C" w:rsidRDefault="006C4C68" w:rsidP="002A0174">
            <w:pPr>
              <w:jc w:val="center"/>
              <w:rPr>
                <w:rFonts w:cs="Times New Roman"/>
                <w:b/>
                <w:bCs/>
                <w:lang w:val="sr-Cyrl-RS"/>
              </w:rPr>
            </w:pPr>
            <w:r w:rsidRPr="004D2E7C">
              <w:rPr>
                <w:rFonts w:cs="Times New Roman"/>
                <w:b/>
                <w:bCs/>
                <w:lang w:val="sr-Cyrl-RS"/>
              </w:rPr>
              <w:t>в)</w:t>
            </w:r>
          </w:p>
        </w:tc>
        <w:tc>
          <w:tcPr>
            <w:tcW w:w="676" w:type="pct"/>
            <w:vAlign w:val="center"/>
          </w:tcPr>
          <w:p w14:paraId="46187D7E" w14:textId="77777777" w:rsidR="006C4C68" w:rsidRPr="004D2E7C" w:rsidRDefault="006C4C68" w:rsidP="002A0174">
            <w:pPr>
              <w:jc w:val="center"/>
              <w:rPr>
                <w:rFonts w:cs="Times New Roman"/>
                <w:b/>
                <w:bCs/>
                <w:lang w:val="sr-Cyrl-RS"/>
              </w:rPr>
            </w:pPr>
            <w:r w:rsidRPr="004D2E7C">
              <w:rPr>
                <w:rFonts w:cs="Times New Roman"/>
                <w:b/>
                <w:bCs/>
                <w:lang w:val="sr-Cyrl-RS"/>
              </w:rPr>
              <w:t>г)</w:t>
            </w:r>
          </w:p>
        </w:tc>
        <w:tc>
          <w:tcPr>
            <w:tcW w:w="699" w:type="pct"/>
            <w:vAlign w:val="center"/>
          </w:tcPr>
          <w:p w14:paraId="46187D7F" w14:textId="77777777" w:rsidR="006C4C68" w:rsidRPr="004D2E7C" w:rsidRDefault="006C4C68" w:rsidP="002A0174">
            <w:pPr>
              <w:jc w:val="center"/>
              <w:rPr>
                <w:rFonts w:cs="Times New Roman"/>
                <w:b/>
                <w:bCs/>
                <w:lang w:val="sr-Cyrl-RS"/>
              </w:rPr>
            </w:pPr>
            <w:r w:rsidRPr="004D2E7C">
              <w:rPr>
                <w:rFonts w:cs="Times New Roman"/>
                <w:b/>
                <w:bCs/>
                <w:lang w:val="sr-Cyrl-RS"/>
              </w:rPr>
              <w:t>д)</w:t>
            </w:r>
          </w:p>
        </w:tc>
      </w:tr>
      <w:tr w:rsidR="00227A57" w:rsidRPr="004D2E7C" w14:paraId="46187D88" w14:textId="77777777" w:rsidTr="00D9567F">
        <w:trPr>
          <w:tblHeader/>
        </w:trPr>
        <w:tc>
          <w:tcPr>
            <w:tcW w:w="280" w:type="pct"/>
            <w:shd w:val="clear" w:color="auto" w:fill="D9D9D9"/>
            <w:vAlign w:val="center"/>
          </w:tcPr>
          <w:p w14:paraId="46187D81" w14:textId="77777777" w:rsidR="006C4C68" w:rsidRPr="004D2E7C" w:rsidRDefault="006C4C68" w:rsidP="002A0174">
            <w:pPr>
              <w:jc w:val="center"/>
              <w:rPr>
                <w:rFonts w:cs="Times New Roman"/>
                <w:b/>
                <w:bCs/>
                <w:sz w:val="20"/>
                <w:szCs w:val="20"/>
                <w:lang w:val="sr-Cyrl-RS"/>
              </w:rPr>
            </w:pPr>
            <w:r w:rsidRPr="004D2E7C">
              <w:rPr>
                <w:rFonts w:cs="Times New Roman"/>
                <w:b/>
                <w:bCs/>
                <w:sz w:val="20"/>
                <w:szCs w:val="20"/>
                <w:lang w:val="sr-Cyrl-RS"/>
              </w:rPr>
              <w:t>Одредба прописа ЕУ</w:t>
            </w:r>
          </w:p>
        </w:tc>
        <w:tc>
          <w:tcPr>
            <w:tcW w:w="1489" w:type="pct"/>
            <w:shd w:val="clear" w:color="auto" w:fill="D9D9D9"/>
            <w:vAlign w:val="center"/>
          </w:tcPr>
          <w:p w14:paraId="46187D82" w14:textId="77777777" w:rsidR="006C4C68" w:rsidRPr="004D2E7C" w:rsidRDefault="006C4C68" w:rsidP="002A0174">
            <w:pPr>
              <w:jc w:val="center"/>
              <w:rPr>
                <w:rFonts w:cs="Times New Roman"/>
                <w:b/>
                <w:bCs/>
                <w:sz w:val="20"/>
                <w:szCs w:val="20"/>
                <w:lang w:val="sr-Cyrl-RS"/>
              </w:rPr>
            </w:pPr>
            <w:r w:rsidRPr="004D2E7C">
              <w:rPr>
                <w:rFonts w:cs="Times New Roman"/>
                <w:b/>
                <w:bCs/>
                <w:sz w:val="20"/>
                <w:szCs w:val="20"/>
                <w:lang w:val="sr-Cyrl-RS"/>
              </w:rPr>
              <w:t>Садржина одредбе</w:t>
            </w:r>
          </w:p>
        </w:tc>
        <w:tc>
          <w:tcPr>
            <w:tcW w:w="325" w:type="pct"/>
            <w:vAlign w:val="center"/>
          </w:tcPr>
          <w:p w14:paraId="46187D83" w14:textId="77777777" w:rsidR="006C4C68" w:rsidRPr="004D2E7C" w:rsidRDefault="006C4C68" w:rsidP="00D9567F">
            <w:pPr>
              <w:jc w:val="center"/>
              <w:rPr>
                <w:rFonts w:cs="Times New Roman"/>
                <w:b/>
                <w:bCs/>
                <w:sz w:val="20"/>
                <w:szCs w:val="20"/>
                <w:lang w:val="sr-Cyrl-RS"/>
              </w:rPr>
            </w:pPr>
            <w:r w:rsidRPr="004D2E7C">
              <w:rPr>
                <w:rFonts w:cs="Times New Roman"/>
                <w:b/>
                <w:bCs/>
                <w:sz w:val="20"/>
                <w:szCs w:val="20"/>
                <w:lang w:val="sr-Cyrl-RS"/>
              </w:rPr>
              <w:t>Одредбе прописа Р. Србије</w:t>
            </w:r>
          </w:p>
        </w:tc>
        <w:tc>
          <w:tcPr>
            <w:tcW w:w="1296" w:type="pct"/>
            <w:vAlign w:val="center"/>
          </w:tcPr>
          <w:p w14:paraId="46187D84" w14:textId="77777777" w:rsidR="006C4C68" w:rsidRPr="004D2E7C" w:rsidRDefault="006C4C68" w:rsidP="002A0174">
            <w:pPr>
              <w:jc w:val="center"/>
              <w:rPr>
                <w:rFonts w:cs="Times New Roman"/>
                <w:b/>
                <w:bCs/>
                <w:sz w:val="20"/>
                <w:szCs w:val="20"/>
                <w:lang w:val="sr-Cyrl-RS"/>
              </w:rPr>
            </w:pPr>
            <w:r w:rsidRPr="004D2E7C">
              <w:rPr>
                <w:rFonts w:cs="Times New Roman"/>
                <w:b/>
                <w:bCs/>
                <w:sz w:val="20"/>
                <w:szCs w:val="20"/>
                <w:lang w:val="sr-Cyrl-RS"/>
              </w:rPr>
              <w:t>Садржина одредбе</w:t>
            </w:r>
          </w:p>
        </w:tc>
        <w:tc>
          <w:tcPr>
            <w:tcW w:w="235" w:type="pct"/>
            <w:vAlign w:val="center"/>
          </w:tcPr>
          <w:p w14:paraId="46187D85" w14:textId="77777777" w:rsidR="006C4C68" w:rsidRPr="004D2E7C" w:rsidRDefault="006C4C68" w:rsidP="002A0174">
            <w:pPr>
              <w:jc w:val="center"/>
              <w:rPr>
                <w:rFonts w:cs="Times New Roman"/>
                <w:b/>
                <w:bCs/>
                <w:sz w:val="20"/>
                <w:szCs w:val="20"/>
                <w:lang w:val="sr-Cyrl-RS"/>
              </w:rPr>
            </w:pPr>
            <w:r w:rsidRPr="004D2E7C">
              <w:rPr>
                <w:rFonts w:cs="Times New Roman"/>
                <w:b/>
                <w:bCs/>
                <w:sz w:val="20"/>
                <w:szCs w:val="20"/>
                <w:lang w:val="sr-Cyrl-RS"/>
              </w:rPr>
              <w:t>Усклађеност</w:t>
            </w:r>
          </w:p>
        </w:tc>
        <w:tc>
          <w:tcPr>
            <w:tcW w:w="676" w:type="pct"/>
            <w:vAlign w:val="center"/>
          </w:tcPr>
          <w:p w14:paraId="46187D86" w14:textId="77777777" w:rsidR="006C4C68" w:rsidRPr="004D2E7C" w:rsidRDefault="006C4C68" w:rsidP="002A0174">
            <w:pPr>
              <w:jc w:val="center"/>
              <w:rPr>
                <w:rFonts w:cs="Times New Roman"/>
                <w:b/>
                <w:bCs/>
                <w:sz w:val="20"/>
                <w:szCs w:val="20"/>
                <w:lang w:val="sr-Cyrl-RS"/>
              </w:rPr>
            </w:pPr>
            <w:r w:rsidRPr="004D2E7C">
              <w:rPr>
                <w:rFonts w:cs="Times New Roman"/>
                <w:b/>
                <w:bCs/>
                <w:sz w:val="20"/>
                <w:szCs w:val="20"/>
                <w:lang w:val="sr-Cyrl-RS"/>
              </w:rPr>
              <w:t>Разлози за делимичну усклађеност, неусклађеност или непреносивост</w:t>
            </w:r>
          </w:p>
        </w:tc>
        <w:tc>
          <w:tcPr>
            <w:tcW w:w="699" w:type="pct"/>
            <w:vAlign w:val="center"/>
          </w:tcPr>
          <w:p w14:paraId="46187D87" w14:textId="2027BE97" w:rsidR="006C4C68" w:rsidRPr="004D2E7C" w:rsidRDefault="004D2E7C" w:rsidP="002A0174">
            <w:pPr>
              <w:jc w:val="center"/>
              <w:rPr>
                <w:rFonts w:cs="Times New Roman"/>
                <w:b/>
                <w:bCs/>
                <w:spacing w:val="-20"/>
                <w:sz w:val="20"/>
                <w:szCs w:val="20"/>
                <w:lang w:val="sr-Cyrl-RS"/>
              </w:rPr>
            </w:pPr>
            <w:r w:rsidRPr="004D2E7C">
              <w:rPr>
                <w:rFonts w:cs="Times New Roman"/>
                <w:b/>
                <w:bCs/>
                <w:sz w:val="20"/>
                <w:szCs w:val="20"/>
                <w:lang w:val="sr-Cyrl-RS"/>
              </w:rPr>
              <w:t>Напомена о усклађености</w:t>
            </w:r>
          </w:p>
        </w:tc>
      </w:tr>
      <w:tr w:rsidR="00227A57" w:rsidRPr="004D2E7C" w14:paraId="46187DB5" w14:textId="77777777" w:rsidTr="00D9567F">
        <w:tc>
          <w:tcPr>
            <w:tcW w:w="280" w:type="pct"/>
            <w:shd w:val="clear" w:color="auto" w:fill="D9D9D9"/>
            <w:vAlign w:val="center"/>
          </w:tcPr>
          <w:p w14:paraId="46187D89" w14:textId="31523F45" w:rsidR="00A47416" w:rsidRPr="004D2E7C" w:rsidRDefault="00A47416" w:rsidP="002A0174">
            <w:pPr>
              <w:jc w:val="center"/>
              <w:rPr>
                <w:rFonts w:eastAsia="Times New Roman" w:cs="Times New Roman"/>
                <w:lang w:val="sr-Cyrl-RS"/>
              </w:rPr>
            </w:pPr>
            <w:r w:rsidRPr="004D2E7C">
              <w:rPr>
                <w:rFonts w:eastAsia="Times New Roman" w:cs="Times New Roman"/>
                <w:lang w:val="sr-Cyrl-RS"/>
              </w:rPr>
              <w:t>1.</w:t>
            </w:r>
          </w:p>
        </w:tc>
        <w:tc>
          <w:tcPr>
            <w:tcW w:w="1489" w:type="pct"/>
            <w:shd w:val="clear" w:color="auto" w:fill="D9D9D9"/>
            <w:vAlign w:val="center"/>
          </w:tcPr>
          <w:p w14:paraId="19CB4E68" w14:textId="77777777" w:rsidR="00BF3463" w:rsidRPr="00BF3463" w:rsidRDefault="00BF3463" w:rsidP="00BF3463">
            <w:pPr>
              <w:pStyle w:val="Normal1"/>
              <w:spacing w:before="0" w:beforeAutospacing="0" w:after="0" w:afterAutospacing="0"/>
              <w:jc w:val="center"/>
              <w:rPr>
                <w:b/>
                <w:bCs/>
                <w:sz w:val="22"/>
                <w:szCs w:val="22"/>
                <w:lang w:val="en-GB"/>
              </w:rPr>
            </w:pPr>
            <w:r w:rsidRPr="00BF3463">
              <w:rPr>
                <w:b/>
                <w:bCs/>
                <w:sz w:val="22"/>
                <w:szCs w:val="22"/>
                <w:lang w:val="en-GB"/>
              </w:rPr>
              <w:t>Subject matter</w:t>
            </w:r>
          </w:p>
          <w:p w14:paraId="278B984A" w14:textId="77777777" w:rsidR="00BF3463" w:rsidRPr="00BF3463" w:rsidRDefault="00BF3463" w:rsidP="00BF3463">
            <w:pPr>
              <w:pStyle w:val="Normal1"/>
              <w:spacing w:before="0" w:beforeAutospacing="0" w:after="0" w:afterAutospacing="0"/>
              <w:jc w:val="both"/>
              <w:rPr>
                <w:sz w:val="22"/>
                <w:szCs w:val="22"/>
                <w:lang w:val="en-GB"/>
              </w:rPr>
            </w:pPr>
          </w:p>
          <w:p w14:paraId="46187D8D" w14:textId="67F85F84" w:rsidR="00BF3463" w:rsidRPr="004D2E7C" w:rsidRDefault="00BF3463" w:rsidP="00BF3463">
            <w:pPr>
              <w:pStyle w:val="Normal1"/>
              <w:spacing w:before="0" w:beforeAutospacing="0" w:after="0" w:afterAutospacing="0"/>
              <w:jc w:val="both"/>
              <w:rPr>
                <w:sz w:val="22"/>
                <w:szCs w:val="22"/>
                <w:lang w:val="en-GB"/>
              </w:rPr>
            </w:pPr>
            <w:r w:rsidRPr="00BF3463">
              <w:rPr>
                <w:sz w:val="22"/>
                <w:szCs w:val="22"/>
                <w:lang w:val="en-GB"/>
              </w:rPr>
              <w:t xml:space="preserve">This Regulation establishes a framework for the provision of harmonised information on tyre parameters through labelling to allow end-users to make an informed choice when purchasing tyres, for the purpose of increasing safety, the protection of health, and the economic and environmental </w:t>
            </w:r>
            <w:r w:rsidRPr="00BF3463">
              <w:rPr>
                <w:sz w:val="22"/>
                <w:szCs w:val="22"/>
                <w:lang w:val="en-GB"/>
              </w:rPr>
              <w:lastRenderedPageBreak/>
              <w:t>efficiency of road transport, by promoting fuel‐efficient, long‐lasting and safe tyres with low noise levels.</w:t>
            </w:r>
          </w:p>
        </w:tc>
        <w:tc>
          <w:tcPr>
            <w:tcW w:w="325" w:type="pct"/>
            <w:tcBorders>
              <w:bottom w:val="single" w:sz="4" w:space="0" w:color="auto"/>
            </w:tcBorders>
            <w:vAlign w:val="center"/>
          </w:tcPr>
          <w:p w14:paraId="46187D8F" w14:textId="77777777" w:rsidR="00442BA0" w:rsidRPr="004D2E7C" w:rsidRDefault="00442BA0" w:rsidP="00D9567F">
            <w:pPr>
              <w:jc w:val="center"/>
              <w:rPr>
                <w:rFonts w:cs="Times New Roman"/>
                <w:b/>
                <w:bCs/>
                <w:lang w:val="sr-Cyrl-RS"/>
              </w:rPr>
            </w:pPr>
          </w:p>
          <w:p w14:paraId="46187D90" w14:textId="77777777" w:rsidR="00442BA0" w:rsidRPr="004D2E7C" w:rsidRDefault="00442BA0" w:rsidP="00D9567F">
            <w:pPr>
              <w:jc w:val="center"/>
              <w:rPr>
                <w:rFonts w:cs="Times New Roman"/>
                <w:b/>
                <w:bCs/>
                <w:lang w:val="sr-Cyrl-RS"/>
              </w:rPr>
            </w:pPr>
          </w:p>
          <w:p w14:paraId="46187D91" w14:textId="77777777" w:rsidR="00E50910" w:rsidRPr="004D2E7C" w:rsidRDefault="00082F18" w:rsidP="00D9567F">
            <w:pPr>
              <w:jc w:val="center"/>
              <w:rPr>
                <w:rFonts w:cs="Times New Roman"/>
                <w:b/>
                <w:bCs/>
                <w:lang w:val="sr-Cyrl-RS"/>
              </w:rPr>
            </w:pPr>
            <w:r w:rsidRPr="004D2E7C">
              <w:rPr>
                <w:rFonts w:cs="Times New Roman"/>
                <w:b/>
                <w:bCs/>
                <w:lang w:val="sr-Cyrl-RS"/>
              </w:rPr>
              <w:t>1.1.</w:t>
            </w:r>
          </w:p>
          <w:p w14:paraId="46187D92" w14:textId="77777777" w:rsidR="009E26C3" w:rsidRPr="004D2E7C" w:rsidRDefault="009E26C3" w:rsidP="00D9567F">
            <w:pPr>
              <w:jc w:val="center"/>
              <w:rPr>
                <w:rFonts w:cs="Times New Roman"/>
                <w:lang w:val="sr-Cyrl-RS"/>
              </w:rPr>
            </w:pPr>
          </w:p>
          <w:p w14:paraId="46187D93" w14:textId="77777777" w:rsidR="00442BA0" w:rsidRPr="004D2E7C" w:rsidRDefault="00442BA0" w:rsidP="00D9567F">
            <w:pPr>
              <w:jc w:val="center"/>
              <w:rPr>
                <w:rFonts w:cs="Times New Roman"/>
                <w:lang w:val="sr-Cyrl-RS"/>
              </w:rPr>
            </w:pPr>
          </w:p>
          <w:p w14:paraId="46187D94" w14:textId="77777777" w:rsidR="00442BA0" w:rsidRPr="004D2E7C" w:rsidRDefault="00442BA0" w:rsidP="00D9567F">
            <w:pPr>
              <w:jc w:val="center"/>
              <w:rPr>
                <w:rFonts w:cs="Times New Roman"/>
                <w:lang w:val="sr-Cyrl-RS"/>
              </w:rPr>
            </w:pPr>
          </w:p>
          <w:p w14:paraId="46187D95" w14:textId="77777777" w:rsidR="0081608C" w:rsidRPr="004D2E7C" w:rsidRDefault="0081608C" w:rsidP="00D9567F">
            <w:pPr>
              <w:jc w:val="center"/>
              <w:rPr>
                <w:rFonts w:cs="Times New Roman"/>
                <w:lang w:val="sr-Cyrl-RS"/>
              </w:rPr>
            </w:pPr>
          </w:p>
          <w:p w14:paraId="46187D96" w14:textId="77777777" w:rsidR="0081608C" w:rsidRPr="004D2E7C" w:rsidRDefault="0081608C" w:rsidP="00D9567F">
            <w:pPr>
              <w:jc w:val="center"/>
              <w:rPr>
                <w:rFonts w:cs="Times New Roman"/>
                <w:lang w:val="sr-Cyrl-RS"/>
              </w:rPr>
            </w:pPr>
          </w:p>
          <w:p w14:paraId="46187D97" w14:textId="77777777" w:rsidR="0081608C" w:rsidRPr="004D2E7C" w:rsidRDefault="0081608C" w:rsidP="00D9567F">
            <w:pPr>
              <w:jc w:val="center"/>
              <w:rPr>
                <w:rFonts w:cs="Times New Roman"/>
                <w:lang w:val="sr-Cyrl-RS"/>
              </w:rPr>
            </w:pPr>
          </w:p>
          <w:p w14:paraId="46187D98" w14:textId="77777777" w:rsidR="0081608C" w:rsidRPr="004D2E7C" w:rsidRDefault="0081608C" w:rsidP="00D9567F">
            <w:pPr>
              <w:jc w:val="center"/>
              <w:rPr>
                <w:rFonts w:cs="Times New Roman"/>
                <w:lang w:val="sr-Cyrl-RS"/>
              </w:rPr>
            </w:pPr>
          </w:p>
          <w:p w14:paraId="46187D99" w14:textId="77777777" w:rsidR="0081608C" w:rsidRPr="004D2E7C" w:rsidRDefault="0081608C" w:rsidP="00D9567F">
            <w:pPr>
              <w:jc w:val="center"/>
              <w:rPr>
                <w:rFonts w:cs="Times New Roman"/>
                <w:lang w:val="sr-Cyrl-RS"/>
              </w:rPr>
            </w:pPr>
          </w:p>
          <w:p w14:paraId="46187D9A" w14:textId="77777777" w:rsidR="0081608C" w:rsidRPr="004D2E7C" w:rsidRDefault="0081608C" w:rsidP="00D9567F">
            <w:pPr>
              <w:jc w:val="center"/>
              <w:rPr>
                <w:rFonts w:cs="Times New Roman"/>
                <w:lang w:val="sr-Cyrl-RS"/>
              </w:rPr>
            </w:pPr>
          </w:p>
          <w:p w14:paraId="46187D9B" w14:textId="77777777" w:rsidR="00442BA0" w:rsidRPr="004D2E7C" w:rsidRDefault="00442BA0" w:rsidP="00D9567F">
            <w:pPr>
              <w:jc w:val="center"/>
              <w:rPr>
                <w:rFonts w:cs="Times New Roman"/>
                <w:lang w:val="sr-Cyrl-RS"/>
              </w:rPr>
            </w:pPr>
          </w:p>
          <w:p w14:paraId="46187D9C" w14:textId="77777777" w:rsidR="00CC7DEA" w:rsidRPr="004D2E7C" w:rsidRDefault="00CC7DEA" w:rsidP="00D9567F">
            <w:pPr>
              <w:jc w:val="center"/>
              <w:rPr>
                <w:rFonts w:cs="Times New Roman"/>
                <w:b/>
                <w:bCs/>
                <w:lang w:val="sr-Cyrl-RS"/>
              </w:rPr>
            </w:pPr>
          </w:p>
          <w:p w14:paraId="0691BB79" w14:textId="77777777" w:rsidR="00372FA4" w:rsidRPr="004D2E7C" w:rsidRDefault="00372FA4" w:rsidP="00D9567F">
            <w:pPr>
              <w:jc w:val="center"/>
              <w:rPr>
                <w:rFonts w:cs="Times New Roman"/>
                <w:b/>
                <w:bCs/>
                <w:lang w:val="sr-Cyrl-RS"/>
              </w:rPr>
            </w:pPr>
          </w:p>
          <w:p w14:paraId="4B7B3E3D" w14:textId="77777777" w:rsidR="00372FA4" w:rsidRPr="004D2E7C" w:rsidRDefault="00372FA4" w:rsidP="00D9567F">
            <w:pPr>
              <w:jc w:val="center"/>
              <w:rPr>
                <w:rFonts w:cs="Times New Roman"/>
                <w:b/>
                <w:bCs/>
                <w:lang w:val="sr-Cyrl-RS"/>
              </w:rPr>
            </w:pPr>
          </w:p>
          <w:p w14:paraId="3AF3E6E5" w14:textId="77777777" w:rsidR="00372FA4" w:rsidRPr="004D2E7C" w:rsidRDefault="00372FA4" w:rsidP="00D9567F">
            <w:pPr>
              <w:jc w:val="center"/>
              <w:rPr>
                <w:rFonts w:cs="Times New Roman"/>
                <w:b/>
                <w:bCs/>
                <w:lang w:val="sr-Cyrl-RS"/>
              </w:rPr>
            </w:pPr>
          </w:p>
          <w:p w14:paraId="6C8D5FDB" w14:textId="77777777" w:rsidR="00372FA4" w:rsidRPr="004D2E7C" w:rsidRDefault="00372FA4" w:rsidP="00D9567F">
            <w:pPr>
              <w:jc w:val="center"/>
              <w:rPr>
                <w:rFonts w:cs="Times New Roman"/>
                <w:b/>
                <w:bCs/>
                <w:lang w:val="sr-Cyrl-RS"/>
              </w:rPr>
            </w:pPr>
          </w:p>
          <w:p w14:paraId="41BB5CD0" w14:textId="77777777" w:rsidR="00372FA4" w:rsidRPr="004D2E7C" w:rsidRDefault="00372FA4" w:rsidP="00D9567F">
            <w:pPr>
              <w:jc w:val="center"/>
              <w:rPr>
                <w:rFonts w:cs="Times New Roman"/>
                <w:b/>
                <w:bCs/>
                <w:lang w:val="sr-Cyrl-RS"/>
              </w:rPr>
            </w:pPr>
          </w:p>
          <w:p w14:paraId="15CB2EFF" w14:textId="77777777" w:rsidR="00372FA4" w:rsidRPr="004D2E7C" w:rsidRDefault="00372FA4" w:rsidP="00D9567F">
            <w:pPr>
              <w:jc w:val="center"/>
              <w:rPr>
                <w:rFonts w:cs="Times New Roman"/>
                <w:b/>
                <w:bCs/>
                <w:lang w:val="sr-Cyrl-RS"/>
              </w:rPr>
            </w:pPr>
          </w:p>
          <w:p w14:paraId="46187D9D" w14:textId="46238D52" w:rsidR="00CC7DEA" w:rsidRPr="004D2E7C" w:rsidRDefault="00CC7DEA" w:rsidP="00D9567F">
            <w:pPr>
              <w:jc w:val="center"/>
              <w:rPr>
                <w:rFonts w:cs="Times New Roman"/>
                <w:b/>
                <w:bCs/>
                <w:lang w:val="sr-Cyrl-RS"/>
              </w:rPr>
            </w:pPr>
            <w:r w:rsidRPr="004D2E7C">
              <w:rPr>
                <w:rFonts w:cs="Times New Roman"/>
                <w:b/>
                <w:bCs/>
                <w:lang w:val="sr-Cyrl-RS"/>
              </w:rPr>
              <w:t>1.6</w:t>
            </w:r>
            <w:r w:rsidR="007E1832">
              <w:rPr>
                <w:rFonts w:cs="Times New Roman"/>
                <w:b/>
                <w:bCs/>
                <w:lang w:val="sr-Cyrl-RS"/>
              </w:rPr>
              <w:t>4</w:t>
            </w:r>
            <w:r w:rsidRPr="004D2E7C">
              <w:rPr>
                <w:rFonts w:cs="Times New Roman"/>
                <w:b/>
                <w:bCs/>
                <w:lang w:val="sr-Cyrl-RS"/>
              </w:rPr>
              <w:t>.</w:t>
            </w:r>
          </w:p>
          <w:p w14:paraId="46187DA6" w14:textId="703E7438" w:rsidR="009E26C3" w:rsidRPr="004D2E7C" w:rsidRDefault="009E26C3" w:rsidP="00D9567F">
            <w:pPr>
              <w:jc w:val="center"/>
              <w:rPr>
                <w:rFonts w:cs="Times New Roman"/>
                <w:lang w:val="sr-Cyrl-RS"/>
              </w:rPr>
            </w:pPr>
          </w:p>
        </w:tc>
        <w:tc>
          <w:tcPr>
            <w:tcW w:w="1296" w:type="pct"/>
            <w:tcBorders>
              <w:bottom w:val="single" w:sz="4" w:space="0" w:color="auto"/>
            </w:tcBorders>
          </w:tcPr>
          <w:p w14:paraId="289C599A" w14:textId="77777777" w:rsidR="001950F8" w:rsidRPr="004D2E7C" w:rsidRDefault="001950F8" w:rsidP="001950F8">
            <w:pPr>
              <w:jc w:val="center"/>
              <w:rPr>
                <w:rFonts w:eastAsia="Times New Roman" w:cs="Times New Roman"/>
                <w:b/>
                <w:bCs/>
                <w:lang w:val="sr-Cyrl-RS"/>
              </w:rPr>
            </w:pPr>
            <w:bookmarkStart w:id="1" w:name="_Toc284507031"/>
            <w:r w:rsidRPr="004D2E7C">
              <w:rPr>
                <w:rFonts w:eastAsia="Times New Roman" w:cs="Times New Roman"/>
                <w:b/>
                <w:bCs/>
                <w:lang w:val="sr-Cyrl-RS"/>
              </w:rPr>
              <w:lastRenderedPageBreak/>
              <w:t>Предмет</w:t>
            </w:r>
            <w:bookmarkEnd w:id="1"/>
          </w:p>
          <w:p w14:paraId="112621E5" w14:textId="60E6F556" w:rsidR="001950F8" w:rsidRPr="004D2E7C" w:rsidRDefault="001950F8" w:rsidP="001950F8">
            <w:pPr>
              <w:jc w:val="center"/>
              <w:rPr>
                <w:rFonts w:eastAsia="Times New Roman" w:cs="Times New Roman"/>
                <w:b/>
                <w:bCs/>
                <w:sz w:val="12"/>
                <w:szCs w:val="12"/>
                <w:lang w:val="sr-Cyrl-RS"/>
              </w:rPr>
            </w:pPr>
          </w:p>
          <w:p w14:paraId="7EEF0376" w14:textId="77777777" w:rsidR="001950F8" w:rsidRPr="004D2E7C" w:rsidRDefault="001950F8" w:rsidP="001950F8">
            <w:pPr>
              <w:ind w:firstLine="540"/>
              <w:jc w:val="both"/>
              <w:rPr>
                <w:rFonts w:eastAsia="Times New Roman" w:cs="Times New Roman"/>
                <w:b/>
                <w:lang w:val="sr-Cyrl-RS"/>
              </w:rPr>
            </w:pPr>
            <w:r w:rsidRPr="004D2E7C">
              <w:rPr>
                <w:rFonts w:eastAsia="Times New Roman" w:cs="Times New Roman"/>
                <w:lang w:val="sr-Cyrl-RS"/>
              </w:rPr>
              <w:t>Овим законом уређују се услови и начин ефикасног коришћења енергије и енергената (</w:t>
            </w:r>
            <w:r w:rsidRPr="004D2E7C">
              <w:rPr>
                <w:rFonts w:eastAsia="Times New Roman"/>
                <w:lang w:val="sr-Cyrl-RS"/>
              </w:rPr>
              <w:t>у даљем тексту: енергије)</w:t>
            </w:r>
            <w:r w:rsidRPr="004D2E7C">
              <w:rPr>
                <w:rFonts w:eastAsia="Times New Roman" w:cs="Times New Roman"/>
                <w:lang w:val="sr-Cyrl-RS"/>
              </w:rPr>
              <w:t xml:space="preserve">; политика ефикасног коришћења енергије; систем енергетског менаџмента; мере политике енергетске ефикасности: у </w:t>
            </w:r>
            <w:proofErr w:type="spellStart"/>
            <w:r w:rsidRPr="004D2E7C">
              <w:rPr>
                <w:rFonts w:eastAsia="Times New Roman" w:cs="Times New Roman"/>
                <w:lang w:val="sr-Cyrl-RS"/>
              </w:rPr>
              <w:t>зградарству</w:t>
            </w:r>
            <w:proofErr w:type="spellEnd"/>
            <w:r w:rsidRPr="004D2E7C">
              <w:rPr>
                <w:rFonts w:eastAsia="Times New Roman" w:cs="Times New Roman"/>
                <w:lang w:val="sr-Cyrl-RS"/>
              </w:rPr>
              <w:t xml:space="preserve">, код енергетских делатности </w:t>
            </w:r>
            <w:r w:rsidRPr="004D2E7C">
              <w:rPr>
                <w:rFonts w:eastAsia="Times New Roman" w:cs="Times New Roman"/>
                <w:lang w:val="sr-Cyrl-RS"/>
              </w:rPr>
              <w:lastRenderedPageBreak/>
              <w:t>и крајњих купаца, за енергетске објекте и енергетске услуге</w:t>
            </w:r>
            <w:r w:rsidRPr="004D2E7C">
              <w:rPr>
                <w:rFonts w:eastAsia="Times New Roman"/>
                <w:lang w:val="sr-Cyrl-RS"/>
              </w:rPr>
              <w:t xml:space="preserve">; </w:t>
            </w:r>
            <w:r w:rsidRPr="004D2E7C">
              <w:rPr>
                <w:rFonts w:eastAsia="Times New Roman" w:cs="Times New Roman"/>
                <w:lang w:val="sr-Cyrl-RS"/>
              </w:rPr>
              <w:t xml:space="preserve">енергетско означавање и захтеви у погледу </w:t>
            </w:r>
            <w:proofErr w:type="spellStart"/>
            <w:r w:rsidRPr="004D2E7C">
              <w:rPr>
                <w:rFonts w:eastAsia="Times New Roman" w:cs="Times New Roman"/>
                <w:lang w:val="sr-Cyrl-RS"/>
              </w:rPr>
              <w:t>еко-дизајна</w:t>
            </w:r>
            <w:proofErr w:type="spellEnd"/>
            <w:r w:rsidRPr="004D2E7C">
              <w:rPr>
                <w:rFonts w:eastAsia="Times New Roman" w:cs="Times New Roman"/>
                <w:lang w:val="sr-Cyrl-RS"/>
              </w:rPr>
              <w:t>; финансирање, подстицајне и друге мере у овој области; оснивање и послови Управе за енергетску ефикасност (у даљем тексту: Управа); као и друга питања од значаја за права и обавезе физичких и правних лица у вези са ефикасним коришћењем енергије.</w:t>
            </w:r>
          </w:p>
          <w:p w14:paraId="46187DAB" w14:textId="77777777" w:rsidR="009E26C3" w:rsidRPr="004D2E7C" w:rsidRDefault="009E26C3" w:rsidP="00CC7DEA">
            <w:pPr>
              <w:rPr>
                <w:rFonts w:eastAsia="Times New Roman" w:cs="Times New Roman"/>
                <w:bCs/>
                <w:sz w:val="16"/>
                <w:szCs w:val="16"/>
                <w:lang w:val="sr-Cyrl-RS"/>
              </w:rPr>
            </w:pPr>
          </w:p>
          <w:p w14:paraId="3F45103E" w14:textId="77777777" w:rsidR="007E1832" w:rsidRPr="007E1832" w:rsidRDefault="007E1832" w:rsidP="007E1832">
            <w:pPr>
              <w:autoSpaceDE w:val="0"/>
              <w:autoSpaceDN w:val="0"/>
              <w:adjustRightInd w:val="0"/>
              <w:ind w:firstLine="567"/>
              <w:jc w:val="both"/>
              <w:rPr>
                <w:rFonts w:eastAsia="MS Mincho" w:cs="Times New Roman"/>
                <w:color w:val="000000" w:themeColor="text1"/>
                <w:lang w:val="sr-Cyrl-CS" w:eastAsia="ja-JP"/>
              </w:rPr>
            </w:pPr>
            <w:r w:rsidRPr="007E1832">
              <w:rPr>
                <w:rFonts w:eastAsia="MS Mincho" w:cs="Times New Roman"/>
                <w:color w:val="000000" w:themeColor="text1"/>
                <w:lang w:val="sr-Cyrl-CS" w:eastAsia="ja-JP"/>
              </w:rPr>
              <w:t xml:space="preserve">Пнеуматици класе </w:t>
            </w:r>
            <w:r w:rsidRPr="007E1832">
              <w:rPr>
                <w:rFonts w:eastAsia="MS Mincho" w:cs="Times New Roman"/>
                <w:color w:val="000000" w:themeColor="text1"/>
                <w:lang w:val="sr-Latn-RS" w:eastAsia="ja-JP"/>
              </w:rPr>
              <w:t>„C</w:t>
            </w:r>
            <w:r w:rsidRPr="007E1832">
              <w:rPr>
                <w:rFonts w:eastAsia="MS Mincho" w:cs="Times New Roman"/>
                <w:color w:val="000000" w:themeColor="text1"/>
                <w:lang w:val="sr-Cyrl-CS" w:eastAsia="ja-JP"/>
              </w:rPr>
              <w:t>1</w:t>
            </w:r>
            <w:r w:rsidRPr="007E1832">
              <w:rPr>
                <w:rFonts w:eastAsia="MS Mincho" w:cs="Times New Roman"/>
                <w:color w:val="000000" w:themeColor="text1"/>
                <w:lang w:val="sr-Latn-RS" w:eastAsia="ja-JP"/>
              </w:rPr>
              <w:t>“</w:t>
            </w:r>
            <w:r w:rsidRPr="007E1832">
              <w:rPr>
                <w:rFonts w:eastAsia="MS Mincho" w:cs="Times New Roman"/>
                <w:color w:val="000000" w:themeColor="text1"/>
                <w:lang w:val="sr-Cyrl-CS" w:eastAsia="ja-JP"/>
              </w:rPr>
              <w:t xml:space="preserve">, </w:t>
            </w:r>
            <w:r w:rsidRPr="007E1832">
              <w:rPr>
                <w:rFonts w:eastAsia="MS Mincho" w:cs="Times New Roman"/>
                <w:color w:val="000000" w:themeColor="text1"/>
                <w:lang w:val="sr-Latn-RS" w:eastAsia="ja-JP"/>
              </w:rPr>
              <w:t>„C</w:t>
            </w:r>
            <w:r w:rsidRPr="007E1832">
              <w:rPr>
                <w:rFonts w:eastAsia="MS Mincho" w:cs="Times New Roman"/>
                <w:color w:val="000000" w:themeColor="text1"/>
                <w:lang w:val="sr-Cyrl-CS" w:eastAsia="ja-JP"/>
              </w:rPr>
              <w:t>2</w:t>
            </w:r>
            <w:r w:rsidRPr="007E1832">
              <w:rPr>
                <w:rFonts w:eastAsia="MS Mincho" w:cs="Times New Roman"/>
                <w:color w:val="000000" w:themeColor="text1"/>
                <w:lang w:val="sr-Latn-RS" w:eastAsia="ja-JP"/>
              </w:rPr>
              <w:t>“</w:t>
            </w:r>
            <w:r w:rsidRPr="007E1832">
              <w:rPr>
                <w:rFonts w:eastAsia="MS Mincho" w:cs="Times New Roman"/>
                <w:color w:val="000000" w:themeColor="text1"/>
                <w:lang w:val="sr-Cyrl-CS" w:eastAsia="ja-JP"/>
              </w:rPr>
              <w:t xml:space="preserve"> и </w:t>
            </w:r>
            <w:r w:rsidRPr="007E1832">
              <w:rPr>
                <w:rFonts w:eastAsia="MS Mincho" w:cs="Times New Roman"/>
                <w:color w:val="000000" w:themeColor="text1"/>
                <w:lang w:val="sr-Latn-RS" w:eastAsia="ja-JP"/>
              </w:rPr>
              <w:t>„C</w:t>
            </w:r>
            <w:r w:rsidRPr="007E1832">
              <w:rPr>
                <w:rFonts w:eastAsia="MS Mincho" w:cs="Times New Roman"/>
                <w:color w:val="000000" w:themeColor="text1"/>
                <w:lang w:val="sr-Cyrl-CS" w:eastAsia="ja-JP"/>
              </w:rPr>
              <w:t>3</w:t>
            </w:r>
            <w:r w:rsidRPr="007E1832">
              <w:rPr>
                <w:rFonts w:eastAsia="MS Mincho" w:cs="Times New Roman"/>
                <w:color w:val="000000" w:themeColor="text1"/>
                <w:lang w:val="sr-Latn-RS" w:eastAsia="ja-JP"/>
              </w:rPr>
              <w:t>“</w:t>
            </w:r>
            <w:r w:rsidRPr="007E1832">
              <w:rPr>
                <w:rFonts w:eastAsia="MS Mincho" w:cs="Times New Roman"/>
                <w:color w:val="000000" w:themeColor="text1"/>
                <w:lang w:val="sr-Cyrl-RS" w:eastAsia="ja-JP"/>
              </w:rPr>
              <w:t xml:space="preserve"> (у даљем тексту: пнеуматици)</w:t>
            </w:r>
            <w:r w:rsidRPr="007E1832">
              <w:rPr>
                <w:rFonts w:eastAsia="MS Mincho" w:cs="Times New Roman"/>
                <w:color w:val="000000" w:themeColor="text1"/>
                <w:lang w:val="sr-Cyrl-CS" w:eastAsia="ja-JP"/>
              </w:rPr>
              <w:t xml:space="preserve">, за које су прописани захтеви у погледу у енергетског означавања могу се ставити на тржиште само ако имају енергетску ознаку, као и ако испуњавају друге захтеве прописане овим законом техничким и другим прописима. </w:t>
            </w:r>
          </w:p>
          <w:p w14:paraId="578CEEE4" w14:textId="77777777" w:rsidR="007E1832" w:rsidRPr="007E1832" w:rsidRDefault="007E1832" w:rsidP="007E1832">
            <w:pPr>
              <w:autoSpaceDE w:val="0"/>
              <w:autoSpaceDN w:val="0"/>
              <w:adjustRightInd w:val="0"/>
              <w:ind w:firstLine="567"/>
              <w:jc w:val="both"/>
              <w:rPr>
                <w:rFonts w:eastAsia="MS Mincho" w:cs="Times New Roman"/>
                <w:color w:val="000000" w:themeColor="text1"/>
                <w:lang w:val="sr-Cyrl-CS" w:eastAsia="ja-JP"/>
              </w:rPr>
            </w:pPr>
            <w:r w:rsidRPr="007E1832">
              <w:rPr>
                <w:rFonts w:eastAsia="MS Mincho" w:cs="Times New Roman"/>
                <w:color w:val="000000" w:themeColor="text1"/>
                <w:lang w:val="sr-Cyrl-CS" w:eastAsia="ja-JP"/>
              </w:rPr>
              <w:t>Министар доноси технички пропис којим се прописују захтеви енергетског означавања пнеуматика, ближе се утврђују обавезе испоручилаца и продаваца пнеуматика, обавезе испоручилаца и продаваца моторних возила, дефинишу се мерне методе, поступак провере</w:t>
            </w:r>
            <w:r w:rsidRPr="007E1832">
              <w:rPr>
                <w:rFonts w:eastAsia="MS Mincho" w:cs="Times New Roman"/>
                <w:color w:val="000000" w:themeColor="text1"/>
                <w:lang w:eastAsia="ja-JP"/>
              </w:rPr>
              <w:t xml:space="preserve"> </w:t>
            </w:r>
            <w:r w:rsidRPr="007E1832">
              <w:rPr>
                <w:rFonts w:eastAsia="MS Mincho" w:cs="Times New Roman"/>
                <w:color w:val="000000" w:themeColor="text1"/>
                <w:lang w:val="sr-Cyrl-CS" w:eastAsia="ja-JP"/>
              </w:rPr>
              <w:t xml:space="preserve">усаглашености пнеуматика са захтевима енергетског означавања у сврху тржишног надзора, поступак одређивања класе енергетске ефикасности пнеуматика, изглед дизајн и формат енергетске ознаке, листу са подацима, садржај техничке документације, информације које је </w:t>
            </w:r>
            <w:r w:rsidRPr="007E1832">
              <w:rPr>
                <w:rFonts w:eastAsia="MS Mincho" w:cs="Times New Roman"/>
                <w:color w:val="000000" w:themeColor="text1"/>
                <w:lang w:val="sr-Cyrl-CS" w:eastAsia="ja-JP"/>
              </w:rPr>
              <w:lastRenderedPageBreak/>
              <w:t xml:space="preserve">потребно обезбедити приликом у визуелног оглашавања у техничким и промотивним материјалима приликом продаје на даљину и у </w:t>
            </w:r>
            <w:proofErr w:type="spellStart"/>
            <w:r w:rsidRPr="007E1832">
              <w:rPr>
                <w:rFonts w:eastAsia="MS Mincho" w:cs="Times New Roman"/>
                <w:color w:val="000000" w:themeColor="text1"/>
                <w:lang w:val="sr-Cyrl-CS" w:eastAsia="ja-JP"/>
              </w:rPr>
              <w:t>телемаркетингу</w:t>
            </w:r>
            <w:proofErr w:type="spellEnd"/>
            <w:r w:rsidRPr="007E1832">
              <w:rPr>
                <w:rFonts w:eastAsia="MS Mincho" w:cs="Times New Roman"/>
                <w:color w:val="000000" w:themeColor="text1"/>
                <w:lang w:val="sr-Cyrl-CS" w:eastAsia="ja-JP"/>
              </w:rPr>
              <w:t xml:space="preserve">, информације које је потребно обезбедити у случају продаје на даљину преко </w:t>
            </w:r>
            <w:proofErr w:type="spellStart"/>
            <w:r w:rsidRPr="007E1832">
              <w:rPr>
                <w:rFonts w:eastAsia="MS Mincho" w:cs="Times New Roman"/>
                <w:color w:val="000000" w:themeColor="text1"/>
                <w:lang w:val="sr-Cyrl-CS" w:eastAsia="ja-JP"/>
              </w:rPr>
              <w:t>интернета</w:t>
            </w:r>
            <w:proofErr w:type="spellEnd"/>
            <w:r w:rsidRPr="007E1832">
              <w:rPr>
                <w:rFonts w:eastAsia="MS Mincho" w:cs="Times New Roman"/>
                <w:color w:val="000000" w:themeColor="text1"/>
                <w:lang w:val="sr-Cyrl-CS" w:eastAsia="ja-JP"/>
              </w:rPr>
              <w:t>, поступак усклађивања лабораторија за мерење отпора котрљања, као и друге захтеве у вези енергетског означавања за поједине врсте пнеуматика.</w:t>
            </w:r>
          </w:p>
          <w:p w14:paraId="46187DB1" w14:textId="6B7BC62E" w:rsidR="009E26C3" w:rsidRPr="007E1832" w:rsidRDefault="007E1832" w:rsidP="007E1832">
            <w:pPr>
              <w:spacing w:after="120"/>
              <w:ind w:firstLine="562"/>
              <w:jc w:val="both"/>
              <w:rPr>
                <w:rFonts w:eastAsia="Times New Roman" w:cs="Times New Roman"/>
                <w:color w:val="000000" w:themeColor="text1"/>
                <w:sz w:val="24"/>
                <w:szCs w:val="24"/>
                <w:lang w:val="sr-Cyrl-CS"/>
              </w:rPr>
            </w:pPr>
            <w:r w:rsidRPr="007E1832">
              <w:rPr>
                <w:rFonts w:eastAsia="Times New Roman" w:cs="Times New Roman"/>
                <w:color w:val="000000" w:themeColor="text1"/>
                <w:lang w:val="sr-Cyrl-CS"/>
              </w:rPr>
              <w:t>Испоручилац пнеуматике не сме ставити на тржиште пнеуматике који имају друге ознаке, симболе или натписе који нису у складу са прописом из става 2. овог члана и за које је вероватно да би заварали или збунити купце.</w:t>
            </w:r>
          </w:p>
        </w:tc>
        <w:tc>
          <w:tcPr>
            <w:tcW w:w="235" w:type="pct"/>
            <w:vAlign w:val="center"/>
          </w:tcPr>
          <w:p w14:paraId="46187DB2" w14:textId="6BEB4EFA" w:rsidR="00A47416" w:rsidRPr="004D2E7C" w:rsidRDefault="002314A3" w:rsidP="009778D3">
            <w:pPr>
              <w:jc w:val="center"/>
              <w:rPr>
                <w:rFonts w:cs="Times New Roman"/>
                <w:lang w:val="sr-Cyrl-RS"/>
              </w:rPr>
            </w:pPr>
            <w:r>
              <w:rPr>
                <w:rFonts w:cs="Times New Roman"/>
                <w:lang w:val="sr-Cyrl-RS"/>
              </w:rPr>
              <w:lastRenderedPageBreak/>
              <w:t>Д</w:t>
            </w:r>
            <w:r w:rsidR="009778D3" w:rsidRPr="004D2E7C">
              <w:rPr>
                <w:rFonts w:cs="Times New Roman"/>
                <w:lang w:val="sr-Cyrl-RS"/>
              </w:rPr>
              <w:t>У</w:t>
            </w:r>
          </w:p>
        </w:tc>
        <w:tc>
          <w:tcPr>
            <w:tcW w:w="676" w:type="pct"/>
            <w:vAlign w:val="center"/>
          </w:tcPr>
          <w:p w14:paraId="46187DB3" w14:textId="77777777" w:rsidR="0025510E" w:rsidRPr="004D2E7C" w:rsidRDefault="0025510E" w:rsidP="00227A57">
            <w:pPr>
              <w:rPr>
                <w:rFonts w:cs="Times New Roman"/>
                <w:spacing w:val="-6"/>
                <w:lang w:val="sr-Cyrl-RS"/>
              </w:rPr>
            </w:pPr>
          </w:p>
        </w:tc>
        <w:tc>
          <w:tcPr>
            <w:tcW w:w="699" w:type="pct"/>
            <w:vAlign w:val="center"/>
          </w:tcPr>
          <w:p w14:paraId="7ABF4715" w14:textId="1A620644" w:rsidR="00322EC0" w:rsidRPr="004D2E7C" w:rsidRDefault="00322EC0" w:rsidP="00322EC0">
            <w:pPr>
              <w:rPr>
                <w:rFonts w:cs="Times New Roman"/>
                <w:lang w:val="sr-Cyrl-RS"/>
              </w:rPr>
            </w:pPr>
            <w:r w:rsidRPr="004D2E7C">
              <w:rPr>
                <w:rFonts w:cs="Times New Roman"/>
                <w:lang w:val="sr-Cyrl-RS"/>
              </w:rPr>
              <w:t>П</w:t>
            </w:r>
            <w:r w:rsidR="004B40D0" w:rsidRPr="004D2E7C">
              <w:rPr>
                <w:rFonts w:cs="Times New Roman"/>
                <w:lang w:val="sr-Cyrl-RS"/>
              </w:rPr>
              <w:t xml:space="preserve">уна </w:t>
            </w:r>
            <w:r w:rsidRPr="004D2E7C">
              <w:rPr>
                <w:rFonts w:cs="Times New Roman"/>
                <w:lang w:val="sr-Cyrl-RS"/>
              </w:rPr>
              <w:t xml:space="preserve">усклађеност </w:t>
            </w:r>
            <w:r w:rsidR="00CB5E72" w:rsidRPr="004D2E7C">
              <w:rPr>
                <w:rFonts w:cs="Times New Roman"/>
                <w:lang w:val="sr-Cyrl-RS"/>
              </w:rPr>
              <w:t>са одредбама Уредбе 20</w:t>
            </w:r>
            <w:r w:rsidR="002314A3">
              <w:rPr>
                <w:rFonts w:cs="Times New Roman"/>
                <w:lang w:val="sr-Cyrl-RS"/>
              </w:rPr>
              <w:t>20</w:t>
            </w:r>
            <w:r w:rsidR="00CB5E72" w:rsidRPr="004D2E7C">
              <w:rPr>
                <w:rFonts w:cs="Times New Roman"/>
                <w:lang w:val="sr-Cyrl-RS"/>
              </w:rPr>
              <w:t>/</w:t>
            </w:r>
            <w:r w:rsidR="002314A3">
              <w:rPr>
                <w:rFonts w:cs="Times New Roman"/>
                <w:lang w:val="sr-Cyrl-RS"/>
              </w:rPr>
              <w:t>740</w:t>
            </w:r>
            <w:r w:rsidR="00CB5E72" w:rsidRPr="004D2E7C">
              <w:rPr>
                <w:rFonts w:cs="Times New Roman"/>
                <w:lang w:val="sr-Cyrl-RS"/>
              </w:rPr>
              <w:t xml:space="preserve"> </w:t>
            </w:r>
            <w:r w:rsidRPr="004D2E7C">
              <w:rPr>
                <w:rFonts w:cs="Times New Roman"/>
                <w:lang w:val="sr-Cyrl-RS"/>
              </w:rPr>
              <w:t>би</w:t>
            </w:r>
            <w:r w:rsidR="00CB5E72" w:rsidRPr="004D2E7C">
              <w:rPr>
                <w:rFonts w:cs="Times New Roman"/>
                <w:lang w:val="sr-Cyrl-RS"/>
              </w:rPr>
              <w:t>ће</w:t>
            </w:r>
            <w:r w:rsidRPr="004D2E7C">
              <w:rPr>
                <w:rFonts w:cs="Times New Roman"/>
                <w:lang w:val="sr-Cyrl-RS"/>
              </w:rPr>
              <w:t xml:space="preserve"> постигнута доношењем подзаконских аката и техничких прописа.</w:t>
            </w:r>
          </w:p>
          <w:p w14:paraId="07C05F49" w14:textId="77777777" w:rsidR="00322EC0" w:rsidRPr="004D2E7C" w:rsidRDefault="00322EC0" w:rsidP="00322EC0">
            <w:pPr>
              <w:rPr>
                <w:rFonts w:cs="Times New Roman"/>
                <w:lang w:val="sr-Cyrl-RS"/>
              </w:rPr>
            </w:pPr>
          </w:p>
          <w:p w14:paraId="46187DB4" w14:textId="191E7A7E" w:rsidR="00A47416" w:rsidRPr="004D2E7C" w:rsidRDefault="00322EC0" w:rsidP="00322EC0">
            <w:pPr>
              <w:rPr>
                <w:rFonts w:cs="Times New Roman"/>
                <w:lang w:val="sr-Cyrl-RS"/>
              </w:rPr>
            </w:pPr>
            <w:r w:rsidRPr="004D2E7C">
              <w:rPr>
                <w:rFonts w:cs="Times New Roman"/>
                <w:lang w:val="sr-Cyrl-RS"/>
              </w:rPr>
              <w:lastRenderedPageBreak/>
              <w:t>Члан 6</w:t>
            </w:r>
            <w:r w:rsidR="002314A3">
              <w:rPr>
                <w:rFonts w:cs="Times New Roman"/>
                <w:lang w:val="sr-Cyrl-RS"/>
              </w:rPr>
              <w:t>4</w:t>
            </w:r>
            <w:r w:rsidRPr="004D2E7C">
              <w:rPr>
                <w:rFonts w:cs="Times New Roman"/>
                <w:lang w:val="sr-Cyrl-RS"/>
              </w:rPr>
              <w:t xml:space="preserve">. ЗЕЕРУЕ је правни основ за доношење </w:t>
            </w:r>
            <w:r w:rsidR="004D2E7C">
              <w:rPr>
                <w:rFonts w:cs="Times New Roman"/>
                <w:lang w:val="sr-Cyrl-RS"/>
              </w:rPr>
              <w:t xml:space="preserve">нових </w:t>
            </w:r>
            <w:r w:rsidRPr="004D2E7C">
              <w:rPr>
                <w:rFonts w:cs="Times New Roman"/>
                <w:lang w:val="sr-Cyrl-RS"/>
              </w:rPr>
              <w:t>подзаконских аката и техничких прописа.</w:t>
            </w:r>
          </w:p>
        </w:tc>
      </w:tr>
      <w:tr w:rsidR="00227A57" w:rsidRPr="004D2E7C" w14:paraId="46187DC3" w14:textId="77777777" w:rsidTr="00D9567F">
        <w:tc>
          <w:tcPr>
            <w:tcW w:w="280" w:type="pct"/>
            <w:shd w:val="clear" w:color="auto" w:fill="D9D9D9"/>
            <w:vAlign w:val="center"/>
          </w:tcPr>
          <w:p w14:paraId="46187DB6" w14:textId="74A127BE" w:rsidR="00A73BC9" w:rsidRPr="00156D2E" w:rsidRDefault="00A73BC9" w:rsidP="002A0174">
            <w:pPr>
              <w:jc w:val="center"/>
              <w:rPr>
                <w:rFonts w:eastAsia="Times New Roman" w:cs="Times New Roman"/>
                <w:lang w:val="sr-Latn-RS"/>
              </w:rPr>
            </w:pPr>
            <w:r w:rsidRPr="004D2E7C">
              <w:rPr>
                <w:rFonts w:eastAsia="Times New Roman" w:cs="Times New Roman"/>
                <w:lang w:val="sr-Cyrl-RS"/>
              </w:rPr>
              <w:lastRenderedPageBreak/>
              <w:t>2</w:t>
            </w:r>
            <w:r w:rsidR="00156D2E">
              <w:rPr>
                <w:rFonts w:eastAsia="Times New Roman" w:cs="Times New Roman"/>
                <w:lang w:val="sr-Latn-RS"/>
              </w:rPr>
              <w:t>.</w:t>
            </w:r>
            <w:r w:rsidR="001B6795">
              <w:rPr>
                <w:rFonts w:eastAsia="Times New Roman" w:cs="Times New Roman"/>
                <w:lang w:val="sr-Latn-RS"/>
              </w:rPr>
              <w:t>1</w:t>
            </w:r>
          </w:p>
        </w:tc>
        <w:tc>
          <w:tcPr>
            <w:tcW w:w="1489" w:type="pct"/>
            <w:shd w:val="clear" w:color="auto" w:fill="D9D9D9"/>
            <w:vAlign w:val="center"/>
          </w:tcPr>
          <w:p w14:paraId="5E0C316A" w14:textId="77777777" w:rsidR="00156D2E" w:rsidRPr="00156D2E" w:rsidRDefault="00156D2E" w:rsidP="001B6795">
            <w:pPr>
              <w:pStyle w:val="Normal1"/>
              <w:spacing w:before="0" w:beforeAutospacing="0" w:after="120" w:afterAutospacing="0"/>
              <w:jc w:val="center"/>
              <w:rPr>
                <w:b/>
                <w:bCs/>
                <w:sz w:val="22"/>
                <w:szCs w:val="22"/>
                <w:lang w:val="en-GB"/>
              </w:rPr>
            </w:pPr>
            <w:r w:rsidRPr="00156D2E">
              <w:rPr>
                <w:b/>
                <w:bCs/>
                <w:sz w:val="22"/>
                <w:szCs w:val="22"/>
                <w:lang w:val="en-GB"/>
              </w:rPr>
              <w:t>Scope</w:t>
            </w:r>
          </w:p>
          <w:p w14:paraId="14D08F7E" w14:textId="64C8DC8F" w:rsidR="00156D2E" w:rsidRDefault="00156D2E" w:rsidP="00156D2E">
            <w:pPr>
              <w:pStyle w:val="Normal1"/>
              <w:spacing w:before="0" w:beforeAutospacing="0" w:after="0" w:afterAutospacing="0"/>
              <w:jc w:val="both"/>
              <w:rPr>
                <w:sz w:val="22"/>
                <w:szCs w:val="22"/>
                <w:lang w:val="en-GB"/>
              </w:rPr>
            </w:pPr>
            <w:r w:rsidRPr="00156D2E">
              <w:rPr>
                <w:sz w:val="22"/>
                <w:szCs w:val="22"/>
                <w:lang w:val="en-GB"/>
              </w:rPr>
              <w:t>This Regulation applies to C1 tyres, C2 tyres and C3 tyres that are placed on the market.</w:t>
            </w:r>
          </w:p>
          <w:p w14:paraId="08C2598E" w14:textId="77777777" w:rsidR="001A4D12" w:rsidRPr="00156D2E" w:rsidRDefault="001A4D12" w:rsidP="00156D2E">
            <w:pPr>
              <w:pStyle w:val="Normal1"/>
              <w:spacing w:before="0" w:beforeAutospacing="0" w:after="0" w:afterAutospacing="0"/>
              <w:jc w:val="both"/>
              <w:rPr>
                <w:sz w:val="22"/>
                <w:szCs w:val="22"/>
                <w:lang w:val="en-GB"/>
              </w:rPr>
            </w:pPr>
          </w:p>
          <w:p w14:paraId="46187DB9" w14:textId="6749A510" w:rsidR="00E50910" w:rsidRPr="004D2E7C" w:rsidRDefault="00156D2E" w:rsidP="001A4D12">
            <w:pPr>
              <w:pStyle w:val="Normal1"/>
              <w:spacing w:before="0" w:beforeAutospacing="0" w:after="120" w:afterAutospacing="0"/>
              <w:jc w:val="both"/>
              <w:rPr>
                <w:sz w:val="22"/>
                <w:szCs w:val="22"/>
                <w:lang w:val="en-GB"/>
              </w:rPr>
            </w:pPr>
            <w:r w:rsidRPr="00156D2E">
              <w:rPr>
                <w:sz w:val="22"/>
                <w:szCs w:val="22"/>
                <w:lang w:val="en-GB"/>
              </w:rPr>
              <w:t>Requirements for re‐treaded tyres apply once a suitable testing method to measure the performance of such tyres is available in accordance with Article 13.</w:t>
            </w:r>
          </w:p>
        </w:tc>
        <w:tc>
          <w:tcPr>
            <w:tcW w:w="325" w:type="pct"/>
            <w:tcBorders>
              <w:top w:val="single" w:sz="4" w:space="0" w:color="auto"/>
            </w:tcBorders>
            <w:vAlign w:val="center"/>
          </w:tcPr>
          <w:p w14:paraId="46187DBB" w14:textId="42EE7252" w:rsidR="00D60811" w:rsidRPr="001A4D12" w:rsidRDefault="001A4D12" w:rsidP="00D9567F">
            <w:pPr>
              <w:jc w:val="center"/>
              <w:rPr>
                <w:rFonts w:cs="Times New Roman"/>
                <w:b/>
                <w:bCs/>
                <w:lang w:val="sr-Cyrl-RS"/>
              </w:rPr>
            </w:pPr>
            <w:r w:rsidRPr="001A4D12">
              <w:rPr>
                <w:rFonts w:cs="Times New Roman"/>
                <w:b/>
                <w:bCs/>
              </w:rPr>
              <w:t>1.64</w:t>
            </w:r>
            <w:r w:rsidR="009E26C3" w:rsidRPr="001A4D12">
              <w:rPr>
                <w:rFonts w:cs="Times New Roman"/>
                <w:b/>
                <w:bCs/>
                <w:lang w:val="sr-Cyrl-RS"/>
              </w:rPr>
              <w:t>.</w:t>
            </w:r>
            <w:r w:rsidR="007E1832">
              <w:rPr>
                <w:rFonts w:cs="Times New Roman"/>
                <w:b/>
                <w:bCs/>
                <w:lang w:val="sr-Cyrl-RS"/>
              </w:rPr>
              <w:t>1.</w:t>
            </w:r>
          </w:p>
        </w:tc>
        <w:tc>
          <w:tcPr>
            <w:tcW w:w="1296" w:type="pct"/>
            <w:tcBorders>
              <w:top w:val="single" w:sz="4" w:space="0" w:color="auto"/>
            </w:tcBorders>
          </w:tcPr>
          <w:p w14:paraId="46187DBF" w14:textId="52F32824" w:rsidR="009E26C3" w:rsidRPr="001A4D12" w:rsidRDefault="001A4D12" w:rsidP="001A4D12">
            <w:pPr>
              <w:autoSpaceDE w:val="0"/>
              <w:autoSpaceDN w:val="0"/>
              <w:adjustRightInd w:val="0"/>
              <w:ind w:firstLine="567"/>
              <w:jc w:val="both"/>
              <w:rPr>
                <w:rFonts w:eastAsia="MS Mincho" w:cs="Times New Roman"/>
                <w:color w:val="000000" w:themeColor="text1"/>
                <w:lang w:val="sr-Cyrl-CS" w:eastAsia="ja-JP"/>
              </w:rPr>
            </w:pPr>
            <w:r w:rsidRPr="001A4D12">
              <w:rPr>
                <w:rFonts w:eastAsia="MS Mincho" w:cs="Times New Roman"/>
                <w:color w:val="000000" w:themeColor="text1"/>
                <w:lang w:val="sr-Cyrl-CS" w:eastAsia="ja-JP"/>
              </w:rPr>
              <w:t xml:space="preserve">Пнеуматици класе </w:t>
            </w:r>
            <w:r w:rsidRPr="001A4D12">
              <w:rPr>
                <w:rFonts w:eastAsia="MS Mincho" w:cs="Times New Roman"/>
                <w:color w:val="000000" w:themeColor="text1"/>
                <w:lang w:val="sr-Latn-RS" w:eastAsia="ja-JP"/>
              </w:rPr>
              <w:t>„C</w:t>
            </w:r>
            <w:r w:rsidRPr="001A4D12">
              <w:rPr>
                <w:rFonts w:eastAsia="MS Mincho" w:cs="Times New Roman"/>
                <w:color w:val="000000" w:themeColor="text1"/>
                <w:lang w:val="sr-Cyrl-CS" w:eastAsia="ja-JP"/>
              </w:rPr>
              <w:t>1</w:t>
            </w:r>
            <w:r w:rsidRPr="001A4D12">
              <w:rPr>
                <w:rFonts w:eastAsia="MS Mincho" w:cs="Times New Roman"/>
                <w:color w:val="000000" w:themeColor="text1"/>
                <w:lang w:val="sr-Latn-RS" w:eastAsia="ja-JP"/>
              </w:rPr>
              <w:t>“</w:t>
            </w:r>
            <w:r w:rsidRPr="001A4D12">
              <w:rPr>
                <w:rFonts w:eastAsia="MS Mincho" w:cs="Times New Roman"/>
                <w:color w:val="000000" w:themeColor="text1"/>
                <w:lang w:val="sr-Cyrl-CS" w:eastAsia="ja-JP"/>
              </w:rPr>
              <w:t xml:space="preserve">, </w:t>
            </w:r>
            <w:r w:rsidRPr="001A4D12">
              <w:rPr>
                <w:rFonts w:eastAsia="MS Mincho" w:cs="Times New Roman"/>
                <w:color w:val="000000" w:themeColor="text1"/>
                <w:lang w:val="sr-Latn-RS" w:eastAsia="ja-JP"/>
              </w:rPr>
              <w:t>„C</w:t>
            </w:r>
            <w:r w:rsidRPr="001A4D12">
              <w:rPr>
                <w:rFonts w:eastAsia="MS Mincho" w:cs="Times New Roman"/>
                <w:color w:val="000000" w:themeColor="text1"/>
                <w:lang w:val="sr-Cyrl-CS" w:eastAsia="ja-JP"/>
              </w:rPr>
              <w:t>2</w:t>
            </w:r>
            <w:r w:rsidRPr="001A4D12">
              <w:rPr>
                <w:rFonts w:eastAsia="MS Mincho" w:cs="Times New Roman"/>
                <w:color w:val="000000" w:themeColor="text1"/>
                <w:lang w:val="sr-Latn-RS" w:eastAsia="ja-JP"/>
              </w:rPr>
              <w:t>“</w:t>
            </w:r>
            <w:r w:rsidRPr="001A4D12">
              <w:rPr>
                <w:rFonts w:eastAsia="MS Mincho" w:cs="Times New Roman"/>
                <w:color w:val="000000" w:themeColor="text1"/>
                <w:lang w:val="sr-Cyrl-CS" w:eastAsia="ja-JP"/>
              </w:rPr>
              <w:t xml:space="preserve"> и </w:t>
            </w:r>
            <w:r w:rsidRPr="001A4D12">
              <w:rPr>
                <w:rFonts w:eastAsia="MS Mincho" w:cs="Times New Roman"/>
                <w:color w:val="000000" w:themeColor="text1"/>
                <w:lang w:val="sr-Latn-RS" w:eastAsia="ja-JP"/>
              </w:rPr>
              <w:t>„C</w:t>
            </w:r>
            <w:r w:rsidRPr="001A4D12">
              <w:rPr>
                <w:rFonts w:eastAsia="MS Mincho" w:cs="Times New Roman"/>
                <w:color w:val="000000" w:themeColor="text1"/>
                <w:lang w:val="sr-Cyrl-CS" w:eastAsia="ja-JP"/>
              </w:rPr>
              <w:t>3</w:t>
            </w:r>
            <w:r w:rsidRPr="001A4D12">
              <w:rPr>
                <w:rFonts w:eastAsia="MS Mincho" w:cs="Times New Roman"/>
                <w:color w:val="000000" w:themeColor="text1"/>
                <w:lang w:val="sr-Latn-RS" w:eastAsia="ja-JP"/>
              </w:rPr>
              <w:t>“</w:t>
            </w:r>
            <w:r w:rsidRPr="001A4D12">
              <w:rPr>
                <w:rFonts w:eastAsia="MS Mincho" w:cs="Times New Roman"/>
                <w:color w:val="000000" w:themeColor="text1"/>
                <w:lang w:val="sr-Cyrl-RS" w:eastAsia="ja-JP"/>
              </w:rPr>
              <w:t xml:space="preserve"> (у даљем тексту: пнеуматици)</w:t>
            </w:r>
            <w:r w:rsidRPr="001A4D12">
              <w:rPr>
                <w:rFonts w:eastAsia="MS Mincho" w:cs="Times New Roman"/>
                <w:color w:val="000000" w:themeColor="text1"/>
                <w:lang w:val="sr-Cyrl-CS" w:eastAsia="ja-JP"/>
              </w:rPr>
              <w:t>, за које су прописани захтеви у погледу енергетског означавања могу се ставити на тржиште само ако имају енергетску ознаку, као и ако испуњавају друге захтеве прописане овим законом</w:t>
            </w:r>
            <w:r w:rsidRPr="001A4D12">
              <w:rPr>
                <w:rFonts w:eastAsia="MS Mincho" w:cs="Times New Roman"/>
                <w:color w:val="000000" w:themeColor="text1"/>
                <w:lang w:eastAsia="ja-JP"/>
              </w:rPr>
              <w:t>,</w:t>
            </w:r>
            <w:r w:rsidRPr="001A4D12">
              <w:rPr>
                <w:rFonts w:eastAsia="MS Mincho" w:cs="Times New Roman"/>
                <w:color w:val="000000" w:themeColor="text1"/>
                <w:lang w:val="sr-Cyrl-CS" w:eastAsia="ja-JP"/>
              </w:rPr>
              <w:t xml:space="preserve"> техничким и другим прописима. </w:t>
            </w:r>
          </w:p>
        </w:tc>
        <w:tc>
          <w:tcPr>
            <w:tcW w:w="235" w:type="pct"/>
            <w:vAlign w:val="center"/>
          </w:tcPr>
          <w:p w14:paraId="46187DC0" w14:textId="52191DA6" w:rsidR="00A73BC9" w:rsidRPr="004D2E7C" w:rsidRDefault="00441DEB" w:rsidP="009778D3">
            <w:pPr>
              <w:jc w:val="center"/>
              <w:rPr>
                <w:rFonts w:cs="Times New Roman"/>
                <w:lang w:val="sr-Cyrl-RS"/>
              </w:rPr>
            </w:pPr>
            <w:r>
              <w:rPr>
                <w:rFonts w:cs="Times New Roman"/>
                <w:lang w:val="sr-Cyrl-RS"/>
              </w:rPr>
              <w:t>ДУ</w:t>
            </w:r>
          </w:p>
        </w:tc>
        <w:tc>
          <w:tcPr>
            <w:tcW w:w="676" w:type="pct"/>
          </w:tcPr>
          <w:p w14:paraId="46187DC1" w14:textId="77777777" w:rsidR="00A73BC9" w:rsidRPr="004D2E7C" w:rsidRDefault="00A73BC9" w:rsidP="000F2C33">
            <w:pPr>
              <w:rPr>
                <w:rFonts w:cs="Times New Roman"/>
                <w:lang w:val="sr-Cyrl-RS"/>
              </w:rPr>
            </w:pPr>
          </w:p>
        </w:tc>
        <w:tc>
          <w:tcPr>
            <w:tcW w:w="699" w:type="pct"/>
            <w:vAlign w:val="center"/>
          </w:tcPr>
          <w:p w14:paraId="46187DC2" w14:textId="36BA976B" w:rsidR="00A73BC9" w:rsidRPr="004D2E7C" w:rsidRDefault="00441DEB" w:rsidP="00A73BC9">
            <w:pPr>
              <w:rPr>
                <w:rFonts w:cs="Times New Roman"/>
                <w:lang w:val="sr-Cyrl-RS"/>
              </w:rPr>
            </w:pPr>
            <w:r w:rsidRPr="004D2E7C">
              <w:rPr>
                <w:rFonts w:cs="Times New Roman"/>
                <w:lang w:val="sr-Cyrl-RS"/>
              </w:rPr>
              <w:t>Пун</w:t>
            </w:r>
            <w:r>
              <w:rPr>
                <w:rFonts w:cs="Times New Roman"/>
                <w:lang w:val="sr-Cyrl-RS"/>
              </w:rPr>
              <w:t>ија</w:t>
            </w:r>
            <w:r w:rsidRPr="004D2E7C">
              <w:rPr>
                <w:rFonts w:cs="Times New Roman"/>
                <w:lang w:val="sr-Cyrl-RS"/>
              </w:rPr>
              <w:t xml:space="preserve"> усклађеност биће постигнута доношењем подзаконских аката и техничких прописа.</w:t>
            </w:r>
          </w:p>
        </w:tc>
      </w:tr>
      <w:tr w:rsidR="001B6795" w:rsidRPr="004D2E7C" w14:paraId="66C40FB6" w14:textId="77777777" w:rsidTr="00D9567F">
        <w:tc>
          <w:tcPr>
            <w:tcW w:w="280" w:type="pct"/>
            <w:shd w:val="clear" w:color="auto" w:fill="D9D9D9"/>
            <w:vAlign w:val="center"/>
          </w:tcPr>
          <w:p w14:paraId="686CC2DC" w14:textId="7469160F" w:rsidR="001B6795" w:rsidRPr="001B6795" w:rsidRDefault="001B6795" w:rsidP="002A0174">
            <w:pPr>
              <w:jc w:val="center"/>
              <w:rPr>
                <w:rFonts w:eastAsia="Times New Roman" w:cs="Times New Roman"/>
                <w:lang w:val="sr-Latn-RS"/>
              </w:rPr>
            </w:pPr>
            <w:r>
              <w:rPr>
                <w:rFonts w:eastAsia="Times New Roman" w:cs="Times New Roman"/>
                <w:lang w:val="sr-Latn-RS"/>
              </w:rPr>
              <w:t>2.2</w:t>
            </w:r>
          </w:p>
        </w:tc>
        <w:tc>
          <w:tcPr>
            <w:tcW w:w="1489" w:type="pct"/>
            <w:shd w:val="clear" w:color="auto" w:fill="D9D9D9"/>
            <w:vAlign w:val="center"/>
          </w:tcPr>
          <w:p w14:paraId="0F4E3753" w14:textId="17AF623E" w:rsidR="001B6795" w:rsidRPr="00156D2E" w:rsidRDefault="001B6795" w:rsidP="001B6795">
            <w:pPr>
              <w:pStyle w:val="Normal1"/>
              <w:spacing w:before="0" w:beforeAutospacing="0" w:after="0" w:afterAutospacing="0"/>
              <w:jc w:val="both"/>
              <w:rPr>
                <w:sz w:val="22"/>
                <w:szCs w:val="22"/>
                <w:lang w:val="en-GB"/>
              </w:rPr>
            </w:pPr>
            <w:r w:rsidRPr="00156D2E">
              <w:rPr>
                <w:sz w:val="22"/>
                <w:szCs w:val="22"/>
                <w:lang w:val="en-GB"/>
              </w:rPr>
              <w:t>This Regulation does not apply to:</w:t>
            </w:r>
          </w:p>
          <w:p w14:paraId="7A37DB43" w14:textId="33A2AFF9" w:rsidR="001B6795" w:rsidRPr="00156D2E" w:rsidRDefault="001B6795" w:rsidP="001B6795">
            <w:pPr>
              <w:pStyle w:val="Normal1"/>
              <w:spacing w:before="0" w:beforeAutospacing="0" w:after="0" w:afterAutospacing="0"/>
              <w:jc w:val="both"/>
              <w:rPr>
                <w:sz w:val="22"/>
                <w:szCs w:val="22"/>
                <w:lang w:val="en-GB"/>
              </w:rPr>
            </w:pPr>
            <w:r w:rsidRPr="00156D2E">
              <w:rPr>
                <w:sz w:val="22"/>
                <w:szCs w:val="22"/>
                <w:lang w:val="en-GB"/>
              </w:rPr>
              <w:t>(a) off‐road professional tyres;</w:t>
            </w:r>
          </w:p>
          <w:p w14:paraId="730817F3" w14:textId="16569D5C" w:rsidR="001B6795" w:rsidRPr="00156D2E" w:rsidRDefault="001B6795" w:rsidP="001B6795">
            <w:pPr>
              <w:pStyle w:val="Normal1"/>
              <w:spacing w:before="0" w:beforeAutospacing="0" w:after="0" w:afterAutospacing="0"/>
              <w:jc w:val="both"/>
              <w:rPr>
                <w:sz w:val="22"/>
                <w:szCs w:val="22"/>
                <w:lang w:val="en-GB"/>
              </w:rPr>
            </w:pPr>
            <w:r w:rsidRPr="00156D2E">
              <w:rPr>
                <w:sz w:val="22"/>
                <w:szCs w:val="22"/>
                <w:lang w:val="en-GB"/>
              </w:rPr>
              <w:t>(b) tyres designed to be fitted only on vehicles registered for the first time before 1 October 1990;</w:t>
            </w:r>
          </w:p>
          <w:p w14:paraId="453DB031" w14:textId="6E6E0B4A" w:rsidR="001B6795" w:rsidRPr="00156D2E" w:rsidRDefault="001B6795" w:rsidP="001B6795">
            <w:pPr>
              <w:pStyle w:val="Normal1"/>
              <w:spacing w:before="0" w:beforeAutospacing="0" w:after="0" w:afterAutospacing="0"/>
              <w:jc w:val="both"/>
              <w:rPr>
                <w:sz w:val="22"/>
                <w:szCs w:val="22"/>
                <w:lang w:val="en-GB"/>
              </w:rPr>
            </w:pPr>
            <w:r w:rsidRPr="00156D2E">
              <w:rPr>
                <w:sz w:val="22"/>
                <w:szCs w:val="22"/>
                <w:lang w:val="en-GB"/>
              </w:rPr>
              <w:t>(c) T‐type temporary‐use spare tyres;</w:t>
            </w:r>
          </w:p>
          <w:p w14:paraId="294000D4" w14:textId="2E416D15" w:rsidR="001B6795" w:rsidRPr="00156D2E" w:rsidRDefault="001B6795" w:rsidP="001B6795">
            <w:pPr>
              <w:pStyle w:val="Normal1"/>
              <w:spacing w:before="0" w:beforeAutospacing="0" w:after="0" w:afterAutospacing="0"/>
              <w:jc w:val="both"/>
              <w:rPr>
                <w:sz w:val="22"/>
                <w:szCs w:val="22"/>
                <w:lang w:val="en-GB"/>
              </w:rPr>
            </w:pPr>
            <w:r w:rsidRPr="00156D2E">
              <w:rPr>
                <w:sz w:val="22"/>
                <w:szCs w:val="22"/>
                <w:lang w:val="en-GB"/>
              </w:rPr>
              <w:t>(d) tyres whose speed rating is less than 80 km/h;</w:t>
            </w:r>
          </w:p>
          <w:p w14:paraId="3BFA7609" w14:textId="6EB2155C" w:rsidR="001B6795" w:rsidRPr="00156D2E" w:rsidRDefault="001B6795" w:rsidP="001B6795">
            <w:pPr>
              <w:pStyle w:val="Normal1"/>
              <w:spacing w:before="0" w:beforeAutospacing="0" w:after="0" w:afterAutospacing="0"/>
              <w:jc w:val="both"/>
              <w:rPr>
                <w:sz w:val="22"/>
                <w:szCs w:val="22"/>
                <w:lang w:val="en-GB"/>
              </w:rPr>
            </w:pPr>
            <w:r w:rsidRPr="00156D2E">
              <w:rPr>
                <w:sz w:val="22"/>
                <w:szCs w:val="22"/>
                <w:lang w:val="en-GB"/>
              </w:rPr>
              <w:lastRenderedPageBreak/>
              <w:t>(e) tyres whose nominal rim diameter does not exceed 254 mm or is 635 mm or more;</w:t>
            </w:r>
          </w:p>
          <w:p w14:paraId="136569CF" w14:textId="18818297" w:rsidR="001B6795" w:rsidRPr="00156D2E" w:rsidRDefault="001B6795" w:rsidP="001B6795">
            <w:pPr>
              <w:pStyle w:val="Normal1"/>
              <w:spacing w:before="0" w:beforeAutospacing="0" w:after="0" w:afterAutospacing="0"/>
              <w:jc w:val="both"/>
              <w:rPr>
                <w:sz w:val="22"/>
                <w:szCs w:val="22"/>
                <w:lang w:val="en-GB"/>
              </w:rPr>
            </w:pPr>
            <w:r w:rsidRPr="00156D2E">
              <w:rPr>
                <w:sz w:val="22"/>
                <w:szCs w:val="22"/>
                <w:lang w:val="en-GB"/>
              </w:rPr>
              <w:t>(f) tyres fitted with additional devices to improve traction properties, such as studded tyres;</w:t>
            </w:r>
          </w:p>
          <w:p w14:paraId="65E1FA03" w14:textId="43D63D2C" w:rsidR="001B6795" w:rsidRPr="00156D2E" w:rsidRDefault="001B6795" w:rsidP="001B6795">
            <w:pPr>
              <w:pStyle w:val="Normal1"/>
              <w:spacing w:before="0" w:beforeAutospacing="0" w:after="0" w:afterAutospacing="0"/>
              <w:jc w:val="both"/>
              <w:rPr>
                <w:sz w:val="22"/>
                <w:szCs w:val="22"/>
                <w:lang w:val="en-GB"/>
              </w:rPr>
            </w:pPr>
            <w:r w:rsidRPr="00156D2E">
              <w:rPr>
                <w:sz w:val="22"/>
                <w:szCs w:val="22"/>
                <w:lang w:val="en-GB"/>
              </w:rPr>
              <w:t>(g) tyres designed only to be fitted on vehicles intended exclusively for racing;</w:t>
            </w:r>
          </w:p>
          <w:p w14:paraId="2F7C63BD" w14:textId="06137750" w:rsidR="001B6795" w:rsidRPr="001B6795" w:rsidRDefault="001B6795" w:rsidP="001B6795">
            <w:pPr>
              <w:pStyle w:val="Normal1"/>
              <w:spacing w:before="0" w:beforeAutospacing="0" w:after="120" w:afterAutospacing="0"/>
              <w:jc w:val="both"/>
              <w:rPr>
                <w:sz w:val="22"/>
                <w:szCs w:val="22"/>
                <w:lang w:val="en-GB"/>
              </w:rPr>
            </w:pPr>
            <w:r w:rsidRPr="00156D2E">
              <w:rPr>
                <w:sz w:val="22"/>
                <w:szCs w:val="22"/>
                <w:lang w:val="en-GB"/>
              </w:rPr>
              <w:t>(h) second‐hand tyres, unless such tyres are imported from a third country.</w:t>
            </w:r>
          </w:p>
        </w:tc>
        <w:tc>
          <w:tcPr>
            <w:tcW w:w="325" w:type="pct"/>
            <w:tcBorders>
              <w:top w:val="single" w:sz="4" w:space="0" w:color="auto"/>
            </w:tcBorders>
            <w:vAlign w:val="center"/>
          </w:tcPr>
          <w:p w14:paraId="520B2020" w14:textId="77777777" w:rsidR="001B6795" w:rsidRPr="004D2E7C" w:rsidRDefault="001B6795" w:rsidP="00D9567F">
            <w:pPr>
              <w:jc w:val="center"/>
              <w:rPr>
                <w:rFonts w:cs="Times New Roman"/>
                <w:lang w:val="sr-Cyrl-RS"/>
              </w:rPr>
            </w:pPr>
          </w:p>
        </w:tc>
        <w:tc>
          <w:tcPr>
            <w:tcW w:w="1296" w:type="pct"/>
            <w:tcBorders>
              <w:top w:val="single" w:sz="4" w:space="0" w:color="auto"/>
            </w:tcBorders>
          </w:tcPr>
          <w:p w14:paraId="0FDC5CFF" w14:textId="77777777" w:rsidR="001B6795" w:rsidRPr="004D2E7C" w:rsidRDefault="001B6795" w:rsidP="009360E4">
            <w:pPr>
              <w:jc w:val="both"/>
              <w:rPr>
                <w:rFonts w:cs="Times New Roman"/>
                <w:lang w:val="sr-Cyrl-RS"/>
              </w:rPr>
            </w:pPr>
          </w:p>
        </w:tc>
        <w:tc>
          <w:tcPr>
            <w:tcW w:w="235" w:type="pct"/>
            <w:vAlign w:val="center"/>
          </w:tcPr>
          <w:p w14:paraId="13E84F4C" w14:textId="53758FB0" w:rsidR="001B6795" w:rsidRPr="004D2E7C" w:rsidRDefault="007E1832" w:rsidP="009778D3">
            <w:pPr>
              <w:jc w:val="center"/>
              <w:rPr>
                <w:rFonts w:cs="Times New Roman"/>
                <w:lang w:val="sr-Cyrl-RS"/>
              </w:rPr>
            </w:pPr>
            <w:r>
              <w:rPr>
                <w:rFonts w:cs="Times New Roman"/>
                <w:lang w:val="sr-Cyrl-RS"/>
              </w:rPr>
              <w:t>НУ</w:t>
            </w:r>
          </w:p>
        </w:tc>
        <w:tc>
          <w:tcPr>
            <w:tcW w:w="676" w:type="pct"/>
          </w:tcPr>
          <w:p w14:paraId="5236D3FA" w14:textId="77777777" w:rsidR="001B6795" w:rsidRPr="004D2E7C" w:rsidRDefault="001B6795" w:rsidP="000F2C33">
            <w:pPr>
              <w:rPr>
                <w:rFonts w:cs="Times New Roman"/>
                <w:lang w:val="sr-Cyrl-RS"/>
              </w:rPr>
            </w:pPr>
          </w:p>
        </w:tc>
        <w:tc>
          <w:tcPr>
            <w:tcW w:w="699" w:type="pct"/>
            <w:vAlign w:val="center"/>
          </w:tcPr>
          <w:p w14:paraId="1C6EEE98" w14:textId="3828FED9" w:rsidR="001B6795" w:rsidRPr="004D2E7C" w:rsidRDefault="005B25F2" w:rsidP="00A73BC9">
            <w:pPr>
              <w:rPr>
                <w:rFonts w:cs="Times New Roman"/>
                <w:lang w:val="sr-Cyrl-RS"/>
              </w:rPr>
            </w:pPr>
            <w:r>
              <w:rPr>
                <w:rFonts w:cs="Times New Roman"/>
                <w:lang w:val="sr-Cyrl-RS"/>
              </w:rPr>
              <w:t>У</w:t>
            </w:r>
            <w:r w:rsidR="00441DEB" w:rsidRPr="004D2E7C">
              <w:rPr>
                <w:rFonts w:cs="Times New Roman"/>
                <w:lang w:val="sr-Cyrl-RS"/>
              </w:rPr>
              <w:t xml:space="preserve">склађеност ће </w:t>
            </w:r>
            <w:r>
              <w:rPr>
                <w:rFonts w:cs="Times New Roman"/>
                <w:lang w:val="sr-Cyrl-RS"/>
              </w:rPr>
              <w:t xml:space="preserve">бити </w:t>
            </w:r>
            <w:r w:rsidR="00441DEB" w:rsidRPr="004D2E7C">
              <w:rPr>
                <w:rFonts w:cs="Times New Roman"/>
                <w:lang w:val="sr-Cyrl-RS"/>
              </w:rPr>
              <w:t>постигнута доношењем подзаконских аката и техничких прописа.</w:t>
            </w:r>
          </w:p>
        </w:tc>
      </w:tr>
      <w:tr w:rsidR="00100491" w:rsidRPr="004D2E7C" w14:paraId="11CCC78D" w14:textId="77777777" w:rsidTr="00D9567F">
        <w:tc>
          <w:tcPr>
            <w:tcW w:w="1769" w:type="pct"/>
            <w:gridSpan w:val="2"/>
            <w:shd w:val="clear" w:color="auto" w:fill="D9D9D9"/>
            <w:vAlign w:val="center"/>
          </w:tcPr>
          <w:p w14:paraId="43BD3170" w14:textId="55AF9E79" w:rsidR="00100491" w:rsidRPr="00100491" w:rsidRDefault="00100491" w:rsidP="00100491">
            <w:pPr>
              <w:jc w:val="center"/>
              <w:rPr>
                <w:rFonts w:cs="Times New Roman"/>
                <w:b/>
                <w:bCs/>
              </w:rPr>
            </w:pPr>
            <w:r w:rsidRPr="00100491">
              <w:rPr>
                <w:rFonts w:cs="Times New Roman"/>
                <w:b/>
                <w:bCs/>
              </w:rPr>
              <w:lastRenderedPageBreak/>
              <w:t>DEFINITIONS</w:t>
            </w:r>
          </w:p>
        </w:tc>
        <w:tc>
          <w:tcPr>
            <w:tcW w:w="3231" w:type="pct"/>
            <w:gridSpan w:val="5"/>
            <w:vAlign w:val="center"/>
          </w:tcPr>
          <w:p w14:paraId="38A7A0B3" w14:textId="6E8BAE7A" w:rsidR="00100491" w:rsidRPr="004D2E7C" w:rsidRDefault="00100491" w:rsidP="00D9567F">
            <w:pPr>
              <w:spacing w:after="120"/>
              <w:jc w:val="center"/>
              <w:rPr>
                <w:rFonts w:cs="Times New Roman"/>
                <w:lang w:val="sr-Cyrl-RS"/>
              </w:rPr>
            </w:pPr>
            <w:r w:rsidRPr="00100491">
              <w:rPr>
                <w:b/>
                <w:bCs/>
                <w:iCs/>
                <w:color w:val="000000" w:themeColor="text1"/>
                <w:lang w:val="sr-Cyrl-RS"/>
              </w:rPr>
              <w:t>Значење израза</w:t>
            </w:r>
          </w:p>
        </w:tc>
      </w:tr>
      <w:tr w:rsidR="00227A57" w:rsidRPr="004D2E7C" w14:paraId="46187DE3" w14:textId="77777777" w:rsidTr="00D9567F">
        <w:tc>
          <w:tcPr>
            <w:tcW w:w="280" w:type="pct"/>
            <w:shd w:val="clear" w:color="auto" w:fill="D9D9D9"/>
            <w:vAlign w:val="center"/>
          </w:tcPr>
          <w:p w14:paraId="46187DCC" w14:textId="11BAF8F7" w:rsidR="00A73BC9" w:rsidRPr="004D2E7C" w:rsidRDefault="00A00CD7" w:rsidP="00C7656B">
            <w:pPr>
              <w:jc w:val="center"/>
              <w:rPr>
                <w:rFonts w:eastAsia="Times New Roman" w:cs="Times New Roman"/>
                <w:lang w:val="sr-Cyrl-RS"/>
              </w:rPr>
            </w:pPr>
            <w:r>
              <w:rPr>
                <w:rFonts w:eastAsia="Times New Roman" w:cs="Times New Roman"/>
                <w:lang w:val="sr-Latn-RS"/>
              </w:rPr>
              <w:t>3</w:t>
            </w:r>
            <w:r w:rsidR="00306F83" w:rsidRPr="004D2E7C">
              <w:rPr>
                <w:rFonts w:eastAsia="Times New Roman" w:cs="Times New Roman"/>
                <w:lang w:val="sr-Cyrl-RS"/>
              </w:rPr>
              <w:t>.</w:t>
            </w:r>
            <w:r w:rsidR="00A73BC9" w:rsidRPr="004D2E7C">
              <w:rPr>
                <w:rFonts w:eastAsia="Times New Roman" w:cs="Times New Roman"/>
                <w:lang w:val="sr-Cyrl-RS"/>
              </w:rPr>
              <w:t>(1)</w:t>
            </w:r>
          </w:p>
        </w:tc>
        <w:tc>
          <w:tcPr>
            <w:tcW w:w="1489" w:type="pct"/>
            <w:shd w:val="clear" w:color="auto" w:fill="D9D9D9"/>
            <w:vAlign w:val="center"/>
          </w:tcPr>
          <w:p w14:paraId="46187DCD" w14:textId="26D3FCA5" w:rsidR="00A73BC9" w:rsidRPr="004D2E7C" w:rsidRDefault="00A00CD7" w:rsidP="00C7656B">
            <w:pPr>
              <w:jc w:val="both"/>
              <w:rPr>
                <w:rFonts w:eastAsia="Times New Roman" w:cs="Times New Roman"/>
                <w:lang w:val="en-GB"/>
              </w:rPr>
            </w:pPr>
            <w:r w:rsidRPr="00A00CD7">
              <w:rPr>
                <w:rFonts w:eastAsia="Times New Roman" w:cs="Times New Roman"/>
              </w:rPr>
              <w:t xml:space="preserve">‘C1 </w:t>
            </w:r>
            <w:proofErr w:type="spellStart"/>
            <w:r w:rsidRPr="00A00CD7">
              <w:rPr>
                <w:rFonts w:eastAsia="Times New Roman" w:cs="Times New Roman"/>
              </w:rPr>
              <w:t>tyres</w:t>
            </w:r>
            <w:proofErr w:type="spellEnd"/>
            <w:r w:rsidRPr="00A00CD7">
              <w:rPr>
                <w:rFonts w:eastAsia="Times New Roman" w:cs="Times New Roman"/>
              </w:rPr>
              <w:t xml:space="preserve">’, ‘C2 </w:t>
            </w:r>
            <w:proofErr w:type="spellStart"/>
            <w:r w:rsidRPr="00A00CD7">
              <w:rPr>
                <w:rFonts w:eastAsia="Times New Roman" w:cs="Times New Roman"/>
              </w:rPr>
              <w:t>tyres’</w:t>
            </w:r>
            <w:proofErr w:type="spellEnd"/>
            <w:r w:rsidRPr="00A00CD7">
              <w:rPr>
                <w:rFonts w:eastAsia="Times New Roman" w:cs="Times New Roman"/>
              </w:rPr>
              <w:t xml:space="preserve"> and ‘C3 </w:t>
            </w:r>
            <w:proofErr w:type="spellStart"/>
            <w:r w:rsidRPr="00A00CD7">
              <w:rPr>
                <w:rFonts w:eastAsia="Times New Roman" w:cs="Times New Roman"/>
              </w:rPr>
              <w:t>tyres’</w:t>
            </w:r>
            <w:proofErr w:type="spellEnd"/>
            <w:r w:rsidRPr="00A00CD7">
              <w:rPr>
                <w:rFonts w:eastAsia="Times New Roman" w:cs="Times New Roman"/>
              </w:rPr>
              <w:t xml:space="preserve"> means </w:t>
            </w:r>
            <w:proofErr w:type="spellStart"/>
            <w:r w:rsidRPr="00A00CD7">
              <w:rPr>
                <w:rFonts w:eastAsia="Times New Roman" w:cs="Times New Roman"/>
              </w:rPr>
              <w:t>tyres</w:t>
            </w:r>
            <w:proofErr w:type="spellEnd"/>
            <w:r w:rsidRPr="00A00CD7">
              <w:rPr>
                <w:rFonts w:eastAsia="Times New Roman" w:cs="Times New Roman"/>
              </w:rPr>
              <w:t xml:space="preserve"> belonging to the respective classes set out in Article 8(1) of Regulation (EC) No 661/2009;</w:t>
            </w:r>
          </w:p>
        </w:tc>
        <w:tc>
          <w:tcPr>
            <w:tcW w:w="325" w:type="pct"/>
            <w:vAlign w:val="center"/>
          </w:tcPr>
          <w:p w14:paraId="46187DD9" w14:textId="77777777" w:rsidR="00442BA0" w:rsidRPr="004D2E7C" w:rsidRDefault="00442BA0" w:rsidP="00D9567F">
            <w:pPr>
              <w:jc w:val="center"/>
              <w:rPr>
                <w:rFonts w:cs="Times New Roman"/>
                <w:lang w:val="sr-Cyrl-RS"/>
              </w:rPr>
            </w:pPr>
          </w:p>
          <w:p w14:paraId="46187DDA" w14:textId="77777777" w:rsidR="00442BA0" w:rsidRPr="004D2E7C" w:rsidRDefault="00442BA0" w:rsidP="00D9567F">
            <w:pPr>
              <w:jc w:val="center"/>
              <w:rPr>
                <w:rFonts w:cs="Times New Roman"/>
                <w:lang w:val="sr-Cyrl-RS"/>
              </w:rPr>
            </w:pPr>
          </w:p>
          <w:p w14:paraId="46187DDB" w14:textId="77777777" w:rsidR="00442BA0" w:rsidRPr="004D2E7C" w:rsidRDefault="00442BA0" w:rsidP="00D9567F">
            <w:pPr>
              <w:jc w:val="center"/>
              <w:rPr>
                <w:rFonts w:cs="Times New Roman"/>
                <w:lang w:val="sr-Cyrl-RS"/>
              </w:rPr>
            </w:pPr>
          </w:p>
        </w:tc>
        <w:tc>
          <w:tcPr>
            <w:tcW w:w="1296" w:type="pct"/>
          </w:tcPr>
          <w:p w14:paraId="46187DDF" w14:textId="08EFAC6C" w:rsidR="005045EF" w:rsidRPr="008A10A3" w:rsidRDefault="005045EF" w:rsidP="00F81B28">
            <w:pPr>
              <w:contextualSpacing/>
              <w:jc w:val="both"/>
              <w:rPr>
                <w:iCs/>
                <w:color w:val="000000" w:themeColor="text1"/>
                <w:lang w:val="sr-Cyrl-RS"/>
              </w:rPr>
            </w:pPr>
          </w:p>
        </w:tc>
        <w:tc>
          <w:tcPr>
            <w:tcW w:w="235" w:type="pct"/>
            <w:vAlign w:val="center"/>
          </w:tcPr>
          <w:p w14:paraId="46187DE0" w14:textId="5283FEE2" w:rsidR="00A73BC9" w:rsidRPr="004D2E7C" w:rsidRDefault="00441DEB" w:rsidP="009778D3">
            <w:pPr>
              <w:jc w:val="center"/>
              <w:rPr>
                <w:rFonts w:cs="Times New Roman"/>
                <w:lang w:val="sr-Cyrl-RS"/>
              </w:rPr>
            </w:pPr>
            <w:r>
              <w:rPr>
                <w:rFonts w:cs="Times New Roman"/>
                <w:lang w:val="sr-Cyrl-RS"/>
              </w:rPr>
              <w:t>НУ</w:t>
            </w:r>
          </w:p>
        </w:tc>
        <w:tc>
          <w:tcPr>
            <w:tcW w:w="676" w:type="pct"/>
          </w:tcPr>
          <w:p w14:paraId="46187DE1" w14:textId="77777777" w:rsidR="00A73BC9" w:rsidRPr="004D2E7C" w:rsidRDefault="00A73BC9" w:rsidP="000F2C33">
            <w:pPr>
              <w:rPr>
                <w:rFonts w:cs="Times New Roman"/>
                <w:lang w:val="sr-Cyrl-RS"/>
              </w:rPr>
            </w:pPr>
          </w:p>
        </w:tc>
        <w:tc>
          <w:tcPr>
            <w:tcW w:w="699" w:type="pct"/>
            <w:vAlign w:val="center"/>
          </w:tcPr>
          <w:p w14:paraId="46187DE2" w14:textId="1E734038" w:rsidR="00A73BC9" w:rsidRPr="004D2E7C" w:rsidRDefault="00441DEB" w:rsidP="007A6286">
            <w:pPr>
              <w:rPr>
                <w:rFonts w:cs="Times New Roman"/>
                <w:lang w:val="sr-Cyrl-RS"/>
              </w:rPr>
            </w:pPr>
            <w:r w:rsidRPr="00883344">
              <w:rPr>
                <w:rFonts w:cs="Times New Roman"/>
                <w:lang w:val="sr-Cyrl-RS"/>
              </w:rPr>
              <w:t xml:space="preserve">Усклађеност ће бити постигнута </w:t>
            </w:r>
            <w:r>
              <w:rPr>
                <w:rFonts w:cs="Times New Roman"/>
                <w:lang w:val="sr-Cyrl-RS"/>
              </w:rPr>
              <w:t>кроз по</w:t>
            </w:r>
            <w:r w:rsidRPr="00883344">
              <w:rPr>
                <w:rFonts w:cs="Times New Roman"/>
                <w:lang w:val="sr-Cyrl-RS"/>
              </w:rPr>
              <w:t>дзаконск</w:t>
            </w:r>
            <w:r>
              <w:rPr>
                <w:rFonts w:cs="Times New Roman"/>
                <w:lang w:val="sr-Cyrl-RS"/>
              </w:rPr>
              <w:t xml:space="preserve">а </w:t>
            </w:r>
            <w:r w:rsidRPr="00883344">
              <w:rPr>
                <w:rFonts w:cs="Times New Roman"/>
                <w:lang w:val="sr-Cyrl-RS"/>
              </w:rPr>
              <w:t>акта и техничк</w:t>
            </w:r>
            <w:r>
              <w:rPr>
                <w:rFonts w:cs="Times New Roman"/>
                <w:lang w:val="sr-Cyrl-RS"/>
              </w:rPr>
              <w:t>е</w:t>
            </w:r>
            <w:r w:rsidRPr="00883344">
              <w:rPr>
                <w:rFonts w:cs="Times New Roman"/>
                <w:lang w:val="sr-Cyrl-RS"/>
              </w:rPr>
              <w:t xml:space="preserve"> пропис</w:t>
            </w:r>
            <w:r>
              <w:rPr>
                <w:rFonts w:cs="Times New Roman"/>
                <w:lang w:val="sr-Cyrl-RS"/>
              </w:rPr>
              <w:t>е</w:t>
            </w:r>
            <w:r w:rsidRPr="00883344">
              <w:rPr>
                <w:rFonts w:cs="Times New Roman"/>
                <w:lang w:val="sr-Cyrl-RS"/>
              </w:rPr>
              <w:t>.</w:t>
            </w:r>
          </w:p>
        </w:tc>
      </w:tr>
      <w:tr w:rsidR="00227A57" w:rsidRPr="004D2E7C" w14:paraId="46187DEB" w14:textId="77777777" w:rsidTr="00D9567F">
        <w:trPr>
          <w:trHeight w:val="291"/>
        </w:trPr>
        <w:tc>
          <w:tcPr>
            <w:tcW w:w="280" w:type="pct"/>
            <w:shd w:val="clear" w:color="auto" w:fill="D9D9D9"/>
            <w:vAlign w:val="center"/>
          </w:tcPr>
          <w:p w14:paraId="46187DE4" w14:textId="31543102" w:rsidR="00AF7750" w:rsidRPr="004D2E7C" w:rsidRDefault="00A00CD7" w:rsidP="002A0174">
            <w:pPr>
              <w:jc w:val="center"/>
              <w:rPr>
                <w:rFonts w:eastAsia="Times New Roman" w:cs="Times New Roman"/>
                <w:lang w:val="sr-Cyrl-RS"/>
              </w:rPr>
            </w:pPr>
            <w:r>
              <w:rPr>
                <w:rFonts w:eastAsia="Times New Roman" w:cs="Times New Roman"/>
                <w:lang w:val="sr-Latn-RS"/>
              </w:rPr>
              <w:t>3</w:t>
            </w:r>
            <w:r w:rsidR="00AF7750" w:rsidRPr="004D2E7C">
              <w:rPr>
                <w:rFonts w:eastAsia="Times New Roman" w:cs="Times New Roman"/>
                <w:lang w:val="sr-Cyrl-RS"/>
              </w:rPr>
              <w:t>.(2)</w:t>
            </w:r>
          </w:p>
        </w:tc>
        <w:tc>
          <w:tcPr>
            <w:tcW w:w="1489" w:type="pct"/>
            <w:shd w:val="clear" w:color="auto" w:fill="D9D9D9"/>
            <w:vAlign w:val="center"/>
          </w:tcPr>
          <w:p w14:paraId="46187DE5" w14:textId="241F2238" w:rsidR="00AF7750" w:rsidRPr="004D2E7C" w:rsidRDefault="00054B0E" w:rsidP="006B3660">
            <w:pPr>
              <w:spacing w:after="120"/>
              <w:jc w:val="both"/>
              <w:rPr>
                <w:rFonts w:eastAsia="Times New Roman" w:cs="Times New Roman"/>
                <w:lang w:val="en-GB"/>
              </w:rPr>
            </w:pPr>
            <w:r w:rsidRPr="00054B0E">
              <w:rPr>
                <w:rFonts w:eastAsia="Times New Roman" w:cs="Times New Roman"/>
              </w:rPr>
              <w:t xml:space="preserve">‘re‐treaded </w:t>
            </w:r>
            <w:proofErr w:type="spellStart"/>
            <w:r w:rsidRPr="00054B0E">
              <w:rPr>
                <w:rFonts w:eastAsia="Times New Roman" w:cs="Times New Roman"/>
              </w:rPr>
              <w:t>tyre</w:t>
            </w:r>
            <w:proofErr w:type="spellEnd"/>
            <w:r w:rsidRPr="00054B0E">
              <w:rPr>
                <w:rFonts w:eastAsia="Times New Roman" w:cs="Times New Roman"/>
              </w:rPr>
              <w:t xml:space="preserve">’ means a used </w:t>
            </w:r>
            <w:proofErr w:type="spellStart"/>
            <w:r w:rsidRPr="00054B0E">
              <w:rPr>
                <w:rFonts w:eastAsia="Times New Roman" w:cs="Times New Roman"/>
              </w:rPr>
              <w:t>tyre</w:t>
            </w:r>
            <w:proofErr w:type="spellEnd"/>
            <w:r w:rsidRPr="00054B0E">
              <w:rPr>
                <w:rFonts w:eastAsia="Times New Roman" w:cs="Times New Roman"/>
              </w:rPr>
              <w:t xml:space="preserve"> that is reconditioned by replacing the worn tread with new material;</w:t>
            </w:r>
          </w:p>
        </w:tc>
        <w:tc>
          <w:tcPr>
            <w:tcW w:w="325" w:type="pct"/>
            <w:vAlign w:val="center"/>
          </w:tcPr>
          <w:p w14:paraId="46187DE6" w14:textId="77777777" w:rsidR="00AF7750" w:rsidRPr="004D2E7C" w:rsidRDefault="00AF7750" w:rsidP="00D9567F">
            <w:pPr>
              <w:jc w:val="center"/>
              <w:rPr>
                <w:rFonts w:cs="Times New Roman"/>
                <w:lang w:val="sr-Cyrl-RS"/>
              </w:rPr>
            </w:pPr>
          </w:p>
        </w:tc>
        <w:tc>
          <w:tcPr>
            <w:tcW w:w="1296" w:type="pct"/>
          </w:tcPr>
          <w:p w14:paraId="46187DE7" w14:textId="77777777" w:rsidR="00AF7750" w:rsidRPr="004D2E7C" w:rsidRDefault="00AF7750" w:rsidP="00F81B28">
            <w:pPr>
              <w:tabs>
                <w:tab w:val="left" w:pos="1152"/>
              </w:tabs>
              <w:jc w:val="both"/>
              <w:rPr>
                <w:rFonts w:cs="Times New Roman"/>
                <w:lang w:val="sr-Cyrl-RS"/>
              </w:rPr>
            </w:pPr>
          </w:p>
        </w:tc>
        <w:tc>
          <w:tcPr>
            <w:tcW w:w="235" w:type="pct"/>
            <w:vAlign w:val="center"/>
          </w:tcPr>
          <w:p w14:paraId="46187DE8" w14:textId="2822BC3C" w:rsidR="00AF7750" w:rsidRPr="004D2E7C" w:rsidRDefault="00441DEB" w:rsidP="009778D3">
            <w:pPr>
              <w:jc w:val="center"/>
              <w:rPr>
                <w:rFonts w:cs="Times New Roman"/>
                <w:lang w:val="sr-Cyrl-RS"/>
              </w:rPr>
            </w:pPr>
            <w:r>
              <w:rPr>
                <w:rFonts w:cs="Times New Roman"/>
                <w:lang w:val="sr-Cyrl-RS"/>
              </w:rPr>
              <w:t>НУ</w:t>
            </w:r>
          </w:p>
        </w:tc>
        <w:tc>
          <w:tcPr>
            <w:tcW w:w="676" w:type="pct"/>
          </w:tcPr>
          <w:p w14:paraId="46187DE9" w14:textId="77777777" w:rsidR="00AF7750" w:rsidRPr="004D2E7C" w:rsidRDefault="00AF7750" w:rsidP="006A15A6">
            <w:pPr>
              <w:rPr>
                <w:rFonts w:cs="Times New Roman"/>
                <w:lang w:val="sr-Cyrl-RS"/>
              </w:rPr>
            </w:pPr>
          </w:p>
        </w:tc>
        <w:tc>
          <w:tcPr>
            <w:tcW w:w="699" w:type="pct"/>
            <w:vAlign w:val="center"/>
          </w:tcPr>
          <w:p w14:paraId="46187DEA" w14:textId="27BA79DE" w:rsidR="00AF7750" w:rsidRPr="004D2E7C" w:rsidRDefault="007A6286" w:rsidP="007A6286">
            <w:pPr>
              <w:rPr>
                <w:rFonts w:cs="Times New Roman"/>
                <w:lang w:val="sr-Cyrl-RS"/>
              </w:rPr>
            </w:pPr>
            <w:r w:rsidRPr="00883344">
              <w:rPr>
                <w:rFonts w:cs="Times New Roman"/>
                <w:lang w:val="sr-Cyrl-RS"/>
              </w:rPr>
              <w:t xml:space="preserve">Усклађеност ће бити постигнута </w:t>
            </w:r>
            <w:r>
              <w:rPr>
                <w:rFonts w:cs="Times New Roman"/>
                <w:lang w:val="sr-Cyrl-RS"/>
              </w:rPr>
              <w:t>кроз по</w:t>
            </w:r>
            <w:r w:rsidRPr="00883344">
              <w:rPr>
                <w:rFonts w:cs="Times New Roman"/>
                <w:lang w:val="sr-Cyrl-RS"/>
              </w:rPr>
              <w:t>дзаконск</w:t>
            </w:r>
            <w:r>
              <w:rPr>
                <w:rFonts w:cs="Times New Roman"/>
                <w:lang w:val="sr-Cyrl-RS"/>
              </w:rPr>
              <w:t xml:space="preserve">а </w:t>
            </w:r>
            <w:r w:rsidRPr="00883344">
              <w:rPr>
                <w:rFonts w:cs="Times New Roman"/>
                <w:lang w:val="sr-Cyrl-RS"/>
              </w:rPr>
              <w:t>акта и техничк</w:t>
            </w:r>
            <w:r>
              <w:rPr>
                <w:rFonts w:cs="Times New Roman"/>
                <w:lang w:val="sr-Cyrl-RS"/>
              </w:rPr>
              <w:t>е</w:t>
            </w:r>
            <w:r w:rsidRPr="00883344">
              <w:rPr>
                <w:rFonts w:cs="Times New Roman"/>
                <w:lang w:val="sr-Cyrl-RS"/>
              </w:rPr>
              <w:t xml:space="preserve"> пропис</w:t>
            </w:r>
            <w:r>
              <w:rPr>
                <w:rFonts w:cs="Times New Roman"/>
                <w:lang w:val="sr-Cyrl-RS"/>
              </w:rPr>
              <w:t>е</w:t>
            </w:r>
            <w:r w:rsidRPr="00883344">
              <w:rPr>
                <w:rFonts w:cs="Times New Roman"/>
                <w:lang w:val="sr-Cyrl-RS"/>
              </w:rPr>
              <w:t>.</w:t>
            </w:r>
          </w:p>
        </w:tc>
      </w:tr>
      <w:tr w:rsidR="00F01ECE" w:rsidRPr="004D2E7C" w14:paraId="46187DF3" w14:textId="77777777" w:rsidTr="00D9567F">
        <w:trPr>
          <w:trHeight w:val="291"/>
        </w:trPr>
        <w:tc>
          <w:tcPr>
            <w:tcW w:w="280" w:type="pct"/>
            <w:shd w:val="clear" w:color="auto" w:fill="D9D9D9"/>
            <w:vAlign w:val="center"/>
          </w:tcPr>
          <w:p w14:paraId="46187DEC" w14:textId="5090847E" w:rsidR="00F01ECE" w:rsidRPr="004D2E7C" w:rsidRDefault="00A00CD7" w:rsidP="00F01ECE">
            <w:pPr>
              <w:jc w:val="center"/>
              <w:rPr>
                <w:rFonts w:eastAsia="Times New Roman" w:cs="Times New Roman"/>
                <w:lang w:val="sr-Cyrl-RS"/>
              </w:rPr>
            </w:pPr>
            <w:r>
              <w:rPr>
                <w:rFonts w:eastAsia="Times New Roman" w:cs="Times New Roman"/>
                <w:lang w:val="sr-Latn-RS"/>
              </w:rPr>
              <w:t>3</w:t>
            </w:r>
            <w:r w:rsidR="00F01ECE" w:rsidRPr="004D2E7C">
              <w:rPr>
                <w:rFonts w:eastAsia="Times New Roman" w:cs="Times New Roman"/>
                <w:lang w:val="sr-Cyrl-RS"/>
              </w:rPr>
              <w:t>.(3)</w:t>
            </w:r>
          </w:p>
        </w:tc>
        <w:tc>
          <w:tcPr>
            <w:tcW w:w="1489" w:type="pct"/>
            <w:shd w:val="clear" w:color="auto" w:fill="D9D9D9"/>
            <w:vAlign w:val="center"/>
          </w:tcPr>
          <w:p w14:paraId="46187DED" w14:textId="683BFC7F" w:rsidR="00F01ECE" w:rsidRPr="004D2E7C" w:rsidRDefault="00054B0E" w:rsidP="00F01ECE">
            <w:pPr>
              <w:jc w:val="both"/>
              <w:rPr>
                <w:rFonts w:eastAsia="Times New Roman" w:cs="Times New Roman"/>
                <w:lang w:val="en-GB"/>
              </w:rPr>
            </w:pPr>
            <w:r w:rsidRPr="00054B0E">
              <w:rPr>
                <w:rFonts w:eastAsia="Times New Roman" w:cs="Times New Roman"/>
              </w:rPr>
              <w:t xml:space="preserve">‘T‐type temporary‐use spare </w:t>
            </w:r>
            <w:proofErr w:type="spellStart"/>
            <w:r w:rsidRPr="00054B0E">
              <w:rPr>
                <w:rFonts w:eastAsia="Times New Roman" w:cs="Times New Roman"/>
              </w:rPr>
              <w:t>tyre</w:t>
            </w:r>
            <w:proofErr w:type="spellEnd"/>
            <w:r w:rsidRPr="00054B0E">
              <w:rPr>
                <w:rFonts w:eastAsia="Times New Roman" w:cs="Times New Roman"/>
              </w:rPr>
              <w:t xml:space="preserve">’ means a temporary‐use spare </w:t>
            </w:r>
            <w:proofErr w:type="spellStart"/>
            <w:r w:rsidRPr="00054B0E">
              <w:rPr>
                <w:rFonts w:eastAsia="Times New Roman" w:cs="Times New Roman"/>
              </w:rPr>
              <w:t>tyre</w:t>
            </w:r>
            <w:proofErr w:type="spellEnd"/>
            <w:r w:rsidRPr="00054B0E">
              <w:rPr>
                <w:rFonts w:eastAsia="Times New Roman" w:cs="Times New Roman"/>
              </w:rPr>
              <w:t xml:space="preserve"> designed for use at inflation pressures higher than those established for standard and reinforced </w:t>
            </w:r>
            <w:proofErr w:type="spellStart"/>
            <w:r w:rsidRPr="00054B0E">
              <w:rPr>
                <w:rFonts w:eastAsia="Times New Roman" w:cs="Times New Roman"/>
              </w:rPr>
              <w:t>tyres</w:t>
            </w:r>
            <w:proofErr w:type="spellEnd"/>
            <w:r w:rsidRPr="00054B0E">
              <w:rPr>
                <w:rFonts w:eastAsia="Times New Roman" w:cs="Times New Roman"/>
              </w:rPr>
              <w:t>;</w:t>
            </w:r>
          </w:p>
        </w:tc>
        <w:tc>
          <w:tcPr>
            <w:tcW w:w="325" w:type="pct"/>
            <w:vAlign w:val="center"/>
          </w:tcPr>
          <w:p w14:paraId="46187DEE" w14:textId="77777777" w:rsidR="00F01ECE" w:rsidRPr="004D2E7C" w:rsidRDefault="00F01ECE" w:rsidP="00D9567F">
            <w:pPr>
              <w:jc w:val="center"/>
              <w:rPr>
                <w:rFonts w:cs="Times New Roman"/>
                <w:lang w:val="sr-Cyrl-RS"/>
              </w:rPr>
            </w:pPr>
          </w:p>
        </w:tc>
        <w:tc>
          <w:tcPr>
            <w:tcW w:w="1296" w:type="pct"/>
          </w:tcPr>
          <w:p w14:paraId="46187DEF" w14:textId="77777777" w:rsidR="00F01ECE" w:rsidRPr="004D2E7C" w:rsidRDefault="00F01ECE" w:rsidP="00F01ECE">
            <w:pPr>
              <w:tabs>
                <w:tab w:val="left" w:pos="1152"/>
              </w:tabs>
              <w:jc w:val="both"/>
              <w:rPr>
                <w:rFonts w:cs="Times New Roman"/>
                <w:lang w:val="sr-Cyrl-RS"/>
              </w:rPr>
            </w:pPr>
          </w:p>
        </w:tc>
        <w:tc>
          <w:tcPr>
            <w:tcW w:w="235" w:type="pct"/>
            <w:vAlign w:val="center"/>
          </w:tcPr>
          <w:p w14:paraId="46187DF0" w14:textId="1824C306" w:rsidR="00F01ECE" w:rsidRPr="004D2E7C" w:rsidRDefault="00441DEB" w:rsidP="00F01ECE">
            <w:pPr>
              <w:jc w:val="center"/>
              <w:rPr>
                <w:rFonts w:cs="Times New Roman"/>
                <w:lang w:val="sr-Cyrl-RS"/>
              </w:rPr>
            </w:pPr>
            <w:r>
              <w:rPr>
                <w:rFonts w:cs="Times New Roman"/>
                <w:lang w:val="sr-Cyrl-RS"/>
              </w:rPr>
              <w:t>НУ</w:t>
            </w:r>
          </w:p>
        </w:tc>
        <w:tc>
          <w:tcPr>
            <w:tcW w:w="676" w:type="pct"/>
          </w:tcPr>
          <w:p w14:paraId="46187DF1" w14:textId="77777777" w:rsidR="00F01ECE" w:rsidRPr="004D2E7C" w:rsidRDefault="00F01ECE" w:rsidP="00F01ECE">
            <w:pPr>
              <w:rPr>
                <w:rFonts w:cs="Times New Roman"/>
                <w:lang w:val="sr-Cyrl-RS"/>
              </w:rPr>
            </w:pPr>
          </w:p>
        </w:tc>
        <w:tc>
          <w:tcPr>
            <w:tcW w:w="699" w:type="pct"/>
            <w:vAlign w:val="center"/>
          </w:tcPr>
          <w:p w14:paraId="46187DF2" w14:textId="3DF61311" w:rsidR="00F01ECE" w:rsidRPr="004D2E7C" w:rsidRDefault="007A6286" w:rsidP="007A6286">
            <w:pPr>
              <w:rPr>
                <w:rFonts w:cs="Times New Roman"/>
                <w:lang w:val="sr-Cyrl-RS"/>
              </w:rPr>
            </w:pPr>
            <w:r w:rsidRPr="00883344">
              <w:rPr>
                <w:rFonts w:cs="Times New Roman"/>
                <w:lang w:val="sr-Cyrl-RS"/>
              </w:rPr>
              <w:t xml:space="preserve">Усклађеност ће бити постигнута </w:t>
            </w:r>
            <w:r>
              <w:rPr>
                <w:rFonts w:cs="Times New Roman"/>
                <w:lang w:val="sr-Cyrl-RS"/>
              </w:rPr>
              <w:t>кроз по</w:t>
            </w:r>
            <w:r w:rsidRPr="00883344">
              <w:rPr>
                <w:rFonts w:cs="Times New Roman"/>
                <w:lang w:val="sr-Cyrl-RS"/>
              </w:rPr>
              <w:t>дзаконск</w:t>
            </w:r>
            <w:r>
              <w:rPr>
                <w:rFonts w:cs="Times New Roman"/>
                <w:lang w:val="sr-Cyrl-RS"/>
              </w:rPr>
              <w:t xml:space="preserve">а </w:t>
            </w:r>
            <w:r w:rsidRPr="00883344">
              <w:rPr>
                <w:rFonts w:cs="Times New Roman"/>
                <w:lang w:val="sr-Cyrl-RS"/>
              </w:rPr>
              <w:t>акта и техничк</w:t>
            </w:r>
            <w:r>
              <w:rPr>
                <w:rFonts w:cs="Times New Roman"/>
                <w:lang w:val="sr-Cyrl-RS"/>
              </w:rPr>
              <w:t>е</w:t>
            </w:r>
            <w:r w:rsidRPr="00883344">
              <w:rPr>
                <w:rFonts w:cs="Times New Roman"/>
                <w:lang w:val="sr-Cyrl-RS"/>
              </w:rPr>
              <w:t xml:space="preserve"> пропис</w:t>
            </w:r>
            <w:r>
              <w:rPr>
                <w:rFonts w:cs="Times New Roman"/>
                <w:lang w:val="sr-Cyrl-RS"/>
              </w:rPr>
              <w:t>е</w:t>
            </w:r>
            <w:r w:rsidRPr="00883344">
              <w:rPr>
                <w:rFonts w:cs="Times New Roman"/>
                <w:lang w:val="sr-Cyrl-RS"/>
              </w:rPr>
              <w:t>.</w:t>
            </w:r>
          </w:p>
        </w:tc>
      </w:tr>
      <w:tr w:rsidR="00F01ECE" w:rsidRPr="004D2E7C" w14:paraId="46187DFB" w14:textId="77777777" w:rsidTr="00D9567F">
        <w:trPr>
          <w:trHeight w:val="291"/>
        </w:trPr>
        <w:tc>
          <w:tcPr>
            <w:tcW w:w="280" w:type="pct"/>
            <w:shd w:val="clear" w:color="auto" w:fill="D9D9D9"/>
            <w:vAlign w:val="center"/>
          </w:tcPr>
          <w:p w14:paraId="46187DF4" w14:textId="193F3862" w:rsidR="00F01ECE" w:rsidRPr="004D2E7C" w:rsidRDefault="00A00CD7" w:rsidP="00F01ECE">
            <w:pPr>
              <w:jc w:val="center"/>
              <w:rPr>
                <w:rFonts w:eastAsia="Times New Roman" w:cs="Times New Roman"/>
                <w:lang w:val="sr-Cyrl-RS"/>
              </w:rPr>
            </w:pPr>
            <w:r>
              <w:rPr>
                <w:rFonts w:eastAsia="Times New Roman" w:cs="Times New Roman"/>
                <w:lang w:val="sr-Latn-RS"/>
              </w:rPr>
              <w:t>3</w:t>
            </w:r>
            <w:r w:rsidR="00F01ECE" w:rsidRPr="004D2E7C">
              <w:rPr>
                <w:rFonts w:eastAsia="Times New Roman" w:cs="Times New Roman"/>
                <w:lang w:val="sr-Cyrl-RS"/>
              </w:rPr>
              <w:t>.(4)</w:t>
            </w:r>
          </w:p>
        </w:tc>
        <w:tc>
          <w:tcPr>
            <w:tcW w:w="1489" w:type="pct"/>
            <w:shd w:val="clear" w:color="auto" w:fill="D9D9D9"/>
            <w:vAlign w:val="center"/>
          </w:tcPr>
          <w:p w14:paraId="46187DF5" w14:textId="7CA578AF" w:rsidR="00F01ECE" w:rsidRPr="004D2E7C" w:rsidRDefault="008A10A3" w:rsidP="00F01ECE">
            <w:pPr>
              <w:jc w:val="both"/>
              <w:rPr>
                <w:rFonts w:eastAsia="Times New Roman" w:cs="Times New Roman"/>
                <w:lang w:val="en-GB"/>
              </w:rPr>
            </w:pPr>
            <w:r w:rsidRPr="008A10A3">
              <w:rPr>
                <w:rFonts w:eastAsia="Times New Roman" w:cs="Times New Roman"/>
              </w:rPr>
              <w:t xml:space="preserve">‘off‐road professional </w:t>
            </w:r>
            <w:proofErr w:type="spellStart"/>
            <w:r w:rsidRPr="008A10A3">
              <w:rPr>
                <w:rFonts w:eastAsia="Times New Roman" w:cs="Times New Roman"/>
              </w:rPr>
              <w:t>tyre</w:t>
            </w:r>
            <w:proofErr w:type="spellEnd"/>
            <w:r w:rsidRPr="008A10A3">
              <w:rPr>
                <w:rFonts w:eastAsia="Times New Roman" w:cs="Times New Roman"/>
              </w:rPr>
              <w:t xml:space="preserve">’ means a special‐use </w:t>
            </w:r>
            <w:proofErr w:type="spellStart"/>
            <w:r w:rsidRPr="008A10A3">
              <w:rPr>
                <w:rFonts w:eastAsia="Times New Roman" w:cs="Times New Roman"/>
              </w:rPr>
              <w:t>tyre</w:t>
            </w:r>
            <w:proofErr w:type="spellEnd"/>
            <w:r w:rsidRPr="008A10A3">
              <w:rPr>
                <w:rFonts w:eastAsia="Times New Roman" w:cs="Times New Roman"/>
              </w:rPr>
              <w:t xml:space="preserve"> used primarily in severe off‐road conditions;</w:t>
            </w:r>
          </w:p>
        </w:tc>
        <w:tc>
          <w:tcPr>
            <w:tcW w:w="325" w:type="pct"/>
            <w:vAlign w:val="center"/>
          </w:tcPr>
          <w:p w14:paraId="46187DF6" w14:textId="569AEE58" w:rsidR="00F01ECE" w:rsidRPr="004D2E7C" w:rsidRDefault="00F01ECE" w:rsidP="00D9567F">
            <w:pPr>
              <w:jc w:val="center"/>
              <w:rPr>
                <w:rFonts w:cs="Times New Roman"/>
                <w:b/>
                <w:bCs/>
                <w:lang w:val="sr-Cyrl-RS"/>
              </w:rPr>
            </w:pPr>
          </w:p>
        </w:tc>
        <w:tc>
          <w:tcPr>
            <w:tcW w:w="1296" w:type="pct"/>
          </w:tcPr>
          <w:p w14:paraId="46187DF7" w14:textId="498A3834" w:rsidR="00F01ECE" w:rsidRPr="006B3660" w:rsidRDefault="00F01ECE" w:rsidP="00F01ECE">
            <w:pPr>
              <w:tabs>
                <w:tab w:val="left" w:pos="993"/>
              </w:tabs>
              <w:jc w:val="both"/>
              <w:rPr>
                <w:rFonts w:cs="Times New Roman"/>
                <w:iCs/>
                <w:color w:val="000000" w:themeColor="text1"/>
                <w:lang w:val="sr-Cyrl-RS"/>
              </w:rPr>
            </w:pPr>
          </w:p>
        </w:tc>
        <w:tc>
          <w:tcPr>
            <w:tcW w:w="235" w:type="pct"/>
            <w:vAlign w:val="center"/>
          </w:tcPr>
          <w:p w14:paraId="46187DF8" w14:textId="0C60EF06" w:rsidR="00F01ECE" w:rsidRPr="004D2E7C" w:rsidRDefault="00441DEB" w:rsidP="00F01ECE">
            <w:pPr>
              <w:jc w:val="center"/>
              <w:rPr>
                <w:rFonts w:cs="Times New Roman"/>
                <w:lang w:val="sr-Cyrl-RS"/>
              </w:rPr>
            </w:pPr>
            <w:r>
              <w:rPr>
                <w:rFonts w:cs="Times New Roman"/>
                <w:lang w:val="sr-Cyrl-RS"/>
              </w:rPr>
              <w:t>НУ</w:t>
            </w:r>
          </w:p>
        </w:tc>
        <w:tc>
          <w:tcPr>
            <w:tcW w:w="676" w:type="pct"/>
          </w:tcPr>
          <w:p w14:paraId="46187DF9" w14:textId="77777777" w:rsidR="00F01ECE" w:rsidRPr="004D2E7C" w:rsidRDefault="00F01ECE" w:rsidP="00F01ECE">
            <w:pPr>
              <w:rPr>
                <w:rFonts w:cs="Times New Roman"/>
                <w:lang w:val="sr-Cyrl-RS"/>
              </w:rPr>
            </w:pPr>
          </w:p>
        </w:tc>
        <w:tc>
          <w:tcPr>
            <w:tcW w:w="699" w:type="pct"/>
            <w:vAlign w:val="center"/>
          </w:tcPr>
          <w:p w14:paraId="46187DFA" w14:textId="7F328D66" w:rsidR="00F01ECE" w:rsidRPr="004D2E7C" w:rsidRDefault="007A6286" w:rsidP="007A6286">
            <w:pPr>
              <w:rPr>
                <w:rFonts w:cs="Times New Roman"/>
                <w:lang w:val="sr-Cyrl-RS"/>
              </w:rPr>
            </w:pPr>
            <w:r w:rsidRPr="00883344">
              <w:rPr>
                <w:rFonts w:cs="Times New Roman"/>
                <w:lang w:val="sr-Cyrl-RS"/>
              </w:rPr>
              <w:t xml:space="preserve">Усклађеност ће бити постигнута </w:t>
            </w:r>
            <w:r>
              <w:rPr>
                <w:rFonts w:cs="Times New Roman"/>
                <w:lang w:val="sr-Cyrl-RS"/>
              </w:rPr>
              <w:t>кроз по</w:t>
            </w:r>
            <w:r w:rsidRPr="00883344">
              <w:rPr>
                <w:rFonts w:cs="Times New Roman"/>
                <w:lang w:val="sr-Cyrl-RS"/>
              </w:rPr>
              <w:t>дзаконск</w:t>
            </w:r>
            <w:r>
              <w:rPr>
                <w:rFonts w:cs="Times New Roman"/>
                <w:lang w:val="sr-Cyrl-RS"/>
              </w:rPr>
              <w:t xml:space="preserve">а </w:t>
            </w:r>
            <w:r w:rsidRPr="00883344">
              <w:rPr>
                <w:rFonts w:cs="Times New Roman"/>
                <w:lang w:val="sr-Cyrl-RS"/>
              </w:rPr>
              <w:t>акта и техничк</w:t>
            </w:r>
            <w:r>
              <w:rPr>
                <w:rFonts w:cs="Times New Roman"/>
                <w:lang w:val="sr-Cyrl-RS"/>
              </w:rPr>
              <w:t>е</w:t>
            </w:r>
            <w:r w:rsidRPr="00883344">
              <w:rPr>
                <w:rFonts w:cs="Times New Roman"/>
                <w:lang w:val="sr-Cyrl-RS"/>
              </w:rPr>
              <w:t xml:space="preserve"> пропис</w:t>
            </w:r>
            <w:r>
              <w:rPr>
                <w:rFonts w:cs="Times New Roman"/>
                <w:lang w:val="sr-Cyrl-RS"/>
              </w:rPr>
              <w:t>е</w:t>
            </w:r>
            <w:r w:rsidRPr="00883344">
              <w:rPr>
                <w:rFonts w:cs="Times New Roman"/>
                <w:lang w:val="sr-Cyrl-RS"/>
              </w:rPr>
              <w:t>.</w:t>
            </w:r>
          </w:p>
        </w:tc>
      </w:tr>
      <w:tr w:rsidR="00F01ECE" w:rsidRPr="004D2E7C" w14:paraId="46187E03" w14:textId="77777777" w:rsidTr="00D9567F">
        <w:trPr>
          <w:trHeight w:val="291"/>
        </w:trPr>
        <w:tc>
          <w:tcPr>
            <w:tcW w:w="280" w:type="pct"/>
            <w:shd w:val="clear" w:color="auto" w:fill="D9D9D9"/>
            <w:vAlign w:val="center"/>
          </w:tcPr>
          <w:p w14:paraId="46187DFC" w14:textId="4EA69DCB" w:rsidR="00F01ECE" w:rsidRPr="004D2E7C" w:rsidRDefault="00A00CD7" w:rsidP="00F01ECE">
            <w:pPr>
              <w:jc w:val="center"/>
              <w:rPr>
                <w:rFonts w:eastAsia="Times New Roman" w:cs="Times New Roman"/>
                <w:lang w:val="sr-Cyrl-RS"/>
              </w:rPr>
            </w:pPr>
            <w:r>
              <w:rPr>
                <w:rFonts w:eastAsia="Times New Roman" w:cs="Times New Roman"/>
                <w:lang w:val="sr-Latn-RS"/>
              </w:rPr>
              <w:t>3</w:t>
            </w:r>
            <w:r w:rsidR="00F01ECE" w:rsidRPr="004D2E7C">
              <w:rPr>
                <w:rFonts w:eastAsia="Times New Roman" w:cs="Times New Roman"/>
                <w:lang w:val="sr-Cyrl-RS"/>
              </w:rPr>
              <w:t>.(5)</w:t>
            </w:r>
          </w:p>
        </w:tc>
        <w:tc>
          <w:tcPr>
            <w:tcW w:w="1489" w:type="pct"/>
            <w:shd w:val="clear" w:color="auto" w:fill="D9D9D9"/>
            <w:vAlign w:val="center"/>
          </w:tcPr>
          <w:p w14:paraId="46187DFD" w14:textId="50FDC950" w:rsidR="00F01ECE" w:rsidRPr="004D2E7C" w:rsidRDefault="002F2547" w:rsidP="00F01ECE">
            <w:pPr>
              <w:spacing w:after="120"/>
              <w:jc w:val="both"/>
              <w:rPr>
                <w:rFonts w:eastAsia="Times New Roman" w:cs="Times New Roman"/>
                <w:lang w:val="en-GB"/>
              </w:rPr>
            </w:pPr>
            <w:r w:rsidRPr="002F2547">
              <w:rPr>
                <w:rFonts w:eastAsia="Times New Roman" w:cs="Times New Roman"/>
              </w:rPr>
              <w:t>‘</w:t>
            </w:r>
            <w:proofErr w:type="spellStart"/>
            <w:r w:rsidRPr="002F2547">
              <w:rPr>
                <w:rFonts w:eastAsia="Times New Roman" w:cs="Times New Roman"/>
              </w:rPr>
              <w:t>tyre</w:t>
            </w:r>
            <w:proofErr w:type="spellEnd"/>
            <w:r w:rsidRPr="002F2547">
              <w:rPr>
                <w:rFonts w:eastAsia="Times New Roman" w:cs="Times New Roman"/>
              </w:rPr>
              <w:t xml:space="preserve"> label’ means a graphic diagram, in printed or electronic form, including in the form of a sticker, which includes symbols in order to inform end-users about the performance of a </w:t>
            </w:r>
            <w:proofErr w:type="spellStart"/>
            <w:r w:rsidRPr="002F2547">
              <w:rPr>
                <w:rFonts w:eastAsia="Times New Roman" w:cs="Times New Roman"/>
              </w:rPr>
              <w:t>tyre</w:t>
            </w:r>
            <w:proofErr w:type="spellEnd"/>
            <w:r w:rsidRPr="002F2547">
              <w:rPr>
                <w:rFonts w:eastAsia="Times New Roman" w:cs="Times New Roman"/>
              </w:rPr>
              <w:t xml:space="preserve"> or batch of </w:t>
            </w:r>
            <w:proofErr w:type="spellStart"/>
            <w:r w:rsidRPr="002F2547">
              <w:rPr>
                <w:rFonts w:eastAsia="Times New Roman" w:cs="Times New Roman"/>
              </w:rPr>
              <w:t>tyres</w:t>
            </w:r>
            <w:proofErr w:type="spellEnd"/>
            <w:r w:rsidRPr="002F2547">
              <w:rPr>
                <w:rFonts w:eastAsia="Times New Roman" w:cs="Times New Roman"/>
              </w:rPr>
              <w:t xml:space="preserve"> in relation to the parameters set out in Annex I;</w:t>
            </w:r>
          </w:p>
        </w:tc>
        <w:tc>
          <w:tcPr>
            <w:tcW w:w="325" w:type="pct"/>
            <w:vAlign w:val="center"/>
          </w:tcPr>
          <w:p w14:paraId="46187DFE" w14:textId="77777777" w:rsidR="00F01ECE" w:rsidRPr="004D2E7C" w:rsidRDefault="00F01ECE" w:rsidP="00D9567F">
            <w:pPr>
              <w:jc w:val="center"/>
              <w:rPr>
                <w:rFonts w:cs="Times New Roman"/>
                <w:lang w:val="sr-Cyrl-RS"/>
              </w:rPr>
            </w:pPr>
          </w:p>
        </w:tc>
        <w:tc>
          <w:tcPr>
            <w:tcW w:w="1296" w:type="pct"/>
          </w:tcPr>
          <w:p w14:paraId="46187DFF" w14:textId="77777777" w:rsidR="00F01ECE" w:rsidRPr="004D2E7C" w:rsidRDefault="00F01ECE" w:rsidP="00F01ECE">
            <w:pPr>
              <w:tabs>
                <w:tab w:val="left" w:pos="1152"/>
              </w:tabs>
              <w:rPr>
                <w:rFonts w:cs="Times New Roman"/>
                <w:lang w:val="sr-Cyrl-RS"/>
              </w:rPr>
            </w:pPr>
          </w:p>
        </w:tc>
        <w:tc>
          <w:tcPr>
            <w:tcW w:w="235" w:type="pct"/>
            <w:vAlign w:val="center"/>
          </w:tcPr>
          <w:p w14:paraId="46187E00" w14:textId="0B757090" w:rsidR="00F01ECE" w:rsidRPr="004D2E7C" w:rsidRDefault="00441DEB" w:rsidP="00F01ECE">
            <w:pPr>
              <w:jc w:val="center"/>
              <w:rPr>
                <w:rFonts w:cs="Times New Roman"/>
                <w:lang w:val="sr-Cyrl-RS"/>
              </w:rPr>
            </w:pPr>
            <w:r>
              <w:rPr>
                <w:rFonts w:cs="Times New Roman"/>
                <w:lang w:val="sr-Cyrl-RS"/>
              </w:rPr>
              <w:t>НУ</w:t>
            </w:r>
          </w:p>
        </w:tc>
        <w:tc>
          <w:tcPr>
            <w:tcW w:w="676" w:type="pct"/>
          </w:tcPr>
          <w:p w14:paraId="46187E01" w14:textId="77777777" w:rsidR="00F01ECE" w:rsidRPr="004D2E7C" w:rsidRDefault="00F01ECE" w:rsidP="00F01ECE">
            <w:pPr>
              <w:rPr>
                <w:rFonts w:cs="Times New Roman"/>
                <w:lang w:val="sr-Cyrl-RS"/>
              </w:rPr>
            </w:pPr>
          </w:p>
        </w:tc>
        <w:tc>
          <w:tcPr>
            <w:tcW w:w="699" w:type="pct"/>
            <w:vAlign w:val="center"/>
          </w:tcPr>
          <w:p w14:paraId="46187E02" w14:textId="6DF11A78" w:rsidR="00F01ECE" w:rsidRPr="004D2E7C" w:rsidRDefault="007A6286" w:rsidP="007A6286">
            <w:pPr>
              <w:rPr>
                <w:rFonts w:cs="Times New Roman"/>
                <w:lang w:val="sr-Cyrl-RS"/>
              </w:rPr>
            </w:pPr>
            <w:r w:rsidRPr="00883344">
              <w:rPr>
                <w:rFonts w:cs="Times New Roman"/>
                <w:lang w:val="sr-Cyrl-RS"/>
              </w:rPr>
              <w:t xml:space="preserve">Усклађеност ће бити постигнута </w:t>
            </w:r>
            <w:r>
              <w:rPr>
                <w:rFonts w:cs="Times New Roman"/>
                <w:lang w:val="sr-Cyrl-RS"/>
              </w:rPr>
              <w:t>кроз по</w:t>
            </w:r>
            <w:r w:rsidRPr="00883344">
              <w:rPr>
                <w:rFonts w:cs="Times New Roman"/>
                <w:lang w:val="sr-Cyrl-RS"/>
              </w:rPr>
              <w:t>дзаконск</w:t>
            </w:r>
            <w:r>
              <w:rPr>
                <w:rFonts w:cs="Times New Roman"/>
                <w:lang w:val="sr-Cyrl-RS"/>
              </w:rPr>
              <w:t xml:space="preserve">а </w:t>
            </w:r>
            <w:r w:rsidRPr="00883344">
              <w:rPr>
                <w:rFonts w:cs="Times New Roman"/>
                <w:lang w:val="sr-Cyrl-RS"/>
              </w:rPr>
              <w:t>акта и техничк</w:t>
            </w:r>
            <w:r>
              <w:rPr>
                <w:rFonts w:cs="Times New Roman"/>
                <w:lang w:val="sr-Cyrl-RS"/>
              </w:rPr>
              <w:t>е</w:t>
            </w:r>
            <w:r w:rsidRPr="00883344">
              <w:rPr>
                <w:rFonts w:cs="Times New Roman"/>
                <w:lang w:val="sr-Cyrl-RS"/>
              </w:rPr>
              <w:t xml:space="preserve"> пропис</w:t>
            </w:r>
            <w:r>
              <w:rPr>
                <w:rFonts w:cs="Times New Roman"/>
                <w:lang w:val="sr-Cyrl-RS"/>
              </w:rPr>
              <w:t>е</w:t>
            </w:r>
            <w:r w:rsidRPr="00883344">
              <w:rPr>
                <w:rFonts w:cs="Times New Roman"/>
                <w:lang w:val="sr-Cyrl-RS"/>
              </w:rPr>
              <w:t>.</w:t>
            </w:r>
          </w:p>
        </w:tc>
      </w:tr>
      <w:tr w:rsidR="00F01ECE" w:rsidRPr="004D2E7C" w14:paraId="46187E0B" w14:textId="77777777" w:rsidTr="00D9567F">
        <w:trPr>
          <w:trHeight w:val="291"/>
        </w:trPr>
        <w:tc>
          <w:tcPr>
            <w:tcW w:w="280" w:type="pct"/>
            <w:shd w:val="clear" w:color="auto" w:fill="D9D9D9"/>
            <w:vAlign w:val="center"/>
          </w:tcPr>
          <w:p w14:paraId="46187E04" w14:textId="4F713885" w:rsidR="00F01ECE" w:rsidRPr="004D2E7C" w:rsidRDefault="00A00CD7" w:rsidP="00F01ECE">
            <w:pPr>
              <w:jc w:val="center"/>
              <w:rPr>
                <w:rFonts w:eastAsia="Times New Roman" w:cs="Times New Roman"/>
                <w:lang w:val="sr-Cyrl-RS"/>
              </w:rPr>
            </w:pPr>
            <w:r>
              <w:rPr>
                <w:rFonts w:eastAsia="Times New Roman" w:cs="Times New Roman"/>
                <w:lang w:val="sr-Latn-RS"/>
              </w:rPr>
              <w:lastRenderedPageBreak/>
              <w:t>3</w:t>
            </w:r>
            <w:r w:rsidR="00F01ECE" w:rsidRPr="004D2E7C">
              <w:rPr>
                <w:rFonts w:eastAsia="Times New Roman" w:cs="Times New Roman"/>
                <w:lang w:val="sr-Cyrl-RS"/>
              </w:rPr>
              <w:t>.(6)</w:t>
            </w:r>
          </w:p>
        </w:tc>
        <w:tc>
          <w:tcPr>
            <w:tcW w:w="1489" w:type="pct"/>
            <w:shd w:val="clear" w:color="auto" w:fill="D9D9D9"/>
            <w:vAlign w:val="center"/>
          </w:tcPr>
          <w:p w14:paraId="46187E05" w14:textId="29BABE97" w:rsidR="00F01ECE" w:rsidRPr="004D2E7C" w:rsidRDefault="002F2547" w:rsidP="00F01ECE">
            <w:pPr>
              <w:jc w:val="both"/>
              <w:rPr>
                <w:rFonts w:eastAsia="Times New Roman" w:cs="Times New Roman"/>
                <w:lang w:val="en-GB"/>
              </w:rPr>
            </w:pPr>
            <w:r w:rsidRPr="002F2547">
              <w:rPr>
                <w:rFonts w:eastAsia="Times New Roman" w:cs="Times New Roman"/>
              </w:rPr>
              <w:t xml:space="preserve">‘point of sale’ means a location where </w:t>
            </w:r>
            <w:proofErr w:type="spellStart"/>
            <w:r w:rsidRPr="002F2547">
              <w:rPr>
                <w:rFonts w:eastAsia="Times New Roman" w:cs="Times New Roman"/>
              </w:rPr>
              <w:t>tyres</w:t>
            </w:r>
            <w:proofErr w:type="spellEnd"/>
            <w:r w:rsidRPr="002F2547">
              <w:rPr>
                <w:rFonts w:eastAsia="Times New Roman" w:cs="Times New Roman"/>
              </w:rPr>
              <w:t xml:space="preserve"> are displayed or stored and are offered for sale, including car show rooms where </w:t>
            </w:r>
            <w:proofErr w:type="spellStart"/>
            <w:r w:rsidRPr="002F2547">
              <w:rPr>
                <w:rFonts w:eastAsia="Times New Roman" w:cs="Times New Roman"/>
              </w:rPr>
              <w:t>tyres</w:t>
            </w:r>
            <w:proofErr w:type="spellEnd"/>
            <w:r w:rsidRPr="002F2547">
              <w:rPr>
                <w:rFonts w:eastAsia="Times New Roman" w:cs="Times New Roman"/>
              </w:rPr>
              <w:t xml:space="preserve"> that are not fitted on vehicles are offered for sale to end-users;</w:t>
            </w:r>
          </w:p>
        </w:tc>
        <w:tc>
          <w:tcPr>
            <w:tcW w:w="325" w:type="pct"/>
            <w:vAlign w:val="center"/>
          </w:tcPr>
          <w:p w14:paraId="46187E06" w14:textId="77777777" w:rsidR="00F01ECE" w:rsidRPr="004D2E7C" w:rsidRDefault="00F01ECE" w:rsidP="00D9567F">
            <w:pPr>
              <w:jc w:val="center"/>
              <w:rPr>
                <w:rFonts w:cs="Times New Roman"/>
                <w:lang w:val="sr-Cyrl-RS"/>
              </w:rPr>
            </w:pPr>
          </w:p>
        </w:tc>
        <w:tc>
          <w:tcPr>
            <w:tcW w:w="1296" w:type="pct"/>
          </w:tcPr>
          <w:p w14:paraId="46187E07" w14:textId="77777777" w:rsidR="00F01ECE" w:rsidRPr="004D2E7C" w:rsidRDefault="00F01ECE" w:rsidP="00F01ECE">
            <w:pPr>
              <w:tabs>
                <w:tab w:val="left" w:pos="1152"/>
              </w:tabs>
              <w:rPr>
                <w:rFonts w:cs="Times New Roman"/>
                <w:lang w:val="sr-Cyrl-RS"/>
              </w:rPr>
            </w:pPr>
          </w:p>
        </w:tc>
        <w:tc>
          <w:tcPr>
            <w:tcW w:w="235" w:type="pct"/>
            <w:vAlign w:val="center"/>
          </w:tcPr>
          <w:p w14:paraId="46187E08" w14:textId="50E2887C" w:rsidR="00F01ECE" w:rsidRPr="004D2E7C" w:rsidRDefault="00441DEB" w:rsidP="00F01ECE">
            <w:pPr>
              <w:jc w:val="center"/>
              <w:rPr>
                <w:rFonts w:cs="Times New Roman"/>
                <w:lang w:val="sr-Cyrl-RS"/>
              </w:rPr>
            </w:pPr>
            <w:r>
              <w:rPr>
                <w:rFonts w:cs="Times New Roman"/>
                <w:lang w:val="sr-Cyrl-RS"/>
              </w:rPr>
              <w:t>НУ</w:t>
            </w:r>
          </w:p>
        </w:tc>
        <w:tc>
          <w:tcPr>
            <w:tcW w:w="676" w:type="pct"/>
          </w:tcPr>
          <w:p w14:paraId="46187E09" w14:textId="77777777" w:rsidR="00F01ECE" w:rsidRPr="004D2E7C" w:rsidRDefault="00F01ECE" w:rsidP="00F01ECE">
            <w:pPr>
              <w:rPr>
                <w:rFonts w:cs="Times New Roman"/>
                <w:lang w:val="sr-Cyrl-RS"/>
              </w:rPr>
            </w:pPr>
          </w:p>
        </w:tc>
        <w:tc>
          <w:tcPr>
            <w:tcW w:w="699" w:type="pct"/>
            <w:vAlign w:val="center"/>
          </w:tcPr>
          <w:p w14:paraId="46187E0A" w14:textId="3C2520DD" w:rsidR="00F01ECE" w:rsidRPr="004D2E7C" w:rsidRDefault="007A6286" w:rsidP="007A6286">
            <w:pPr>
              <w:rPr>
                <w:rFonts w:cs="Times New Roman"/>
                <w:lang w:val="sr-Cyrl-RS"/>
              </w:rPr>
            </w:pPr>
            <w:r w:rsidRPr="00883344">
              <w:rPr>
                <w:rFonts w:cs="Times New Roman"/>
                <w:lang w:val="sr-Cyrl-RS"/>
              </w:rPr>
              <w:t xml:space="preserve">Усклађеност ће бити постигнута </w:t>
            </w:r>
            <w:r>
              <w:rPr>
                <w:rFonts w:cs="Times New Roman"/>
                <w:lang w:val="sr-Cyrl-RS"/>
              </w:rPr>
              <w:t>кроз по</w:t>
            </w:r>
            <w:r w:rsidRPr="00883344">
              <w:rPr>
                <w:rFonts w:cs="Times New Roman"/>
                <w:lang w:val="sr-Cyrl-RS"/>
              </w:rPr>
              <w:t>дзаконск</w:t>
            </w:r>
            <w:r>
              <w:rPr>
                <w:rFonts w:cs="Times New Roman"/>
                <w:lang w:val="sr-Cyrl-RS"/>
              </w:rPr>
              <w:t xml:space="preserve">а </w:t>
            </w:r>
            <w:r w:rsidRPr="00883344">
              <w:rPr>
                <w:rFonts w:cs="Times New Roman"/>
                <w:lang w:val="sr-Cyrl-RS"/>
              </w:rPr>
              <w:t>акта и техничк</w:t>
            </w:r>
            <w:r>
              <w:rPr>
                <w:rFonts w:cs="Times New Roman"/>
                <w:lang w:val="sr-Cyrl-RS"/>
              </w:rPr>
              <w:t>е</w:t>
            </w:r>
            <w:r w:rsidRPr="00883344">
              <w:rPr>
                <w:rFonts w:cs="Times New Roman"/>
                <w:lang w:val="sr-Cyrl-RS"/>
              </w:rPr>
              <w:t xml:space="preserve"> пропис</w:t>
            </w:r>
            <w:r>
              <w:rPr>
                <w:rFonts w:cs="Times New Roman"/>
                <w:lang w:val="sr-Cyrl-RS"/>
              </w:rPr>
              <w:t>е</w:t>
            </w:r>
            <w:r w:rsidRPr="00883344">
              <w:rPr>
                <w:rFonts w:cs="Times New Roman"/>
                <w:lang w:val="sr-Cyrl-RS"/>
              </w:rPr>
              <w:t>.</w:t>
            </w:r>
          </w:p>
        </w:tc>
      </w:tr>
      <w:tr w:rsidR="00F01ECE" w:rsidRPr="004D2E7C" w14:paraId="46187E15" w14:textId="77777777" w:rsidTr="00D9567F">
        <w:trPr>
          <w:trHeight w:val="291"/>
        </w:trPr>
        <w:tc>
          <w:tcPr>
            <w:tcW w:w="280" w:type="pct"/>
            <w:shd w:val="clear" w:color="auto" w:fill="D9D9D9"/>
            <w:vAlign w:val="center"/>
          </w:tcPr>
          <w:p w14:paraId="46187E0C" w14:textId="24EE91FD" w:rsidR="00F01ECE" w:rsidRPr="004D2E7C" w:rsidRDefault="002F2547" w:rsidP="00F01ECE">
            <w:pPr>
              <w:jc w:val="center"/>
              <w:rPr>
                <w:rFonts w:eastAsia="Times New Roman" w:cs="Times New Roman"/>
                <w:lang w:val="sr-Cyrl-RS"/>
              </w:rPr>
            </w:pPr>
            <w:r>
              <w:rPr>
                <w:rFonts w:eastAsia="Times New Roman" w:cs="Times New Roman"/>
                <w:lang w:val="sr-Latn-RS"/>
              </w:rPr>
              <w:t>3</w:t>
            </w:r>
            <w:r w:rsidR="00F01ECE" w:rsidRPr="004D2E7C">
              <w:rPr>
                <w:rFonts w:eastAsia="Times New Roman" w:cs="Times New Roman"/>
                <w:lang w:val="sr-Cyrl-RS"/>
              </w:rPr>
              <w:t>.(7)</w:t>
            </w:r>
          </w:p>
        </w:tc>
        <w:tc>
          <w:tcPr>
            <w:tcW w:w="1489" w:type="pct"/>
            <w:shd w:val="clear" w:color="auto" w:fill="D9D9D9"/>
            <w:vAlign w:val="center"/>
          </w:tcPr>
          <w:p w14:paraId="46187E0D" w14:textId="024C03FC" w:rsidR="00F01ECE" w:rsidRPr="004D2E7C" w:rsidRDefault="006769F7" w:rsidP="00F01ECE">
            <w:pPr>
              <w:jc w:val="both"/>
              <w:rPr>
                <w:rFonts w:eastAsia="Times New Roman" w:cs="Times New Roman"/>
                <w:lang w:val="en-GB"/>
              </w:rPr>
            </w:pPr>
            <w:r w:rsidRPr="006769F7">
              <w:rPr>
                <w:rFonts w:eastAsia="Times New Roman" w:cs="Times New Roman"/>
              </w:rPr>
              <w:t>‘technical promotional material’ means documentation, in printed or electronic form, that is produced by a supplier to supplement advertising material with the information set out in Annex IV;</w:t>
            </w:r>
          </w:p>
        </w:tc>
        <w:tc>
          <w:tcPr>
            <w:tcW w:w="325" w:type="pct"/>
            <w:vAlign w:val="center"/>
          </w:tcPr>
          <w:p w14:paraId="46187E0F" w14:textId="77777777" w:rsidR="00F01ECE" w:rsidRPr="004D2E7C" w:rsidRDefault="00F01ECE" w:rsidP="00D9567F">
            <w:pPr>
              <w:jc w:val="center"/>
              <w:rPr>
                <w:rFonts w:cs="Times New Roman"/>
                <w:lang w:val="sr-Cyrl-RS"/>
              </w:rPr>
            </w:pPr>
          </w:p>
        </w:tc>
        <w:tc>
          <w:tcPr>
            <w:tcW w:w="1296" w:type="pct"/>
            <w:vAlign w:val="center"/>
          </w:tcPr>
          <w:p w14:paraId="46187E11" w14:textId="24620307" w:rsidR="00F01ECE" w:rsidRPr="006B3660" w:rsidRDefault="00F01ECE" w:rsidP="00F01ECE">
            <w:pPr>
              <w:tabs>
                <w:tab w:val="left" w:pos="993"/>
              </w:tabs>
              <w:jc w:val="both"/>
              <w:rPr>
                <w:rFonts w:eastAsia="Times New Roman" w:cs="Times New Roman"/>
                <w:iCs/>
                <w:color w:val="000000" w:themeColor="text1"/>
                <w:lang w:val="sr-Cyrl-RS"/>
              </w:rPr>
            </w:pPr>
          </w:p>
        </w:tc>
        <w:tc>
          <w:tcPr>
            <w:tcW w:w="235" w:type="pct"/>
            <w:vAlign w:val="center"/>
          </w:tcPr>
          <w:p w14:paraId="46187E12" w14:textId="586C118D" w:rsidR="00F01ECE" w:rsidRPr="004D2E7C" w:rsidRDefault="00441DEB" w:rsidP="00F01ECE">
            <w:pPr>
              <w:jc w:val="center"/>
              <w:rPr>
                <w:rFonts w:cs="Times New Roman"/>
                <w:lang w:val="sr-Cyrl-RS"/>
              </w:rPr>
            </w:pPr>
            <w:r>
              <w:rPr>
                <w:rFonts w:cs="Times New Roman"/>
                <w:lang w:val="sr-Cyrl-RS"/>
              </w:rPr>
              <w:t>НУ</w:t>
            </w:r>
          </w:p>
        </w:tc>
        <w:tc>
          <w:tcPr>
            <w:tcW w:w="676" w:type="pct"/>
            <w:vAlign w:val="center"/>
          </w:tcPr>
          <w:p w14:paraId="46187E13" w14:textId="37DBD355" w:rsidR="00F01ECE" w:rsidRPr="004D2E7C" w:rsidRDefault="00F01ECE" w:rsidP="00F01ECE">
            <w:pPr>
              <w:rPr>
                <w:rFonts w:cs="Times New Roman"/>
                <w:lang w:val="sr-Cyrl-RS"/>
              </w:rPr>
            </w:pPr>
          </w:p>
        </w:tc>
        <w:tc>
          <w:tcPr>
            <w:tcW w:w="699" w:type="pct"/>
            <w:vAlign w:val="center"/>
          </w:tcPr>
          <w:p w14:paraId="46187E14" w14:textId="55792312" w:rsidR="00F01ECE" w:rsidRPr="004D2E7C" w:rsidRDefault="007A6286" w:rsidP="007A6286">
            <w:pPr>
              <w:spacing w:after="120"/>
              <w:rPr>
                <w:rFonts w:cs="Times New Roman"/>
                <w:lang w:val="sr-Cyrl-RS"/>
              </w:rPr>
            </w:pPr>
            <w:r w:rsidRPr="00883344">
              <w:rPr>
                <w:rFonts w:cs="Times New Roman"/>
                <w:lang w:val="sr-Cyrl-RS"/>
              </w:rPr>
              <w:t xml:space="preserve">Усклађеност ће бити постигнута </w:t>
            </w:r>
            <w:r>
              <w:rPr>
                <w:rFonts w:cs="Times New Roman"/>
                <w:lang w:val="sr-Cyrl-RS"/>
              </w:rPr>
              <w:t>кроз по</w:t>
            </w:r>
            <w:r w:rsidRPr="00883344">
              <w:rPr>
                <w:rFonts w:cs="Times New Roman"/>
                <w:lang w:val="sr-Cyrl-RS"/>
              </w:rPr>
              <w:t>дзаконск</w:t>
            </w:r>
            <w:r>
              <w:rPr>
                <w:rFonts w:cs="Times New Roman"/>
                <w:lang w:val="sr-Cyrl-RS"/>
              </w:rPr>
              <w:t xml:space="preserve">а </w:t>
            </w:r>
            <w:r w:rsidRPr="00883344">
              <w:rPr>
                <w:rFonts w:cs="Times New Roman"/>
                <w:lang w:val="sr-Cyrl-RS"/>
              </w:rPr>
              <w:t>акта и техничк</w:t>
            </w:r>
            <w:r>
              <w:rPr>
                <w:rFonts w:cs="Times New Roman"/>
                <w:lang w:val="sr-Cyrl-RS"/>
              </w:rPr>
              <w:t>е</w:t>
            </w:r>
            <w:r w:rsidRPr="00883344">
              <w:rPr>
                <w:rFonts w:cs="Times New Roman"/>
                <w:lang w:val="sr-Cyrl-RS"/>
              </w:rPr>
              <w:t xml:space="preserve"> пропис</w:t>
            </w:r>
            <w:r>
              <w:rPr>
                <w:rFonts w:cs="Times New Roman"/>
                <w:lang w:val="sr-Cyrl-RS"/>
              </w:rPr>
              <w:t>е</w:t>
            </w:r>
            <w:r w:rsidRPr="00883344">
              <w:rPr>
                <w:rFonts w:cs="Times New Roman"/>
                <w:lang w:val="sr-Cyrl-RS"/>
              </w:rPr>
              <w:t>.</w:t>
            </w:r>
          </w:p>
        </w:tc>
      </w:tr>
      <w:tr w:rsidR="00F01ECE" w:rsidRPr="004D2E7C" w14:paraId="46187E1E" w14:textId="77777777" w:rsidTr="00D9567F">
        <w:trPr>
          <w:trHeight w:val="291"/>
        </w:trPr>
        <w:tc>
          <w:tcPr>
            <w:tcW w:w="280" w:type="pct"/>
            <w:shd w:val="clear" w:color="auto" w:fill="D9D9D9"/>
            <w:vAlign w:val="center"/>
          </w:tcPr>
          <w:p w14:paraId="46187E16" w14:textId="54AFCA02" w:rsidR="00F01ECE" w:rsidRPr="004D2E7C" w:rsidRDefault="002F2547" w:rsidP="00F01ECE">
            <w:pPr>
              <w:jc w:val="center"/>
              <w:rPr>
                <w:rFonts w:eastAsia="Times New Roman" w:cs="Times New Roman"/>
                <w:lang w:val="sr-Cyrl-RS"/>
              </w:rPr>
            </w:pPr>
            <w:r>
              <w:rPr>
                <w:rFonts w:eastAsia="Times New Roman" w:cs="Times New Roman"/>
                <w:lang w:val="sr-Latn-RS"/>
              </w:rPr>
              <w:t>3</w:t>
            </w:r>
            <w:r w:rsidR="00F01ECE" w:rsidRPr="004D2E7C">
              <w:rPr>
                <w:rFonts w:eastAsia="Times New Roman" w:cs="Times New Roman"/>
                <w:lang w:val="sr-Cyrl-RS"/>
              </w:rPr>
              <w:t>.(8)</w:t>
            </w:r>
          </w:p>
        </w:tc>
        <w:tc>
          <w:tcPr>
            <w:tcW w:w="1489" w:type="pct"/>
            <w:shd w:val="clear" w:color="auto" w:fill="D9D9D9"/>
            <w:vAlign w:val="center"/>
          </w:tcPr>
          <w:p w14:paraId="46187E17" w14:textId="4DE3A599" w:rsidR="00F01ECE" w:rsidRPr="004D2E7C" w:rsidRDefault="00B50E14" w:rsidP="00F01ECE">
            <w:pPr>
              <w:jc w:val="both"/>
              <w:rPr>
                <w:rFonts w:eastAsia="Times New Roman" w:cs="Times New Roman"/>
                <w:lang w:val="en-GB"/>
              </w:rPr>
            </w:pPr>
            <w:r w:rsidRPr="00B50E14">
              <w:rPr>
                <w:rFonts w:eastAsia="Times New Roman" w:cs="Times New Roman"/>
              </w:rPr>
              <w:t>‘product information sheet’ means a standard document containing the information set out in Annex III in printed or electronic form;</w:t>
            </w:r>
          </w:p>
        </w:tc>
        <w:tc>
          <w:tcPr>
            <w:tcW w:w="325" w:type="pct"/>
            <w:vAlign w:val="center"/>
          </w:tcPr>
          <w:p w14:paraId="46187E18" w14:textId="177CE047" w:rsidR="00F01ECE" w:rsidRPr="007A6286" w:rsidRDefault="007A6286" w:rsidP="00D9567F">
            <w:pPr>
              <w:jc w:val="center"/>
              <w:rPr>
                <w:rFonts w:cs="Times New Roman"/>
                <w:b/>
                <w:bCs/>
                <w:lang w:val="sr-Cyrl-RS"/>
              </w:rPr>
            </w:pPr>
            <w:r w:rsidRPr="007A6286">
              <w:rPr>
                <w:rFonts w:cs="Times New Roman"/>
                <w:b/>
                <w:bCs/>
                <w:lang w:val="sr-Cyrl-RS"/>
              </w:rPr>
              <w:t>1.3.1.35)</w:t>
            </w:r>
          </w:p>
        </w:tc>
        <w:tc>
          <w:tcPr>
            <w:tcW w:w="1296" w:type="pct"/>
            <w:vAlign w:val="center"/>
          </w:tcPr>
          <w:p w14:paraId="46187E1A" w14:textId="2CB4CFEC" w:rsidR="00F01ECE" w:rsidRPr="004D2E7C" w:rsidRDefault="007A6286" w:rsidP="00F01ECE">
            <w:pPr>
              <w:spacing w:after="120"/>
              <w:jc w:val="both"/>
              <w:rPr>
                <w:rFonts w:cs="Times New Roman"/>
                <w:lang w:val="sr-Cyrl-RS"/>
              </w:rPr>
            </w:pPr>
            <w:r w:rsidRPr="004D2E7C">
              <w:rPr>
                <w:rFonts w:eastAsia="Times New Roman" w:cs="Times New Roman"/>
                <w:i/>
                <w:lang w:val="sr-Cyrl-RS"/>
              </w:rPr>
              <w:t>листа са подацима</w:t>
            </w:r>
            <w:r w:rsidRPr="004D2E7C">
              <w:rPr>
                <w:rFonts w:eastAsia="Times New Roman" w:cs="Times New Roman"/>
                <w:iCs/>
                <w:lang w:val="sr-Cyrl-RS"/>
              </w:rPr>
              <w:t xml:space="preserve"> је стандардни документ који садржи информације о производу, у штампаном или електронском облику;</w:t>
            </w:r>
          </w:p>
        </w:tc>
        <w:tc>
          <w:tcPr>
            <w:tcW w:w="235" w:type="pct"/>
            <w:vAlign w:val="center"/>
          </w:tcPr>
          <w:p w14:paraId="46187E1B" w14:textId="5D6F796E" w:rsidR="00F01ECE" w:rsidRPr="004D2E7C" w:rsidRDefault="007A6286" w:rsidP="00F01ECE">
            <w:pPr>
              <w:jc w:val="center"/>
              <w:rPr>
                <w:rFonts w:cs="Times New Roman"/>
                <w:lang w:val="sr-Cyrl-RS"/>
              </w:rPr>
            </w:pPr>
            <w:r>
              <w:rPr>
                <w:rFonts w:cs="Times New Roman"/>
                <w:lang w:val="sr-Cyrl-RS"/>
              </w:rPr>
              <w:t>ПУ</w:t>
            </w:r>
          </w:p>
        </w:tc>
        <w:tc>
          <w:tcPr>
            <w:tcW w:w="676" w:type="pct"/>
            <w:vAlign w:val="center"/>
          </w:tcPr>
          <w:p w14:paraId="46187E1C" w14:textId="7BE94E25" w:rsidR="00F01ECE" w:rsidRPr="004D2E7C" w:rsidRDefault="00F01ECE" w:rsidP="00F01ECE">
            <w:pPr>
              <w:rPr>
                <w:rFonts w:cs="Times New Roman"/>
                <w:lang w:val="sr-Cyrl-RS"/>
              </w:rPr>
            </w:pPr>
          </w:p>
        </w:tc>
        <w:tc>
          <w:tcPr>
            <w:tcW w:w="699" w:type="pct"/>
            <w:vAlign w:val="center"/>
          </w:tcPr>
          <w:p w14:paraId="46187E1D" w14:textId="5F83EB09" w:rsidR="00F01ECE" w:rsidRPr="004D2E7C" w:rsidRDefault="00F01ECE" w:rsidP="007A6286">
            <w:pPr>
              <w:rPr>
                <w:rFonts w:cs="Times New Roman"/>
                <w:lang w:val="sr-Cyrl-RS"/>
              </w:rPr>
            </w:pPr>
          </w:p>
        </w:tc>
      </w:tr>
      <w:tr w:rsidR="00F01ECE" w:rsidRPr="004D2E7C" w14:paraId="46187E27" w14:textId="77777777" w:rsidTr="00D9567F">
        <w:trPr>
          <w:trHeight w:val="291"/>
        </w:trPr>
        <w:tc>
          <w:tcPr>
            <w:tcW w:w="280" w:type="pct"/>
            <w:shd w:val="clear" w:color="auto" w:fill="D9D9D9"/>
            <w:vAlign w:val="center"/>
          </w:tcPr>
          <w:p w14:paraId="46187E1F" w14:textId="50CCFEB1" w:rsidR="00F01ECE" w:rsidRPr="004D2E7C" w:rsidRDefault="002F2547" w:rsidP="00F01ECE">
            <w:pPr>
              <w:jc w:val="center"/>
              <w:rPr>
                <w:rFonts w:eastAsia="Times New Roman" w:cs="Times New Roman"/>
                <w:lang w:val="sr-Cyrl-RS"/>
              </w:rPr>
            </w:pPr>
            <w:r>
              <w:rPr>
                <w:rFonts w:eastAsia="Times New Roman" w:cs="Times New Roman"/>
                <w:lang w:val="sr-Latn-RS"/>
              </w:rPr>
              <w:t>3</w:t>
            </w:r>
            <w:r w:rsidR="00F01ECE" w:rsidRPr="004D2E7C">
              <w:rPr>
                <w:rFonts w:eastAsia="Times New Roman" w:cs="Times New Roman"/>
                <w:lang w:val="sr-Cyrl-RS"/>
              </w:rPr>
              <w:t>.(9)</w:t>
            </w:r>
          </w:p>
        </w:tc>
        <w:tc>
          <w:tcPr>
            <w:tcW w:w="1489" w:type="pct"/>
            <w:shd w:val="clear" w:color="auto" w:fill="D9D9D9"/>
            <w:vAlign w:val="center"/>
          </w:tcPr>
          <w:p w14:paraId="46187E20" w14:textId="42A62E1F" w:rsidR="00F01ECE" w:rsidRPr="004D2E7C" w:rsidRDefault="00B50E14" w:rsidP="00F01ECE">
            <w:pPr>
              <w:jc w:val="both"/>
              <w:rPr>
                <w:rFonts w:eastAsia="Times New Roman" w:cs="Times New Roman"/>
                <w:lang w:val="en-GB"/>
              </w:rPr>
            </w:pPr>
            <w:r w:rsidRPr="00B50E14">
              <w:rPr>
                <w:rFonts w:eastAsia="Times New Roman" w:cs="Times New Roman"/>
              </w:rPr>
              <w:t xml:space="preserve">‘technical documentation’ means documentation sufficient to enable market surveillance authorities to assess the accuracy of the </w:t>
            </w:r>
            <w:proofErr w:type="spellStart"/>
            <w:r w:rsidRPr="00B50E14">
              <w:rPr>
                <w:rFonts w:eastAsia="Times New Roman" w:cs="Times New Roman"/>
              </w:rPr>
              <w:t>tyre</w:t>
            </w:r>
            <w:proofErr w:type="spellEnd"/>
            <w:r w:rsidRPr="00B50E14">
              <w:rPr>
                <w:rFonts w:eastAsia="Times New Roman" w:cs="Times New Roman"/>
              </w:rPr>
              <w:t xml:space="preserve"> label and the product information sheet, including the information set out in point (2) of Annex VII;</w:t>
            </w:r>
          </w:p>
        </w:tc>
        <w:tc>
          <w:tcPr>
            <w:tcW w:w="325" w:type="pct"/>
            <w:vAlign w:val="center"/>
          </w:tcPr>
          <w:p w14:paraId="46187E21" w14:textId="79BFA0DF" w:rsidR="00F01ECE" w:rsidRPr="004D2E7C" w:rsidRDefault="00F01ECE" w:rsidP="00D9567F">
            <w:pPr>
              <w:jc w:val="center"/>
              <w:rPr>
                <w:rFonts w:cs="Times New Roman"/>
                <w:lang w:val="sr-Cyrl-RS"/>
              </w:rPr>
            </w:pPr>
          </w:p>
        </w:tc>
        <w:tc>
          <w:tcPr>
            <w:tcW w:w="1296" w:type="pct"/>
            <w:vAlign w:val="center"/>
          </w:tcPr>
          <w:p w14:paraId="46187E23" w14:textId="6FAFD6E3" w:rsidR="00F01ECE" w:rsidRPr="004D2E7C" w:rsidRDefault="00F01ECE" w:rsidP="00F01ECE">
            <w:pPr>
              <w:spacing w:after="120"/>
              <w:jc w:val="both"/>
              <w:rPr>
                <w:rFonts w:cs="Times New Roman"/>
                <w:lang w:val="sr-Cyrl-RS"/>
              </w:rPr>
            </w:pPr>
          </w:p>
        </w:tc>
        <w:tc>
          <w:tcPr>
            <w:tcW w:w="235" w:type="pct"/>
            <w:vAlign w:val="center"/>
          </w:tcPr>
          <w:p w14:paraId="46187E24" w14:textId="65240A16" w:rsidR="00F01ECE" w:rsidRPr="004D2E7C" w:rsidRDefault="00441DEB" w:rsidP="00F01ECE">
            <w:pPr>
              <w:jc w:val="center"/>
              <w:rPr>
                <w:rFonts w:cs="Times New Roman"/>
                <w:lang w:val="sr-Cyrl-RS"/>
              </w:rPr>
            </w:pPr>
            <w:r>
              <w:rPr>
                <w:rFonts w:cs="Times New Roman"/>
                <w:lang w:val="sr-Cyrl-RS"/>
              </w:rPr>
              <w:t>НУ</w:t>
            </w:r>
          </w:p>
        </w:tc>
        <w:tc>
          <w:tcPr>
            <w:tcW w:w="676" w:type="pct"/>
            <w:vAlign w:val="center"/>
          </w:tcPr>
          <w:p w14:paraId="46187E25" w14:textId="4D966E5B" w:rsidR="00F01ECE" w:rsidRPr="004D2E7C" w:rsidRDefault="00F01ECE" w:rsidP="00F01ECE">
            <w:pPr>
              <w:rPr>
                <w:rFonts w:cs="Times New Roman"/>
                <w:lang w:val="sr-Cyrl-RS"/>
              </w:rPr>
            </w:pPr>
          </w:p>
        </w:tc>
        <w:tc>
          <w:tcPr>
            <w:tcW w:w="699" w:type="pct"/>
            <w:vAlign w:val="center"/>
          </w:tcPr>
          <w:p w14:paraId="46187E26" w14:textId="5252B633" w:rsidR="00F01ECE" w:rsidRPr="004D2E7C" w:rsidRDefault="007A6286" w:rsidP="007A6286">
            <w:pPr>
              <w:rPr>
                <w:rFonts w:cs="Times New Roman"/>
                <w:lang w:val="sr-Cyrl-RS"/>
              </w:rPr>
            </w:pPr>
            <w:r w:rsidRPr="00883344">
              <w:rPr>
                <w:rFonts w:cs="Times New Roman"/>
                <w:lang w:val="sr-Cyrl-RS"/>
              </w:rPr>
              <w:t xml:space="preserve">Усклађеност ће бити постигнута </w:t>
            </w:r>
            <w:r>
              <w:rPr>
                <w:rFonts w:cs="Times New Roman"/>
                <w:lang w:val="sr-Cyrl-RS"/>
              </w:rPr>
              <w:t>кроз по</w:t>
            </w:r>
            <w:r w:rsidRPr="00883344">
              <w:rPr>
                <w:rFonts w:cs="Times New Roman"/>
                <w:lang w:val="sr-Cyrl-RS"/>
              </w:rPr>
              <w:t>дзаконск</w:t>
            </w:r>
            <w:r>
              <w:rPr>
                <w:rFonts w:cs="Times New Roman"/>
                <w:lang w:val="sr-Cyrl-RS"/>
              </w:rPr>
              <w:t xml:space="preserve">а </w:t>
            </w:r>
            <w:r w:rsidRPr="00883344">
              <w:rPr>
                <w:rFonts w:cs="Times New Roman"/>
                <w:lang w:val="sr-Cyrl-RS"/>
              </w:rPr>
              <w:t>акта и техничк</w:t>
            </w:r>
            <w:r>
              <w:rPr>
                <w:rFonts w:cs="Times New Roman"/>
                <w:lang w:val="sr-Cyrl-RS"/>
              </w:rPr>
              <w:t>е</w:t>
            </w:r>
            <w:r w:rsidRPr="00883344">
              <w:rPr>
                <w:rFonts w:cs="Times New Roman"/>
                <w:lang w:val="sr-Cyrl-RS"/>
              </w:rPr>
              <w:t xml:space="preserve"> пропис</w:t>
            </w:r>
            <w:r>
              <w:rPr>
                <w:rFonts w:cs="Times New Roman"/>
                <w:lang w:val="sr-Cyrl-RS"/>
              </w:rPr>
              <w:t>е</w:t>
            </w:r>
            <w:r w:rsidRPr="00883344">
              <w:rPr>
                <w:rFonts w:cs="Times New Roman"/>
                <w:lang w:val="sr-Cyrl-RS"/>
              </w:rPr>
              <w:t>.</w:t>
            </w:r>
          </w:p>
        </w:tc>
      </w:tr>
      <w:tr w:rsidR="00F01ECE" w:rsidRPr="004D2E7C" w14:paraId="46187E3C" w14:textId="77777777" w:rsidTr="00D9567F">
        <w:trPr>
          <w:trHeight w:val="291"/>
        </w:trPr>
        <w:tc>
          <w:tcPr>
            <w:tcW w:w="280" w:type="pct"/>
            <w:shd w:val="clear" w:color="auto" w:fill="D9D9D9"/>
            <w:vAlign w:val="center"/>
          </w:tcPr>
          <w:p w14:paraId="46187E28" w14:textId="0985148A" w:rsidR="00F01ECE" w:rsidRPr="004D2E7C" w:rsidRDefault="002F2547" w:rsidP="00F01ECE">
            <w:pPr>
              <w:jc w:val="center"/>
              <w:rPr>
                <w:rFonts w:eastAsia="Times New Roman" w:cs="Times New Roman"/>
                <w:lang w:val="sr-Cyrl-RS"/>
              </w:rPr>
            </w:pPr>
            <w:r>
              <w:rPr>
                <w:rFonts w:eastAsia="Times New Roman" w:cs="Times New Roman"/>
                <w:lang w:val="sr-Latn-RS"/>
              </w:rPr>
              <w:t>3.</w:t>
            </w:r>
            <w:r w:rsidR="00F01ECE" w:rsidRPr="004D2E7C">
              <w:rPr>
                <w:rFonts w:eastAsia="Times New Roman" w:cs="Times New Roman"/>
                <w:lang w:val="sr-Cyrl-RS"/>
              </w:rPr>
              <w:t>(10)</w:t>
            </w:r>
          </w:p>
        </w:tc>
        <w:tc>
          <w:tcPr>
            <w:tcW w:w="1489" w:type="pct"/>
            <w:shd w:val="clear" w:color="auto" w:fill="D9D9D9"/>
            <w:vAlign w:val="center"/>
          </w:tcPr>
          <w:p w14:paraId="46187E29" w14:textId="13C093A2" w:rsidR="00F01ECE" w:rsidRPr="004D2E7C" w:rsidRDefault="008D35EA" w:rsidP="00F01ECE">
            <w:pPr>
              <w:jc w:val="both"/>
              <w:rPr>
                <w:rFonts w:eastAsia="Times New Roman" w:cs="Times New Roman"/>
                <w:lang w:val="en-GB"/>
              </w:rPr>
            </w:pPr>
            <w:r w:rsidRPr="008D35EA">
              <w:rPr>
                <w:rFonts w:eastAsia="Times New Roman" w:cs="Times New Roman"/>
              </w:rPr>
              <w:t>‘product database’ means the product database established pursuant to Article 12 of Regulation (EU) 2017/1369;</w:t>
            </w:r>
          </w:p>
        </w:tc>
        <w:tc>
          <w:tcPr>
            <w:tcW w:w="325" w:type="pct"/>
            <w:vAlign w:val="center"/>
          </w:tcPr>
          <w:p w14:paraId="46187E34" w14:textId="77777777" w:rsidR="00F01ECE" w:rsidRPr="004D2E7C" w:rsidRDefault="00F01ECE" w:rsidP="00D9567F">
            <w:pPr>
              <w:jc w:val="center"/>
              <w:rPr>
                <w:rFonts w:cs="Times New Roman"/>
                <w:lang w:val="sr-Cyrl-RS"/>
              </w:rPr>
            </w:pPr>
          </w:p>
        </w:tc>
        <w:tc>
          <w:tcPr>
            <w:tcW w:w="1296" w:type="pct"/>
          </w:tcPr>
          <w:p w14:paraId="46187E38" w14:textId="384A2ED6" w:rsidR="00F01ECE" w:rsidRPr="006B3660" w:rsidRDefault="00F01ECE" w:rsidP="00F01ECE">
            <w:pPr>
              <w:spacing w:after="120"/>
              <w:jc w:val="both"/>
              <w:rPr>
                <w:rFonts w:cs="Times New Roman"/>
                <w:lang w:val="sr-Cyrl-RS"/>
              </w:rPr>
            </w:pPr>
          </w:p>
        </w:tc>
        <w:tc>
          <w:tcPr>
            <w:tcW w:w="235" w:type="pct"/>
            <w:vAlign w:val="center"/>
          </w:tcPr>
          <w:p w14:paraId="46187E39" w14:textId="41AE5828" w:rsidR="00F01ECE" w:rsidRPr="004D2E7C" w:rsidRDefault="007A6286" w:rsidP="00F01ECE">
            <w:pPr>
              <w:jc w:val="center"/>
              <w:rPr>
                <w:rFonts w:cs="Times New Roman"/>
                <w:lang w:val="sr-Cyrl-RS"/>
              </w:rPr>
            </w:pPr>
            <w:r>
              <w:rPr>
                <w:rFonts w:cs="Times New Roman"/>
                <w:lang w:val="sr-Cyrl-RS"/>
              </w:rPr>
              <w:t>НУ</w:t>
            </w:r>
          </w:p>
        </w:tc>
        <w:tc>
          <w:tcPr>
            <w:tcW w:w="676" w:type="pct"/>
          </w:tcPr>
          <w:p w14:paraId="46187E3A" w14:textId="5878E0B4" w:rsidR="00F01ECE" w:rsidRPr="004D2E7C" w:rsidRDefault="007A6286" w:rsidP="00F01ECE">
            <w:pPr>
              <w:rPr>
                <w:rFonts w:cs="Times New Roman"/>
                <w:lang w:val="sr-Cyrl-RS"/>
              </w:rPr>
            </w:pPr>
            <w:r w:rsidRPr="004D2E7C">
              <w:rPr>
                <w:rFonts w:cs="Times New Roman"/>
                <w:lang w:val="sr-Cyrl-RS"/>
              </w:rPr>
              <w:t>База података се искључиво односи на производе пласиране на тржишту ЕУ, дакле у чланицама ЕУ.</w:t>
            </w:r>
          </w:p>
        </w:tc>
        <w:tc>
          <w:tcPr>
            <w:tcW w:w="699" w:type="pct"/>
            <w:vAlign w:val="center"/>
          </w:tcPr>
          <w:p w14:paraId="46187E3B" w14:textId="33570C5B" w:rsidR="00F01ECE" w:rsidRPr="004D2E7C" w:rsidRDefault="007A6286" w:rsidP="007A6286">
            <w:pPr>
              <w:rPr>
                <w:rFonts w:cs="Times New Roman"/>
                <w:lang w:val="sr-Cyrl-RS"/>
              </w:rPr>
            </w:pPr>
            <w:r w:rsidRPr="004D2E7C">
              <w:rPr>
                <w:rFonts w:cs="Times New Roman"/>
                <w:lang w:val="sr-Cyrl-RS"/>
              </w:rPr>
              <w:t>Потпуна усклађеност може бити постигнута по приступању ЕУ.</w:t>
            </w:r>
          </w:p>
        </w:tc>
      </w:tr>
      <w:tr w:rsidR="00F01ECE" w:rsidRPr="004D2E7C" w14:paraId="46187E52" w14:textId="77777777" w:rsidTr="00D9567F">
        <w:trPr>
          <w:trHeight w:val="291"/>
        </w:trPr>
        <w:tc>
          <w:tcPr>
            <w:tcW w:w="280" w:type="pct"/>
            <w:shd w:val="clear" w:color="auto" w:fill="D9D9D9"/>
            <w:vAlign w:val="center"/>
          </w:tcPr>
          <w:p w14:paraId="46187E3D" w14:textId="16D13068" w:rsidR="00F01ECE" w:rsidRPr="004D2E7C" w:rsidRDefault="008D35EA" w:rsidP="00F01ECE">
            <w:pPr>
              <w:jc w:val="center"/>
              <w:rPr>
                <w:rFonts w:eastAsia="Times New Roman" w:cs="Times New Roman"/>
                <w:lang w:val="sr-Cyrl-RS"/>
              </w:rPr>
            </w:pPr>
            <w:r>
              <w:rPr>
                <w:rFonts w:eastAsia="Times New Roman" w:cs="Times New Roman"/>
                <w:lang w:val="sr-Latn-RS"/>
              </w:rPr>
              <w:t>3</w:t>
            </w:r>
            <w:r w:rsidR="00F01ECE" w:rsidRPr="004D2E7C">
              <w:rPr>
                <w:rFonts w:eastAsia="Times New Roman" w:cs="Times New Roman"/>
                <w:lang w:val="sr-Cyrl-RS"/>
              </w:rPr>
              <w:t>.(11)</w:t>
            </w:r>
          </w:p>
        </w:tc>
        <w:tc>
          <w:tcPr>
            <w:tcW w:w="1489" w:type="pct"/>
            <w:shd w:val="clear" w:color="auto" w:fill="D9D9D9"/>
            <w:vAlign w:val="center"/>
          </w:tcPr>
          <w:p w14:paraId="46187E3E" w14:textId="149E497C" w:rsidR="00F01ECE" w:rsidRPr="004D2E7C" w:rsidRDefault="008D35EA" w:rsidP="00F01ECE">
            <w:pPr>
              <w:jc w:val="both"/>
              <w:rPr>
                <w:rFonts w:eastAsia="Times New Roman" w:cs="Times New Roman"/>
                <w:lang w:val="en-GB"/>
              </w:rPr>
            </w:pPr>
            <w:r w:rsidRPr="008D35EA">
              <w:rPr>
                <w:rFonts w:eastAsia="Times New Roman" w:cs="Times New Roman"/>
              </w:rPr>
              <w:t xml:space="preserve">‘distance selling’ means the offer for sale, hire or hire purchase by mail order, catalogue, internet, telemarketing or by any other method by which the potential end-user cannot be expected to see the </w:t>
            </w:r>
            <w:proofErr w:type="spellStart"/>
            <w:r w:rsidRPr="008D35EA">
              <w:rPr>
                <w:rFonts w:eastAsia="Times New Roman" w:cs="Times New Roman"/>
              </w:rPr>
              <w:t>tyre</w:t>
            </w:r>
            <w:proofErr w:type="spellEnd"/>
            <w:r w:rsidRPr="008D35EA">
              <w:rPr>
                <w:rFonts w:eastAsia="Times New Roman" w:cs="Times New Roman"/>
              </w:rPr>
              <w:t xml:space="preserve"> displayed;</w:t>
            </w:r>
          </w:p>
        </w:tc>
        <w:tc>
          <w:tcPr>
            <w:tcW w:w="325" w:type="pct"/>
            <w:vAlign w:val="center"/>
          </w:tcPr>
          <w:p w14:paraId="46187E4A" w14:textId="77777777" w:rsidR="00F01ECE" w:rsidRPr="004D2E7C" w:rsidRDefault="00F01ECE" w:rsidP="00D9567F">
            <w:pPr>
              <w:jc w:val="center"/>
              <w:rPr>
                <w:rFonts w:cs="Times New Roman"/>
                <w:lang w:val="sr-Cyrl-RS"/>
              </w:rPr>
            </w:pPr>
          </w:p>
        </w:tc>
        <w:tc>
          <w:tcPr>
            <w:tcW w:w="1296" w:type="pct"/>
          </w:tcPr>
          <w:p w14:paraId="46187E4E" w14:textId="607F5FDA" w:rsidR="00F01ECE" w:rsidRPr="004D2E7C" w:rsidRDefault="00F01ECE" w:rsidP="00F01ECE">
            <w:pPr>
              <w:spacing w:after="120"/>
              <w:jc w:val="both"/>
              <w:rPr>
                <w:rFonts w:eastAsia="Times New Roman" w:cs="Times New Roman"/>
                <w:lang w:val="sr-Cyrl-RS"/>
              </w:rPr>
            </w:pPr>
          </w:p>
        </w:tc>
        <w:tc>
          <w:tcPr>
            <w:tcW w:w="235" w:type="pct"/>
            <w:vAlign w:val="center"/>
          </w:tcPr>
          <w:p w14:paraId="46187E4F" w14:textId="54CAD349" w:rsidR="00F01ECE" w:rsidRPr="004D2E7C" w:rsidRDefault="00441DEB" w:rsidP="00F01ECE">
            <w:pPr>
              <w:jc w:val="center"/>
              <w:rPr>
                <w:rFonts w:cs="Times New Roman"/>
                <w:lang w:val="sr-Cyrl-RS"/>
              </w:rPr>
            </w:pPr>
            <w:r>
              <w:rPr>
                <w:rFonts w:cs="Times New Roman"/>
                <w:lang w:val="sr-Cyrl-RS"/>
              </w:rPr>
              <w:t>НУ</w:t>
            </w:r>
          </w:p>
        </w:tc>
        <w:tc>
          <w:tcPr>
            <w:tcW w:w="676" w:type="pct"/>
            <w:vAlign w:val="center"/>
          </w:tcPr>
          <w:p w14:paraId="46187E50" w14:textId="389D8826" w:rsidR="00F01ECE" w:rsidRPr="004D2E7C" w:rsidRDefault="00F01ECE" w:rsidP="00F01ECE">
            <w:pPr>
              <w:rPr>
                <w:rFonts w:cs="Times New Roman"/>
                <w:lang w:val="sr-Cyrl-RS"/>
              </w:rPr>
            </w:pPr>
          </w:p>
        </w:tc>
        <w:tc>
          <w:tcPr>
            <w:tcW w:w="699" w:type="pct"/>
            <w:vAlign w:val="center"/>
          </w:tcPr>
          <w:p w14:paraId="46187E51" w14:textId="15B0456D" w:rsidR="00F01ECE" w:rsidRPr="004D2E7C" w:rsidRDefault="007A6286" w:rsidP="007A6286">
            <w:pPr>
              <w:rPr>
                <w:rFonts w:cs="Times New Roman"/>
                <w:lang w:val="sr-Cyrl-RS"/>
              </w:rPr>
            </w:pPr>
            <w:r w:rsidRPr="00883344">
              <w:rPr>
                <w:rFonts w:cs="Times New Roman"/>
                <w:lang w:val="sr-Cyrl-RS"/>
              </w:rPr>
              <w:t xml:space="preserve">Усклађеност ће бити постигнута </w:t>
            </w:r>
            <w:r>
              <w:rPr>
                <w:rFonts w:cs="Times New Roman"/>
                <w:lang w:val="sr-Cyrl-RS"/>
              </w:rPr>
              <w:t>кроз по</w:t>
            </w:r>
            <w:r w:rsidRPr="00883344">
              <w:rPr>
                <w:rFonts w:cs="Times New Roman"/>
                <w:lang w:val="sr-Cyrl-RS"/>
              </w:rPr>
              <w:t>дзаконск</w:t>
            </w:r>
            <w:r>
              <w:rPr>
                <w:rFonts w:cs="Times New Roman"/>
                <w:lang w:val="sr-Cyrl-RS"/>
              </w:rPr>
              <w:t xml:space="preserve">а </w:t>
            </w:r>
            <w:r w:rsidRPr="00883344">
              <w:rPr>
                <w:rFonts w:cs="Times New Roman"/>
                <w:lang w:val="sr-Cyrl-RS"/>
              </w:rPr>
              <w:t>акта и техничк</w:t>
            </w:r>
            <w:r>
              <w:rPr>
                <w:rFonts w:cs="Times New Roman"/>
                <w:lang w:val="sr-Cyrl-RS"/>
              </w:rPr>
              <w:t>е</w:t>
            </w:r>
            <w:r w:rsidRPr="00883344">
              <w:rPr>
                <w:rFonts w:cs="Times New Roman"/>
                <w:lang w:val="sr-Cyrl-RS"/>
              </w:rPr>
              <w:t xml:space="preserve"> пропис</w:t>
            </w:r>
            <w:r>
              <w:rPr>
                <w:rFonts w:cs="Times New Roman"/>
                <w:lang w:val="sr-Cyrl-RS"/>
              </w:rPr>
              <w:t>е</w:t>
            </w:r>
            <w:r w:rsidRPr="00883344">
              <w:rPr>
                <w:rFonts w:cs="Times New Roman"/>
                <w:lang w:val="sr-Cyrl-RS"/>
              </w:rPr>
              <w:t>.</w:t>
            </w:r>
          </w:p>
        </w:tc>
      </w:tr>
      <w:tr w:rsidR="00F01ECE" w:rsidRPr="004D2E7C" w14:paraId="46187E5B" w14:textId="77777777" w:rsidTr="00D9567F">
        <w:trPr>
          <w:trHeight w:val="291"/>
        </w:trPr>
        <w:tc>
          <w:tcPr>
            <w:tcW w:w="280" w:type="pct"/>
            <w:shd w:val="clear" w:color="auto" w:fill="D9D9D9"/>
            <w:vAlign w:val="center"/>
          </w:tcPr>
          <w:p w14:paraId="46187E53" w14:textId="1C5D6ABC" w:rsidR="00F01ECE" w:rsidRPr="004D2E7C" w:rsidRDefault="008D35EA" w:rsidP="00F01ECE">
            <w:pPr>
              <w:jc w:val="center"/>
              <w:rPr>
                <w:rFonts w:eastAsia="Times New Roman" w:cs="Times New Roman"/>
                <w:lang w:val="sr-Cyrl-RS"/>
              </w:rPr>
            </w:pPr>
            <w:r>
              <w:rPr>
                <w:rFonts w:eastAsia="Times New Roman" w:cs="Times New Roman"/>
                <w:lang w:val="sr-Latn-RS"/>
              </w:rPr>
              <w:t>3</w:t>
            </w:r>
            <w:r w:rsidR="00F01ECE" w:rsidRPr="004D2E7C">
              <w:rPr>
                <w:rFonts w:eastAsia="Times New Roman" w:cs="Times New Roman"/>
                <w:lang w:val="sr-Cyrl-RS"/>
              </w:rPr>
              <w:t>.(12)</w:t>
            </w:r>
          </w:p>
        </w:tc>
        <w:tc>
          <w:tcPr>
            <w:tcW w:w="1489" w:type="pct"/>
            <w:shd w:val="clear" w:color="auto" w:fill="D9D9D9"/>
            <w:vAlign w:val="center"/>
          </w:tcPr>
          <w:p w14:paraId="46187E54" w14:textId="2E47859D" w:rsidR="00F01ECE" w:rsidRPr="004D2E7C" w:rsidRDefault="00FF25CB" w:rsidP="00F01ECE">
            <w:pPr>
              <w:jc w:val="both"/>
              <w:rPr>
                <w:rFonts w:eastAsia="Times New Roman" w:cs="Times New Roman"/>
                <w:lang w:val="en-GB"/>
              </w:rPr>
            </w:pPr>
            <w:r w:rsidRPr="00FF25CB">
              <w:rPr>
                <w:rFonts w:eastAsia="Times New Roman" w:cs="Times New Roman"/>
              </w:rPr>
              <w:t>‘manufacturer’ means a manufacturer as defined in point (8) of Article 3 of Regulation (EU) 2019/1020;</w:t>
            </w:r>
          </w:p>
        </w:tc>
        <w:tc>
          <w:tcPr>
            <w:tcW w:w="325" w:type="pct"/>
            <w:vAlign w:val="center"/>
          </w:tcPr>
          <w:p w14:paraId="46187E55" w14:textId="437D560E" w:rsidR="00F01ECE" w:rsidRPr="007E1832" w:rsidRDefault="007E1832" w:rsidP="00D9567F">
            <w:pPr>
              <w:jc w:val="center"/>
              <w:rPr>
                <w:rFonts w:cs="Times New Roman"/>
                <w:b/>
                <w:bCs/>
                <w:lang w:val="sr-Cyrl-RS"/>
              </w:rPr>
            </w:pPr>
            <w:r w:rsidRPr="007E1832">
              <w:rPr>
                <w:rFonts w:cs="Times New Roman"/>
                <w:b/>
                <w:bCs/>
                <w:lang w:val="sr-Cyrl-RS"/>
              </w:rPr>
              <w:t>1.3.1.58)</w:t>
            </w:r>
          </w:p>
        </w:tc>
        <w:tc>
          <w:tcPr>
            <w:tcW w:w="1296" w:type="pct"/>
            <w:vAlign w:val="center"/>
          </w:tcPr>
          <w:p w14:paraId="46187E57" w14:textId="441D9AA3" w:rsidR="00F01ECE" w:rsidRPr="007E1832" w:rsidRDefault="007E1832" w:rsidP="007E1832">
            <w:pPr>
              <w:contextualSpacing/>
              <w:jc w:val="both"/>
              <w:rPr>
                <w:rFonts w:eastAsia="Times New Roman" w:cs="Times New Roman"/>
                <w:lang w:val="sr-Cyrl-RS"/>
              </w:rPr>
            </w:pPr>
            <w:r w:rsidRPr="004D2E7C">
              <w:rPr>
                <w:rFonts w:eastAsia="Times New Roman" w:cs="Times New Roman"/>
                <w:i/>
                <w:lang w:val="sr-Cyrl-RS"/>
              </w:rPr>
              <w:t>произвођач</w:t>
            </w:r>
            <w:r w:rsidRPr="004D2E7C">
              <w:rPr>
                <w:rFonts w:eastAsia="Times New Roman" w:cs="Times New Roman"/>
                <w:iCs/>
                <w:lang w:val="sr-Cyrl-RS"/>
              </w:rPr>
              <w:t xml:space="preserve"> је физичко или правно лице или предузетник који производи производ или за ког се производ пројектује или производи, а које тај </w:t>
            </w:r>
            <w:r w:rsidRPr="004D2E7C">
              <w:rPr>
                <w:rFonts w:eastAsia="Times New Roman" w:cs="Times New Roman"/>
                <w:iCs/>
                <w:lang w:val="sr-Cyrl-RS"/>
              </w:rPr>
              <w:lastRenderedPageBreak/>
              <w:t>производ ставља на тржиште под својим именом или жигом;</w:t>
            </w:r>
          </w:p>
        </w:tc>
        <w:tc>
          <w:tcPr>
            <w:tcW w:w="235" w:type="pct"/>
            <w:vAlign w:val="center"/>
          </w:tcPr>
          <w:p w14:paraId="46187E58" w14:textId="5603B631" w:rsidR="00F01ECE" w:rsidRPr="004D2E7C" w:rsidRDefault="007E1832" w:rsidP="00F01ECE">
            <w:pPr>
              <w:jc w:val="center"/>
              <w:rPr>
                <w:rFonts w:cs="Times New Roman"/>
                <w:lang w:val="sr-Cyrl-RS"/>
              </w:rPr>
            </w:pPr>
            <w:r>
              <w:rPr>
                <w:rFonts w:cs="Times New Roman"/>
                <w:lang w:val="sr-Cyrl-RS"/>
              </w:rPr>
              <w:lastRenderedPageBreak/>
              <w:t>ПУ</w:t>
            </w:r>
          </w:p>
        </w:tc>
        <w:tc>
          <w:tcPr>
            <w:tcW w:w="676" w:type="pct"/>
          </w:tcPr>
          <w:p w14:paraId="46187E59" w14:textId="77777777" w:rsidR="00F01ECE" w:rsidRPr="004D2E7C" w:rsidRDefault="00F01ECE" w:rsidP="00F01ECE">
            <w:pPr>
              <w:rPr>
                <w:rFonts w:cs="Times New Roman"/>
                <w:lang w:val="sr-Cyrl-RS"/>
              </w:rPr>
            </w:pPr>
          </w:p>
        </w:tc>
        <w:tc>
          <w:tcPr>
            <w:tcW w:w="699" w:type="pct"/>
            <w:vAlign w:val="center"/>
          </w:tcPr>
          <w:p w14:paraId="46187E5A" w14:textId="77777777" w:rsidR="00F01ECE" w:rsidRPr="004D2E7C" w:rsidRDefault="00F01ECE" w:rsidP="00F01ECE">
            <w:pPr>
              <w:rPr>
                <w:rFonts w:cs="Times New Roman"/>
                <w:lang w:val="sr-Cyrl-RS"/>
              </w:rPr>
            </w:pPr>
          </w:p>
        </w:tc>
      </w:tr>
      <w:tr w:rsidR="00F01ECE" w:rsidRPr="004D2E7C" w14:paraId="46187E6C" w14:textId="77777777" w:rsidTr="00D9567F">
        <w:trPr>
          <w:trHeight w:val="291"/>
        </w:trPr>
        <w:tc>
          <w:tcPr>
            <w:tcW w:w="280" w:type="pct"/>
            <w:shd w:val="clear" w:color="auto" w:fill="D9D9D9"/>
            <w:vAlign w:val="center"/>
          </w:tcPr>
          <w:p w14:paraId="46187E5C" w14:textId="5F415D5F" w:rsidR="00F01ECE" w:rsidRPr="004D2E7C" w:rsidRDefault="008D35EA" w:rsidP="00F01ECE">
            <w:pPr>
              <w:jc w:val="center"/>
              <w:rPr>
                <w:rFonts w:eastAsia="Times New Roman" w:cs="Times New Roman"/>
                <w:lang w:val="sr-Cyrl-RS"/>
              </w:rPr>
            </w:pPr>
            <w:r>
              <w:rPr>
                <w:rFonts w:eastAsia="Times New Roman" w:cs="Times New Roman"/>
                <w:lang w:val="sr-Latn-RS"/>
              </w:rPr>
              <w:lastRenderedPageBreak/>
              <w:t>3</w:t>
            </w:r>
            <w:r w:rsidR="00F01ECE" w:rsidRPr="004D2E7C">
              <w:rPr>
                <w:rFonts w:eastAsia="Times New Roman" w:cs="Times New Roman"/>
                <w:lang w:val="sr-Cyrl-RS"/>
              </w:rPr>
              <w:t>.(13)</w:t>
            </w:r>
          </w:p>
        </w:tc>
        <w:tc>
          <w:tcPr>
            <w:tcW w:w="1489" w:type="pct"/>
            <w:shd w:val="clear" w:color="auto" w:fill="D9D9D9"/>
            <w:vAlign w:val="center"/>
          </w:tcPr>
          <w:p w14:paraId="46187E5D" w14:textId="03026A41" w:rsidR="00F01ECE" w:rsidRPr="004D2E7C" w:rsidRDefault="0099552E" w:rsidP="00F01ECE">
            <w:pPr>
              <w:jc w:val="both"/>
              <w:rPr>
                <w:rFonts w:eastAsia="Times New Roman" w:cs="Times New Roman"/>
                <w:lang w:val="en-GB"/>
              </w:rPr>
            </w:pPr>
            <w:r w:rsidRPr="0099552E">
              <w:rPr>
                <w:rFonts w:eastAsia="Times New Roman" w:cs="Times New Roman"/>
              </w:rPr>
              <w:t>‘importer’ means an importer as defined in point (9) of Article 3 of Regulation (EU) 2019/1020;</w:t>
            </w:r>
          </w:p>
        </w:tc>
        <w:tc>
          <w:tcPr>
            <w:tcW w:w="325" w:type="pct"/>
            <w:vAlign w:val="center"/>
          </w:tcPr>
          <w:p w14:paraId="46187E64" w14:textId="0347437A" w:rsidR="00F01ECE" w:rsidRPr="004D2E7C" w:rsidRDefault="007E1832" w:rsidP="00D9567F">
            <w:pPr>
              <w:jc w:val="center"/>
              <w:rPr>
                <w:rFonts w:cs="Times New Roman"/>
                <w:lang w:val="sr-Cyrl-RS"/>
              </w:rPr>
            </w:pPr>
            <w:r>
              <w:rPr>
                <w:rFonts w:cs="Times New Roman"/>
                <w:lang w:val="sr-Cyrl-RS"/>
              </w:rPr>
              <w:t>2.4.11)</w:t>
            </w:r>
          </w:p>
        </w:tc>
        <w:tc>
          <w:tcPr>
            <w:tcW w:w="1296" w:type="pct"/>
            <w:vAlign w:val="center"/>
          </w:tcPr>
          <w:p w14:paraId="46187E68" w14:textId="675BD308" w:rsidR="00F01ECE" w:rsidRPr="004D2E7C" w:rsidRDefault="005B25F2" w:rsidP="007E1832">
            <w:pPr>
              <w:spacing w:after="120"/>
              <w:jc w:val="both"/>
              <w:rPr>
                <w:rFonts w:cs="Times New Roman"/>
                <w:lang w:val="sr-Cyrl-RS"/>
              </w:rPr>
            </w:pPr>
            <w:r>
              <w:rPr>
                <w:rFonts w:cs="Times New Roman"/>
                <w:lang w:val="sr-Cyrl-RS"/>
              </w:rPr>
              <w:t>„</w:t>
            </w:r>
            <w:r w:rsidR="007E1832" w:rsidRPr="004D2E7C">
              <w:rPr>
                <w:rFonts w:cs="Times New Roman"/>
                <w:lang w:val="sr-Cyrl-RS"/>
              </w:rPr>
              <w:t>увозник</w:t>
            </w:r>
            <w:r>
              <w:rPr>
                <w:rFonts w:cs="Times New Roman"/>
                <w:lang w:val="sr-Cyrl-RS"/>
              </w:rPr>
              <w:t>“</w:t>
            </w:r>
            <w:r w:rsidR="007E1832" w:rsidRPr="004D2E7C">
              <w:rPr>
                <w:rFonts w:cs="Times New Roman"/>
                <w:lang w:val="sr-Cyrl-RS"/>
              </w:rPr>
              <w:t xml:space="preserve"> јесте правно лице или предузетник регистрован у Републици Србији, односно физичко лице са пребивалиштем у Републици Србији које ставља на тржиште производ из других земаља;</w:t>
            </w:r>
          </w:p>
        </w:tc>
        <w:tc>
          <w:tcPr>
            <w:tcW w:w="235" w:type="pct"/>
            <w:vAlign w:val="center"/>
          </w:tcPr>
          <w:p w14:paraId="46187E69" w14:textId="396654A9" w:rsidR="00F01ECE" w:rsidRPr="004D2E7C" w:rsidRDefault="007E1832" w:rsidP="00F01ECE">
            <w:pPr>
              <w:jc w:val="center"/>
              <w:rPr>
                <w:rFonts w:cs="Times New Roman"/>
                <w:lang w:val="sr-Cyrl-RS"/>
              </w:rPr>
            </w:pPr>
            <w:r>
              <w:rPr>
                <w:rFonts w:cs="Times New Roman"/>
                <w:lang w:val="sr-Cyrl-RS"/>
              </w:rPr>
              <w:t>ПУ</w:t>
            </w:r>
          </w:p>
        </w:tc>
        <w:tc>
          <w:tcPr>
            <w:tcW w:w="676" w:type="pct"/>
          </w:tcPr>
          <w:p w14:paraId="46187E6A" w14:textId="77777777" w:rsidR="00F01ECE" w:rsidRPr="004D2E7C" w:rsidRDefault="00F01ECE" w:rsidP="00F01ECE">
            <w:pPr>
              <w:rPr>
                <w:rFonts w:cs="Times New Roman"/>
                <w:lang w:val="sr-Cyrl-RS"/>
              </w:rPr>
            </w:pPr>
          </w:p>
        </w:tc>
        <w:tc>
          <w:tcPr>
            <w:tcW w:w="699" w:type="pct"/>
            <w:vAlign w:val="center"/>
          </w:tcPr>
          <w:p w14:paraId="46187E6B" w14:textId="77777777" w:rsidR="00F01ECE" w:rsidRPr="004D2E7C" w:rsidRDefault="00F01ECE" w:rsidP="00F01ECE">
            <w:pPr>
              <w:rPr>
                <w:rFonts w:cs="Times New Roman"/>
                <w:lang w:val="sr-Cyrl-RS"/>
              </w:rPr>
            </w:pPr>
          </w:p>
        </w:tc>
      </w:tr>
      <w:tr w:rsidR="00F01ECE" w:rsidRPr="004D2E7C" w14:paraId="46187E7C" w14:textId="77777777" w:rsidTr="00D9567F">
        <w:trPr>
          <w:trHeight w:val="291"/>
        </w:trPr>
        <w:tc>
          <w:tcPr>
            <w:tcW w:w="280" w:type="pct"/>
            <w:shd w:val="clear" w:color="auto" w:fill="D9D9D9"/>
            <w:vAlign w:val="center"/>
          </w:tcPr>
          <w:p w14:paraId="46187E6D" w14:textId="6C46A24A" w:rsidR="00F01ECE" w:rsidRPr="004D2E7C" w:rsidRDefault="008D35EA" w:rsidP="00F01ECE">
            <w:pPr>
              <w:jc w:val="center"/>
              <w:rPr>
                <w:rFonts w:eastAsia="Times New Roman" w:cs="Times New Roman"/>
                <w:lang w:val="sr-Cyrl-RS"/>
              </w:rPr>
            </w:pPr>
            <w:r>
              <w:rPr>
                <w:rFonts w:eastAsia="Times New Roman" w:cs="Times New Roman"/>
                <w:lang w:val="sr-Latn-RS"/>
              </w:rPr>
              <w:t>3</w:t>
            </w:r>
            <w:r w:rsidR="00F01ECE" w:rsidRPr="004D2E7C">
              <w:rPr>
                <w:rFonts w:eastAsia="Times New Roman" w:cs="Times New Roman"/>
                <w:lang w:val="sr-Cyrl-RS"/>
              </w:rPr>
              <w:t>.(14)</w:t>
            </w:r>
          </w:p>
        </w:tc>
        <w:tc>
          <w:tcPr>
            <w:tcW w:w="1489" w:type="pct"/>
            <w:shd w:val="clear" w:color="auto" w:fill="D9D9D9"/>
            <w:vAlign w:val="center"/>
          </w:tcPr>
          <w:p w14:paraId="46187E6E" w14:textId="2CC7F455" w:rsidR="00F01ECE" w:rsidRPr="004D2E7C" w:rsidRDefault="0099552E" w:rsidP="00F01ECE">
            <w:pPr>
              <w:jc w:val="both"/>
              <w:rPr>
                <w:rFonts w:eastAsia="Times New Roman" w:cs="Times New Roman"/>
                <w:lang w:val="en-GB"/>
              </w:rPr>
            </w:pPr>
            <w:r w:rsidRPr="0099552E">
              <w:rPr>
                <w:rFonts w:eastAsia="Times New Roman" w:cs="Times New Roman"/>
              </w:rPr>
              <w:t>‘</w:t>
            </w:r>
            <w:proofErr w:type="spellStart"/>
            <w:r w:rsidRPr="0099552E">
              <w:rPr>
                <w:rFonts w:eastAsia="Times New Roman" w:cs="Times New Roman"/>
              </w:rPr>
              <w:t>authorised</w:t>
            </w:r>
            <w:proofErr w:type="spellEnd"/>
            <w:r w:rsidRPr="0099552E">
              <w:rPr>
                <w:rFonts w:eastAsia="Times New Roman" w:cs="Times New Roman"/>
              </w:rPr>
              <w:t xml:space="preserve"> representative’ means a natural or legal person established within the Union who has received a written mandate from a manufacturer to act on the manufacturer’s behalf in relation to specified tasks with regard to the manufacturer’s obligations under the requirements of this Regulation;</w:t>
            </w:r>
          </w:p>
        </w:tc>
        <w:tc>
          <w:tcPr>
            <w:tcW w:w="325" w:type="pct"/>
            <w:vAlign w:val="center"/>
          </w:tcPr>
          <w:p w14:paraId="46187E75" w14:textId="4FDEF28B" w:rsidR="00F01ECE" w:rsidRPr="007E1832" w:rsidRDefault="007E1832" w:rsidP="00D9567F">
            <w:pPr>
              <w:jc w:val="center"/>
              <w:rPr>
                <w:rFonts w:cs="Times New Roman"/>
                <w:b/>
                <w:bCs/>
                <w:lang w:val="sr-Cyrl-RS"/>
              </w:rPr>
            </w:pPr>
            <w:r w:rsidRPr="007E1832">
              <w:rPr>
                <w:rFonts w:cs="Times New Roman"/>
                <w:b/>
                <w:bCs/>
                <w:lang w:val="sr-Cyrl-RS"/>
              </w:rPr>
              <w:t>1.3.</w:t>
            </w:r>
            <w:r>
              <w:rPr>
                <w:rFonts w:cs="Times New Roman"/>
                <w:b/>
                <w:bCs/>
                <w:lang w:val="sr-Cyrl-RS"/>
              </w:rPr>
              <w:t>1.</w:t>
            </w:r>
            <w:r w:rsidRPr="007E1832">
              <w:rPr>
                <w:rFonts w:cs="Times New Roman"/>
                <w:b/>
                <w:bCs/>
                <w:lang w:val="sr-Cyrl-RS"/>
              </w:rPr>
              <w:t>20</w:t>
            </w:r>
            <w:r>
              <w:rPr>
                <w:rFonts w:cs="Times New Roman"/>
                <w:b/>
                <w:bCs/>
                <w:lang w:val="sr-Cyrl-RS"/>
              </w:rPr>
              <w:t>)</w:t>
            </w:r>
          </w:p>
        </w:tc>
        <w:tc>
          <w:tcPr>
            <w:tcW w:w="1296" w:type="pct"/>
          </w:tcPr>
          <w:p w14:paraId="46187E78" w14:textId="6466C82E" w:rsidR="00F01ECE" w:rsidRPr="007E1832" w:rsidRDefault="007E1832" w:rsidP="00F01ECE">
            <w:pPr>
              <w:contextualSpacing/>
              <w:jc w:val="both"/>
              <w:rPr>
                <w:rFonts w:eastAsia="Times New Roman" w:cs="Times New Roman"/>
                <w:iCs/>
                <w:lang w:val="sr-Cyrl-RS"/>
              </w:rPr>
            </w:pPr>
            <w:r w:rsidRPr="004D2E7C">
              <w:rPr>
                <w:rFonts w:eastAsia="Times New Roman" w:cs="Times New Roman"/>
                <w:i/>
                <w:lang w:val="sr-Cyrl-RS"/>
              </w:rPr>
              <w:t>заступник</w:t>
            </w:r>
            <w:r w:rsidRPr="004D2E7C">
              <w:rPr>
                <w:rFonts w:eastAsia="Times New Roman" w:cs="Times New Roman"/>
                <w:iCs/>
                <w:lang w:val="sr-Cyrl-RS"/>
              </w:rPr>
              <w:t xml:space="preserve"> је правно лице или предузетник регистрован у Републици Србији, којег је произвођач писмено овластио да за његов рачун предузима радње у вези са стављањем производа на тржиште Републике Србије;</w:t>
            </w:r>
          </w:p>
        </w:tc>
        <w:tc>
          <w:tcPr>
            <w:tcW w:w="235" w:type="pct"/>
            <w:vAlign w:val="center"/>
          </w:tcPr>
          <w:p w14:paraId="46187E79" w14:textId="7CB27D01" w:rsidR="00F01ECE" w:rsidRPr="004D2E7C" w:rsidRDefault="007E1832" w:rsidP="00F01ECE">
            <w:pPr>
              <w:jc w:val="center"/>
              <w:rPr>
                <w:rFonts w:cs="Times New Roman"/>
                <w:lang w:val="sr-Cyrl-RS"/>
              </w:rPr>
            </w:pPr>
            <w:r>
              <w:rPr>
                <w:rFonts w:cs="Times New Roman"/>
                <w:lang w:val="sr-Cyrl-RS"/>
              </w:rPr>
              <w:t>ПУ</w:t>
            </w:r>
          </w:p>
        </w:tc>
        <w:tc>
          <w:tcPr>
            <w:tcW w:w="676" w:type="pct"/>
            <w:vAlign w:val="center"/>
          </w:tcPr>
          <w:p w14:paraId="46187E7A" w14:textId="4B28610A" w:rsidR="00F01ECE" w:rsidRPr="004D2E7C" w:rsidRDefault="00F01ECE" w:rsidP="00F01ECE">
            <w:pPr>
              <w:rPr>
                <w:rFonts w:cs="Times New Roman"/>
                <w:lang w:val="sr-Cyrl-RS"/>
              </w:rPr>
            </w:pPr>
          </w:p>
        </w:tc>
        <w:tc>
          <w:tcPr>
            <w:tcW w:w="699" w:type="pct"/>
            <w:vAlign w:val="center"/>
          </w:tcPr>
          <w:p w14:paraId="46187E7B" w14:textId="4EE574FF" w:rsidR="00F01ECE" w:rsidRPr="004D2E7C" w:rsidRDefault="007E1832" w:rsidP="007A6286">
            <w:pPr>
              <w:rPr>
                <w:rFonts w:cs="Times New Roman"/>
                <w:lang w:val="sr-Cyrl-RS"/>
              </w:rPr>
            </w:pPr>
            <w:r w:rsidRPr="004D2E7C">
              <w:rPr>
                <w:rFonts w:cs="Times New Roman"/>
                <w:lang w:val="sr-Cyrl-RS"/>
              </w:rPr>
              <w:t>У прелазним и завршним одредбама биће уређено да ће се након што Република Србија постане чланица ЕУ ова одредба односити на тржиште ЕУ.</w:t>
            </w:r>
          </w:p>
        </w:tc>
      </w:tr>
      <w:tr w:rsidR="00F01ECE" w:rsidRPr="004D2E7C" w14:paraId="46187E84" w14:textId="77777777" w:rsidTr="00D9567F">
        <w:trPr>
          <w:trHeight w:val="291"/>
        </w:trPr>
        <w:tc>
          <w:tcPr>
            <w:tcW w:w="280" w:type="pct"/>
            <w:shd w:val="clear" w:color="auto" w:fill="D9D9D9"/>
            <w:vAlign w:val="center"/>
          </w:tcPr>
          <w:p w14:paraId="46187E7D" w14:textId="0EE9573D" w:rsidR="00F01ECE" w:rsidRPr="004D2E7C" w:rsidRDefault="00FF25CB" w:rsidP="00F01ECE">
            <w:pPr>
              <w:jc w:val="center"/>
              <w:rPr>
                <w:rFonts w:eastAsia="Times New Roman" w:cs="Times New Roman"/>
                <w:lang w:val="sr-Cyrl-RS"/>
              </w:rPr>
            </w:pPr>
            <w:r>
              <w:rPr>
                <w:rFonts w:eastAsia="Times New Roman" w:cs="Times New Roman"/>
                <w:lang w:val="sr-Latn-RS"/>
              </w:rPr>
              <w:t>3</w:t>
            </w:r>
            <w:r w:rsidR="00F01ECE" w:rsidRPr="004D2E7C">
              <w:rPr>
                <w:rFonts w:eastAsia="Times New Roman" w:cs="Times New Roman"/>
                <w:lang w:val="sr-Cyrl-RS"/>
              </w:rPr>
              <w:t>.(15)</w:t>
            </w:r>
          </w:p>
        </w:tc>
        <w:tc>
          <w:tcPr>
            <w:tcW w:w="1489" w:type="pct"/>
            <w:shd w:val="clear" w:color="auto" w:fill="D9D9D9"/>
            <w:vAlign w:val="center"/>
          </w:tcPr>
          <w:p w14:paraId="46187E7E" w14:textId="69C514AD" w:rsidR="00F01ECE" w:rsidRPr="004D2E7C" w:rsidRDefault="00320A22" w:rsidP="00F01ECE">
            <w:pPr>
              <w:jc w:val="both"/>
              <w:rPr>
                <w:rFonts w:eastAsia="Times New Roman" w:cs="Times New Roman"/>
                <w:lang w:val="en-GB"/>
              </w:rPr>
            </w:pPr>
            <w:r w:rsidRPr="00320A22">
              <w:rPr>
                <w:rFonts w:eastAsia="Times New Roman" w:cs="Times New Roman"/>
              </w:rPr>
              <w:t xml:space="preserve">‘supplier’ means a manufacturer established in the Union, an </w:t>
            </w:r>
            <w:r w:rsidR="005B25F2">
              <w:rPr>
                <w:rFonts w:eastAsia="Times New Roman" w:cs="Times New Roman"/>
              </w:rPr>
              <w:pgNum/>
            </w:r>
            <w:proofErr w:type="spellStart"/>
            <w:r w:rsidR="005B25F2">
              <w:rPr>
                <w:rFonts w:eastAsia="Times New Roman" w:cs="Times New Roman"/>
              </w:rPr>
              <w:t>uthorized</w:t>
            </w:r>
            <w:proofErr w:type="spellEnd"/>
            <w:r w:rsidRPr="00320A22">
              <w:rPr>
                <w:rFonts w:eastAsia="Times New Roman" w:cs="Times New Roman"/>
              </w:rPr>
              <w:t xml:space="preserve"> representative of a manufacturer who is not established in the Union, or an importer, who places a product on the Union market;</w:t>
            </w:r>
          </w:p>
        </w:tc>
        <w:tc>
          <w:tcPr>
            <w:tcW w:w="325" w:type="pct"/>
            <w:vAlign w:val="center"/>
          </w:tcPr>
          <w:p w14:paraId="46187E7F" w14:textId="5F5DBAC3" w:rsidR="00F01ECE" w:rsidRPr="007A6286" w:rsidRDefault="007A6286" w:rsidP="00D9567F">
            <w:pPr>
              <w:jc w:val="center"/>
              <w:rPr>
                <w:rFonts w:cs="Times New Roman"/>
                <w:b/>
                <w:bCs/>
                <w:lang w:val="sr-Cyrl-RS"/>
              </w:rPr>
            </w:pPr>
            <w:r w:rsidRPr="007A6286">
              <w:rPr>
                <w:rFonts w:cs="Times New Roman"/>
                <w:b/>
                <w:bCs/>
                <w:lang w:val="sr-Cyrl-RS"/>
              </w:rPr>
              <w:t>1.3.1.27)</w:t>
            </w:r>
          </w:p>
        </w:tc>
        <w:tc>
          <w:tcPr>
            <w:tcW w:w="1296" w:type="pct"/>
            <w:vAlign w:val="center"/>
          </w:tcPr>
          <w:p w14:paraId="46187E80" w14:textId="432CCE39" w:rsidR="00F01ECE" w:rsidRPr="007A6286" w:rsidRDefault="007A6286" w:rsidP="007A6286">
            <w:pPr>
              <w:jc w:val="both"/>
              <w:rPr>
                <w:rFonts w:eastAsia="Times New Roman" w:cs="Times New Roman"/>
                <w:iCs/>
                <w:lang w:val="sr-Cyrl-RS"/>
              </w:rPr>
            </w:pPr>
            <w:r w:rsidRPr="004D2E7C">
              <w:rPr>
                <w:rFonts w:eastAsia="Times New Roman" w:cs="Times New Roman"/>
                <w:i/>
                <w:lang w:val="sr-Cyrl-RS"/>
              </w:rPr>
              <w:t>испоручилац производа</w:t>
            </w:r>
            <w:r w:rsidRPr="004D2E7C">
              <w:rPr>
                <w:rFonts w:eastAsia="Times New Roman" w:cs="Times New Roman"/>
                <w:iCs/>
                <w:lang w:val="sr-Cyrl-RS"/>
              </w:rPr>
              <w:t xml:space="preserve"> је произвођач или његов заступник или увозник који ставља производ који утиче на потрошњу енергије на тржиште Републике Србије;</w:t>
            </w:r>
          </w:p>
        </w:tc>
        <w:tc>
          <w:tcPr>
            <w:tcW w:w="235" w:type="pct"/>
            <w:vAlign w:val="center"/>
          </w:tcPr>
          <w:p w14:paraId="46187E81" w14:textId="2233E7D8" w:rsidR="00F01ECE" w:rsidRPr="004D2E7C" w:rsidRDefault="007A6286" w:rsidP="00F01ECE">
            <w:pPr>
              <w:jc w:val="center"/>
              <w:rPr>
                <w:rFonts w:cs="Times New Roman"/>
                <w:lang w:val="sr-Cyrl-RS"/>
              </w:rPr>
            </w:pPr>
            <w:r>
              <w:rPr>
                <w:rFonts w:cs="Times New Roman"/>
                <w:lang w:val="sr-Cyrl-RS"/>
              </w:rPr>
              <w:t>ПУ</w:t>
            </w:r>
          </w:p>
        </w:tc>
        <w:tc>
          <w:tcPr>
            <w:tcW w:w="676" w:type="pct"/>
          </w:tcPr>
          <w:p w14:paraId="46187E82" w14:textId="77777777" w:rsidR="00F01ECE" w:rsidRPr="004D2E7C" w:rsidRDefault="00F01ECE" w:rsidP="00F01ECE">
            <w:pPr>
              <w:rPr>
                <w:rFonts w:cs="Times New Roman"/>
                <w:lang w:val="sr-Cyrl-RS"/>
              </w:rPr>
            </w:pPr>
          </w:p>
        </w:tc>
        <w:tc>
          <w:tcPr>
            <w:tcW w:w="699" w:type="pct"/>
            <w:vAlign w:val="center"/>
          </w:tcPr>
          <w:p w14:paraId="46187E83" w14:textId="348931BD" w:rsidR="00F01ECE" w:rsidRPr="004D2E7C" w:rsidRDefault="007A6286" w:rsidP="007A6286">
            <w:pPr>
              <w:rPr>
                <w:rFonts w:cs="Times New Roman"/>
                <w:lang w:val="sr-Cyrl-RS"/>
              </w:rPr>
            </w:pPr>
            <w:r w:rsidRPr="004D2E7C">
              <w:rPr>
                <w:rFonts w:cs="Times New Roman"/>
                <w:lang w:val="sr-Cyrl-RS"/>
              </w:rPr>
              <w:t>У прелазним и завршним одредбама биће уређено да ће се након што Република Србија постане чланица ЕУ ова одредба односити на тржиште ЕУ.</w:t>
            </w:r>
          </w:p>
        </w:tc>
      </w:tr>
      <w:tr w:rsidR="00F01ECE" w:rsidRPr="004D2E7C" w14:paraId="46187E97" w14:textId="77777777" w:rsidTr="00D9567F">
        <w:trPr>
          <w:trHeight w:val="291"/>
        </w:trPr>
        <w:tc>
          <w:tcPr>
            <w:tcW w:w="280" w:type="pct"/>
            <w:shd w:val="clear" w:color="auto" w:fill="D9D9D9"/>
            <w:vAlign w:val="center"/>
          </w:tcPr>
          <w:p w14:paraId="46187E85" w14:textId="16DE4151" w:rsidR="00F01ECE" w:rsidRPr="004D2E7C" w:rsidRDefault="00FF25CB" w:rsidP="00F01ECE">
            <w:pPr>
              <w:jc w:val="center"/>
              <w:rPr>
                <w:rFonts w:eastAsia="Times New Roman" w:cs="Times New Roman"/>
                <w:lang w:val="sr-Cyrl-RS"/>
              </w:rPr>
            </w:pPr>
            <w:r>
              <w:rPr>
                <w:rFonts w:eastAsia="Times New Roman" w:cs="Times New Roman"/>
                <w:lang w:val="sr-Latn-RS"/>
              </w:rPr>
              <w:t>3</w:t>
            </w:r>
            <w:r w:rsidR="00F01ECE" w:rsidRPr="004D2E7C">
              <w:rPr>
                <w:rFonts w:eastAsia="Times New Roman" w:cs="Times New Roman"/>
                <w:lang w:val="sr-Cyrl-RS"/>
              </w:rPr>
              <w:t>.(16)</w:t>
            </w:r>
          </w:p>
        </w:tc>
        <w:tc>
          <w:tcPr>
            <w:tcW w:w="1489" w:type="pct"/>
            <w:shd w:val="clear" w:color="auto" w:fill="D9D9D9"/>
            <w:vAlign w:val="center"/>
          </w:tcPr>
          <w:p w14:paraId="46187E86" w14:textId="7F79206A" w:rsidR="00F01ECE" w:rsidRPr="004D2E7C" w:rsidRDefault="00320A22" w:rsidP="00F01ECE">
            <w:pPr>
              <w:jc w:val="both"/>
              <w:rPr>
                <w:rFonts w:eastAsia="Times New Roman" w:cs="Times New Roman"/>
                <w:lang w:val="en-GB"/>
              </w:rPr>
            </w:pPr>
            <w:r w:rsidRPr="00320A22">
              <w:rPr>
                <w:rFonts w:eastAsia="Times New Roman" w:cs="Times New Roman"/>
              </w:rPr>
              <w:t>‘distributor’ means a natural or legal person in the supply chain, other than the supplier, who makes a product available on the market;</w:t>
            </w:r>
          </w:p>
        </w:tc>
        <w:tc>
          <w:tcPr>
            <w:tcW w:w="325" w:type="pct"/>
            <w:vAlign w:val="center"/>
          </w:tcPr>
          <w:p w14:paraId="46187E8F" w14:textId="77777777" w:rsidR="00F01ECE" w:rsidRPr="004D2E7C" w:rsidRDefault="00F01ECE" w:rsidP="00D9567F">
            <w:pPr>
              <w:jc w:val="center"/>
              <w:rPr>
                <w:rFonts w:cs="Times New Roman"/>
                <w:lang w:val="sr-Cyrl-RS"/>
              </w:rPr>
            </w:pPr>
          </w:p>
        </w:tc>
        <w:tc>
          <w:tcPr>
            <w:tcW w:w="1296" w:type="pct"/>
          </w:tcPr>
          <w:p w14:paraId="46187E93" w14:textId="47AB6AE2" w:rsidR="00F01ECE" w:rsidRPr="004D2E7C" w:rsidRDefault="00F01ECE" w:rsidP="00F01ECE">
            <w:pPr>
              <w:spacing w:after="120"/>
              <w:jc w:val="both"/>
              <w:rPr>
                <w:rFonts w:cs="Times New Roman"/>
                <w:lang w:val="sr-Cyrl-RS"/>
              </w:rPr>
            </w:pPr>
          </w:p>
        </w:tc>
        <w:tc>
          <w:tcPr>
            <w:tcW w:w="235" w:type="pct"/>
            <w:vAlign w:val="center"/>
          </w:tcPr>
          <w:p w14:paraId="46187E94" w14:textId="39AD5D7D" w:rsidR="00F01ECE" w:rsidRPr="004D2E7C" w:rsidRDefault="00441DEB" w:rsidP="00F01ECE">
            <w:pPr>
              <w:jc w:val="center"/>
              <w:rPr>
                <w:rFonts w:cs="Times New Roman"/>
                <w:lang w:val="sr-Cyrl-RS"/>
              </w:rPr>
            </w:pPr>
            <w:r>
              <w:rPr>
                <w:rFonts w:cs="Times New Roman"/>
                <w:lang w:val="sr-Cyrl-RS"/>
              </w:rPr>
              <w:t>НУ</w:t>
            </w:r>
          </w:p>
        </w:tc>
        <w:tc>
          <w:tcPr>
            <w:tcW w:w="676" w:type="pct"/>
          </w:tcPr>
          <w:p w14:paraId="46187E95" w14:textId="77777777" w:rsidR="00F01ECE" w:rsidRPr="004D2E7C" w:rsidRDefault="00F01ECE" w:rsidP="00F01ECE">
            <w:pPr>
              <w:rPr>
                <w:rFonts w:cs="Times New Roman"/>
                <w:lang w:val="sr-Cyrl-RS"/>
              </w:rPr>
            </w:pPr>
          </w:p>
        </w:tc>
        <w:tc>
          <w:tcPr>
            <w:tcW w:w="699" w:type="pct"/>
            <w:vAlign w:val="center"/>
          </w:tcPr>
          <w:p w14:paraId="46187E96" w14:textId="67F02C9E" w:rsidR="00F01ECE" w:rsidRPr="004D2E7C" w:rsidRDefault="007A6286" w:rsidP="007A6286">
            <w:pPr>
              <w:rPr>
                <w:rFonts w:cs="Times New Roman"/>
                <w:lang w:val="sr-Cyrl-RS"/>
              </w:rPr>
            </w:pPr>
            <w:r w:rsidRPr="00883344">
              <w:rPr>
                <w:rFonts w:cs="Times New Roman"/>
                <w:lang w:val="sr-Cyrl-RS"/>
              </w:rPr>
              <w:t xml:space="preserve">Усклађеност ће бити постигнута </w:t>
            </w:r>
            <w:r>
              <w:rPr>
                <w:rFonts w:cs="Times New Roman"/>
                <w:lang w:val="sr-Cyrl-RS"/>
              </w:rPr>
              <w:t>кроз по</w:t>
            </w:r>
            <w:r w:rsidRPr="00883344">
              <w:rPr>
                <w:rFonts w:cs="Times New Roman"/>
                <w:lang w:val="sr-Cyrl-RS"/>
              </w:rPr>
              <w:t>дзаконск</w:t>
            </w:r>
            <w:r>
              <w:rPr>
                <w:rFonts w:cs="Times New Roman"/>
                <w:lang w:val="sr-Cyrl-RS"/>
              </w:rPr>
              <w:t xml:space="preserve">а </w:t>
            </w:r>
            <w:r w:rsidRPr="00883344">
              <w:rPr>
                <w:rFonts w:cs="Times New Roman"/>
                <w:lang w:val="sr-Cyrl-RS"/>
              </w:rPr>
              <w:t>акта и техничк</w:t>
            </w:r>
            <w:r>
              <w:rPr>
                <w:rFonts w:cs="Times New Roman"/>
                <w:lang w:val="sr-Cyrl-RS"/>
              </w:rPr>
              <w:t>е</w:t>
            </w:r>
            <w:r w:rsidRPr="00883344">
              <w:rPr>
                <w:rFonts w:cs="Times New Roman"/>
                <w:lang w:val="sr-Cyrl-RS"/>
              </w:rPr>
              <w:t xml:space="preserve"> пропис</w:t>
            </w:r>
            <w:r>
              <w:rPr>
                <w:rFonts w:cs="Times New Roman"/>
                <w:lang w:val="sr-Cyrl-RS"/>
              </w:rPr>
              <w:t>е</w:t>
            </w:r>
            <w:r w:rsidRPr="00883344">
              <w:rPr>
                <w:rFonts w:cs="Times New Roman"/>
                <w:lang w:val="sr-Cyrl-RS"/>
              </w:rPr>
              <w:t>.</w:t>
            </w:r>
          </w:p>
        </w:tc>
      </w:tr>
      <w:tr w:rsidR="00F01ECE" w:rsidRPr="004D2E7C" w14:paraId="46187EA0" w14:textId="77777777" w:rsidTr="00D9567F">
        <w:trPr>
          <w:trHeight w:val="291"/>
        </w:trPr>
        <w:tc>
          <w:tcPr>
            <w:tcW w:w="280" w:type="pct"/>
            <w:shd w:val="clear" w:color="auto" w:fill="D9D9D9"/>
            <w:vAlign w:val="center"/>
          </w:tcPr>
          <w:p w14:paraId="46187E98" w14:textId="2D23AED5" w:rsidR="00F01ECE" w:rsidRPr="004D2E7C" w:rsidRDefault="00FF25CB" w:rsidP="00F01ECE">
            <w:pPr>
              <w:jc w:val="center"/>
              <w:rPr>
                <w:rFonts w:eastAsia="Times New Roman" w:cs="Times New Roman"/>
                <w:lang w:val="sr-Cyrl-RS"/>
              </w:rPr>
            </w:pPr>
            <w:r>
              <w:rPr>
                <w:rFonts w:eastAsia="Times New Roman" w:cs="Times New Roman"/>
                <w:lang w:val="sr-Latn-RS"/>
              </w:rPr>
              <w:t>3</w:t>
            </w:r>
            <w:r w:rsidR="00F01ECE" w:rsidRPr="004D2E7C">
              <w:rPr>
                <w:rFonts w:eastAsia="Times New Roman" w:cs="Times New Roman"/>
                <w:lang w:val="sr-Cyrl-RS"/>
              </w:rPr>
              <w:t>.(17)</w:t>
            </w:r>
          </w:p>
        </w:tc>
        <w:tc>
          <w:tcPr>
            <w:tcW w:w="1489" w:type="pct"/>
            <w:shd w:val="clear" w:color="auto" w:fill="D9D9D9"/>
            <w:vAlign w:val="center"/>
          </w:tcPr>
          <w:p w14:paraId="46187E99" w14:textId="156ECA8B" w:rsidR="00F01ECE" w:rsidRPr="004D2E7C" w:rsidRDefault="00320A22" w:rsidP="00F01ECE">
            <w:pPr>
              <w:jc w:val="both"/>
              <w:rPr>
                <w:rFonts w:eastAsia="Times New Roman" w:cs="Times New Roman"/>
                <w:lang w:val="en-GB"/>
              </w:rPr>
            </w:pPr>
            <w:r w:rsidRPr="00320A22">
              <w:rPr>
                <w:rFonts w:eastAsia="Times New Roman" w:cs="Times New Roman"/>
              </w:rPr>
              <w:t>‘making available on the market’ means making available on the market as defined in point (1) of Article 3 of Regulation (EU) 2019/1020;</w:t>
            </w:r>
          </w:p>
        </w:tc>
        <w:tc>
          <w:tcPr>
            <w:tcW w:w="325" w:type="pct"/>
            <w:vAlign w:val="center"/>
          </w:tcPr>
          <w:p w14:paraId="46187E9A" w14:textId="6EEE5F50" w:rsidR="00F01ECE" w:rsidRPr="004D2E7C" w:rsidRDefault="007E1832" w:rsidP="00D9567F">
            <w:pPr>
              <w:jc w:val="center"/>
              <w:rPr>
                <w:rFonts w:cs="Times New Roman"/>
                <w:b/>
                <w:bCs/>
                <w:lang w:val="sr-Cyrl-RS"/>
              </w:rPr>
            </w:pPr>
            <w:r>
              <w:rPr>
                <w:rFonts w:cs="Times New Roman"/>
                <w:b/>
                <w:bCs/>
                <w:lang w:val="sr-Cyrl-RS"/>
              </w:rPr>
              <w:t>1.3.1.25)</w:t>
            </w:r>
          </w:p>
        </w:tc>
        <w:tc>
          <w:tcPr>
            <w:tcW w:w="1296" w:type="pct"/>
            <w:vAlign w:val="center"/>
          </w:tcPr>
          <w:p w14:paraId="46187E9C" w14:textId="370B9198" w:rsidR="00F01ECE" w:rsidRPr="00F01ECE" w:rsidRDefault="007E1832" w:rsidP="007E1832">
            <w:pPr>
              <w:spacing w:after="120"/>
              <w:jc w:val="both"/>
              <w:rPr>
                <w:rFonts w:eastAsia="Times New Roman" w:cs="Times New Roman"/>
                <w:iCs/>
                <w:lang w:val="sr-Cyrl-RS"/>
              </w:rPr>
            </w:pPr>
            <w:r w:rsidRPr="006B3660">
              <w:rPr>
                <w:i/>
                <w:color w:val="000000" w:themeColor="text1"/>
                <w:lang w:val="sr-Cyrl-RS"/>
              </w:rPr>
              <w:t>испорука производа на тржиште</w:t>
            </w:r>
            <w:r w:rsidRPr="006B3660">
              <w:rPr>
                <w:iCs/>
                <w:color w:val="000000" w:themeColor="text1"/>
                <w:lang w:val="sr-Cyrl-RS"/>
              </w:rPr>
              <w:t xml:space="preserve"> је свако чињење доступним производа који утиче на потрошњу енергије, на тржишту Републике Србије ради дистрибуције, потрошње или употребе, у оквиру </w:t>
            </w:r>
            <w:r w:rsidRPr="006B3660">
              <w:rPr>
                <w:iCs/>
                <w:color w:val="000000" w:themeColor="text1"/>
                <w:lang w:val="sr-Cyrl-RS"/>
              </w:rPr>
              <w:lastRenderedPageBreak/>
              <w:t>привредне делатности, са или без накнаде;</w:t>
            </w:r>
          </w:p>
        </w:tc>
        <w:tc>
          <w:tcPr>
            <w:tcW w:w="235" w:type="pct"/>
            <w:vAlign w:val="center"/>
          </w:tcPr>
          <w:p w14:paraId="46187E9D" w14:textId="19392DF5" w:rsidR="00F01ECE" w:rsidRPr="004D2E7C" w:rsidRDefault="007E1832" w:rsidP="00F01ECE">
            <w:pPr>
              <w:jc w:val="center"/>
              <w:rPr>
                <w:rFonts w:cs="Times New Roman"/>
                <w:lang w:val="sr-Cyrl-RS"/>
              </w:rPr>
            </w:pPr>
            <w:r>
              <w:rPr>
                <w:rFonts w:cs="Times New Roman"/>
                <w:lang w:val="sr-Cyrl-RS"/>
              </w:rPr>
              <w:lastRenderedPageBreak/>
              <w:t>ПУ</w:t>
            </w:r>
          </w:p>
        </w:tc>
        <w:tc>
          <w:tcPr>
            <w:tcW w:w="676" w:type="pct"/>
          </w:tcPr>
          <w:p w14:paraId="46187E9E" w14:textId="77777777" w:rsidR="00F01ECE" w:rsidRPr="004D2E7C" w:rsidRDefault="00F01ECE" w:rsidP="00F01ECE">
            <w:pPr>
              <w:rPr>
                <w:rFonts w:cs="Times New Roman"/>
                <w:lang w:val="sr-Cyrl-RS"/>
              </w:rPr>
            </w:pPr>
          </w:p>
        </w:tc>
        <w:tc>
          <w:tcPr>
            <w:tcW w:w="699" w:type="pct"/>
            <w:vAlign w:val="center"/>
          </w:tcPr>
          <w:p w14:paraId="46187E9F" w14:textId="7736452B" w:rsidR="00F01ECE" w:rsidRPr="004D2E7C" w:rsidRDefault="007E1832" w:rsidP="007A6286">
            <w:pPr>
              <w:rPr>
                <w:rFonts w:cs="Times New Roman"/>
                <w:lang w:val="sr-Cyrl-RS"/>
              </w:rPr>
            </w:pPr>
            <w:r w:rsidRPr="004D2E7C">
              <w:rPr>
                <w:rFonts w:cs="Times New Roman"/>
                <w:lang w:val="sr-Cyrl-RS"/>
              </w:rPr>
              <w:t xml:space="preserve">У прелазним и завршним одредбама биће уређено да ће се након што Република Србија постане </w:t>
            </w:r>
            <w:r w:rsidRPr="004D2E7C">
              <w:rPr>
                <w:rFonts w:cs="Times New Roman"/>
                <w:lang w:val="sr-Cyrl-RS"/>
              </w:rPr>
              <w:lastRenderedPageBreak/>
              <w:t>чланица ЕУ ова одредба односити на тржиште ЕУ.</w:t>
            </w:r>
          </w:p>
        </w:tc>
      </w:tr>
      <w:tr w:rsidR="00F01ECE" w:rsidRPr="004D2E7C" w14:paraId="46187EA9" w14:textId="77777777" w:rsidTr="00D9567F">
        <w:trPr>
          <w:trHeight w:val="291"/>
        </w:trPr>
        <w:tc>
          <w:tcPr>
            <w:tcW w:w="280" w:type="pct"/>
            <w:shd w:val="clear" w:color="auto" w:fill="D9D9D9"/>
            <w:vAlign w:val="center"/>
          </w:tcPr>
          <w:p w14:paraId="46187EA1" w14:textId="376FC347" w:rsidR="00F01ECE" w:rsidRPr="004D2E7C" w:rsidRDefault="00FF25CB" w:rsidP="00F01ECE">
            <w:pPr>
              <w:jc w:val="center"/>
              <w:rPr>
                <w:rFonts w:eastAsia="Times New Roman" w:cs="Times New Roman"/>
                <w:lang w:val="sr-Cyrl-RS"/>
              </w:rPr>
            </w:pPr>
            <w:r>
              <w:rPr>
                <w:rFonts w:eastAsia="Times New Roman" w:cs="Times New Roman"/>
                <w:lang w:val="sr-Latn-RS"/>
              </w:rPr>
              <w:lastRenderedPageBreak/>
              <w:t>3</w:t>
            </w:r>
            <w:r w:rsidR="00F01ECE" w:rsidRPr="004D2E7C">
              <w:rPr>
                <w:rFonts w:eastAsia="Times New Roman" w:cs="Times New Roman"/>
                <w:lang w:val="sr-Cyrl-RS"/>
              </w:rPr>
              <w:t>.(18)</w:t>
            </w:r>
          </w:p>
        </w:tc>
        <w:tc>
          <w:tcPr>
            <w:tcW w:w="1489" w:type="pct"/>
            <w:shd w:val="clear" w:color="auto" w:fill="D9D9D9"/>
            <w:vAlign w:val="center"/>
          </w:tcPr>
          <w:p w14:paraId="46187EA2" w14:textId="653D8B18" w:rsidR="00F01ECE" w:rsidRPr="004D2E7C" w:rsidRDefault="00453722" w:rsidP="00F01ECE">
            <w:pPr>
              <w:jc w:val="both"/>
              <w:rPr>
                <w:rFonts w:eastAsia="Times New Roman" w:cs="Times New Roman"/>
                <w:lang w:val="en-GB"/>
              </w:rPr>
            </w:pPr>
            <w:r w:rsidRPr="00453722">
              <w:rPr>
                <w:rFonts w:eastAsia="Times New Roman" w:cs="Times New Roman"/>
              </w:rPr>
              <w:t>‘placing on the market’ means placing on the market as defined in point (2) of Article 3 of Regulation (EU) 2019/1020;</w:t>
            </w:r>
          </w:p>
        </w:tc>
        <w:tc>
          <w:tcPr>
            <w:tcW w:w="325" w:type="pct"/>
            <w:vAlign w:val="center"/>
          </w:tcPr>
          <w:p w14:paraId="46187EA3" w14:textId="493AEB1F" w:rsidR="00F01ECE" w:rsidRPr="007E1832" w:rsidRDefault="007E1832" w:rsidP="00D9567F">
            <w:pPr>
              <w:jc w:val="center"/>
              <w:rPr>
                <w:rFonts w:cs="Times New Roman"/>
                <w:b/>
                <w:bCs/>
                <w:lang w:val="sr-Cyrl-RS"/>
              </w:rPr>
            </w:pPr>
            <w:r w:rsidRPr="007E1832">
              <w:rPr>
                <w:rFonts w:cs="Times New Roman"/>
                <w:b/>
                <w:bCs/>
                <w:lang w:val="sr-Cyrl-RS"/>
              </w:rPr>
              <w:t>1.3.1.69)</w:t>
            </w:r>
          </w:p>
        </w:tc>
        <w:tc>
          <w:tcPr>
            <w:tcW w:w="1296" w:type="pct"/>
            <w:vAlign w:val="center"/>
          </w:tcPr>
          <w:p w14:paraId="46187EA5" w14:textId="0B1012C8" w:rsidR="00F01ECE" w:rsidRPr="004D2E7C" w:rsidRDefault="007E1832" w:rsidP="007E1832">
            <w:pPr>
              <w:spacing w:after="120"/>
              <w:jc w:val="both"/>
              <w:rPr>
                <w:rFonts w:cs="Times New Roman"/>
                <w:lang w:val="sr-Cyrl-RS"/>
              </w:rPr>
            </w:pPr>
            <w:r w:rsidRPr="006B3660">
              <w:rPr>
                <w:i/>
                <w:color w:val="000000" w:themeColor="text1"/>
                <w:lang w:val="sr-Cyrl-RS"/>
              </w:rPr>
              <w:t>стављање на тржиште</w:t>
            </w:r>
            <w:r w:rsidRPr="006B3660">
              <w:rPr>
                <w:iCs/>
                <w:color w:val="000000" w:themeColor="text1"/>
                <w:lang w:val="sr-Cyrl-RS"/>
              </w:rPr>
              <w:t xml:space="preserve"> је прва испорука производа на тржиште Републике Србије са циљем његове дистрибуције или употребе уз наплату или бесплатно, без обзира на начин продаје</w:t>
            </w:r>
          </w:p>
        </w:tc>
        <w:tc>
          <w:tcPr>
            <w:tcW w:w="235" w:type="pct"/>
            <w:vAlign w:val="center"/>
          </w:tcPr>
          <w:p w14:paraId="46187EA6" w14:textId="5CCDDFB4" w:rsidR="00F01ECE" w:rsidRPr="004D2E7C" w:rsidRDefault="007E1832" w:rsidP="00F01ECE">
            <w:pPr>
              <w:jc w:val="center"/>
              <w:rPr>
                <w:rFonts w:cs="Times New Roman"/>
                <w:lang w:val="sr-Cyrl-RS"/>
              </w:rPr>
            </w:pPr>
            <w:r>
              <w:rPr>
                <w:rFonts w:cs="Times New Roman"/>
                <w:lang w:val="sr-Cyrl-RS"/>
              </w:rPr>
              <w:t>ПУ</w:t>
            </w:r>
          </w:p>
        </w:tc>
        <w:tc>
          <w:tcPr>
            <w:tcW w:w="676" w:type="pct"/>
          </w:tcPr>
          <w:p w14:paraId="46187EA7" w14:textId="77777777" w:rsidR="00F01ECE" w:rsidRPr="004D2E7C" w:rsidRDefault="00F01ECE" w:rsidP="00F01ECE">
            <w:pPr>
              <w:rPr>
                <w:rFonts w:cs="Times New Roman"/>
                <w:lang w:val="sr-Cyrl-RS"/>
              </w:rPr>
            </w:pPr>
          </w:p>
        </w:tc>
        <w:tc>
          <w:tcPr>
            <w:tcW w:w="699" w:type="pct"/>
            <w:vAlign w:val="center"/>
          </w:tcPr>
          <w:p w14:paraId="46187EA8" w14:textId="461C1853" w:rsidR="00F01ECE" w:rsidRPr="004D2E7C" w:rsidRDefault="007E1832" w:rsidP="007A6286">
            <w:pPr>
              <w:rPr>
                <w:rFonts w:cs="Times New Roman"/>
                <w:lang w:val="sr-Cyrl-RS"/>
              </w:rPr>
            </w:pPr>
            <w:r w:rsidRPr="004D2E7C">
              <w:rPr>
                <w:rFonts w:cs="Times New Roman"/>
                <w:lang w:val="sr-Cyrl-RS"/>
              </w:rPr>
              <w:t>У прелазним и завршним одредбама биће уређено да ће се након што Република Србија постане чланица ЕУ ова одредба односити на тржиште ЕУ.</w:t>
            </w:r>
          </w:p>
        </w:tc>
      </w:tr>
      <w:tr w:rsidR="007A6286" w:rsidRPr="004D2E7C" w14:paraId="46187EB3" w14:textId="77777777" w:rsidTr="00D9567F">
        <w:trPr>
          <w:trHeight w:val="291"/>
        </w:trPr>
        <w:tc>
          <w:tcPr>
            <w:tcW w:w="280" w:type="pct"/>
            <w:shd w:val="clear" w:color="auto" w:fill="D9D9D9"/>
            <w:vAlign w:val="center"/>
          </w:tcPr>
          <w:p w14:paraId="46187EAA" w14:textId="5FB3301B" w:rsidR="007A6286" w:rsidRPr="004D2E7C" w:rsidRDefault="007A6286" w:rsidP="007A6286">
            <w:pPr>
              <w:jc w:val="center"/>
              <w:rPr>
                <w:rFonts w:eastAsia="Times New Roman" w:cs="Times New Roman"/>
                <w:lang w:val="sr-Cyrl-RS"/>
              </w:rPr>
            </w:pPr>
            <w:r>
              <w:rPr>
                <w:rFonts w:eastAsia="Times New Roman" w:cs="Times New Roman"/>
                <w:lang w:val="sr-Latn-RS"/>
              </w:rPr>
              <w:t>3</w:t>
            </w:r>
            <w:r w:rsidRPr="004D2E7C">
              <w:rPr>
                <w:rFonts w:eastAsia="Times New Roman" w:cs="Times New Roman"/>
                <w:lang w:val="sr-Cyrl-RS"/>
              </w:rPr>
              <w:t>.(19)</w:t>
            </w:r>
          </w:p>
        </w:tc>
        <w:tc>
          <w:tcPr>
            <w:tcW w:w="1489" w:type="pct"/>
            <w:shd w:val="clear" w:color="auto" w:fill="D9D9D9"/>
            <w:vAlign w:val="center"/>
          </w:tcPr>
          <w:p w14:paraId="46187EAB" w14:textId="014A58A5" w:rsidR="007A6286" w:rsidRPr="004D2E7C" w:rsidRDefault="007A6286" w:rsidP="007A6286">
            <w:pPr>
              <w:jc w:val="both"/>
              <w:rPr>
                <w:rFonts w:eastAsia="Times New Roman" w:cs="Times New Roman"/>
                <w:lang w:val="en-GB"/>
              </w:rPr>
            </w:pPr>
            <w:r w:rsidRPr="00453722">
              <w:rPr>
                <w:rFonts w:eastAsia="Times New Roman" w:cs="Times New Roman"/>
              </w:rPr>
              <w:t xml:space="preserve">‘end-user’ means a consumer, fleet manager or road transport undertaking that buys or is expected to buy a </w:t>
            </w:r>
            <w:proofErr w:type="spellStart"/>
            <w:r w:rsidRPr="00453722">
              <w:rPr>
                <w:rFonts w:eastAsia="Times New Roman" w:cs="Times New Roman"/>
              </w:rPr>
              <w:t>tyre</w:t>
            </w:r>
            <w:proofErr w:type="spellEnd"/>
            <w:r w:rsidRPr="00453722">
              <w:rPr>
                <w:rFonts w:eastAsia="Times New Roman" w:cs="Times New Roman"/>
              </w:rPr>
              <w:t>;</w:t>
            </w:r>
          </w:p>
        </w:tc>
        <w:tc>
          <w:tcPr>
            <w:tcW w:w="325" w:type="pct"/>
            <w:vAlign w:val="center"/>
          </w:tcPr>
          <w:p w14:paraId="46187EAD" w14:textId="77777777" w:rsidR="007A6286" w:rsidRPr="004D2E7C" w:rsidRDefault="007A6286" w:rsidP="00D9567F">
            <w:pPr>
              <w:jc w:val="center"/>
              <w:rPr>
                <w:rFonts w:cs="Times New Roman"/>
                <w:lang w:val="sr-Cyrl-RS"/>
              </w:rPr>
            </w:pPr>
          </w:p>
        </w:tc>
        <w:tc>
          <w:tcPr>
            <w:tcW w:w="1296" w:type="pct"/>
          </w:tcPr>
          <w:p w14:paraId="46187EAF" w14:textId="118AD8A5" w:rsidR="007A6286" w:rsidRPr="004D2E7C" w:rsidRDefault="007A6286" w:rsidP="007A6286">
            <w:pPr>
              <w:contextualSpacing/>
              <w:jc w:val="both"/>
              <w:rPr>
                <w:rFonts w:eastAsia="Times New Roman" w:cs="Times New Roman"/>
                <w:lang w:val="sr-Cyrl-RS"/>
              </w:rPr>
            </w:pPr>
          </w:p>
        </w:tc>
        <w:tc>
          <w:tcPr>
            <w:tcW w:w="235" w:type="pct"/>
            <w:vAlign w:val="center"/>
          </w:tcPr>
          <w:p w14:paraId="46187EB0" w14:textId="507D0306" w:rsidR="007A6286" w:rsidRPr="004D2E7C" w:rsidRDefault="00441DEB" w:rsidP="007A6286">
            <w:pPr>
              <w:jc w:val="center"/>
              <w:rPr>
                <w:rFonts w:cs="Times New Roman"/>
                <w:lang w:val="sr-Cyrl-RS"/>
              </w:rPr>
            </w:pPr>
            <w:r>
              <w:rPr>
                <w:rFonts w:cs="Times New Roman"/>
                <w:lang w:val="sr-Cyrl-RS"/>
              </w:rPr>
              <w:t>НУ</w:t>
            </w:r>
          </w:p>
        </w:tc>
        <w:tc>
          <w:tcPr>
            <w:tcW w:w="676" w:type="pct"/>
          </w:tcPr>
          <w:p w14:paraId="46187EB1" w14:textId="77777777" w:rsidR="007A6286" w:rsidRPr="004D2E7C" w:rsidRDefault="007A6286" w:rsidP="007A6286">
            <w:pPr>
              <w:rPr>
                <w:rFonts w:cs="Times New Roman"/>
                <w:lang w:val="sr-Cyrl-RS"/>
              </w:rPr>
            </w:pPr>
          </w:p>
        </w:tc>
        <w:tc>
          <w:tcPr>
            <w:tcW w:w="699" w:type="pct"/>
            <w:vAlign w:val="center"/>
          </w:tcPr>
          <w:p w14:paraId="46187EB2" w14:textId="0B4897B3" w:rsidR="007A6286" w:rsidRPr="004D2E7C" w:rsidRDefault="007A6286" w:rsidP="007A6286">
            <w:pPr>
              <w:rPr>
                <w:rFonts w:cs="Times New Roman"/>
                <w:lang w:val="sr-Cyrl-RS"/>
              </w:rPr>
            </w:pPr>
            <w:r w:rsidRPr="000F74D7">
              <w:rPr>
                <w:rFonts w:cs="Times New Roman"/>
                <w:lang w:val="sr-Cyrl-RS"/>
              </w:rPr>
              <w:t>Усклађеност ће бити постигнута кроз подзаконска акта и техничке прописе.</w:t>
            </w:r>
          </w:p>
        </w:tc>
      </w:tr>
      <w:tr w:rsidR="007A6286" w:rsidRPr="004D2E7C" w14:paraId="46187EBB" w14:textId="77777777" w:rsidTr="00D9567F">
        <w:trPr>
          <w:trHeight w:val="291"/>
        </w:trPr>
        <w:tc>
          <w:tcPr>
            <w:tcW w:w="280" w:type="pct"/>
            <w:shd w:val="clear" w:color="auto" w:fill="D9D9D9"/>
            <w:vAlign w:val="center"/>
          </w:tcPr>
          <w:p w14:paraId="46187EB4" w14:textId="350DABD3" w:rsidR="007A6286" w:rsidRPr="004D2E7C" w:rsidRDefault="007A6286" w:rsidP="007A6286">
            <w:pPr>
              <w:jc w:val="center"/>
              <w:rPr>
                <w:rFonts w:eastAsia="Times New Roman" w:cs="Times New Roman"/>
                <w:lang w:val="sr-Cyrl-RS"/>
              </w:rPr>
            </w:pPr>
            <w:r>
              <w:rPr>
                <w:rFonts w:eastAsia="Times New Roman" w:cs="Times New Roman"/>
                <w:lang w:val="sr-Latn-RS"/>
              </w:rPr>
              <w:t>3</w:t>
            </w:r>
            <w:r w:rsidRPr="004D2E7C">
              <w:rPr>
                <w:rFonts w:eastAsia="Times New Roman" w:cs="Times New Roman"/>
                <w:lang w:val="sr-Cyrl-RS"/>
              </w:rPr>
              <w:t>.(20)</w:t>
            </w:r>
          </w:p>
        </w:tc>
        <w:tc>
          <w:tcPr>
            <w:tcW w:w="1489" w:type="pct"/>
            <w:shd w:val="clear" w:color="auto" w:fill="D9D9D9"/>
            <w:vAlign w:val="center"/>
          </w:tcPr>
          <w:p w14:paraId="46187EB5" w14:textId="3DEBBEA6" w:rsidR="007A6286" w:rsidRPr="004D2E7C" w:rsidRDefault="007A6286" w:rsidP="007A6286">
            <w:pPr>
              <w:spacing w:after="120"/>
              <w:jc w:val="both"/>
              <w:rPr>
                <w:rFonts w:eastAsia="Times New Roman" w:cs="Times New Roman"/>
                <w:lang w:val="en-GB"/>
              </w:rPr>
            </w:pPr>
            <w:r w:rsidRPr="000F282C">
              <w:rPr>
                <w:rFonts w:eastAsia="Times New Roman" w:cs="Times New Roman"/>
              </w:rPr>
              <w:t xml:space="preserve">‘parameter’ means a </w:t>
            </w:r>
            <w:proofErr w:type="spellStart"/>
            <w:r w:rsidRPr="000F282C">
              <w:rPr>
                <w:rFonts w:eastAsia="Times New Roman" w:cs="Times New Roman"/>
              </w:rPr>
              <w:t>tyre</w:t>
            </w:r>
            <w:proofErr w:type="spellEnd"/>
            <w:r w:rsidRPr="000F282C">
              <w:rPr>
                <w:rFonts w:eastAsia="Times New Roman" w:cs="Times New Roman"/>
              </w:rPr>
              <w:t xml:space="preserve"> characteristic that has a significant impact on the environment, road safety or health during the use of the </w:t>
            </w:r>
            <w:proofErr w:type="spellStart"/>
            <w:r w:rsidRPr="000F282C">
              <w:rPr>
                <w:rFonts w:eastAsia="Times New Roman" w:cs="Times New Roman"/>
              </w:rPr>
              <w:t>tyre</w:t>
            </w:r>
            <w:proofErr w:type="spellEnd"/>
            <w:r w:rsidRPr="000F282C">
              <w:rPr>
                <w:rFonts w:eastAsia="Times New Roman" w:cs="Times New Roman"/>
              </w:rPr>
              <w:t xml:space="preserve">, such as </w:t>
            </w:r>
            <w:proofErr w:type="spellStart"/>
            <w:r w:rsidRPr="000F282C">
              <w:rPr>
                <w:rFonts w:eastAsia="Times New Roman" w:cs="Times New Roman"/>
              </w:rPr>
              <w:t>tyre</w:t>
            </w:r>
            <w:proofErr w:type="spellEnd"/>
            <w:r w:rsidRPr="000F282C">
              <w:rPr>
                <w:rFonts w:eastAsia="Times New Roman" w:cs="Times New Roman"/>
              </w:rPr>
              <w:t xml:space="preserve"> abrasion, mileage, rolling resistance, wet grip, external rolling noise, snow grip or ice grip;</w:t>
            </w:r>
          </w:p>
        </w:tc>
        <w:tc>
          <w:tcPr>
            <w:tcW w:w="325" w:type="pct"/>
            <w:vAlign w:val="center"/>
          </w:tcPr>
          <w:p w14:paraId="46187EB6" w14:textId="77777777" w:rsidR="007A6286" w:rsidRPr="004D2E7C" w:rsidRDefault="007A6286" w:rsidP="00D9567F">
            <w:pPr>
              <w:jc w:val="center"/>
              <w:rPr>
                <w:rFonts w:cs="Times New Roman"/>
                <w:lang w:val="sr-Cyrl-RS"/>
              </w:rPr>
            </w:pPr>
          </w:p>
        </w:tc>
        <w:tc>
          <w:tcPr>
            <w:tcW w:w="1296" w:type="pct"/>
          </w:tcPr>
          <w:p w14:paraId="46187EB7" w14:textId="77777777" w:rsidR="007A6286" w:rsidRPr="004D2E7C" w:rsidRDefault="007A6286" w:rsidP="007A6286">
            <w:pPr>
              <w:tabs>
                <w:tab w:val="left" w:pos="1152"/>
              </w:tabs>
              <w:rPr>
                <w:rFonts w:cs="Times New Roman"/>
                <w:lang w:val="sr-Cyrl-RS"/>
              </w:rPr>
            </w:pPr>
          </w:p>
        </w:tc>
        <w:tc>
          <w:tcPr>
            <w:tcW w:w="235" w:type="pct"/>
            <w:vAlign w:val="center"/>
          </w:tcPr>
          <w:p w14:paraId="46187EB8" w14:textId="3485E581" w:rsidR="007A6286" w:rsidRPr="00441DEB" w:rsidRDefault="00441DEB" w:rsidP="007A6286">
            <w:pPr>
              <w:jc w:val="center"/>
              <w:rPr>
                <w:rFonts w:cs="Times New Roman"/>
                <w:lang w:val="sr-Cyrl-RS"/>
              </w:rPr>
            </w:pPr>
            <w:r w:rsidRPr="00441DEB">
              <w:rPr>
                <w:rFonts w:cs="Times New Roman"/>
                <w:lang w:val="sr-Cyrl-RS"/>
              </w:rPr>
              <w:t>НУ</w:t>
            </w:r>
          </w:p>
        </w:tc>
        <w:tc>
          <w:tcPr>
            <w:tcW w:w="676" w:type="pct"/>
          </w:tcPr>
          <w:p w14:paraId="46187EB9" w14:textId="77777777" w:rsidR="007A6286" w:rsidRPr="004D2E7C" w:rsidRDefault="007A6286" w:rsidP="007A6286">
            <w:pPr>
              <w:rPr>
                <w:rFonts w:cs="Times New Roman"/>
                <w:lang w:val="sr-Cyrl-RS"/>
              </w:rPr>
            </w:pPr>
          </w:p>
        </w:tc>
        <w:tc>
          <w:tcPr>
            <w:tcW w:w="699" w:type="pct"/>
            <w:vAlign w:val="center"/>
          </w:tcPr>
          <w:p w14:paraId="46187EBA" w14:textId="7AF0525D" w:rsidR="007A6286" w:rsidRPr="004D2E7C" w:rsidRDefault="007A6286" w:rsidP="007A6286">
            <w:pPr>
              <w:rPr>
                <w:rFonts w:cs="Times New Roman"/>
                <w:lang w:val="sr-Cyrl-RS"/>
              </w:rPr>
            </w:pPr>
            <w:r w:rsidRPr="000F74D7">
              <w:rPr>
                <w:rFonts w:cs="Times New Roman"/>
                <w:lang w:val="sr-Cyrl-RS"/>
              </w:rPr>
              <w:t>Усклађеност ће бити постигнута кроз подзаконска акта и техничке прописе.</w:t>
            </w:r>
          </w:p>
        </w:tc>
      </w:tr>
      <w:tr w:rsidR="007A6286" w:rsidRPr="004D2E7C" w14:paraId="46187EC3" w14:textId="77777777" w:rsidTr="00D9567F">
        <w:trPr>
          <w:trHeight w:val="291"/>
        </w:trPr>
        <w:tc>
          <w:tcPr>
            <w:tcW w:w="280" w:type="pct"/>
            <w:shd w:val="clear" w:color="auto" w:fill="D9D9D9"/>
            <w:vAlign w:val="center"/>
          </w:tcPr>
          <w:p w14:paraId="46187EBC" w14:textId="6490B6CB" w:rsidR="007A6286" w:rsidRPr="004D2E7C" w:rsidRDefault="007A6286" w:rsidP="007A6286">
            <w:pPr>
              <w:jc w:val="center"/>
              <w:rPr>
                <w:rFonts w:eastAsia="Times New Roman" w:cs="Times New Roman"/>
                <w:lang w:val="sr-Cyrl-RS"/>
              </w:rPr>
            </w:pPr>
            <w:r>
              <w:rPr>
                <w:rFonts w:eastAsia="Times New Roman" w:cs="Times New Roman"/>
                <w:lang w:val="sr-Latn-RS"/>
              </w:rPr>
              <w:t>3</w:t>
            </w:r>
            <w:r w:rsidRPr="004D2E7C">
              <w:rPr>
                <w:rFonts w:eastAsia="Times New Roman" w:cs="Times New Roman"/>
                <w:lang w:val="sr-Cyrl-RS"/>
              </w:rPr>
              <w:t>.(21)</w:t>
            </w:r>
          </w:p>
        </w:tc>
        <w:tc>
          <w:tcPr>
            <w:tcW w:w="1489" w:type="pct"/>
            <w:shd w:val="clear" w:color="auto" w:fill="D9D9D9"/>
            <w:vAlign w:val="center"/>
          </w:tcPr>
          <w:p w14:paraId="46187EBD" w14:textId="41A121E0" w:rsidR="007A6286" w:rsidRPr="004D2E7C" w:rsidRDefault="007A6286" w:rsidP="007A6286">
            <w:pPr>
              <w:jc w:val="both"/>
              <w:rPr>
                <w:rFonts w:eastAsia="Times New Roman" w:cs="Times New Roman"/>
                <w:lang w:val="en-GB"/>
              </w:rPr>
            </w:pPr>
            <w:r w:rsidRPr="000F282C">
              <w:rPr>
                <w:rFonts w:eastAsia="Times New Roman" w:cs="Times New Roman"/>
              </w:rPr>
              <w:t>‘</w:t>
            </w:r>
            <w:proofErr w:type="spellStart"/>
            <w:r w:rsidRPr="000F282C">
              <w:rPr>
                <w:rFonts w:eastAsia="Times New Roman" w:cs="Times New Roman"/>
              </w:rPr>
              <w:t>tyre</w:t>
            </w:r>
            <w:proofErr w:type="spellEnd"/>
            <w:r w:rsidRPr="000F282C">
              <w:rPr>
                <w:rFonts w:eastAsia="Times New Roman" w:cs="Times New Roman"/>
              </w:rPr>
              <w:t xml:space="preserve"> type’ means a version of a </w:t>
            </w:r>
            <w:proofErr w:type="spellStart"/>
            <w:r w:rsidRPr="000F282C">
              <w:rPr>
                <w:rFonts w:eastAsia="Times New Roman" w:cs="Times New Roman"/>
              </w:rPr>
              <w:t>tyre</w:t>
            </w:r>
            <w:proofErr w:type="spellEnd"/>
            <w:r w:rsidRPr="000F282C">
              <w:rPr>
                <w:rFonts w:eastAsia="Times New Roman" w:cs="Times New Roman"/>
              </w:rPr>
              <w:t xml:space="preserve"> for which the technical characteristics on the </w:t>
            </w:r>
            <w:proofErr w:type="spellStart"/>
            <w:r w:rsidRPr="000F282C">
              <w:rPr>
                <w:rFonts w:eastAsia="Times New Roman" w:cs="Times New Roman"/>
              </w:rPr>
              <w:t>tyre</w:t>
            </w:r>
            <w:proofErr w:type="spellEnd"/>
            <w:r w:rsidRPr="000F282C">
              <w:rPr>
                <w:rFonts w:eastAsia="Times New Roman" w:cs="Times New Roman"/>
              </w:rPr>
              <w:t xml:space="preserve"> label, the product information sheet and the </w:t>
            </w:r>
            <w:proofErr w:type="spellStart"/>
            <w:r w:rsidRPr="000F282C">
              <w:rPr>
                <w:rFonts w:eastAsia="Times New Roman" w:cs="Times New Roman"/>
              </w:rPr>
              <w:t>tyre</w:t>
            </w:r>
            <w:proofErr w:type="spellEnd"/>
            <w:r w:rsidRPr="000F282C">
              <w:rPr>
                <w:rFonts w:eastAsia="Times New Roman" w:cs="Times New Roman"/>
              </w:rPr>
              <w:t xml:space="preserve"> type identifier are the same for all units of that version;</w:t>
            </w:r>
          </w:p>
        </w:tc>
        <w:tc>
          <w:tcPr>
            <w:tcW w:w="325" w:type="pct"/>
            <w:vAlign w:val="center"/>
          </w:tcPr>
          <w:p w14:paraId="46187EBE" w14:textId="69B7C1D0" w:rsidR="007A6286" w:rsidRPr="004D2E7C" w:rsidRDefault="007A6286" w:rsidP="00D9567F">
            <w:pPr>
              <w:jc w:val="center"/>
              <w:rPr>
                <w:rFonts w:cs="Times New Roman"/>
                <w:b/>
                <w:bCs/>
                <w:lang w:val="sr-Cyrl-RS"/>
              </w:rPr>
            </w:pPr>
          </w:p>
        </w:tc>
        <w:tc>
          <w:tcPr>
            <w:tcW w:w="1296" w:type="pct"/>
          </w:tcPr>
          <w:p w14:paraId="46187EBF" w14:textId="7FC2A819" w:rsidR="007A6286" w:rsidRPr="00F01ECE" w:rsidRDefault="007A6286" w:rsidP="007A6286">
            <w:pPr>
              <w:tabs>
                <w:tab w:val="left" w:pos="993"/>
              </w:tabs>
              <w:jc w:val="both"/>
              <w:rPr>
                <w:rFonts w:cs="Times New Roman"/>
                <w:iCs/>
                <w:color w:val="000000" w:themeColor="text1"/>
                <w:lang w:val="sr-Cyrl-RS"/>
              </w:rPr>
            </w:pPr>
          </w:p>
        </w:tc>
        <w:tc>
          <w:tcPr>
            <w:tcW w:w="235" w:type="pct"/>
            <w:vAlign w:val="center"/>
          </w:tcPr>
          <w:p w14:paraId="46187EC0" w14:textId="2FF241A6" w:rsidR="007A6286" w:rsidRPr="004D2E7C" w:rsidRDefault="00441DEB" w:rsidP="007A6286">
            <w:pPr>
              <w:jc w:val="center"/>
              <w:rPr>
                <w:rFonts w:cs="Times New Roman"/>
                <w:lang w:val="sr-Cyrl-RS"/>
              </w:rPr>
            </w:pPr>
            <w:r>
              <w:rPr>
                <w:rFonts w:cs="Times New Roman"/>
                <w:lang w:val="sr-Cyrl-RS"/>
              </w:rPr>
              <w:t>НУ</w:t>
            </w:r>
          </w:p>
        </w:tc>
        <w:tc>
          <w:tcPr>
            <w:tcW w:w="676" w:type="pct"/>
          </w:tcPr>
          <w:p w14:paraId="46187EC1" w14:textId="77777777" w:rsidR="007A6286" w:rsidRPr="004D2E7C" w:rsidRDefault="007A6286" w:rsidP="007A6286">
            <w:pPr>
              <w:pStyle w:val="ListParagraph"/>
              <w:ind w:left="810"/>
              <w:rPr>
                <w:sz w:val="22"/>
                <w:szCs w:val="22"/>
                <w:lang w:val="sr-Cyrl-RS"/>
              </w:rPr>
            </w:pPr>
          </w:p>
        </w:tc>
        <w:tc>
          <w:tcPr>
            <w:tcW w:w="699" w:type="pct"/>
            <w:vAlign w:val="center"/>
          </w:tcPr>
          <w:p w14:paraId="46187EC2" w14:textId="7094BDA8" w:rsidR="007A6286" w:rsidRPr="004D2E7C" w:rsidRDefault="007A6286" w:rsidP="007A6286">
            <w:pPr>
              <w:rPr>
                <w:rFonts w:cs="Times New Roman"/>
                <w:lang w:val="sr-Cyrl-RS"/>
              </w:rPr>
            </w:pPr>
            <w:r w:rsidRPr="000F74D7">
              <w:rPr>
                <w:rFonts w:cs="Times New Roman"/>
                <w:lang w:val="sr-Cyrl-RS"/>
              </w:rPr>
              <w:t>Усклађеност ће бити постигнута кроз подзаконска акта и техничке прописе.</w:t>
            </w:r>
          </w:p>
        </w:tc>
      </w:tr>
      <w:tr w:rsidR="007A6286" w:rsidRPr="004D2E7C" w14:paraId="46187ECE" w14:textId="77777777" w:rsidTr="00D9567F">
        <w:trPr>
          <w:trHeight w:val="291"/>
        </w:trPr>
        <w:tc>
          <w:tcPr>
            <w:tcW w:w="280" w:type="pct"/>
            <w:shd w:val="clear" w:color="auto" w:fill="D9D9D9"/>
            <w:vAlign w:val="center"/>
          </w:tcPr>
          <w:p w14:paraId="46187EC4" w14:textId="7EFBE1CB" w:rsidR="007A6286" w:rsidRPr="004D2E7C" w:rsidRDefault="007A6286" w:rsidP="007A6286">
            <w:pPr>
              <w:jc w:val="center"/>
              <w:rPr>
                <w:rFonts w:eastAsia="Times New Roman" w:cs="Times New Roman"/>
                <w:lang w:val="sr-Cyrl-RS"/>
              </w:rPr>
            </w:pPr>
            <w:r>
              <w:rPr>
                <w:rFonts w:eastAsia="Times New Roman" w:cs="Times New Roman"/>
                <w:lang w:val="sr-Latn-RS"/>
              </w:rPr>
              <w:t>3</w:t>
            </w:r>
            <w:r w:rsidRPr="004D2E7C">
              <w:rPr>
                <w:rFonts w:eastAsia="Times New Roman" w:cs="Times New Roman"/>
                <w:lang w:val="sr-Cyrl-RS"/>
              </w:rPr>
              <w:t>.(22)</w:t>
            </w:r>
          </w:p>
        </w:tc>
        <w:tc>
          <w:tcPr>
            <w:tcW w:w="1489" w:type="pct"/>
            <w:shd w:val="clear" w:color="auto" w:fill="D9D9D9"/>
            <w:vAlign w:val="center"/>
          </w:tcPr>
          <w:p w14:paraId="46187EC5" w14:textId="34152AEC" w:rsidR="007A6286" w:rsidRPr="004D2E7C" w:rsidRDefault="007A6286" w:rsidP="007A6286">
            <w:pPr>
              <w:jc w:val="both"/>
              <w:rPr>
                <w:rFonts w:eastAsia="Times New Roman" w:cs="Times New Roman"/>
                <w:lang w:val="en-GB"/>
              </w:rPr>
            </w:pPr>
            <w:r w:rsidRPr="000F282C">
              <w:rPr>
                <w:rFonts w:eastAsia="Times New Roman" w:cs="Times New Roman"/>
              </w:rPr>
              <w:t xml:space="preserve">‘verification tolerance’ means the maximum admissible deviation between the measurement and calculation results of the verification tests performed by, or on behalf of, market surveillance authorities, and the values of the declared or published parameters, reflecting deviation arising from </w:t>
            </w:r>
            <w:proofErr w:type="spellStart"/>
            <w:r w:rsidRPr="000F282C">
              <w:rPr>
                <w:rFonts w:eastAsia="Times New Roman" w:cs="Times New Roman"/>
              </w:rPr>
              <w:t>interlaboratory</w:t>
            </w:r>
            <w:proofErr w:type="spellEnd"/>
            <w:r w:rsidRPr="000F282C">
              <w:rPr>
                <w:rFonts w:eastAsia="Times New Roman" w:cs="Times New Roman"/>
              </w:rPr>
              <w:t xml:space="preserve"> variation;</w:t>
            </w:r>
          </w:p>
        </w:tc>
        <w:tc>
          <w:tcPr>
            <w:tcW w:w="325" w:type="pct"/>
            <w:vAlign w:val="center"/>
          </w:tcPr>
          <w:p w14:paraId="46187EC9" w14:textId="77777777" w:rsidR="007A6286" w:rsidRPr="004D2E7C" w:rsidRDefault="007A6286" w:rsidP="00D9567F">
            <w:pPr>
              <w:jc w:val="center"/>
              <w:rPr>
                <w:rFonts w:cs="Times New Roman"/>
                <w:lang w:val="sr-Cyrl-RS"/>
              </w:rPr>
            </w:pPr>
          </w:p>
        </w:tc>
        <w:tc>
          <w:tcPr>
            <w:tcW w:w="1296" w:type="pct"/>
          </w:tcPr>
          <w:p w14:paraId="46187ECA" w14:textId="136A1D02" w:rsidR="007A6286" w:rsidRPr="004D2E7C" w:rsidRDefault="007A6286" w:rsidP="007A6286">
            <w:pPr>
              <w:contextualSpacing/>
              <w:jc w:val="both"/>
              <w:rPr>
                <w:rFonts w:eastAsia="Times New Roman" w:cs="Times New Roman"/>
                <w:lang w:val="sr-Cyrl-RS"/>
              </w:rPr>
            </w:pPr>
          </w:p>
        </w:tc>
        <w:tc>
          <w:tcPr>
            <w:tcW w:w="235" w:type="pct"/>
            <w:vAlign w:val="center"/>
          </w:tcPr>
          <w:p w14:paraId="46187ECB" w14:textId="0DB7CD96" w:rsidR="007A6286" w:rsidRPr="004D2E7C" w:rsidRDefault="00441DEB" w:rsidP="007A6286">
            <w:pPr>
              <w:jc w:val="center"/>
              <w:rPr>
                <w:rFonts w:cs="Times New Roman"/>
                <w:lang w:val="sr-Cyrl-RS"/>
              </w:rPr>
            </w:pPr>
            <w:r>
              <w:rPr>
                <w:rFonts w:cs="Times New Roman"/>
                <w:lang w:val="sr-Cyrl-RS"/>
              </w:rPr>
              <w:t>НУ</w:t>
            </w:r>
          </w:p>
        </w:tc>
        <w:tc>
          <w:tcPr>
            <w:tcW w:w="676" w:type="pct"/>
          </w:tcPr>
          <w:p w14:paraId="46187ECC" w14:textId="77777777" w:rsidR="007A6286" w:rsidRPr="004D2E7C" w:rsidRDefault="007A6286" w:rsidP="007A6286">
            <w:pPr>
              <w:rPr>
                <w:rFonts w:cs="Times New Roman"/>
                <w:lang w:val="sr-Cyrl-RS"/>
              </w:rPr>
            </w:pPr>
          </w:p>
        </w:tc>
        <w:tc>
          <w:tcPr>
            <w:tcW w:w="699" w:type="pct"/>
            <w:vAlign w:val="center"/>
          </w:tcPr>
          <w:p w14:paraId="46187ECD" w14:textId="153CCA3F" w:rsidR="007A6286" w:rsidRPr="004D2E7C" w:rsidRDefault="007A6286" w:rsidP="007A6286">
            <w:pPr>
              <w:rPr>
                <w:rFonts w:cs="Times New Roman"/>
                <w:lang w:val="sr-Cyrl-RS"/>
              </w:rPr>
            </w:pPr>
            <w:r w:rsidRPr="000F74D7">
              <w:rPr>
                <w:rFonts w:cs="Times New Roman"/>
                <w:lang w:val="sr-Cyrl-RS"/>
              </w:rPr>
              <w:t>Усклађеност ће бити постигнута кроз подзаконска акта и техничке прописе.</w:t>
            </w:r>
          </w:p>
        </w:tc>
      </w:tr>
      <w:tr w:rsidR="007A6286" w:rsidRPr="004D2E7C" w14:paraId="46187ED6" w14:textId="77777777" w:rsidTr="00D9567F">
        <w:trPr>
          <w:trHeight w:val="291"/>
        </w:trPr>
        <w:tc>
          <w:tcPr>
            <w:tcW w:w="280" w:type="pct"/>
            <w:shd w:val="clear" w:color="auto" w:fill="D9D9D9"/>
            <w:vAlign w:val="center"/>
          </w:tcPr>
          <w:p w14:paraId="46187ECF" w14:textId="754C31EA" w:rsidR="007A6286" w:rsidRPr="004D2E7C" w:rsidRDefault="007A6286" w:rsidP="007A6286">
            <w:pPr>
              <w:jc w:val="center"/>
              <w:rPr>
                <w:rFonts w:eastAsia="Times New Roman" w:cs="Times New Roman"/>
                <w:lang w:val="sr-Cyrl-RS"/>
              </w:rPr>
            </w:pPr>
            <w:r>
              <w:rPr>
                <w:rFonts w:eastAsia="Times New Roman" w:cs="Times New Roman"/>
                <w:lang w:val="sr-Latn-RS"/>
              </w:rPr>
              <w:t>3</w:t>
            </w:r>
            <w:r w:rsidRPr="004D2E7C">
              <w:rPr>
                <w:rFonts w:eastAsia="Times New Roman" w:cs="Times New Roman"/>
                <w:lang w:val="sr-Cyrl-RS"/>
              </w:rPr>
              <w:t>.(23)</w:t>
            </w:r>
          </w:p>
        </w:tc>
        <w:tc>
          <w:tcPr>
            <w:tcW w:w="1489" w:type="pct"/>
            <w:shd w:val="clear" w:color="auto" w:fill="D9D9D9"/>
            <w:vAlign w:val="center"/>
          </w:tcPr>
          <w:p w14:paraId="46187ED0" w14:textId="33B9C45C" w:rsidR="007A6286" w:rsidRPr="004D2E7C" w:rsidRDefault="007A6286" w:rsidP="007A6286">
            <w:pPr>
              <w:jc w:val="both"/>
              <w:rPr>
                <w:rFonts w:eastAsia="Times New Roman" w:cs="Times New Roman"/>
                <w:lang w:val="en-GB"/>
              </w:rPr>
            </w:pPr>
            <w:r w:rsidRPr="002A593A">
              <w:rPr>
                <w:rFonts w:eastAsia="Times New Roman" w:cs="Times New Roman"/>
              </w:rPr>
              <w:t>‘</w:t>
            </w:r>
            <w:proofErr w:type="spellStart"/>
            <w:r w:rsidRPr="002A593A">
              <w:rPr>
                <w:rFonts w:eastAsia="Times New Roman" w:cs="Times New Roman"/>
              </w:rPr>
              <w:t>tyre</w:t>
            </w:r>
            <w:proofErr w:type="spellEnd"/>
            <w:r w:rsidRPr="002A593A">
              <w:rPr>
                <w:rFonts w:eastAsia="Times New Roman" w:cs="Times New Roman"/>
              </w:rPr>
              <w:t xml:space="preserve"> type identifier’ means a code, usually alphanumeric, which distinguishes a specific </w:t>
            </w:r>
            <w:proofErr w:type="spellStart"/>
            <w:r w:rsidRPr="002A593A">
              <w:rPr>
                <w:rFonts w:eastAsia="Times New Roman" w:cs="Times New Roman"/>
              </w:rPr>
              <w:t>tyre</w:t>
            </w:r>
            <w:proofErr w:type="spellEnd"/>
            <w:r w:rsidRPr="002A593A">
              <w:rPr>
                <w:rFonts w:eastAsia="Times New Roman" w:cs="Times New Roman"/>
              </w:rPr>
              <w:t xml:space="preserve"> </w:t>
            </w:r>
            <w:r w:rsidRPr="002A593A">
              <w:rPr>
                <w:rFonts w:eastAsia="Times New Roman" w:cs="Times New Roman"/>
              </w:rPr>
              <w:lastRenderedPageBreak/>
              <w:t xml:space="preserve">type from other </w:t>
            </w:r>
            <w:proofErr w:type="spellStart"/>
            <w:r w:rsidRPr="002A593A">
              <w:rPr>
                <w:rFonts w:eastAsia="Times New Roman" w:cs="Times New Roman"/>
              </w:rPr>
              <w:t>tyre</w:t>
            </w:r>
            <w:proofErr w:type="spellEnd"/>
            <w:r w:rsidRPr="002A593A">
              <w:rPr>
                <w:rFonts w:eastAsia="Times New Roman" w:cs="Times New Roman"/>
              </w:rPr>
              <w:t xml:space="preserve"> types that have the same trade name or the same trademark as that of the supplier;</w:t>
            </w:r>
          </w:p>
        </w:tc>
        <w:tc>
          <w:tcPr>
            <w:tcW w:w="325" w:type="pct"/>
            <w:vAlign w:val="center"/>
          </w:tcPr>
          <w:p w14:paraId="46187ED1" w14:textId="77777777" w:rsidR="007A6286" w:rsidRPr="004D2E7C" w:rsidRDefault="007A6286" w:rsidP="00D9567F">
            <w:pPr>
              <w:jc w:val="center"/>
              <w:rPr>
                <w:rFonts w:cs="Times New Roman"/>
                <w:lang w:val="sr-Cyrl-RS"/>
              </w:rPr>
            </w:pPr>
          </w:p>
        </w:tc>
        <w:tc>
          <w:tcPr>
            <w:tcW w:w="1296" w:type="pct"/>
          </w:tcPr>
          <w:p w14:paraId="46187ED2" w14:textId="77777777" w:rsidR="007A6286" w:rsidRPr="004D2E7C" w:rsidRDefault="007A6286" w:rsidP="007A6286">
            <w:pPr>
              <w:tabs>
                <w:tab w:val="left" w:pos="1152"/>
              </w:tabs>
              <w:rPr>
                <w:rFonts w:cs="Times New Roman"/>
                <w:lang w:val="sr-Cyrl-RS"/>
              </w:rPr>
            </w:pPr>
          </w:p>
        </w:tc>
        <w:tc>
          <w:tcPr>
            <w:tcW w:w="235" w:type="pct"/>
            <w:vAlign w:val="center"/>
          </w:tcPr>
          <w:p w14:paraId="46187ED3" w14:textId="1947D5AB" w:rsidR="007A6286" w:rsidRPr="004D2E7C" w:rsidRDefault="00441DEB" w:rsidP="007A6286">
            <w:pPr>
              <w:jc w:val="center"/>
              <w:rPr>
                <w:rFonts w:cs="Times New Roman"/>
                <w:lang w:val="sr-Cyrl-RS"/>
              </w:rPr>
            </w:pPr>
            <w:r>
              <w:rPr>
                <w:rFonts w:cs="Times New Roman"/>
                <w:lang w:val="sr-Cyrl-RS"/>
              </w:rPr>
              <w:t>НУ</w:t>
            </w:r>
          </w:p>
        </w:tc>
        <w:tc>
          <w:tcPr>
            <w:tcW w:w="676" w:type="pct"/>
          </w:tcPr>
          <w:p w14:paraId="46187ED4" w14:textId="77777777" w:rsidR="007A6286" w:rsidRPr="004D2E7C" w:rsidRDefault="007A6286" w:rsidP="007A6286">
            <w:pPr>
              <w:rPr>
                <w:rFonts w:cs="Times New Roman"/>
                <w:lang w:val="sr-Cyrl-RS"/>
              </w:rPr>
            </w:pPr>
          </w:p>
        </w:tc>
        <w:tc>
          <w:tcPr>
            <w:tcW w:w="699" w:type="pct"/>
            <w:vAlign w:val="center"/>
          </w:tcPr>
          <w:p w14:paraId="46187ED5" w14:textId="5827A23C" w:rsidR="007A6286" w:rsidRPr="004D2E7C" w:rsidRDefault="007A6286" w:rsidP="007A6286">
            <w:pPr>
              <w:rPr>
                <w:rFonts w:cs="Times New Roman"/>
                <w:lang w:val="sr-Cyrl-RS"/>
              </w:rPr>
            </w:pPr>
            <w:r w:rsidRPr="000F74D7">
              <w:rPr>
                <w:rFonts w:cs="Times New Roman"/>
                <w:lang w:val="sr-Cyrl-RS"/>
              </w:rPr>
              <w:t xml:space="preserve">Усклађеност ће бити постигнута кроз </w:t>
            </w:r>
            <w:r w:rsidRPr="000F74D7">
              <w:rPr>
                <w:rFonts w:cs="Times New Roman"/>
                <w:lang w:val="sr-Cyrl-RS"/>
              </w:rPr>
              <w:lastRenderedPageBreak/>
              <w:t>подзаконска акта и техничке прописе.</w:t>
            </w:r>
          </w:p>
        </w:tc>
      </w:tr>
      <w:tr w:rsidR="00F01ECE" w:rsidRPr="004D2E7C" w14:paraId="46187EDF" w14:textId="77777777" w:rsidTr="00D9567F">
        <w:trPr>
          <w:trHeight w:val="291"/>
        </w:trPr>
        <w:tc>
          <w:tcPr>
            <w:tcW w:w="280" w:type="pct"/>
            <w:shd w:val="clear" w:color="auto" w:fill="D9D9D9"/>
            <w:vAlign w:val="center"/>
          </w:tcPr>
          <w:p w14:paraId="46187ED7" w14:textId="31E20CEB" w:rsidR="00F01ECE" w:rsidRPr="004D2E7C" w:rsidRDefault="0099552E" w:rsidP="00F01ECE">
            <w:pPr>
              <w:jc w:val="center"/>
              <w:rPr>
                <w:rFonts w:eastAsia="Times New Roman" w:cs="Times New Roman"/>
                <w:lang w:val="sr-Cyrl-RS"/>
              </w:rPr>
            </w:pPr>
            <w:r>
              <w:rPr>
                <w:rFonts w:eastAsia="Times New Roman" w:cs="Times New Roman"/>
                <w:lang w:val="sr-Latn-RS"/>
              </w:rPr>
              <w:lastRenderedPageBreak/>
              <w:t>3</w:t>
            </w:r>
            <w:r w:rsidR="00F01ECE" w:rsidRPr="004D2E7C">
              <w:rPr>
                <w:rFonts w:eastAsia="Times New Roman" w:cs="Times New Roman"/>
                <w:lang w:val="sr-Cyrl-RS"/>
              </w:rPr>
              <w:t>.(24)</w:t>
            </w:r>
          </w:p>
        </w:tc>
        <w:tc>
          <w:tcPr>
            <w:tcW w:w="1489" w:type="pct"/>
            <w:shd w:val="clear" w:color="auto" w:fill="D9D9D9"/>
            <w:vAlign w:val="center"/>
          </w:tcPr>
          <w:p w14:paraId="46187ED8" w14:textId="2D718D52" w:rsidR="00F01ECE" w:rsidRPr="004D2E7C" w:rsidRDefault="002A593A" w:rsidP="00F01ECE">
            <w:pPr>
              <w:jc w:val="both"/>
              <w:rPr>
                <w:rFonts w:eastAsia="Times New Roman" w:cs="Times New Roman"/>
                <w:lang w:val="en-GB"/>
              </w:rPr>
            </w:pPr>
            <w:r w:rsidRPr="002A593A">
              <w:rPr>
                <w:rFonts w:eastAsia="Times New Roman" w:cs="Times New Roman"/>
              </w:rPr>
              <w:t xml:space="preserve">‘equivalent </w:t>
            </w:r>
            <w:proofErr w:type="spellStart"/>
            <w:r w:rsidRPr="002A593A">
              <w:rPr>
                <w:rFonts w:eastAsia="Times New Roman" w:cs="Times New Roman"/>
              </w:rPr>
              <w:t>tyre</w:t>
            </w:r>
            <w:proofErr w:type="spellEnd"/>
            <w:r w:rsidRPr="002A593A">
              <w:rPr>
                <w:rFonts w:eastAsia="Times New Roman" w:cs="Times New Roman"/>
              </w:rPr>
              <w:t xml:space="preserve"> type’ means a </w:t>
            </w:r>
            <w:proofErr w:type="spellStart"/>
            <w:r w:rsidRPr="002A593A">
              <w:rPr>
                <w:rFonts w:eastAsia="Times New Roman" w:cs="Times New Roman"/>
              </w:rPr>
              <w:t>tyre</w:t>
            </w:r>
            <w:proofErr w:type="spellEnd"/>
            <w:r w:rsidRPr="002A593A">
              <w:rPr>
                <w:rFonts w:eastAsia="Times New Roman" w:cs="Times New Roman"/>
              </w:rPr>
              <w:t xml:space="preserve"> type which is placed on the market by the same supplier as another </w:t>
            </w:r>
            <w:proofErr w:type="spellStart"/>
            <w:r w:rsidRPr="002A593A">
              <w:rPr>
                <w:rFonts w:eastAsia="Times New Roman" w:cs="Times New Roman"/>
              </w:rPr>
              <w:t>tyre</w:t>
            </w:r>
            <w:proofErr w:type="spellEnd"/>
            <w:r w:rsidRPr="002A593A">
              <w:rPr>
                <w:rFonts w:eastAsia="Times New Roman" w:cs="Times New Roman"/>
              </w:rPr>
              <w:t xml:space="preserve"> type with a different </w:t>
            </w:r>
            <w:proofErr w:type="spellStart"/>
            <w:r w:rsidRPr="002A593A">
              <w:rPr>
                <w:rFonts w:eastAsia="Times New Roman" w:cs="Times New Roman"/>
              </w:rPr>
              <w:t>tyre</w:t>
            </w:r>
            <w:proofErr w:type="spellEnd"/>
            <w:r w:rsidRPr="002A593A">
              <w:rPr>
                <w:rFonts w:eastAsia="Times New Roman" w:cs="Times New Roman"/>
              </w:rPr>
              <w:t xml:space="preserve"> type identifier and which has the same technical characteristics that are relevant to the </w:t>
            </w:r>
            <w:proofErr w:type="spellStart"/>
            <w:r w:rsidRPr="002A593A">
              <w:rPr>
                <w:rFonts w:eastAsia="Times New Roman" w:cs="Times New Roman"/>
              </w:rPr>
              <w:t>tyre</w:t>
            </w:r>
            <w:proofErr w:type="spellEnd"/>
            <w:r w:rsidRPr="002A593A">
              <w:rPr>
                <w:rFonts w:eastAsia="Times New Roman" w:cs="Times New Roman"/>
              </w:rPr>
              <w:t xml:space="preserve"> label and the same product information sheet.</w:t>
            </w:r>
          </w:p>
        </w:tc>
        <w:tc>
          <w:tcPr>
            <w:tcW w:w="325" w:type="pct"/>
            <w:vAlign w:val="center"/>
          </w:tcPr>
          <w:p w14:paraId="46187ED9" w14:textId="49A45DD2" w:rsidR="00F01ECE" w:rsidRPr="004D2E7C" w:rsidRDefault="00F01ECE" w:rsidP="00D9567F">
            <w:pPr>
              <w:jc w:val="center"/>
              <w:rPr>
                <w:rFonts w:cs="Times New Roman"/>
                <w:lang w:val="sr-Cyrl-RS"/>
              </w:rPr>
            </w:pPr>
          </w:p>
        </w:tc>
        <w:tc>
          <w:tcPr>
            <w:tcW w:w="1296" w:type="pct"/>
          </w:tcPr>
          <w:p w14:paraId="46187EDB" w14:textId="77777777" w:rsidR="00F01ECE" w:rsidRPr="004D2E7C" w:rsidRDefault="00F01ECE" w:rsidP="00F01ECE">
            <w:pPr>
              <w:rPr>
                <w:rFonts w:cs="Times New Roman"/>
                <w:lang w:val="sr-Cyrl-RS"/>
              </w:rPr>
            </w:pPr>
          </w:p>
        </w:tc>
        <w:tc>
          <w:tcPr>
            <w:tcW w:w="235" w:type="pct"/>
            <w:vAlign w:val="center"/>
          </w:tcPr>
          <w:p w14:paraId="46187EDC" w14:textId="030F84E6" w:rsidR="00F01ECE" w:rsidRPr="004D2E7C" w:rsidRDefault="00441DEB" w:rsidP="00F01ECE">
            <w:pPr>
              <w:jc w:val="center"/>
              <w:rPr>
                <w:rFonts w:cs="Times New Roman"/>
                <w:lang w:val="sr-Cyrl-RS"/>
              </w:rPr>
            </w:pPr>
            <w:r>
              <w:rPr>
                <w:rFonts w:cs="Times New Roman"/>
                <w:lang w:val="sr-Cyrl-RS"/>
              </w:rPr>
              <w:t>НУ</w:t>
            </w:r>
          </w:p>
        </w:tc>
        <w:tc>
          <w:tcPr>
            <w:tcW w:w="676" w:type="pct"/>
          </w:tcPr>
          <w:p w14:paraId="46187EDD" w14:textId="77777777" w:rsidR="00F01ECE" w:rsidRPr="004D2E7C" w:rsidRDefault="00F01ECE" w:rsidP="00F01ECE">
            <w:pPr>
              <w:rPr>
                <w:rFonts w:cs="Times New Roman"/>
                <w:lang w:val="sr-Cyrl-RS"/>
              </w:rPr>
            </w:pPr>
          </w:p>
        </w:tc>
        <w:tc>
          <w:tcPr>
            <w:tcW w:w="699" w:type="pct"/>
            <w:vAlign w:val="center"/>
          </w:tcPr>
          <w:p w14:paraId="46187EDE" w14:textId="1E0A3BEF" w:rsidR="00F01ECE" w:rsidRPr="004D2E7C" w:rsidRDefault="007A6286" w:rsidP="007A6286">
            <w:pPr>
              <w:rPr>
                <w:rFonts w:cs="Times New Roman"/>
                <w:lang w:val="sr-Cyrl-RS"/>
              </w:rPr>
            </w:pPr>
            <w:r w:rsidRPr="00883344">
              <w:rPr>
                <w:rFonts w:cs="Times New Roman"/>
                <w:lang w:val="sr-Cyrl-RS"/>
              </w:rPr>
              <w:t xml:space="preserve">Усклађеност ће бити постигнута </w:t>
            </w:r>
            <w:r>
              <w:rPr>
                <w:rFonts w:cs="Times New Roman"/>
                <w:lang w:val="sr-Cyrl-RS"/>
              </w:rPr>
              <w:t>кроз по</w:t>
            </w:r>
            <w:r w:rsidRPr="00883344">
              <w:rPr>
                <w:rFonts w:cs="Times New Roman"/>
                <w:lang w:val="sr-Cyrl-RS"/>
              </w:rPr>
              <w:t>дзаконск</w:t>
            </w:r>
            <w:r>
              <w:rPr>
                <w:rFonts w:cs="Times New Roman"/>
                <w:lang w:val="sr-Cyrl-RS"/>
              </w:rPr>
              <w:t xml:space="preserve">а </w:t>
            </w:r>
            <w:r w:rsidRPr="00883344">
              <w:rPr>
                <w:rFonts w:cs="Times New Roman"/>
                <w:lang w:val="sr-Cyrl-RS"/>
              </w:rPr>
              <w:t>акта и техничк</w:t>
            </w:r>
            <w:r>
              <w:rPr>
                <w:rFonts w:cs="Times New Roman"/>
                <w:lang w:val="sr-Cyrl-RS"/>
              </w:rPr>
              <w:t>е</w:t>
            </w:r>
            <w:r w:rsidRPr="00883344">
              <w:rPr>
                <w:rFonts w:cs="Times New Roman"/>
                <w:lang w:val="sr-Cyrl-RS"/>
              </w:rPr>
              <w:t xml:space="preserve"> пропис</w:t>
            </w:r>
            <w:r>
              <w:rPr>
                <w:rFonts w:cs="Times New Roman"/>
                <w:lang w:val="sr-Cyrl-RS"/>
              </w:rPr>
              <w:t>е</w:t>
            </w:r>
            <w:r w:rsidRPr="00883344">
              <w:rPr>
                <w:rFonts w:cs="Times New Roman"/>
                <w:lang w:val="sr-Cyrl-RS"/>
              </w:rPr>
              <w:t>.</w:t>
            </w:r>
          </w:p>
        </w:tc>
      </w:tr>
      <w:tr w:rsidR="00F01ECE" w:rsidRPr="004D2E7C" w14:paraId="46187F25" w14:textId="77777777" w:rsidTr="00D9567F">
        <w:tc>
          <w:tcPr>
            <w:tcW w:w="280" w:type="pct"/>
            <w:shd w:val="clear" w:color="auto" w:fill="D9D9D9"/>
            <w:vAlign w:val="center"/>
          </w:tcPr>
          <w:p w14:paraId="46187EF1" w14:textId="13DFD810" w:rsidR="00F01ECE" w:rsidRPr="004D2E7C" w:rsidRDefault="0015346A" w:rsidP="00F01ECE">
            <w:pPr>
              <w:jc w:val="center"/>
              <w:rPr>
                <w:rFonts w:eastAsia="Times New Roman" w:cs="Times New Roman"/>
                <w:lang w:val="sr-Cyrl-RS"/>
              </w:rPr>
            </w:pPr>
            <w:r>
              <w:rPr>
                <w:rFonts w:eastAsia="Times New Roman" w:cs="Times New Roman"/>
                <w:lang w:val="sr-Latn-RS"/>
              </w:rPr>
              <w:t>4</w:t>
            </w:r>
            <w:r w:rsidR="00F01ECE" w:rsidRPr="004D2E7C">
              <w:rPr>
                <w:rFonts w:eastAsia="Times New Roman" w:cs="Times New Roman"/>
                <w:lang w:val="sr-Cyrl-RS"/>
              </w:rPr>
              <w:t>.1.</w:t>
            </w:r>
          </w:p>
        </w:tc>
        <w:tc>
          <w:tcPr>
            <w:tcW w:w="1489" w:type="pct"/>
            <w:shd w:val="clear" w:color="auto" w:fill="D9D9D9"/>
            <w:vAlign w:val="center"/>
          </w:tcPr>
          <w:p w14:paraId="46187EF2" w14:textId="77777777" w:rsidR="00F01ECE" w:rsidRPr="00B93E43" w:rsidRDefault="00F01ECE" w:rsidP="00B93E43">
            <w:pPr>
              <w:pStyle w:val="Normal1"/>
              <w:spacing w:before="0" w:beforeAutospacing="0" w:after="0" w:afterAutospacing="0"/>
              <w:jc w:val="both"/>
              <w:rPr>
                <w:b/>
                <w:bCs/>
                <w:sz w:val="22"/>
                <w:szCs w:val="22"/>
                <w:lang w:val="en-GB"/>
              </w:rPr>
            </w:pPr>
          </w:p>
          <w:p w14:paraId="0C12E5DA" w14:textId="63A28E5A" w:rsidR="0015346A" w:rsidRDefault="0015346A" w:rsidP="00B93E43">
            <w:pPr>
              <w:pStyle w:val="Normal1"/>
              <w:spacing w:before="0" w:beforeAutospacing="0" w:after="0" w:afterAutospacing="0"/>
              <w:jc w:val="both"/>
              <w:rPr>
                <w:b/>
                <w:bCs/>
                <w:sz w:val="22"/>
                <w:szCs w:val="22"/>
                <w:lang w:val="en-GB"/>
              </w:rPr>
            </w:pPr>
            <w:r w:rsidRPr="0015346A">
              <w:rPr>
                <w:b/>
                <w:bCs/>
                <w:sz w:val="22"/>
                <w:szCs w:val="22"/>
                <w:lang w:val="en-GB"/>
              </w:rPr>
              <w:t>Obligations of tyre suppliers</w:t>
            </w:r>
          </w:p>
          <w:p w14:paraId="6E3C0290" w14:textId="77777777" w:rsidR="00B93E43" w:rsidRPr="0015346A" w:rsidRDefault="00B93E43" w:rsidP="00B93E43">
            <w:pPr>
              <w:pStyle w:val="Normal1"/>
              <w:spacing w:before="0" w:beforeAutospacing="0" w:after="0" w:afterAutospacing="0"/>
              <w:jc w:val="both"/>
              <w:rPr>
                <w:b/>
                <w:bCs/>
                <w:sz w:val="22"/>
                <w:szCs w:val="22"/>
                <w:lang w:val="en-GB"/>
              </w:rPr>
            </w:pPr>
          </w:p>
          <w:p w14:paraId="4C089D15" w14:textId="7C35FC81" w:rsidR="0015346A" w:rsidRPr="0015346A" w:rsidRDefault="0015346A" w:rsidP="00B93E43">
            <w:pPr>
              <w:pStyle w:val="Normal1"/>
              <w:spacing w:before="0" w:beforeAutospacing="0" w:after="0" w:afterAutospacing="0"/>
              <w:jc w:val="both"/>
              <w:rPr>
                <w:sz w:val="22"/>
                <w:szCs w:val="22"/>
                <w:lang w:val="en-GB"/>
              </w:rPr>
            </w:pPr>
            <w:r w:rsidRPr="0015346A">
              <w:rPr>
                <w:sz w:val="22"/>
                <w:szCs w:val="22"/>
                <w:lang w:val="en-GB"/>
              </w:rPr>
              <w:t>Suppliers shall ensure that C1 tyres, C2 tyres and C3 tyres that are placed on the market are accompanied free of charge:</w:t>
            </w:r>
          </w:p>
          <w:p w14:paraId="032F615A" w14:textId="58AE1CC2" w:rsidR="0015346A" w:rsidRPr="0015346A" w:rsidRDefault="0015346A" w:rsidP="00B93E43">
            <w:pPr>
              <w:pStyle w:val="Normal1"/>
              <w:spacing w:before="0" w:beforeAutospacing="0" w:after="0" w:afterAutospacing="0"/>
              <w:jc w:val="both"/>
              <w:rPr>
                <w:sz w:val="22"/>
                <w:szCs w:val="22"/>
                <w:lang w:val="en-GB"/>
              </w:rPr>
            </w:pPr>
            <w:r w:rsidRPr="0015346A">
              <w:rPr>
                <w:sz w:val="22"/>
                <w:szCs w:val="22"/>
                <w:lang w:val="en-GB"/>
              </w:rPr>
              <w:t>(a) for each individual tyre, by a tyre label, in the form of a sticker, that complies with the requirements set out in Annex II, indicating the information and class for each of the parameters set out in Annex I, and by a product information sheet; or</w:t>
            </w:r>
          </w:p>
          <w:p w14:paraId="46187EF7" w14:textId="112EA17C" w:rsidR="00F01ECE" w:rsidRPr="00B93E43" w:rsidRDefault="0015346A" w:rsidP="00B93E43">
            <w:pPr>
              <w:pStyle w:val="Normal1"/>
              <w:spacing w:before="0" w:beforeAutospacing="0" w:after="0" w:afterAutospacing="0"/>
              <w:jc w:val="both"/>
              <w:rPr>
                <w:sz w:val="22"/>
                <w:szCs w:val="22"/>
                <w:lang w:val="en-GB"/>
              </w:rPr>
            </w:pPr>
            <w:r w:rsidRPr="0015346A">
              <w:rPr>
                <w:sz w:val="22"/>
                <w:szCs w:val="22"/>
                <w:lang w:val="en-GB"/>
              </w:rPr>
              <w:t>(b) for each batch of one or more identical tyres, by a printed tyre label that complies with the requirements set out in Annex II, indicating the information and class for each of the parameters set out in Annex I, and by a product information sheet.</w:t>
            </w:r>
          </w:p>
        </w:tc>
        <w:tc>
          <w:tcPr>
            <w:tcW w:w="325" w:type="pct"/>
            <w:vAlign w:val="center"/>
          </w:tcPr>
          <w:p w14:paraId="46187F17" w14:textId="48B731E0" w:rsidR="00F01ECE" w:rsidRPr="005B25F2" w:rsidRDefault="00D9567F" w:rsidP="00D9567F">
            <w:pPr>
              <w:jc w:val="center"/>
              <w:rPr>
                <w:rFonts w:cs="Times New Roman"/>
                <w:b/>
                <w:bCs/>
                <w:lang w:val="sr-Cyrl-RS"/>
              </w:rPr>
            </w:pPr>
            <w:r w:rsidRPr="005B25F2">
              <w:rPr>
                <w:rFonts w:cs="Times New Roman"/>
                <w:b/>
                <w:bCs/>
                <w:lang w:val="sr-Cyrl-RS"/>
              </w:rPr>
              <w:t>1.64.</w:t>
            </w:r>
            <w:r w:rsidR="005B25F2">
              <w:rPr>
                <w:rFonts w:cs="Times New Roman"/>
                <w:b/>
                <w:bCs/>
                <w:lang w:val="sr-Cyrl-RS"/>
              </w:rPr>
              <w:t>2.</w:t>
            </w:r>
          </w:p>
        </w:tc>
        <w:tc>
          <w:tcPr>
            <w:tcW w:w="1296" w:type="pct"/>
            <w:vAlign w:val="center"/>
          </w:tcPr>
          <w:p w14:paraId="46187F21" w14:textId="3B4E0C48" w:rsidR="00F01ECE" w:rsidRPr="00D9567F" w:rsidRDefault="00D9567F" w:rsidP="00D9567F">
            <w:pPr>
              <w:autoSpaceDE w:val="0"/>
              <w:autoSpaceDN w:val="0"/>
              <w:adjustRightInd w:val="0"/>
              <w:jc w:val="both"/>
              <w:rPr>
                <w:rFonts w:eastAsia="MS Mincho" w:cs="Times New Roman"/>
                <w:color w:val="000000" w:themeColor="text1"/>
                <w:lang w:val="sr-Cyrl-CS" w:eastAsia="ja-JP"/>
              </w:rPr>
            </w:pPr>
            <w:r w:rsidRPr="00D9567F">
              <w:rPr>
                <w:rFonts w:eastAsia="MS Mincho" w:cs="Times New Roman"/>
                <w:color w:val="000000" w:themeColor="text1"/>
                <w:lang w:val="sr-Cyrl-CS" w:eastAsia="ja-JP"/>
              </w:rPr>
              <w:t>Министар доноси технички пропис којим се прописују захтеви енергетског означавања пнеуматика, ближе се утврђују обавезе испоручилаца и продаваца пнеуматика, обавезе испоручилаца и продаваца моторних возила, дефинишу се мерне методе, поступак провере</w:t>
            </w:r>
            <w:r w:rsidRPr="00D9567F">
              <w:rPr>
                <w:rFonts w:eastAsia="MS Mincho" w:cs="Times New Roman"/>
                <w:color w:val="000000" w:themeColor="text1"/>
                <w:lang w:eastAsia="ja-JP"/>
              </w:rPr>
              <w:t xml:space="preserve"> </w:t>
            </w:r>
            <w:r w:rsidRPr="00D9567F">
              <w:rPr>
                <w:rFonts w:eastAsia="MS Mincho" w:cs="Times New Roman"/>
                <w:color w:val="000000" w:themeColor="text1"/>
                <w:lang w:val="sr-Cyrl-CS" w:eastAsia="ja-JP"/>
              </w:rPr>
              <w:t xml:space="preserve">усаглашености пнеуматика са захтевима енергетског означавања у сврху тржишног надзора, поступак одређивања класе енергетске ефикасности пнеуматика, изглед дизајн и формат енергетске ознаке, листу са подацима, садржај техничке документације, информације које је потребно обезбедити приликом у визуелног оглашавања у техничким и промотивним материјалима приликом продаје на даљину и у </w:t>
            </w:r>
            <w:proofErr w:type="spellStart"/>
            <w:r w:rsidRPr="00D9567F">
              <w:rPr>
                <w:rFonts w:eastAsia="MS Mincho" w:cs="Times New Roman"/>
                <w:color w:val="000000" w:themeColor="text1"/>
                <w:lang w:val="sr-Cyrl-CS" w:eastAsia="ja-JP"/>
              </w:rPr>
              <w:t>телемаркетингу</w:t>
            </w:r>
            <w:proofErr w:type="spellEnd"/>
            <w:r w:rsidRPr="00D9567F">
              <w:rPr>
                <w:rFonts w:eastAsia="MS Mincho" w:cs="Times New Roman"/>
                <w:color w:val="000000" w:themeColor="text1"/>
                <w:lang w:val="sr-Cyrl-CS" w:eastAsia="ja-JP"/>
              </w:rPr>
              <w:t xml:space="preserve">, информације које је потребно обезбедити у случају продаје на даљину преко </w:t>
            </w:r>
            <w:proofErr w:type="spellStart"/>
            <w:r w:rsidRPr="00D9567F">
              <w:rPr>
                <w:rFonts w:eastAsia="MS Mincho" w:cs="Times New Roman"/>
                <w:color w:val="000000" w:themeColor="text1"/>
                <w:lang w:val="sr-Cyrl-CS" w:eastAsia="ja-JP"/>
              </w:rPr>
              <w:t>интернета</w:t>
            </w:r>
            <w:proofErr w:type="spellEnd"/>
            <w:r w:rsidRPr="00D9567F">
              <w:rPr>
                <w:rFonts w:eastAsia="MS Mincho" w:cs="Times New Roman"/>
                <w:color w:val="000000" w:themeColor="text1"/>
                <w:lang w:val="sr-Cyrl-CS" w:eastAsia="ja-JP"/>
              </w:rPr>
              <w:t xml:space="preserve">, поступак усклађивања лабораторија за мерење отпора котрљања, као и друге захтеве у вези </w:t>
            </w:r>
            <w:r w:rsidRPr="00D9567F">
              <w:rPr>
                <w:rFonts w:eastAsia="MS Mincho" w:cs="Times New Roman"/>
                <w:color w:val="000000" w:themeColor="text1"/>
                <w:lang w:val="sr-Cyrl-CS" w:eastAsia="ja-JP"/>
              </w:rPr>
              <w:lastRenderedPageBreak/>
              <w:t>енергетског означавања за поједине врсте пнеуматика.</w:t>
            </w:r>
          </w:p>
        </w:tc>
        <w:tc>
          <w:tcPr>
            <w:tcW w:w="235" w:type="pct"/>
            <w:vAlign w:val="center"/>
          </w:tcPr>
          <w:p w14:paraId="46187F22" w14:textId="3DC7BA4C" w:rsidR="00F01ECE" w:rsidRPr="004D2E7C" w:rsidRDefault="00D9567F" w:rsidP="00F01ECE">
            <w:pPr>
              <w:jc w:val="center"/>
              <w:rPr>
                <w:rFonts w:cs="Times New Roman"/>
                <w:lang w:val="sr-Cyrl-RS"/>
              </w:rPr>
            </w:pPr>
            <w:r>
              <w:rPr>
                <w:rFonts w:cs="Times New Roman"/>
                <w:lang w:val="sr-Cyrl-RS"/>
              </w:rPr>
              <w:lastRenderedPageBreak/>
              <w:t>ДУ</w:t>
            </w:r>
          </w:p>
        </w:tc>
        <w:tc>
          <w:tcPr>
            <w:tcW w:w="676" w:type="pct"/>
            <w:vAlign w:val="center"/>
          </w:tcPr>
          <w:p w14:paraId="46187F23" w14:textId="04F4ACFC" w:rsidR="00F01ECE" w:rsidRPr="004D2E7C" w:rsidRDefault="00F01ECE" w:rsidP="00F01ECE">
            <w:pPr>
              <w:rPr>
                <w:rFonts w:cs="Times New Roman"/>
                <w:lang w:val="sr-Cyrl-RS"/>
              </w:rPr>
            </w:pPr>
          </w:p>
        </w:tc>
        <w:tc>
          <w:tcPr>
            <w:tcW w:w="699" w:type="pct"/>
            <w:vAlign w:val="center"/>
          </w:tcPr>
          <w:p w14:paraId="46187F24" w14:textId="4971C941" w:rsidR="00F01ECE" w:rsidRPr="004D2E7C" w:rsidRDefault="00D9567F" w:rsidP="00F01ECE">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t xml:space="preserve">кроз подзаконске акте и </w:t>
            </w:r>
            <w:r w:rsidRPr="008A4AD2">
              <w:rPr>
                <w:rFonts w:cs="Times New Roman"/>
                <w:lang w:val="sr-Cyrl-RS"/>
              </w:rPr>
              <w:t>техничк</w:t>
            </w:r>
            <w:r>
              <w:rPr>
                <w:rFonts w:cs="Times New Roman"/>
                <w:lang w:val="sr-Cyrl-RS"/>
              </w:rPr>
              <w:t>е прописе, на основу члана 64.</w:t>
            </w:r>
            <w:r w:rsidR="005B25F2">
              <w:rPr>
                <w:rFonts w:cs="Times New Roman"/>
                <w:lang w:val="sr-Cyrl-RS"/>
              </w:rPr>
              <w:t xml:space="preserve"> ЗЕЕРУЕ. </w:t>
            </w:r>
          </w:p>
        </w:tc>
      </w:tr>
      <w:tr w:rsidR="00F01ECE" w:rsidRPr="004D2E7C" w14:paraId="46187F30" w14:textId="77777777" w:rsidTr="00D9567F">
        <w:tc>
          <w:tcPr>
            <w:tcW w:w="280" w:type="pct"/>
            <w:shd w:val="clear" w:color="auto" w:fill="D9D9D9"/>
            <w:vAlign w:val="center"/>
          </w:tcPr>
          <w:p w14:paraId="46187F26" w14:textId="05EB6867" w:rsidR="00F01ECE" w:rsidRPr="004D2E7C" w:rsidRDefault="0091204B" w:rsidP="00F01ECE">
            <w:pPr>
              <w:jc w:val="center"/>
              <w:rPr>
                <w:rFonts w:eastAsia="Times New Roman" w:cs="Times New Roman"/>
                <w:lang w:val="sr-Cyrl-RS"/>
              </w:rPr>
            </w:pPr>
            <w:r>
              <w:rPr>
                <w:rFonts w:eastAsia="Times New Roman" w:cs="Times New Roman"/>
                <w:lang w:val="sr-Latn-RS"/>
              </w:rPr>
              <w:lastRenderedPageBreak/>
              <w:t>4</w:t>
            </w:r>
            <w:r w:rsidR="00F01ECE" w:rsidRPr="004D2E7C">
              <w:rPr>
                <w:rFonts w:eastAsia="Times New Roman" w:cs="Times New Roman"/>
                <w:lang w:val="sr-Cyrl-RS"/>
              </w:rPr>
              <w:t>.2.</w:t>
            </w:r>
          </w:p>
        </w:tc>
        <w:tc>
          <w:tcPr>
            <w:tcW w:w="1489" w:type="pct"/>
            <w:shd w:val="clear" w:color="auto" w:fill="D9D9D9"/>
            <w:vAlign w:val="center"/>
          </w:tcPr>
          <w:p w14:paraId="429548B7" w14:textId="77777777" w:rsidR="00CE5F62" w:rsidRPr="00CE5F62" w:rsidRDefault="00CE5F62" w:rsidP="00B93E43">
            <w:pPr>
              <w:pStyle w:val="Normal1"/>
              <w:spacing w:before="0" w:beforeAutospacing="0" w:after="0" w:afterAutospacing="0"/>
              <w:jc w:val="both"/>
              <w:rPr>
                <w:sz w:val="22"/>
                <w:szCs w:val="22"/>
                <w:lang w:val="en-GB"/>
              </w:rPr>
            </w:pPr>
            <w:r w:rsidRPr="00CE5F62">
              <w:rPr>
                <w:sz w:val="22"/>
                <w:szCs w:val="22"/>
                <w:lang w:val="en-GB"/>
              </w:rPr>
              <w:t>For tyres sold or offered for sale by distance selling, suppliers shall ensure that the tyre label is displayed close to the price indication and that the product information sheet can be accessed, including, upon request from the end-user, in printed form. The size of the tyre label shall be such that it is clearly visible and legible and shall be proportionate to the size specified in point 2.1 of Annex II.</w:t>
            </w:r>
          </w:p>
          <w:p w14:paraId="46187F27" w14:textId="06722D0D" w:rsidR="00F01ECE" w:rsidRPr="00B93E43" w:rsidRDefault="00CE5F62" w:rsidP="00B93E43">
            <w:pPr>
              <w:pStyle w:val="Normal1"/>
              <w:spacing w:before="0" w:beforeAutospacing="0" w:after="0" w:afterAutospacing="0"/>
              <w:jc w:val="both"/>
              <w:rPr>
                <w:sz w:val="22"/>
                <w:szCs w:val="22"/>
                <w:lang w:val="en-GB"/>
              </w:rPr>
            </w:pPr>
            <w:r w:rsidRPr="00CE5F62">
              <w:rPr>
                <w:sz w:val="22"/>
                <w:szCs w:val="22"/>
                <w:lang w:val="en-GB"/>
              </w:rPr>
              <w:t>For tyres sold or offered for sale on the internet, suppliers may make the tyre label for a specific tyre type available in a nested display.</w:t>
            </w:r>
          </w:p>
        </w:tc>
        <w:tc>
          <w:tcPr>
            <w:tcW w:w="325" w:type="pct"/>
            <w:vAlign w:val="center"/>
          </w:tcPr>
          <w:p w14:paraId="46187F28" w14:textId="7E8F3660" w:rsidR="00F01ECE" w:rsidRPr="004D2E7C" w:rsidRDefault="003F6D06" w:rsidP="00D9567F">
            <w:pPr>
              <w:jc w:val="center"/>
              <w:rPr>
                <w:rFonts w:cs="Times New Roman"/>
                <w:lang w:val="sr-Cyrl-RS"/>
              </w:rPr>
            </w:pPr>
            <w:r>
              <w:rPr>
                <w:rFonts w:cs="Times New Roman"/>
                <w:lang w:val="sr-Cyrl-RS"/>
              </w:rPr>
              <w:t>2.9.</w:t>
            </w:r>
          </w:p>
        </w:tc>
        <w:tc>
          <w:tcPr>
            <w:tcW w:w="1296" w:type="pct"/>
          </w:tcPr>
          <w:p w14:paraId="466B15EF" w14:textId="77777777" w:rsidR="003F6D06" w:rsidRPr="004D2E7C" w:rsidRDefault="003F6D06" w:rsidP="003F6D06">
            <w:pPr>
              <w:jc w:val="both"/>
              <w:rPr>
                <w:rFonts w:cs="Times New Roman"/>
                <w:lang w:val="sr-Cyrl-RS"/>
              </w:rPr>
            </w:pPr>
            <w:r w:rsidRPr="004D2E7C">
              <w:rPr>
                <w:rFonts w:cs="Times New Roman"/>
                <w:lang w:val="sr-Cyrl-RS"/>
              </w:rPr>
              <w:t xml:space="preserve">У случају продаје, изнајмљивања или куповине на рате производа из члана 2. став 1. ове уредбе преко </w:t>
            </w:r>
            <w:proofErr w:type="spellStart"/>
            <w:r w:rsidRPr="004D2E7C">
              <w:rPr>
                <w:rFonts w:cs="Times New Roman"/>
                <w:lang w:val="sr-Cyrl-RS"/>
              </w:rPr>
              <w:t>интернета</w:t>
            </w:r>
            <w:proofErr w:type="spellEnd"/>
            <w:r w:rsidRPr="004D2E7C">
              <w:rPr>
                <w:rFonts w:cs="Times New Roman"/>
                <w:lang w:val="sr-Cyrl-RS"/>
              </w:rPr>
              <w:t xml:space="preserve">, каталога или на други сличан начин продаје на даљину, продавац је дужан да купцу, пре куповине производа, пружи податке о ознаци енергетске ефикасности производа и листу са подацима о производу. </w:t>
            </w:r>
          </w:p>
          <w:p w14:paraId="46187F2A" w14:textId="15354140" w:rsidR="00F01ECE" w:rsidRPr="004D2E7C" w:rsidRDefault="003F6D06" w:rsidP="003F6D06">
            <w:pPr>
              <w:jc w:val="both"/>
              <w:rPr>
                <w:rFonts w:cs="Times New Roman"/>
                <w:lang w:val="sr-Cyrl-RS"/>
              </w:rPr>
            </w:pPr>
            <w:r w:rsidRPr="004D2E7C">
              <w:rPr>
                <w:rFonts w:cs="Times New Roman"/>
                <w:lang w:val="sr-Cyrl-RS"/>
              </w:rPr>
              <w:t>При оглашавању производа из става 1. овог члана продавац, односно испоручилац је дужан да прикаже податке и да информације из члана 7. став 1 ове уредбе.</w:t>
            </w:r>
          </w:p>
        </w:tc>
        <w:tc>
          <w:tcPr>
            <w:tcW w:w="235" w:type="pct"/>
            <w:vAlign w:val="center"/>
          </w:tcPr>
          <w:p w14:paraId="46187F2B" w14:textId="69855CAE" w:rsidR="00F01ECE" w:rsidRPr="004D2E7C" w:rsidRDefault="003F6D06" w:rsidP="00F01ECE">
            <w:pPr>
              <w:jc w:val="center"/>
              <w:rPr>
                <w:rFonts w:cs="Times New Roman"/>
                <w:lang w:val="sr-Cyrl-RS"/>
              </w:rPr>
            </w:pPr>
            <w:r>
              <w:rPr>
                <w:rFonts w:cs="Times New Roman"/>
                <w:lang w:val="sr-Cyrl-RS"/>
              </w:rPr>
              <w:t>ПУ</w:t>
            </w:r>
          </w:p>
        </w:tc>
        <w:tc>
          <w:tcPr>
            <w:tcW w:w="676" w:type="pct"/>
            <w:vAlign w:val="center"/>
          </w:tcPr>
          <w:p w14:paraId="46187F2E" w14:textId="68AD6F2A" w:rsidR="00F01ECE" w:rsidRPr="004D2E7C" w:rsidRDefault="00F01ECE" w:rsidP="00F01ECE">
            <w:pPr>
              <w:rPr>
                <w:rFonts w:cs="Times New Roman"/>
                <w:lang w:val="sr-Cyrl-RS"/>
              </w:rPr>
            </w:pPr>
          </w:p>
        </w:tc>
        <w:tc>
          <w:tcPr>
            <w:tcW w:w="699" w:type="pct"/>
            <w:vAlign w:val="center"/>
          </w:tcPr>
          <w:p w14:paraId="46187F2F" w14:textId="44CA358D" w:rsidR="00F01ECE" w:rsidRPr="004D2E7C" w:rsidRDefault="00F01ECE" w:rsidP="00F01ECE">
            <w:pPr>
              <w:rPr>
                <w:rFonts w:cs="Times New Roman"/>
                <w:lang w:val="sr-Cyrl-RS"/>
              </w:rPr>
            </w:pPr>
          </w:p>
        </w:tc>
      </w:tr>
      <w:tr w:rsidR="00F01ECE" w:rsidRPr="004D2E7C" w14:paraId="46187F3B" w14:textId="77777777" w:rsidTr="00D9567F">
        <w:tc>
          <w:tcPr>
            <w:tcW w:w="280" w:type="pct"/>
            <w:shd w:val="clear" w:color="auto" w:fill="D9D9D9"/>
            <w:vAlign w:val="center"/>
          </w:tcPr>
          <w:p w14:paraId="46187F31" w14:textId="2BB11D9F" w:rsidR="00F01ECE" w:rsidRPr="004D2E7C" w:rsidRDefault="0091204B" w:rsidP="00F01ECE">
            <w:pPr>
              <w:jc w:val="center"/>
              <w:rPr>
                <w:rFonts w:eastAsia="Times New Roman" w:cs="Times New Roman"/>
                <w:lang w:val="sr-Cyrl-RS"/>
              </w:rPr>
            </w:pPr>
            <w:r>
              <w:rPr>
                <w:rFonts w:eastAsia="Times New Roman" w:cs="Times New Roman"/>
                <w:lang w:val="sr-Latn-RS"/>
              </w:rPr>
              <w:t>4</w:t>
            </w:r>
            <w:r w:rsidR="00F01ECE" w:rsidRPr="004D2E7C">
              <w:rPr>
                <w:rFonts w:eastAsia="Times New Roman" w:cs="Times New Roman"/>
                <w:lang w:val="sr-Cyrl-RS"/>
              </w:rPr>
              <w:t>.3.</w:t>
            </w:r>
          </w:p>
        </w:tc>
        <w:tc>
          <w:tcPr>
            <w:tcW w:w="1489" w:type="pct"/>
            <w:shd w:val="clear" w:color="auto" w:fill="D9D9D9"/>
            <w:vAlign w:val="center"/>
          </w:tcPr>
          <w:p w14:paraId="3138D1E3" w14:textId="5F33B89F" w:rsidR="00CE5F62" w:rsidRPr="00CE5F62" w:rsidRDefault="00CE5F62" w:rsidP="00B93E43">
            <w:pPr>
              <w:pStyle w:val="Normal1"/>
              <w:spacing w:before="0" w:beforeAutospacing="0" w:after="0" w:afterAutospacing="0"/>
              <w:jc w:val="both"/>
              <w:rPr>
                <w:sz w:val="22"/>
                <w:szCs w:val="22"/>
                <w:lang w:val="en-GB"/>
              </w:rPr>
            </w:pPr>
            <w:r w:rsidRPr="00CE5F62">
              <w:rPr>
                <w:sz w:val="22"/>
                <w:szCs w:val="22"/>
                <w:lang w:val="en-GB"/>
              </w:rPr>
              <w:t>Suppliers shall ensure that any visual advertisement for a specific tyre type shows the tyre label. If the visual advertisement indicates the price of that tyre type, the tyre label shall be displayed close to the price indication.</w:t>
            </w:r>
          </w:p>
          <w:p w14:paraId="46187F32" w14:textId="2EB411B8" w:rsidR="00F01ECE" w:rsidRPr="00B93E43" w:rsidRDefault="00CE5F62" w:rsidP="00B93E43">
            <w:pPr>
              <w:pStyle w:val="Normal1"/>
              <w:spacing w:before="0" w:beforeAutospacing="0" w:after="0" w:afterAutospacing="0"/>
              <w:jc w:val="both"/>
              <w:rPr>
                <w:sz w:val="22"/>
                <w:szCs w:val="22"/>
                <w:lang w:val="en-GB"/>
              </w:rPr>
            </w:pPr>
            <w:r w:rsidRPr="00CE5F62">
              <w:rPr>
                <w:sz w:val="22"/>
                <w:szCs w:val="22"/>
                <w:lang w:val="en-GB"/>
              </w:rPr>
              <w:t>For visual advertisements on the internet, suppliers may make the tyre label available in a nested display.</w:t>
            </w:r>
          </w:p>
        </w:tc>
        <w:tc>
          <w:tcPr>
            <w:tcW w:w="325" w:type="pct"/>
            <w:vAlign w:val="center"/>
          </w:tcPr>
          <w:p w14:paraId="46187F33" w14:textId="4667DE4C" w:rsidR="00F01ECE" w:rsidRPr="004D2E7C" w:rsidRDefault="00F01ECE" w:rsidP="00D9567F">
            <w:pPr>
              <w:jc w:val="center"/>
              <w:rPr>
                <w:rFonts w:cs="Times New Roman"/>
                <w:lang w:val="sr-Cyrl-RS"/>
              </w:rPr>
            </w:pPr>
          </w:p>
        </w:tc>
        <w:tc>
          <w:tcPr>
            <w:tcW w:w="1296" w:type="pct"/>
            <w:vAlign w:val="center"/>
          </w:tcPr>
          <w:p w14:paraId="46187F37" w14:textId="7FD91782" w:rsidR="00F01ECE" w:rsidRPr="004D2E7C" w:rsidRDefault="00F01ECE" w:rsidP="00F01ECE">
            <w:pPr>
              <w:jc w:val="both"/>
              <w:rPr>
                <w:rFonts w:cs="Times New Roman"/>
                <w:lang w:val="sr-Cyrl-RS"/>
              </w:rPr>
            </w:pPr>
          </w:p>
        </w:tc>
        <w:tc>
          <w:tcPr>
            <w:tcW w:w="235" w:type="pct"/>
            <w:vAlign w:val="center"/>
          </w:tcPr>
          <w:p w14:paraId="46187F38" w14:textId="031C0065" w:rsidR="00F01ECE" w:rsidRPr="004D2E7C" w:rsidRDefault="00586B96" w:rsidP="00F01ECE">
            <w:pPr>
              <w:jc w:val="center"/>
              <w:rPr>
                <w:rFonts w:cs="Times New Roman"/>
                <w:lang w:val="sr-Cyrl-RS"/>
              </w:rPr>
            </w:pPr>
            <w:r>
              <w:rPr>
                <w:rFonts w:cs="Times New Roman"/>
                <w:lang w:val="sr-Cyrl-RS"/>
              </w:rPr>
              <w:t>НУ</w:t>
            </w:r>
          </w:p>
        </w:tc>
        <w:tc>
          <w:tcPr>
            <w:tcW w:w="676" w:type="pct"/>
            <w:vAlign w:val="center"/>
          </w:tcPr>
          <w:p w14:paraId="46187F39" w14:textId="608E8E33" w:rsidR="00F01ECE" w:rsidRPr="004D2E7C" w:rsidRDefault="00F01ECE" w:rsidP="00F01ECE">
            <w:pPr>
              <w:rPr>
                <w:rFonts w:cs="Times New Roman"/>
                <w:lang w:val="sr-Cyrl-RS"/>
              </w:rPr>
            </w:pPr>
          </w:p>
        </w:tc>
        <w:tc>
          <w:tcPr>
            <w:tcW w:w="699" w:type="pct"/>
            <w:vAlign w:val="center"/>
          </w:tcPr>
          <w:p w14:paraId="46187F3A" w14:textId="10274CAC" w:rsidR="00F01ECE" w:rsidRPr="00D36211" w:rsidRDefault="00586B96" w:rsidP="00F01ECE">
            <w:pPr>
              <w:rPr>
                <w:rFonts w:cs="Times New Roman"/>
              </w:rPr>
            </w:pPr>
            <w:r w:rsidRPr="00883344">
              <w:rPr>
                <w:rFonts w:cs="Times New Roman"/>
                <w:lang w:val="sr-Cyrl-RS"/>
              </w:rPr>
              <w:t xml:space="preserve">Усклађеност ће бити постигнута </w:t>
            </w:r>
            <w:r>
              <w:rPr>
                <w:rFonts w:cs="Times New Roman"/>
                <w:lang w:val="sr-Cyrl-RS"/>
              </w:rPr>
              <w:t>кроз по</w:t>
            </w:r>
            <w:r w:rsidRPr="00883344">
              <w:rPr>
                <w:rFonts w:cs="Times New Roman"/>
                <w:lang w:val="sr-Cyrl-RS"/>
              </w:rPr>
              <w:t>дзаконск</w:t>
            </w:r>
            <w:r>
              <w:rPr>
                <w:rFonts w:cs="Times New Roman"/>
                <w:lang w:val="sr-Cyrl-RS"/>
              </w:rPr>
              <w:t xml:space="preserve">а </w:t>
            </w:r>
            <w:r w:rsidRPr="00883344">
              <w:rPr>
                <w:rFonts w:cs="Times New Roman"/>
                <w:lang w:val="sr-Cyrl-RS"/>
              </w:rPr>
              <w:t>акта и техничк</w:t>
            </w:r>
            <w:r>
              <w:rPr>
                <w:rFonts w:cs="Times New Roman"/>
                <w:lang w:val="sr-Cyrl-RS"/>
              </w:rPr>
              <w:t>е</w:t>
            </w:r>
            <w:r w:rsidRPr="00883344">
              <w:rPr>
                <w:rFonts w:cs="Times New Roman"/>
                <w:lang w:val="sr-Cyrl-RS"/>
              </w:rPr>
              <w:t xml:space="preserve"> пропис</w:t>
            </w:r>
            <w:r>
              <w:rPr>
                <w:rFonts w:cs="Times New Roman"/>
                <w:lang w:val="sr-Cyrl-RS"/>
              </w:rPr>
              <w:t>е</w:t>
            </w:r>
            <w:r w:rsidRPr="00883344">
              <w:rPr>
                <w:rFonts w:cs="Times New Roman"/>
                <w:lang w:val="sr-Cyrl-RS"/>
              </w:rPr>
              <w:t>.</w:t>
            </w:r>
          </w:p>
        </w:tc>
      </w:tr>
      <w:tr w:rsidR="00F01ECE" w:rsidRPr="004D2E7C" w14:paraId="46187F44" w14:textId="77777777" w:rsidTr="00D9567F">
        <w:tc>
          <w:tcPr>
            <w:tcW w:w="280" w:type="pct"/>
            <w:shd w:val="clear" w:color="auto" w:fill="D9D9D9"/>
            <w:vAlign w:val="center"/>
          </w:tcPr>
          <w:p w14:paraId="46187F3C" w14:textId="14B1410B" w:rsidR="00F01ECE" w:rsidRPr="004D2E7C" w:rsidRDefault="0091204B" w:rsidP="00F01ECE">
            <w:pPr>
              <w:jc w:val="center"/>
              <w:rPr>
                <w:rFonts w:eastAsia="Times New Roman" w:cs="Times New Roman"/>
                <w:lang w:val="sr-Cyrl-RS"/>
              </w:rPr>
            </w:pPr>
            <w:r>
              <w:rPr>
                <w:rFonts w:eastAsia="Times New Roman" w:cs="Times New Roman"/>
                <w:lang w:val="sr-Latn-RS"/>
              </w:rPr>
              <w:t>4</w:t>
            </w:r>
            <w:r w:rsidR="00F01ECE" w:rsidRPr="004D2E7C">
              <w:rPr>
                <w:rFonts w:eastAsia="Times New Roman" w:cs="Times New Roman"/>
                <w:lang w:val="sr-Cyrl-RS"/>
              </w:rPr>
              <w:t>.4.</w:t>
            </w:r>
          </w:p>
        </w:tc>
        <w:tc>
          <w:tcPr>
            <w:tcW w:w="1489" w:type="pct"/>
            <w:shd w:val="clear" w:color="auto" w:fill="D9D9D9"/>
            <w:vAlign w:val="center"/>
          </w:tcPr>
          <w:p w14:paraId="46187F3E" w14:textId="465C2A2B" w:rsidR="00F01ECE" w:rsidRPr="00B93E43" w:rsidRDefault="00616D31" w:rsidP="00B93E43">
            <w:pPr>
              <w:jc w:val="both"/>
              <w:rPr>
                <w:rFonts w:eastAsia="Times New Roman" w:cs="Times New Roman"/>
                <w:lang w:val="en-GB"/>
              </w:rPr>
            </w:pPr>
            <w:r w:rsidRPr="00B93E43">
              <w:rPr>
                <w:rFonts w:eastAsia="Times New Roman" w:cs="Times New Roman"/>
                <w:lang w:val="en-GB"/>
              </w:rPr>
              <w:t>Suppliers shall ensure that any technical promotional material concerning a specific tyre type displays the tyre label of that tyre type and includes the information set out in Annex IV.</w:t>
            </w:r>
          </w:p>
        </w:tc>
        <w:tc>
          <w:tcPr>
            <w:tcW w:w="325" w:type="pct"/>
            <w:vAlign w:val="center"/>
          </w:tcPr>
          <w:p w14:paraId="46187F3F" w14:textId="77777777" w:rsidR="00F01ECE" w:rsidRPr="004D2E7C" w:rsidRDefault="00F01ECE" w:rsidP="00D9567F">
            <w:pPr>
              <w:jc w:val="center"/>
              <w:rPr>
                <w:rFonts w:cs="Times New Roman"/>
                <w:lang w:val="sr-Cyrl-RS"/>
              </w:rPr>
            </w:pPr>
          </w:p>
        </w:tc>
        <w:tc>
          <w:tcPr>
            <w:tcW w:w="1296" w:type="pct"/>
            <w:vAlign w:val="center"/>
          </w:tcPr>
          <w:p w14:paraId="46187F40" w14:textId="77777777" w:rsidR="00F01ECE" w:rsidRPr="004D2E7C" w:rsidRDefault="00F01ECE" w:rsidP="00F01ECE">
            <w:pPr>
              <w:rPr>
                <w:rFonts w:cs="Times New Roman"/>
                <w:lang w:val="sr-Cyrl-RS"/>
              </w:rPr>
            </w:pPr>
          </w:p>
        </w:tc>
        <w:tc>
          <w:tcPr>
            <w:tcW w:w="235" w:type="pct"/>
            <w:vAlign w:val="center"/>
          </w:tcPr>
          <w:p w14:paraId="46187F41" w14:textId="32BC43A0" w:rsidR="00F01ECE" w:rsidRPr="004D2E7C" w:rsidRDefault="00586B96" w:rsidP="00F01ECE">
            <w:pPr>
              <w:jc w:val="center"/>
              <w:rPr>
                <w:rFonts w:cs="Times New Roman"/>
                <w:lang w:val="sr-Cyrl-RS"/>
              </w:rPr>
            </w:pPr>
            <w:r>
              <w:rPr>
                <w:rFonts w:cs="Times New Roman"/>
                <w:lang w:val="sr-Cyrl-RS"/>
              </w:rPr>
              <w:t>НУ</w:t>
            </w:r>
          </w:p>
        </w:tc>
        <w:tc>
          <w:tcPr>
            <w:tcW w:w="676" w:type="pct"/>
            <w:vAlign w:val="center"/>
          </w:tcPr>
          <w:p w14:paraId="46187F42" w14:textId="57F2229A" w:rsidR="00F01ECE" w:rsidRPr="004D2E7C" w:rsidRDefault="00F01ECE" w:rsidP="00F01ECE">
            <w:pPr>
              <w:rPr>
                <w:rFonts w:cs="Times New Roman"/>
                <w:lang w:val="sr-Cyrl-RS"/>
              </w:rPr>
            </w:pPr>
          </w:p>
        </w:tc>
        <w:tc>
          <w:tcPr>
            <w:tcW w:w="699" w:type="pct"/>
            <w:vAlign w:val="center"/>
          </w:tcPr>
          <w:p w14:paraId="46187F43" w14:textId="4EB5289E" w:rsidR="00F01ECE" w:rsidRPr="00D36211" w:rsidRDefault="00586B96" w:rsidP="00F01ECE">
            <w:pPr>
              <w:rPr>
                <w:rFonts w:cs="Times New Roman"/>
              </w:rPr>
            </w:pPr>
            <w:r w:rsidRPr="00883344">
              <w:rPr>
                <w:rFonts w:cs="Times New Roman"/>
                <w:lang w:val="sr-Cyrl-RS"/>
              </w:rPr>
              <w:t xml:space="preserve">Усклађеност ће бити постигнута </w:t>
            </w:r>
            <w:r>
              <w:rPr>
                <w:rFonts w:cs="Times New Roman"/>
                <w:lang w:val="sr-Cyrl-RS"/>
              </w:rPr>
              <w:t>кроз по</w:t>
            </w:r>
            <w:r w:rsidRPr="00883344">
              <w:rPr>
                <w:rFonts w:cs="Times New Roman"/>
                <w:lang w:val="sr-Cyrl-RS"/>
              </w:rPr>
              <w:t>дзаконск</w:t>
            </w:r>
            <w:r>
              <w:rPr>
                <w:rFonts w:cs="Times New Roman"/>
                <w:lang w:val="sr-Cyrl-RS"/>
              </w:rPr>
              <w:t xml:space="preserve">а </w:t>
            </w:r>
            <w:r w:rsidRPr="00883344">
              <w:rPr>
                <w:rFonts w:cs="Times New Roman"/>
                <w:lang w:val="sr-Cyrl-RS"/>
              </w:rPr>
              <w:t>акта и техничк</w:t>
            </w:r>
            <w:r>
              <w:rPr>
                <w:rFonts w:cs="Times New Roman"/>
                <w:lang w:val="sr-Cyrl-RS"/>
              </w:rPr>
              <w:t>е</w:t>
            </w:r>
            <w:r w:rsidRPr="00883344">
              <w:rPr>
                <w:rFonts w:cs="Times New Roman"/>
                <w:lang w:val="sr-Cyrl-RS"/>
              </w:rPr>
              <w:t xml:space="preserve"> пропис</w:t>
            </w:r>
            <w:r>
              <w:rPr>
                <w:rFonts w:cs="Times New Roman"/>
                <w:lang w:val="sr-Cyrl-RS"/>
              </w:rPr>
              <w:t>е</w:t>
            </w:r>
            <w:r w:rsidRPr="00883344">
              <w:rPr>
                <w:rFonts w:cs="Times New Roman"/>
                <w:lang w:val="sr-Cyrl-RS"/>
              </w:rPr>
              <w:t>.</w:t>
            </w:r>
          </w:p>
        </w:tc>
      </w:tr>
      <w:tr w:rsidR="00F01ECE" w:rsidRPr="004D2E7C" w14:paraId="46187F4E" w14:textId="77777777" w:rsidTr="00D9567F">
        <w:tc>
          <w:tcPr>
            <w:tcW w:w="280" w:type="pct"/>
            <w:shd w:val="clear" w:color="auto" w:fill="D9D9D9"/>
            <w:vAlign w:val="center"/>
          </w:tcPr>
          <w:p w14:paraId="46187F45" w14:textId="1CE41A6B" w:rsidR="00F01ECE" w:rsidRPr="004D2E7C" w:rsidRDefault="0091204B" w:rsidP="00F01ECE">
            <w:pPr>
              <w:jc w:val="center"/>
              <w:rPr>
                <w:rFonts w:eastAsia="Times New Roman" w:cs="Times New Roman"/>
                <w:lang w:val="sr-Cyrl-RS"/>
              </w:rPr>
            </w:pPr>
            <w:r>
              <w:rPr>
                <w:rFonts w:eastAsia="Times New Roman" w:cs="Times New Roman"/>
                <w:lang w:val="sr-Latn-RS"/>
              </w:rPr>
              <w:t>4</w:t>
            </w:r>
            <w:r w:rsidR="00F01ECE" w:rsidRPr="004D2E7C">
              <w:rPr>
                <w:rFonts w:eastAsia="Times New Roman" w:cs="Times New Roman"/>
                <w:lang w:val="sr-Cyrl-RS"/>
              </w:rPr>
              <w:t>.5.</w:t>
            </w:r>
          </w:p>
        </w:tc>
        <w:tc>
          <w:tcPr>
            <w:tcW w:w="1489" w:type="pct"/>
            <w:shd w:val="clear" w:color="auto" w:fill="D9D9D9"/>
            <w:vAlign w:val="center"/>
          </w:tcPr>
          <w:p w14:paraId="46187F47" w14:textId="589E321A" w:rsidR="00F01ECE" w:rsidRPr="00B93E43" w:rsidRDefault="00616D31" w:rsidP="00B93E43">
            <w:pPr>
              <w:jc w:val="both"/>
              <w:rPr>
                <w:rFonts w:eastAsia="Times New Roman" w:cs="Times New Roman"/>
                <w:lang w:val="en-GB"/>
              </w:rPr>
            </w:pPr>
            <w:r w:rsidRPr="00B93E43">
              <w:rPr>
                <w:rFonts w:eastAsia="Times New Roman" w:cs="Times New Roman"/>
                <w:lang w:val="en-GB"/>
              </w:rPr>
              <w:t xml:space="preserve">Suppliers shall provide to a relevant national authority as defined in point (37) of Article 3 of Regulation (EU) 2018/858 the values used to determine the related classes and any additional performance information that the supplier declares </w:t>
            </w:r>
            <w:r w:rsidRPr="00B93E43">
              <w:rPr>
                <w:rFonts w:eastAsia="Times New Roman" w:cs="Times New Roman"/>
                <w:lang w:val="en-GB"/>
              </w:rPr>
              <w:lastRenderedPageBreak/>
              <w:t>on the tyre label of tyre types in accordance with Annex I to this Regulation, as well as the tyre label that complies with the requirements set out in Annex II to this Regulation. That information shall be submitted to the relevant national authority on the basis of Article 5(1) and (2) of this Regulation before the placing on the market of the tyre types in question, so that the authority may verify the accuracy of the tyre label.</w:t>
            </w:r>
          </w:p>
        </w:tc>
        <w:tc>
          <w:tcPr>
            <w:tcW w:w="325" w:type="pct"/>
            <w:vAlign w:val="center"/>
          </w:tcPr>
          <w:p w14:paraId="46187F48" w14:textId="4AA92594" w:rsidR="00F01ECE" w:rsidRPr="004D2E7C" w:rsidRDefault="003D3CE1" w:rsidP="00D9567F">
            <w:pPr>
              <w:jc w:val="center"/>
              <w:rPr>
                <w:rFonts w:cs="Times New Roman"/>
                <w:b/>
                <w:bCs/>
                <w:lang w:val="sr-Cyrl-RS"/>
              </w:rPr>
            </w:pPr>
            <w:r>
              <w:rPr>
                <w:rFonts w:cs="Times New Roman"/>
                <w:b/>
                <w:bCs/>
                <w:lang w:val="sr-Cyrl-RS"/>
              </w:rPr>
              <w:lastRenderedPageBreak/>
              <w:t>1.126.2.</w:t>
            </w:r>
          </w:p>
        </w:tc>
        <w:tc>
          <w:tcPr>
            <w:tcW w:w="1296" w:type="pct"/>
            <w:vAlign w:val="center"/>
          </w:tcPr>
          <w:p w14:paraId="46187F4A" w14:textId="4B21BFB4" w:rsidR="00F01ECE" w:rsidRPr="003D3CE1" w:rsidRDefault="003D3CE1" w:rsidP="003D3CE1">
            <w:pPr>
              <w:jc w:val="both"/>
              <w:rPr>
                <w:rFonts w:eastAsia="Times New Roman" w:cs="Times New Roman"/>
                <w:color w:val="000000" w:themeColor="text1"/>
                <w:lang w:val="sr-Cyrl-CS"/>
              </w:rPr>
            </w:pPr>
            <w:r w:rsidRPr="003D3CE1">
              <w:rPr>
                <w:rFonts w:eastAsia="Times New Roman" w:cs="Times New Roman"/>
                <w:color w:val="000000" w:themeColor="text1"/>
                <w:lang w:val="sr-Cyrl-CS"/>
              </w:rPr>
              <w:t xml:space="preserve">Ако тржишни инспектор има основа да верује да енергетски означен производ из члана 62. и 64. представља ризик са аспекта заштите јавног интереса који се тиче заштите животне средине и/или </w:t>
            </w:r>
            <w:r w:rsidRPr="003D3CE1">
              <w:rPr>
                <w:rFonts w:eastAsia="Times New Roman" w:cs="Times New Roman"/>
                <w:color w:val="000000" w:themeColor="text1"/>
                <w:lang w:val="sr-Cyrl-CS"/>
              </w:rPr>
              <w:lastRenderedPageBreak/>
              <w:t xml:space="preserve">заштите потрошача, он спроводи поступак оцењивања производа којим су обухваћени сви захтеви за енергетско означавање који су релевантни за ризик и прописани подзаконским актима из члана 62. </w:t>
            </w:r>
            <w:proofErr w:type="spellStart"/>
            <w:r w:rsidRPr="003D3CE1">
              <w:rPr>
                <w:rFonts w:eastAsia="Times New Roman" w:cs="Times New Roman"/>
                <w:color w:val="000000" w:themeColor="text1"/>
                <w:lang w:val="sr-Cyrl-CS"/>
              </w:rPr>
              <w:t>ст</w:t>
            </w:r>
            <w:proofErr w:type="spellEnd"/>
            <w:r w:rsidRPr="003D3CE1">
              <w:rPr>
                <w:rFonts w:eastAsia="Times New Roman" w:cs="Times New Roman"/>
                <w:color w:val="000000" w:themeColor="text1"/>
                <w:lang w:val="sr-Cyrl-CS"/>
              </w:rPr>
              <w:t>. 2. и 3. и члана 64. став 2. овог закона, а испоручилац производа и/или продавац су дужни да сарађују са тржишним инспектором у сврху оцењивања, уколико он процени да је потребно.</w:t>
            </w:r>
          </w:p>
        </w:tc>
        <w:tc>
          <w:tcPr>
            <w:tcW w:w="235" w:type="pct"/>
            <w:vAlign w:val="center"/>
          </w:tcPr>
          <w:p w14:paraId="46187F4B" w14:textId="4431C20A" w:rsidR="00F01ECE" w:rsidRPr="004D2E7C" w:rsidRDefault="003D3CE1" w:rsidP="00F01ECE">
            <w:pPr>
              <w:jc w:val="center"/>
              <w:rPr>
                <w:rFonts w:cs="Times New Roman"/>
                <w:lang w:val="sr-Cyrl-RS"/>
              </w:rPr>
            </w:pPr>
            <w:r>
              <w:rPr>
                <w:rFonts w:cs="Times New Roman"/>
                <w:lang w:val="sr-Cyrl-RS"/>
              </w:rPr>
              <w:lastRenderedPageBreak/>
              <w:t>ПУ</w:t>
            </w:r>
          </w:p>
        </w:tc>
        <w:tc>
          <w:tcPr>
            <w:tcW w:w="676" w:type="pct"/>
            <w:vAlign w:val="center"/>
          </w:tcPr>
          <w:p w14:paraId="46187F4C" w14:textId="77777777" w:rsidR="00F01ECE" w:rsidRPr="004D2E7C" w:rsidRDefault="00F01ECE" w:rsidP="00F01ECE">
            <w:pPr>
              <w:rPr>
                <w:rFonts w:cs="Times New Roman"/>
                <w:lang w:val="sr-Cyrl-RS"/>
              </w:rPr>
            </w:pPr>
          </w:p>
        </w:tc>
        <w:tc>
          <w:tcPr>
            <w:tcW w:w="699" w:type="pct"/>
            <w:vAlign w:val="center"/>
          </w:tcPr>
          <w:p w14:paraId="46187F4D" w14:textId="77777777" w:rsidR="00F01ECE" w:rsidRPr="004D2E7C" w:rsidRDefault="00F01ECE" w:rsidP="00F01ECE">
            <w:pPr>
              <w:rPr>
                <w:rFonts w:cs="Times New Roman"/>
                <w:lang w:val="sr-Cyrl-RS"/>
              </w:rPr>
            </w:pPr>
          </w:p>
        </w:tc>
      </w:tr>
      <w:tr w:rsidR="00F01ECE" w:rsidRPr="004D2E7C" w14:paraId="46187F61" w14:textId="77777777" w:rsidTr="00D9567F">
        <w:tc>
          <w:tcPr>
            <w:tcW w:w="280" w:type="pct"/>
            <w:shd w:val="clear" w:color="auto" w:fill="D9D9D9"/>
            <w:vAlign w:val="center"/>
          </w:tcPr>
          <w:p w14:paraId="46187F4F" w14:textId="5AD1368B"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4.6.</w:t>
            </w:r>
          </w:p>
        </w:tc>
        <w:tc>
          <w:tcPr>
            <w:tcW w:w="1489" w:type="pct"/>
            <w:shd w:val="clear" w:color="auto" w:fill="D9D9D9"/>
            <w:vAlign w:val="center"/>
          </w:tcPr>
          <w:p w14:paraId="46187F5A" w14:textId="6D555F5B" w:rsidR="00F01ECE" w:rsidRPr="00B93E43" w:rsidRDefault="00616D31" w:rsidP="00B93E43">
            <w:pPr>
              <w:jc w:val="both"/>
              <w:rPr>
                <w:rFonts w:eastAsia="Times New Roman" w:cs="Times New Roman"/>
                <w:lang w:val="en-GB"/>
              </w:rPr>
            </w:pPr>
            <w:r w:rsidRPr="00B93E43">
              <w:rPr>
                <w:rFonts w:eastAsia="Times New Roman" w:cs="Times New Roman"/>
                <w:lang w:val="en-GB"/>
              </w:rPr>
              <w:t>Suppliers shall ensure the accuracy of the tyre labels and product information sheets that they provide.</w:t>
            </w:r>
          </w:p>
        </w:tc>
        <w:tc>
          <w:tcPr>
            <w:tcW w:w="325" w:type="pct"/>
            <w:vAlign w:val="center"/>
          </w:tcPr>
          <w:p w14:paraId="46187F5B" w14:textId="301FF7D2" w:rsidR="00F01ECE" w:rsidRPr="004D2E7C" w:rsidRDefault="003D3CE1" w:rsidP="00D9567F">
            <w:pPr>
              <w:jc w:val="center"/>
              <w:rPr>
                <w:rFonts w:cs="Times New Roman"/>
                <w:lang w:val="sr-Cyrl-RS"/>
              </w:rPr>
            </w:pPr>
            <w:r>
              <w:rPr>
                <w:rFonts w:cs="Times New Roman"/>
                <w:lang w:val="sr-Cyrl-RS"/>
              </w:rPr>
              <w:t>2.3.</w:t>
            </w:r>
          </w:p>
        </w:tc>
        <w:tc>
          <w:tcPr>
            <w:tcW w:w="1296" w:type="pct"/>
            <w:vAlign w:val="center"/>
          </w:tcPr>
          <w:p w14:paraId="5572F66D" w14:textId="77777777" w:rsidR="003D3CE1" w:rsidRPr="004D2E7C" w:rsidRDefault="003D3CE1" w:rsidP="003D3CE1">
            <w:pPr>
              <w:jc w:val="both"/>
              <w:rPr>
                <w:rFonts w:cs="Times New Roman"/>
                <w:lang w:val="sr-Cyrl-RS"/>
              </w:rPr>
            </w:pPr>
            <w:r w:rsidRPr="004D2E7C">
              <w:rPr>
                <w:rFonts w:cs="Times New Roman"/>
                <w:lang w:val="sr-Cyrl-RS"/>
              </w:rPr>
              <w:t xml:space="preserve">Министарство надлежно за послове енергетике (у даљем тексту: Министарство) за начин означавања, садржину и изглед ознаке енергетске ефикасности, за сваки тип производа из члана 2. став 1. ове уредбе, прописује: </w:t>
            </w:r>
          </w:p>
          <w:p w14:paraId="366483D9" w14:textId="77777777" w:rsidR="003D3CE1" w:rsidRPr="004D2E7C" w:rsidRDefault="003D3CE1" w:rsidP="003D3CE1">
            <w:pPr>
              <w:jc w:val="both"/>
              <w:rPr>
                <w:rFonts w:cs="Times New Roman"/>
                <w:lang w:val="sr-Cyrl-RS"/>
              </w:rPr>
            </w:pPr>
            <w:r w:rsidRPr="004D2E7C">
              <w:rPr>
                <w:rFonts w:cs="Times New Roman"/>
                <w:lang w:val="sr-Cyrl-RS"/>
              </w:rPr>
              <w:t>1) обавезну техничку документацију, довољну да би се омогућила оцена тачности информација садржаних на ознаци енергетске ефикасности и листи са подацима о производу;</w:t>
            </w:r>
          </w:p>
          <w:p w14:paraId="46187F5C" w14:textId="4922E3EA" w:rsidR="00F01ECE" w:rsidRPr="004D2E7C" w:rsidRDefault="003D3CE1" w:rsidP="003D3CE1">
            <w:pPr>
              <w:rPr>
                <w:rFonts w:cs="Times New Roman"/>
                <w:lang w:val="sr-Cyrl-RS"/>
              </w:rPr>
            </w:pPr>
            <w:r w:rsidRPr="004D2E7C">
              <w:rPr>
                <w:rFonts w:cs="Times New Roman"/>
                <w:lang w:val="sr-Cyrl-RS"/>
              </w:rPr>
              <w:t>2) ....</w:t>
            </w:r>
          </w:p>
        </w:tc>
        <w:tc>
          <w:tcPr>
            <w:tcW w:w="235" w:type="pct"/>
            <w:vAlign w:val="center"/>
          </w:tcPr>
          <w:p w14:paraId="46187F5D" w14:textId="77FEE182" w:rsidR="00F01ECE" w:rsidRPr="004D2E7C" w:rsidRDefault="003D3CE1" w:rsidP="00F01ECE">
            <w:pPr>
              <w:jc w:val="center"/>
              <w:rPr>
                <w:rFonts w:cs="Times New Roman"/>
                <w:lang w:val="sr-Cyrl-RS"/>
              </w:rPr>
            </w:pPr>
            <w:r>
              <w:rPr>
                <w:rFonts w:cs="Times New Roman"/>
                <w:lang w:val="sr-Cyrl-RS"/>
              </w:rPr>
              <w:t>ДУ</w:t>
            </w:r>
          </w:p>
        </w:tc>
        <w:tc>
          <w:tcPr>
            <w:tcW w:w="676" w:type="pct"/>
            <w:vAlign w:val="center"/>
          </w:tcPr>
          <w:p w14:paraId="46187F5F" w14:textId="77777777" w:rsidR="00F01ECE" w:rsidRPr="004D2E7C" w:rsidRDefault="00F01ECE" w:rsidP="00F01ECE">
            <w:pPr>
              <w:rPr>
                <w:rFonts w:cs="Times New Roman"/>
                <w:lang w:val="sr-Cyrl-RS"/>
              </w:rPr>
            </w:pPr>
          </w:p>
        </w:tc>
        <w:tc>
          <w:tcPr>
            <w:tcW w:w="699" w:type="pct"/>
            <w:vAlign w:val="center"/>
          </w:tcPr>
          <w:p w14:paraId="46187F60" w14:textId="14FFF086" w:rsidR="00F01ECE" w:rsidRPr="004D2E7C" w:rsidRDefault="003D3CE1" w:rsidP="00F01ECE">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t xml:space="preserve">кроз подзаконске акте и </w:t>
            </w:r>
            <w:r w:rsidRPr="008A4AD2">
              <w:rPr>
                <w:rFonts w:cs="Times New Roman"/>
                <w:lang w:val="sr-Cyrl-RS"/>
              </w:rPr>
              <w:t>техничк</w:t>
            </w:r>
            <w:r>
              <w:rPr>
                <w:rFonts w:cs="Times New Roman"/>
                <w:lang w:val="sr-Cyrl-RS"/>
              </w:rPr>
              <w:t>е прописе, на основу члана 64.</w:t>
            </w:r>
            <w:r w:rsidR="00395461">
              <w:rPr>
                <w:rFonts w:cs="Times New Roman"/>
                <w:lang w:val="sr-Cyrl-RS"/>
              </w:rPr>
              <w:t xml:space="preserve"> ЗЕЕРУЕ. </w:t>
            </w:r>
          </w:p>
        </w:tc>
      </w:tr>
      <w:tr w:rsidR="00CE5F62" w:rsidRPr="004D2E7C" w14:paraId="05B11D83" w14:textId="77777777" w:rsidTr="00D9567F">
        <w:tc>
          <w:tcPr>
            <w:tcW w:w="280" w:type="pct"/>
            <w:shd w:val="clear" w:color="auto" w:fill="D9D9D9"/>
            <w:vAlign w:val="center"/>
          </w:tcPr>
          <w:p w14:paraId="47981910" w14:textId="577365D7" w:rsidR="00CE5F62" w:rsidRPr="00CE5F62" w:rsidRDefault="00CE5F62" w:rsidP="00F01ECE">
            <w:pPr>
              <w:jc w:val="center"/>
              <w:rPr>
                <w:rFonts w:eastAsia="Times New Roman" w:cs="Times New Roman"/>
                <w:lang w:val="sr-Latn-RS"/>
              </w:rPr>
            </w:pPr>
            <w:r>
              <w:rPr>
                <w:rFonts w:eastAsia="Times New Roman" w:cs="Times New Roman"/>
                <w:lang w:val="sr-Latn-RS"/>
              </w:rPr>
              <w:t>4.7.</w:t>
            </w:r>
          </w:p>
        </w:tc>
        <w:tc>
          <w:tcPr>
            <w:tcW w:w="1489" w:type="pct"/>
            <w:shd w:val="clear" w:color="auto" w:fill="D9D9D9"/>
            <w:vAlign w:val="center"/>
          </w:tcPr>
          <w:p w14:paraId="31064598" w14:textId="00B95E30" w:rsidR="00CE5F62" w:rsidRPr="00116900" w:rsidRDefault="00F146D6" w:rsidP="00B93E43">
            <w:pPr>
              <w:pStyle w:val="Normal1"/>
              <w:tabs>
                <w:tab w:val="left" w:pos="150"/>
              </w:tabs>
              <w:spacing w:before="0" w:beforeAutospacing="0" w:after="0" w:afterAutospacing="0"/>
              <w:jc w:val="both"/>
              <w:rPr>
                <w:sz w:val="22"/>
                <w:szCs w:val="22"/>
                <w:lang w:val="en-GB"/>
              </w:rPr>
            </w:pPr>
            <w:r w:rsidRPr="00116900">
              <w:rPr>
                <w:sz w:val="22"/>
                <w:szCs w:val="22"/>
                <w:lang w:val="en-GB"/>
              </w:rPr>
              <w:t>Suppliers may make technical documentation available to the authorities of Member States other than those authorities indicated in paragraph 5 or to relevant national accredited bodies on request.</w:t>
            </w:r>
          </w:p>
        </w:tc>
        <w:tc>
          <w:tcPr>
            <w:tcW w:w="325" w:type="pct"/>
            <w:vAlign w:val="center"/>
          </w:tcPr>
          <w:p w14:paraId="58A89655" w14:textId="7413DB26" w:rsidR="00CE5F62" w:rsidRPr="004D2E7C" w:rsidRDefault="005B25F2" w:rsidP="00D9567F">
            <w:pPr>
              <w:jc w:val="center"/>
              <w:rPr>
                <w:rFonts w:cs="Times New Roman"/>
                <w:b/>
                <w:bCs/>
                <w:lang w:val="sr-Cyrl-RS"/>
              </w:rPr>
            </w:pPr>
            <w:r>
              <w:rPr>
                <w:rFonts w:cs="Times New Roman"/>
                <w:b/>
                <w:bCs/>
                <w:lang w:val="sr-Cyrl-RS"/>
              </w:rPr>
              <w:t>1.126.6.</w:t>
            </w:r>
          </w:p>
        </w:tc>
        <w:tc>
          <w:tcPr>
            <w:tcW w:w="1296" w:type="pct"/>
            <w:vAlign w:val="center"/>
          </w:tcPr>
          <w:p w14:paraId="569C2AF8" w14:textId="4D9FAFEA" w:rsidR="00CE5F62" w:rsidRPr="005B25F2" w:rsidRDefault="005B25F2" w:rsidP="005B25F2">
            <w:pPr>
              <w:jc w:val="both"/>
              <w:rPr>
                <w:rFonts w:eastAsia="Times New Roman" w:cs="Times New Roman"/>
                <w:color w:val="000000" w:themeColor="text1"/>
                <w:lang w:val="sr-Cyrl-CS"/>
              </w:rPr>
            </w:pPr>
            <w:r w:rsidRPr="005B25F2">
              <w:rPr>
                <w:rFonts w:eastAsia="Times New Roman" w:cs="Times New Roman"/>
                <w:color w:val="000000" w:themeColor="text1"/>
                <w:lang w:val="sr-Cyrl-CS"/>
              </w:rPr>
              <w:t>Размена информација и обавештења о мерама из става 4. овог члана врши се у складу са законом којим се уређује тржишни надзор.</w:t>
            </w:r>
          </w:p>
        </w:tc>
        <w:tc>
          <w:tcPr>
            <w:tcW w:w="235" w:type="pct"/>
            <w:vAlign w:val="center"/>
          </w:tcPr>
          <w:p w14:paraId="4029621B" w14:textId="3AB14C8F" w:rsidR="00CE5F62" w:rsidRPr="004D2E7C" w:rsidRDefault="005B25F2" w:rsidP="00F01ECE">
            <w:pPr>
              <w:jc w:val="center"/>
              <w:rPr>
                <w:rFonts w:cs="Times New Roman"/>
                <w:lang w:val="sr-Cyrl-RS"/>
              </w:rPr>
            </w:pPr>
            <w:r>
              <w:rPr>
                <w:rFonts w:cs="Times New Roman"/>
                <w:lang w:val="sr-Cyrl-RS"/>
              </w:rPr>
              <w:t>ПУ</w:t>
            </w:r>
          </w:p>
        </w:tc>
        <w:tc>
          <w:tcPr>
            <w:tcW w:w="676" w:type="pct"/>
          </w:tcPr>
          <w:p w14:paraId="0EA582DF" w14:textId="77777777" w:rsidR="00CE5F62" w:rsidRPr="004D2E7C" w:rsidRDefault="00CE5F62" w:rsidP="00F01ECE">
            <w:pPr>
              <w:rPr>
                <w:rFonts w:cs="Times New Roman"/>
                <w:lang w:val="sr-Cyrl-RS"/>
              </w:rPr>
            </w:pPr>
          </w:p>
        </w:tc>
        <w:tc>
          <w:tcPr>
            <w:tcW w:w="699" w:type="pct"/>
            <w:vAlign w:val="center"/>
          </w:tcPr>
          <w:p w14:paraId="7E9A6F69" w14:textId="77777777" w:rsidR="00CE5F62" w:rsidRPr="004D2E7C" w:rsidRDefault="00CE5F62" w:rsidP="00F01ECE">
            <w:pPr>
              <w:rPr>
                <w:rFonts w:cs="Times New Roman"/>
                <w:bCs/>
                <w:lang w:val="sr-Cyrl-RS"/>
              </w:rPr>
            </w:pPr>
          </w:p>
        </w:tc>
      </w:tr>
      <w:tr w:rsidR="00CE5F62" w:rsidRPr="004D2E7C" w14:paraId="3DC90424" w14:textId="77777777" w:rsidTr="00D9567F">
        <w:tc>
          <w:tcPr>
            <w:tcW w:w="280" w:type="pct"/>
            <w:shd w:val="clear" w:color="auto" w:fill="D9D9D9"/>
            <w:vAlign w:val="center"/>
          </w:tcPr>
          <w:p w14:paraId="2ACAE6E9" w14:textId="11ABBC77" w:rsidR="00CE5F62" w:rsidRPr="00CE5F62" w:rsidRDefault="00CE5F62" w:rsidP="00F01ECE">
            <w:pPr>
              <w:jc w:val="center"/>
              <w:rPr>
                <w:rFonts w:eastAsia="Times New Roman" w:cs="Times New Roman"/>
                <w:lang w:val="sr-Latn-RS"/>
              </w:rPr>
            </w:pPr>
            <w:r>
              <w:rPr>
                <w:rFonts w:eastAsia="Times New Roman" w:cs="Times New Roman"/>
                <w:lang w:val="sr-Latn-RS"/>
              </w:rPr>
              <w:t>4.8.</w:t>
            </w:r>
          </w:p>
        </w:tc>
        <w:tc>
          <w:tcPr>
            <w:tcW w:w="1489" w:type="pct"/>
            <w:shd w:val="clear" w:color="auto" w:fill="D9D9D9"/>
            <w:vAlign w:val="center"/>
          </w:tcPr>
          <w:p w14:paraId="4509400D" w14:textId="2A4954DC" w:rsidR="00CE5F62" w:rsidRPr="00116900" w:rsidRDefault="00F146D6" w:rsidP="00B93E43">
            <w:pPr>
              <w:pStyle w:val="Normal1"/>
              <w:tabs>
                <w:tab w:val="left" w:pos="150"/>
              </w:tabs>
              <w:spacing w:before="0" w:beforeAutospacing="0" w:after="0" w:afterAutospacing="0"/>
              <w:jc w:val="both"/>
              <w:rPr>
                <w:sz w:val="22"/>
                <w:szCs w:val="22"/>
                <w:lang w:val="en-GB"/>
              </w:rPr>
            </w:pPr>
            <w:r w:rsidRPr="00116900">
              <w:rPr>
                <w:sz w:val="22"/>
                <w:szCs w:val="22"/>
                <w:lang w:val="en-GB"/>
              </w:rPr>
              <w:t>Suppliers shall cooperate with market surveillance authorities and shall take immediate action to remedy any case of non‐compliance with this Regulation for which they are responsible, at their own initiative or when required to do so by market surveillance authorities.</w:t>
            </w:r>
          </w:p>
        </w:tc>
        <w:tc>
          <w:tcPr>
            <w:tcW w:w="325" w:type="pct"/>
            <w:vAlign w:val="center"/>
          </w:tcPr>
          <w:p w14:paraId="0EEB1089" w14:textId="1C3E3C7A" w:rsidR="00CE5F62" w:rsidRPr="004D2E7C" w:rsidRDefault="003D3CE1" w:rsidP="00D9567F">
            <w:pPr>
              <w:jc w:val="center"/>
              <w:rPr>
                <w:rFonts w:cs="Times New Roman"/>
                <w:b/>
                <w:bCs/>
                <w:lang w:val="sr-Cyrl-RS"/>
              </w:rPr>
            </w:pPr>
            <w:r>
              <w:rPr>
                <w:rFonts w:cs="Times New Roman"/>
                <w:b/>
                <w:bCs/>
                <w:lang w:val="sr-Cyrl-RS"/>
              </w:rPr>
              <w:t>1.126.3.</w:t>
            </w:r>
          </w:p>
        </w:tc>
        <w:tc>
          <w:tcPr>
            <w:tcW w:w="1296" w:type="pct"/>
            <w:vAlign w:val="center"/>
          </w:tcPr>
          <w:p w14:paraId="6AE61B21" w14:textId="7887BF51" w:rsidR="00CE5F62" w:rsidRPr="003D3CE1" w:rsidRDefault="003D3CE1" w:rsidP="003D3CE1">
            <w:pPr>
              <w:jc w:val="both"/>
              <w:rPr>
                <w:rFonts w:eastAsia="Times New Roman" w:cs="Times New Roman"/>
                <w:lang w:val="sr-Cyrl-CS"/>
              </w:rPr>
            </w:pPr>
            <w:r w:rsidRPr="003D3CE1">
              <w:rPr>
                <w:rFonts w:eastAsia="Times New Roman" w:cs="Times New Roman"/>
                <w:lang w:val="sr-Cyrl-CS"/>
              </w:rPr>
              <w:t xml:space="preserve">Ако тржишни инспектор током </w:t>
            </w:r>
            <w:proofErr w:type="spellStart"/>
            <w:r w:rsidRPr="003D3CE1">
              <w:rPr>
                <w:rFonts w:eastAsia="Times New Roman" w:cs="Times New Roman"/>
              </w:rPr>
              <w:t>eвалуације</w:t>
            </w:r>
            <w:proofErr w:type="spellEnd"/>
            <w:r w:rsidRPr="003D3CE1">
              <w:rPr>
                <w:rFonts w:eastAsia="Times New Roman" w:cs="Times New Roman"/>
                <w:lang w:val="sr-Cyrl-CS"/>
              </w:rPr>
              <w:t xml:space="preserve"> производа из става 2. овог члана утврди да производ није усаглашен са захтевима из подзаконских аката из члана 62. став 2. и 3. и члана 64. став 2. овог закона, он без одлагања захтева од </w:t>
            </w:r>
            <w:r w:rsidRPr="003D3CE1">
              <w:rPr>
                <w:rFonts w:eastAsia="Times New Roman" w:cs="Times New Roman"/>
                <w:lang w:val="sr-Cyrl-CS"/>
              </w:rPr>
              <w:lastRenderedPageBreak/>
              <w:t>испоручиоца производа или продавца да предузме све одговарајуће корективне мере како би производ постао усаглашен са тим захтевима, према потреби повуче производ с тржишта или га према потреби опозове у оквиру разумног временског периода, сразмерно природи ризика.</w:t>
            </w:r>
          </w:p>
        </w:tc>
        <w:tc>
          <w:tcPr>
            <w:tcW w:w="235" w:type="pct"/>
            <w:vAlign w:val="center"/>
          </w:tcPr>
          <w:p w14:paraId="18ABA625" w14:textId="0B978EA6" w:rsidR="00CE5F62" w:rsidRPr="004D2E7C" w:rsidRDefault="003D3CE1" w:rsidP="00F01ECE">
            <w:pPr>
              <w:jc w:val="center"/>
              <w:rPr>
                <w:rFonts w:cs="Times New Roman"/>
                <w:lang w:val="sr-Cyrl-RS"/>
              </w:rPr>
            </w:pPr>
            <w:r>
              <w:rPr>
                <w:rFonts w:cs="Times New Roman"/>
                <w:lang w:val="sr-Cyrl-RS"/>
              </w:rPr>
              <w:lastRenderedPageBreak/>
              <w:t>ПУ</w:t>
            </w:r>
          </w:p>
        </w:tc>
        <w:tc>
          <w:tcPr>
            <w:tcW w:w="676" w:type="pct"/>
          </w:tcPr>
          <w:p w14:paraId="0C119550" w14:textId="77777777" w:rsidR="00CE5F62" w:rsidRPr="004D2E7C" w:rsidRDefault="00CE5F62" w:rsidP="00F01ECE">
            <w:pPr>
              <w:rPr>
                <w:rFonts w:cs="Times New Roman"/>
                <w:lang w:val="sr-Cyrl-RS"/>
              </w:rPr>
            </w:pPr>
          </w:p>
        </w:tc>
        <w:tc>
          <w:tcPr>
            <w:tcW w:w="699" w:type="pct"/>
            <w:vAlign w:val="center"/>
          </w:tcPr>
          <w:p w14:paraId="1999D690" w14:textId="77777777" w:rsidR="00CE5F62" w:rsidRPr="004D2E7C" w:rsidRDefault="00CE5F62" w:rsidP="00F01ECE">
            <w:pPr>
              <w:rPr>
                <w:rFonts w:cs="Times New Roman"/>
                <w:bCs/>
                <w:lang w:val="sr-Cyrl-RS"/>
              </w:rPr>
            </w:pPr>
          </w:p>
        </w:tc>
      </w:tr>
      <w:tr w:rsidR="00CE5F62" w:rsidRPr="004D2E7C" w14:paraId="27CAE667" w14:textId="77777777" w:rsidTr="00D9567F">
        <w:tc>
          <w:tcPr>
            <w:tcW w:w="280" w:type="pct"/>
            <w:shd w:val="clear" w:color="auto" w:fill="D9D9D9"/>
            <w:vAlign w:val="center"/>
          </w:tcPr>
          <w:p w14:paraId="440710CD" w14:textId="7E0ED40D" w:rsidR="00CE5F62" w:rsidRPr="00CE5F62" w:rsidRDefault="00CE5F62" w:rsidP="00F01ECE">
            <w:pPr>
              <w:jc w:val="center"/>
              <w:rPr>
                <w:rFonts w:eastAsia="Times New Roman" w:cs="Times New Roman"/>
                <w:lang w:val="sr-Latn-RS"/>
              </w:rPr>
            </w:pPr>
            <w:r>
              <w:rPr>
                <w:rFonts w:eastAsia="Times New Roman" w:cs="Times New Roman"/>
                <w:lang w:val="sr-Latn-RS"/>
              </w:rPr>
              <w:lastRenderedPageBreak/>
              <w:t>4.9.</w:t>
            </w:r>
          </w:p>
        </w:tc>
        <w:tc>
          <w:tcPr>
            <w:tcW w:w="1489" w:type="pct"/>
            <w:shd w:val="clear" w:color="auto" w:fill="D9D9D9"/>
            <w:vAlign w:val="center"/>
          </w:tcPr>
          <w:p w14:paraId="5E1C6169" w14:textId="77BA4721" w:rsidR="00CE5F62" w:rsidRPr="00116900" w:rsidRDefault="00F146D6" w:rsidP="00B93E43">
            <w:pPr>
              <w:pStyle w:val="Normal1"/>
              <w:tabs>
                <w:tab w:val="left" w:pos="150"/>
              </w:tabs>
              <w:spacing w:before="0" w:beforeAutospacing="0" w:after="0" w:afterAutospacing="0"/>
              <w:jc w:val="both"/>
              <w:rPr>
                <w:sz w:val="22"/>
                <w:szCs w:val="22"/>
                <w:lang w:val="en-GB"/>
              </w:rPr>
            </w:pPr>
            <w:r w:rsidRPr="00116900">
              <w:rPr>
                <w:sz w:val="22"/>
                <w:szCs w:val="22"/>
                <w:lang w:val="en-GB"/>
              </w:rPr>
              <w:t>Suppliers shall not provide or display other labels, marks, symbols or inscriptions that do not comply with this Regulation and that would be likely to mislead or confuse end-users with respect to the parameters set out in Annex I.</w:t>
            </w:r>
          </w:p>
        </w:tc>
        <w:tc>
          <w:tcPr>
            <w:tcW w:w="325" w:type="pct"/>
            <w:vAlign w:val="center"/>
          </w:tcPr>
          <w:p w14:paraId="01D1EA4A" w14:textId="48F80B95" w:rsidR="00CE5F62" w:rsidRPr="004D2E7C" w:rsidRDefault="00D9567F" w:rsidP="00D9567F">
            <w:pPr>
              <w:jc w:val="center"/>
              <w:rPr>
                <w:rFonts w:cs="Times New Roman"/>
                <w:b/>
                <w:bCs/>
                <w:lang w:val="sr-Cyrl-RS"/>
              </w:rPr>
            </w:pPr>
            <w:r>
              <w:rPr>
                <w:rFonts w:cs="Times New Roman"/>
                <w:b/>
                <w:bCs/>
                <w:lang w:val="sr-Cyrl-RS"/>
              </w:rPr>
              <w:t>1.64.3.</w:t>
            </w:r>
          </w:p>
        </w:tc>
        <w:tc>
          <w:tcPr>
            <w:tcW w:w="1296" w:type="pct"/>
            <w:vAlign w:val="center"/>
          </w:tcPr>
          <w:p w14:paraId="6D15D6FF" w14:textId="1478C28F" w:rsidR="00CE5F62" w:rsidRPr="00D9567F" w:rsidRDefault="00D9567F" w:rsidP="00D9567F">
            <w:pPr>
              <w:jc w:val="both"/>
              <w:rPr>
                <w:rFonts w:eastAsia="Times New Roman" w:cs="Times New Roman"/>
                <w:color w:val="000000" w:themeColor="text1"/>
                <w:lang w:val="sr-Cyrl-CS"/>
              </w:rPr>
            </w:pPr>
            <w:r w:rsidRPr="00D9567F">
              <w:rPr>
                <w:rFonts w:eastAsia="Times New Roman" w:cs="Times New Roman"/>
                <w:color w:val="000000" w:themeColor="text1"/>
                <w:lang w:val="sr-Cyrl-CS"/>
              </w:rPr>
              <w:t>Испоручилац пнеуматике не сме ставити на тржиште пнеуматике који имају друге ознаке, симболе или натписе који нису у складу са прописом из става 2. овог члана и за које је вероватно да би заварали или збунити купце.</w:t>
            </w:r>
          </w:p>
        </w:tc>
        <w:tc>
          <w:tcPr>
            <w:tcW w:w="235" w:type="pct"/>
            <w:vAlign w:val="center"/>
          </w:tcPr>
          <w:p w14:paraId="79E5E4BB" w14:textId="4FEE731C" w:rsidR="00CE5F62" w:rsidRPr="004D2E7C" w:rsidRDefault="00D9567F" w:rsidP="00F01ECE">
            <w:pPr>
              <w:jc w:val="center"/>
              <w:rPr>
                <w:rFonts w:cs="Times New Roman"/>
                <w:lang w:val="sr-Cyrl-RS"/>
              </w:rPr>
            </w:pPr>
            <w:r>
              <w:rPr>
                <w:rFonts w:cs="Times New Roman"/>
                <w:lang w:val="sr-Cyrl-RS"/>
              </w:rPr>
              <w:t>ПУ</w:t>
            </w:r>
          </w:p>
        </w:tc>
        <w:tc>
          <w:tcPr>
            <w:tcW w:w="676" w:type="pct"/>
          </w:tcPr>
          <w:p w14:paraId="0384C0AA" w14:textId="77777777" w:rsidR="00CE5F62" w:rsidRPr="004D2E7C" w:rsidRDefault="00CE5F62" w:rsidP="00F01ECE">
            <w:pPr>
              <w:rPr>
                <w:rFonts w:cs="Times New Roman"/>
                <w:lang w:val="sr-Cyrl-RS"/>
              </w:rPr>
            </w:pPr>
          </w:p>
        </w:tc>
        <w:tc>
          <w:tcPr>
            <w:tcW w:w="699" w:type="pct"/>
            <w:vAlign w:val="center"/>
          </w:tcPr>
          <w:p w14:paraId="16DFEE6F" w14:textId="77777777" w:rsidR="00CE5F62" w:rsidRPr="004D2E7C" w:rsidRDefault="00CE5F62" w:rsidP="00F01ECE">
            <w:pPr>
              <w:rPr>
                <w:rFonts w:cs="Times New Roman"/>
                <w:bCs/>
                <w:lang w:val="sr-Cyrl-RS"/>
              </w:rPr>
            </w:pPr>
          </w:p>
        </w:tc>
      </w:tr>
      <w:tr w:rsidR="00CE5F62" w:rsidRPr="004D2E7C" w14:paraId="68B960E4" w14:textId="77777777" w:rsidTr="00D9567F">
        <w:tc>
          <w:tcPr>
            <w:tcW w:w="280" w:type="pct"/>
            <w:shd w:val="clear" w:color="auto" w:fill="D9D9D9"/>
            <w:vAlign w:val="center"/>
          </w:tcPr>
          <w:p w14:paraId="26A7D188" w14:textId="02CD6CC0" w:rsidR="00CE5F62" w:rsidRPr="00CE5F62" w:rsidRDefault="00CE5F62" w:rsidP="00F01ECE">
            <w:pPr>
              <w:jc w:val="center"/>
              <w:rPr>
                <w:rFonts w:eastAsia="Times New Roman" w:cs="Times New Roman"/>
                <w:lang w:val="sr-Latn-RS"/>
              </w:rPr>
            </w:pPr>
            <w:r>
              <w:rPr>
                <w:rFonts w:eastAsia="Times New Roman" w:cs="Times New Roman"/>
                <w:lang w:val="sr-Latn-RS"/>
              </w:rPr>
              <w:t>4.10.</w:t>
            </w:r>
          </w:p>
        </w:tc>
        <w:tc>
          <w:tcPr>
            <w:tcW w:w="1489" w:type="pct"/>
            <w:shd w:val="clear" w:color="auto" w:fill="D9D9D9"/>
            <w:vAlign w:val="center"/>
          </w:tcPr>
          <w:p w14:paraId="0F1E0688" w14:textId="7632A658" w:rsidR="00CE5F62" w:rsidRPr="00116900" w:rsidRDefault="00B93E43" w:rsidP="00B93E43">
            <w:pPr>
              <w:pStyle w:val="Normal1"/>
              <w:tabs>
                <w:tab w:val="left" w:pos="150"/>
              </w:tabs>
              <w:spacing w:before="0" w:beforeAutospacing="0" w:after="0" w:afterAutospacing="0"/>
              <w:jc w:val="both"/>
              <w:rPr>
                <w:sz w:val="22"/>
                <w:szCs w:val="22"/>
                <w:lang w:val="en-GB"/>
              </w:rPr>
            </w:pPr>
            <w:r w:rsidRPr="00116900">
              <w:rPr>
                <w:sz w:val="22"/>
                <w:szCs w:val="22"/>
                <w:lang w:val="en-GB"/>
              </w:rPr>
              <w:t>Suppliers shall not provide or display labels that mimic the tyre label provided for under this Regulation.</w:t>
            </w:r>
          </w:p>
        </w:tc>
        <w:tc>
          <w:tcPr>
            <w:tcW w:w="325" w:type="pct"/>
            <w:vAlign w:val="center"/>
          </w:tcPr>
          <w:p w14:paraId="0DED44C2" w14:textId="4FC28D30" w:rsidR="00CE5F62" w:rsidRPr="004D2E7C" w:rsidRDefault="00D9567F" w:rsidP="00D9567F">
            <w:pPr>
              <w:jc w:val="center"/>
              <w:rPr>
                <w:rFonts w:cs="Times New Roman"/>
                <w:b/>
                <w:bCs/>
                <w:lang w:val="sr-Cyrl-RS"/>
              </w:rPr>
            </w:pPr>
            <w:r>
              <w:rPr>
                <w:rFonts w:cs="Times New Roman"/>
                <w:b/>
                <w:bCs/>
                <w:lang w:val="sr-Cyrl-RS"/>
              </w:rPr>
              <w:t>1.64.3.</w:t>
            </w:r>
          </w:p>
        </w:tc>
        <w:tc>
          <w:tcPr>
            <w:tcW w:w="1296" w:type="pct"/>
            <w:vAlign w:val="center"/>
          </w:tcPr>
          <w:p w14:paraId="6273868A" w14:textId="7B91B95D" w:rsidR="00CE5F62" w:rsidRPr="004D2E7C" w:rsidRDefault="00D9567F" w:rsidP="00D9567F">
            <w:pPr>
              <w:autoSpaceDE w:val="0"/>
              <w:autoSpaceDN w:val="0"/>
              <w:adjustRightInd w:val="0"/>
              <w:jc w:val="both"/>
              <w:rPr>
                <w:rFonts w:eastAsia="MS Mincho" w:cs="Times New Roman"/>
                <w:lang w:val="sr-Cyrl-RS" w:eastAsia="ja-JP"/>
              </w:rPr>
            </w:pPr>
            <w:r w:rsidRPr="00D9567F">
              <w:rPr>
                <w:rFonts w:eastAsia="Times New Roman" w:cs="Times New Roman"/>
                <w:color w:val="000000" w:themeColor="text1"/>
                <w:lang w:val="sr-Cyrl-CS"/>
              </w:rPr>
              <w:t>Испоручилац пнеуматике не сме ставити на тржиште пнеуматике који имају друге ознаке, симболе или натписе који нису у складу са прописом из става 2. овог члана и за које је вероватно да би заварали или збунити купце.</w:t>
            </w:r>
          </w:p>
        </w:tc>
        <w:tc>
          <w:tcPr>
            <w:tcW w:w="235" w:type="pct"/>
            <w:vAlign w:val="center"/>
          </w:tcPr>
          <w:p w14:paraId="04FD4197" w14:textId="16B6C12D" w:rsidR="00CE5F62" w:rsidRPr="004D2E7C" w:rsidRDefault="00D9567F" w:rsidP="00F01ECE">
            <w:pPr>
              <w:jc w:val="center"/>
              <w:rPr>
                <w:rFonts w:cs="Times New Roman"/>
                <w:lang w:val="sr-Cyrl-RS"/>
              </w:rPr>
            </w:pPr>
            <w:r>
              <w:rPr>
                <w:rFonts w:cs="Times New Roman"/>
                <w:lang w:val="sr-Cyrl-RS"/>
              </w:rPr>
              <w:t>ПУ</w:t>
            </w:r>
          </w:p>
        </w:tc>
        <w:tc>
          <w:tcPr>
            <w:tcW w:w="676" w:type="pct"/>
          </w:tcPr>
          <w:p w14:paraId="02C9EF16" w14:textId="77777777" w:rsidR="00CE5F62" w:rsidRPr="004D2E7C" w:rsidRDefault="00CE5F62" w:rsidP="00F01ECE">
            <w:pPr>
              <w:rPr>
                <w:rFonts w:cs="Times New Roman"/>
                <w:lang w:val="sr-Cyrl-RS"/>
              </w:rPr>
            </w:pPr>
          </w:p>
        </w:tc>
        <w:tc>
          <w:tcPr>
            <w:tcW w:w="699" w:type="pct"/>
            <w:vAlign w:val="center"/>
          </w:tcPr>
          <w:p w14:paraId="17E5DF6F" w14:textId="77777777" w:rsidR="00CE5F62" w:rsidRPr="004D2E7C" w:rsidRDefault="00CE5F62" w:rsidP="00F01ECE">
            <w:pPr>
              <w:rPr>
                <w:rFonts w:cs="Times New Roman"/>
                <w:bCs/>
                <w:lang w:val="sr-Cyrl-RS"/>
              </w:rPr>
            </w:pPr>
          </w:p>
        </w:tc>
      </w:tr>
      <w:tr w:rsidR="00F01ECE" w:rsidRPr="004D2E7C" w14:paraId="46187F92" w14:textId="77777777" w:rsidTr="003D3CE1">
        <w:tc>
          <w:tcPr>
            <w:tcW w:w="280" w:type="pct"/>
            <w:shd w:val="clear" w:color="auto" w:fill="D9D9D9"/>
            <w:vAlign w:val="center"/>
          </w:tcPr>
          <w:p w14:paraId="46187F62" w14:textId="529DCB2F" w:rsidR="00F01ECE" w:rsidRPr="004D2E7C" w:rsidRDefault="00F01ECE" w:rsidP="00F01ECE">
            <w:pPr>
              <w:jc w:val="center"/>
              <w:rPr>
                <w:rFonts w:eastAsia="Times New Roman" w:cs="Times New Roman"/>
                <w:lang w:val="sr-Cyrl-RS"/>
              </w:rPr>
            </w:pPr>
            <w:r w:rsidRPr="004D2E7C">
              <w:rPr>
                <w:rFonts w:eastAsia="Times New Roman" w:cs="Times New Roman"/>
                <w:lang w:val="sr-Cyrl-RS"/>
              </w:rPr>
              <w:t>5.1</w:t>
            </w:r>
            <w:r w:rsidR="008E58E2">
              <w:rPr>
                <w:rFonts w:eastAsia="Times New Roman" w:cs="Times New Roman"/>
                <w:lang w:val="sr-Latn-RS"/>
              </w:rPr>
              <w:t xml:space="preserve"> – 5.7</w:t>
            </w:r>
            <w:r w:rsidRPr="004D2E7C">
              <w:rPr>
                <w:rFonts w:eastAsia="Times New Roman" w:cs="Times New Roman"/>
                <w:lang w:val="sr-Cyrl-RS"/>
              </w:rPr>
              <w:t>.</w:t>
            </w:r>
          </w:p>
        </w:tc>
        <w:tc>
          <w:tcPr>
            <w:tcW w:w="1489" w:type="pct"/>
            <w:shd w:val="clear" w:color="auto" w:fill="D9D9D9"/>
            <w:vAlign w:val="center"/>
          </w:tcPr>
          <w:p w14:paraId="20FDB1CD" w14:textId="77777777" w:rsidR="008E58E2" w:rsidRDefault="008E58E2" w:rsidP="008E58E2">
            <w:pPr>
              <w:pStyle w:val="Normal1"/>
              <w:tabs>
                <w:tab w:val="left" w:pos="150"/>
              </w:tabs>
              <w:spacing w:before="0" w:beforeAutospacing="0" w:after="0" w:afterAutospacing="0"/>
              <w:jc w:val="both"/>
              <w:rPr>
                <w:b/>
                <w:bCs/>
                <w:sz w:val="22"/>
                <w:szCs w:val="22"/>
                <w:lang w:val="en-GB"/>
              </w:rPr>
            </w:pPr>
          </w:p>
          <w:p w14:paraId="394C4161" w14:textId="72EA48F4" w:rsidR="008E58E2" w:rsidRDefault="008E58E2" w:rsidP="008E58E2">
            <w:pPr>
              <w:pStyle w:val="Normal1"/>
              <w:tabs>
                <w:tab w:val="left" w:pos="150"/>
              </w:tabs>
              <w:spacing w:before="0" w:beforeAutospacing="0" w:after="0" w:afterAutospacing="0"/>
              <w:jc w:val="both"/>
              <w:rPr>
                <w:b/>
                <w:bCs/>
                <w:sz w:val="22"/>
                <w:szCs w:val="22"/>
                <w:lang w:val="en-GB"/>
              </w:rPr>
            </w:pPr>
            <w:r w:rsidRPr="008E58E2">
              <w:rPr>
                <w:b/>
                <w:bCs/>
                <w:sz w:val="22"/>
                <w:szCs w:val="22"/>
                <w:lang w:val="en-GB"/>
              </w:rPr>
              <w:t>Obligations of tyre suppliers in relation to the product database</w:t>
            </w:r>
          </w:p>
          <w:p w14:paraId="32AB5BB7" w14:textId="77777777" w:rsidR="008E58E2" w:rsidRPr="008E58E2" w:rsidRDefault="008E58E2" w:rsidP="008E58E2">
            <w:pPr>
              <w:pStyle w:val="Normal1"/>
              <w:tabs>
                <w:tab w:val="left" w:pos="150"/>
              </w:tabs>
              <w:spacing w:before="0" w:beforeAutospacing="0" w:after="0" w:afterAutospacing="0"/>
              <w:jc w:val="both"/>
              <w:rPr>
                <w:b/>
                <w:bCs/>
                <w:sz w:val="22"/>
                <w:szCs w:val="22"/>
                <w:lang w:val="en-GB"/>
              </w:rPr>
            </w:pPr>
          </w:p>
          <w:p w14:paraId="3D75022D" w14:textId="3F9AD45F" w:rsidR="008E58E2" w:rsidRDefault="008E58E2" w:rsidP="008E58E2">
            <w:pPr>
              <w:pStyle w:val="Normal1"/>
              <w:tabs>
                <w:tab w:val="left" w:pos="150"/>
              </w:tabs>
              <w:spacing w:before="0" w:beforeAutospacing="0" w:after="0" w:afterAutospacing="0"/>
              <w:jc w:val="both"/>
              <w:rPr>
                <w:sz w:val="22"/>
                <w:szCs w:val="22"/>
                <w:lang w:val="en-GB"/>
              </w:rPr>
            </w:pPr>
            <w:r w:rsidRPr="008E58E2">
              <w:rPr>
                <w:sz w:val="22"/>
                <w:szCs w:val="22"/>
                <w:lang w:val="en-GB"/>
              </w:rPr>
              <w:t>1.  From 1 May 2021, suppliers shall enter the information set out in Annex VII into the product database before placing on the market a tyre produced after that date.</w:t>
            </w:r>
          </w:p>
          <w:p w14:paraId="4CE14D51" w14:textId="329302CD" w:rsidR="008E58E2" w:rsidRDefault="008E58E2" w:rsidP="008E58E2">
            <w:pPr>
              <w:pStyle w:val="Normal1"/>
              <w:tabs>
                <w:tab w:val="left" w:pos="150"/>
              </w:tabs>
              <w:spacing w:before="0" w:beforeAutospacing="0" w:after="0" w:afterAutospacing="0"/>
              <w:jc w:val="both"/>
              <w:rPr>
                <w:sz w:val="22"/>
                <w:szCs w:val="22"/>
                <w:lang w:val="en-GB"/>
              </w:rPr>
            </w:pPr>
            <w:r w:rsidRPr="008E58E2">
              <w:rPr>
                <w:sz w:val="22"/>
                <w:szCs w:val="22"/>
                <w:lang w:val="en-GB"/>
              </w:rPr>
              <w:t>2.  For tyres that are produced between 25 June 2020 and 30 April 2021, the supplier shall enter the information set out in Annex VII into the product database by 30 November 2021.</w:t>
            </w:r>
          </w:p>
          <w:p w14:paraId="7A5FF583" w14:textId="2C6B7727" w:rsidR="008E58E2" w:rsidRDefault="008E58E2" w:rsidP="008E58E2">
            <w:pPr>
              <w:pStyle w:val="Normal1"/>
              <w:tabs>
                <w:tab w:val="left" w:pos="150"/>
              </w:tabs>
              <w:spacing w:before="0" w:beforeAutospacing="0" w:after="0" w:afterAutospacing="0"/>
              <w:jc w:val="both"/>
              <w:rPr>
                <w:sz w:val="22"/>
                <w:szCs w:val="22"/>
                <w:lang w:val="en-GB"/>
              </w:rPr>
            </w:pPr>
            <w:r w:rsidRPr="008E58E2">
              <w:rPr>
                <w:sz w:val="22"/>
                <w:szCs w:val="22"/>
                <w:lang w:val="en-GB"/>
              </w:rPr>
              <w:lastRenderedPageBreak/>
              <w:t>3.  For tyres that are placed on the market before 25 June 2020, the supplier may enter the information set out in Annex VII into the product database.</w:t>
            </w:r>
          </w:p>
          <w:p w14:paraId="4E5AA1AB" w14:textId="337A25B3" w:rsidR="008E58E2" w:rsidRDefault="008E58E2" w:rsidP="008E58E2">
            <w:pPr>
              <w:pStyle w:val="Normal1"/>
              <w:tabs>
                <w:tab w:val="left" w:pos="150"/>
              </w:tabs>
              <w:spacing w:before="0" w:beforeAutospacing="0" w:after="0" w:afterAutospacing="0"/>
              <w:jc w:val="both"/>
              <w:rPr>
                <w:sz w:val="22"/>
                <w:szCs w:val="22"/>
                <w:lang w:val="en-GB"/>
              </w:rPr>
            </w:pPr>
            <w:r w:rsidRPr="008E58E2">
              <w:rPr>
                <w:sz w:val="22"/>
                <w:szCs w:val="22"/>
                <w:lang w:val="en-GB"/>
              </w:rPr>
              <w:t>4.  Until the information referred to in paragraphs 1 and 2 has been entered into the product database, the supplier shall make an electronic version of the technical documentation available for inspection within 10 working days of receiving a request from a market surveillance authority.</w:t>
            </w:r>
          </w:p>
          <w:p w14:paraId="05F8F95D" w14:textId="0C27440D" w:rsidR="008E58E2" w:rsidRDefault="008E58E2" w:rsidP="008E58E2">
            <w:pPr>
              <w:pStyle w:val="Normal1"/>
              <w:tabs>
                <w:tab w:val="left" w:pos="150"/>
              </w:tabs>
              <w:spacing w:before="0" w:beforeAutospacing="0" w:after="0" w:afterAutospacing="0"/>
              <w:jc w:val="both"/>
              <w:rPr>
                <w:sz w:val="22"/>
                <w:szCs w:val="22"/>
                <w:lang w:val="en-GB"/>
              </w:rPr>
            </w:pPr>
            <w:r w:rsidRPr="008E58E2">
              <w:rPr>
                <w:sz w:val="22"/>
                <w:szCs w:val="22"/>
                <w:lang w:val="en-GB"/>
              </w:rPr>
              <w:t>5.  Where type‐approval authorities or market surveillance authorities need information other than that set out in Annex VII in order to carry out their tasks under this Regulation, the supplier shall provide them with that information on request.</w:t>
            </w:r>
          </w:p>
          <w:p w14:paraId="3B8308E7" w14:textId="62F30717" w:rsidR="008E58E2" w:rsidRDefault="008E58E2" w:rsidP="008E58E2">
            <w:pPr>
              <w:pStyle w:val="Normal1"/>
              <w:tabs>
                <w:tab w:val="left" w:pos="150"/>
              </w:tabs>
              <w:spacing w:before="0" w:beforeAutospacing="0" w:after="0" w:afterAutospacing="0"/>
              <w:jc w:val="both"/>
              <w:rPr>
                <w:sz w:val="22"/>
                <w:szCs w:val="22"/>
                <w:lang w:val="en-GB"/>
              </w:rPr>
            </w:pPr>
            <w:r w:rsidRPr="008E58E2">
              <w:rPr>
                <w:sz w:val="22"/>
                <w:szCs w:val="22"/>
                <w:lang w:val="en-GB"/>
              </w:rPr>
              <w:t>6.  A tyre for which changes are made that are relevant for the tyre label or the product information sheet shall be considered to be a new tyre type. The supplier shall indicate in the product database when it has ceased to place on the market units of a certain tyre type.</w:t>
            </w:r>
          </w:p>
          <w:p w14:paraId="46187F67" w14:textId="6980EFF1" w:rsidR="00F01ECE" w:rsidRPr="008E58E2" w:rsidRDefault="008E58E2" w:rsidP="008E58E2">
            <w:pPr>
              <w:pStyle w:val="Normal1"/>
              <w:tabs>
                <w:tab w:val="left" w:pos="150"/>
              </w:tabs>
              <w:spacing w:before="0" w:beforeAutospacing="0" w:after="120" w:afterAutospacing="0"/>
              <w:jc w:val="both"/>
              <w:rPr>
                <w:lang w:val="sr-Latn-RS"/>
              </w:rPr>
            </w:pPr>
            <w:r w:rsidRPr="008E58E2">
              <w:rPr>
                <w:sz w:val="22"/>
                <w:szCs w:val="22"/>
                <w:lang w:val="en-GB"/>
              </w:rPr>
              <w:t>7.  After the final unit of a tyre type has been placed on the market, the supplier shall keep the information concerning that tyre type in the compliance part of the product database for a period of five years.</w:t>
            </w:r>
          </w:p>
        </w:tc>
        <w:tc>
          <w:tcPr>
            <w:tcW w:w="325" w:type="pct"/>
            <w:vAlign w:val="center"/>
          </w:tcPr>
          <w:p w14:paraId="46187F86" w14:textId="7444B140" w:rsidR="00F01ECE" w:rsidRPr="004D2E7C" w:rsidRDefault="00F01ECE" w:rsidP="00D9567F">
            <w:pPr>
              <w:jc w:val="center"/>
              <w:rPr>
                <w:rFonts w:cs="Times New Roman"/>
                <w:lang w:val="sr-Cyrl-RS"/>
              </w:rPr>
            </w:pPr>
          </w:p>
        </w:tc>
        <w:tc>
          <w:tcPr>
            <w:tcW w:w="1296" w:type="pct"/>
            <w:vAlign w:val="center"/>
          </w:tcPr>
          <w:p w14:paraId="46187F8D" w14:textId="56B45C63" w:rsidR="00F01ECE" w:rsidRPr="004D2E7C" w:rsidRDefault="00F01ECE" w:rsidP="00992FFA">
            <w:pPr>
              <w:spacing w:after="120"/>
              <w:jc w:val="both"/>
              <w:rPr>
                <w:rFonts w:cs="Times New Roman"/>
                <w:lang w:val="sr-Cyrl-RS"/>
              </w:rPr>
            </w:pPr>
          </w:p>
        </w:tc>
        <w:tc>
          <w:tcPr>
            <w:tcW w:w="235" w:type="pct"/>
            <w:vAlign w:val="center"/>
          </w:tcPr>
          <w:p w14:paraId="46187F8E" w14:textId="02BBF57C" w:rsidR="00F01ECE" w:rsidRPr="004D2E7C" w:rsidRDefault="003D3CE1" w:rsidP="00F01ECE">
            <w:pPr>
              <w:jc w:val="center"/>
              <w:rPr>
                <w:rFonts w:cs="Times New Roman"/>
                <w:lang w:val="sr-Cyrl-RS"/>
              </w:rPr>
            </w:pPr>
            <w:r>
              <w:rPr>
                <w:rFonts w:cs="Times New Roman"/>
                <w:lang w:val="sr-Cyrl-RS"/>
              </w:rPr>
              <w:t>Н</w:t>
            </w:r>
            <w:r w:rsidR="00395461">
              <w:rPr>
                <w:rFonts w:cs="Times New Roman"/>
                <w:lang w:val="sr-Cyrl-RS"/>
              </w:rPr>
              <w:t>П</w:t>
            </w:r>
          </w:p>
        </w:tc>
        <w:tc>
          <w:tcPr>
            <w:tcW w:w="676" w:type="pct"/>
            <w:vAlign w:val="center"/>
          </w:tcPr>
          <w:p w14:paraId="7B0FACA1" w14:textId="281F6199" w:rsidR="00F01ECE" w:rsidRDefault="003D3CE1" w:rsidP="003D3CE1">
            <w:pPr>
              <w:rPr>
                <w:rFonts w:cs="Times New Roman"/>
                <w:lang w:val="sr-Cyrl-RS"/>
              </w:rPr>
            </w:pPr>
            <w:r w:rsidRPr="004D2E7C">
              <w:rPr>
                <w:rFonts w:cs="Times New Roman"/>
                <w:lang w:val="sr-Cyrl-RS"/>
              </w:rPr>
              <w:t xml:space="preserve">База података о производима није поменута у одредбама </w:t>
            </w:r>
            <w:r w:rsidR="00BC0F56">
              <w:rPr>
                <w:rFonts w:cs="Times New Roman"/>
                <w:lang w:val="sr-Cyrl-RS"/>
              </w:rPr>
              <w:t>Предлог</w:t>
            </w:r>
            <w:r w:rsidRPr="004D2E7C">
              <w:rPr>
                <w:rFonts w:cs="Times New Roman"/>
                <w:lang w:val="sr-Cyrl-RS"/>
              </w:rPr>
              <w:t>а ЗЕЕРУЕ јер није доступна корисницима из Републике Србије.</w:t>
            </w:r>
          </w:p>
          <w:p w14:paraId="17DA9155" w14:textId="77777777" w:rsidR="00395461" w:rsidRDefault="00395461" w:rsidP="003D3CE1">
            <w:pPr>
              <w:rPr>
                <w:rFonts w:cs="Times New Roman"/>
                <w:lang w:val="sr-Cyrl-RS"/>
              </w:rPr>
            </w:pPr>
          </w:p>
          <w:p w14:paraId="46187F8F" w14:textId="235EA3E3" w:rsidR="00395461" w:rsidRPr="004D2E7C" w:rsidRDefault="00395461" w:rsidP="003D3CE1">
            <w:pPr>
              <w:rPr>
                <w:rFonts w:cs="Times New Roman"/>
                <w:lang w:val="sr-Cyrl-RS"/>
              </w:rPr>
            </w:pPr>
            <w:r w:rsidRPr="004D2E7C">
              <w:rPr>
                <w:rFonts w:cs="Times New Roman"/>
                <w:lang w:val="sr-Cyrl-RS"/>
              </w:rPr>
              <w:t xml:space="preserve">Након разматрања појма „база података о производима“, сагледано је да у овом моменту није </w:t>
            </w:r>
            <w:r w:rsidRPr="004D2E7C">
              <w:rPr>
                <w:rFonts w:cs="Times New Roman"/>
                <w:lang w:val="sr-Cyrl-RS"/>
              </w:rPr>
              <w:lastRenderedPageBreak/>
              <w:t>могуће користити систем базе производа ЕУ.</w:t>
            </w:r>
          </w:p>
        </w:tc>
        <w:tc>
          <w:tcPr>
            <w:tcW w:w="699" w:type="pct"/>
            <w:vAlign w:val="center"/>
          </w:tcPr>
          <w:p w14:paraId="46187F91" w14:textId="7BD57E4C" w:rsidR="00F01ECE" w:rsidRPr="004D2E7C" w:rsidRDefault="003D3CE1" w:rsidP="00F01ECE">
            <w:pPr>
              <w:rPr>
                <w:rFonts w:cs="Times New Roman"/>
                <w:lang w:val="sr-Cyrl-RS"/>
              </w:rPr>
            </w:pPr>
            <w:r>
              <w:rPr>
                <w:rFonts w:cs="Times New Roman"/>
                <w:lang w:val="sr-Cyrl-RS"/>
              </w:rPr>
              <w:lastRenderedPageBreak/>
              <w:t>У</w:t>
            </w:r>
            <w:r w:rsidRPr="004D2E7C">
              <w:rPr>
                <w:rFonts w:cs="Times New Roman"/>
                <w:lang w:val="sr-Cyrl-RS"/>
              </w:rPr>
              <w:t>склађивање ће бити постигнуто када Република Србија приступи ЕУ и тиме добије приступ Бази података.</w:t>
            </w:r>
          </w:p>
        </w:tc>
      </w:tr>
      <w:tr w:rsidR="00F01ECE" w:rsidRPr="004D2E7C" w14:paraId="46187FB7" w14:textId="77777777" w:rsidTr="00395461">
        <w:tc>
          <w:tcPr>
            <w:tcW w:w="280" w:type="pct"/>
            <w:shd w:val="clear" w:color="auto" w:fill="D9D9D9"/>
            <w:vAlign w:val="center"/>
          </w:tcPr>
          <w:p w14:paraId="46187FA5" w14:textId="6E6F158D" w:rsidR="00F01ECE" w:rsidRPr="00395461" w:rsidRDefault="00F01ECE" w:rsidP="00F01ECE">
            <w:pPr>
              <w:jc w:val="center"/>
              <w:rPr>
                <w:rFonts w:cs="Times New Roman"/>
                <w:lang w:val="sr-Cyrl-RS"/>
              </w:rPr>
            </w:pPr>
            <w:r w:rsidRPr="004D2E7C">
              <w:rPr>
                <w:rFonts w:cs="Times New Roman"/>
                <w:lang w:val="sr-Cyrl-RS"/>
              </w:rPr>
              <w:lastRenderedPageBreak/>
              <w:t>6.</w:t>
            </w:r>
            <w:r w:rsidR="001C2478">
              <w:rPr>
                <w:rFonts w:cs="Times New Roman"/>
                <w:lang w:val="sr-Latn-RS"/>
              </w:rPr>
              <w:t>1</w:t>
            </w:r>
            <w:r w:rsidR="00395461">
              <w:rPr>
                <w:rFonts w:cs="Times New Roman"/>
                <w:lang w:val="sr-Cyrl-RS"/>
              </w:rPr>
              <w:t xml:space="preserve"> – 6.7.</w:t>
            </w:r>
          </w:p>
        </w:tc>
        <w:tc>
          <w:tcPr>
            <w:tcW w:w="1489" w:type="pct"/>
            <w:shd w:val="clear" w:color="auto" w:fill="D9D9D9"/>
            <w:vAlign w:val="center"/>
          </w:tcPr>
          <w:p w14:paraId="46187FA6" w14:textId="77777777" w:rsidR="00F01ECE" w:rsidRPr="00A60E6C" w:rsidRDefault="00F01ECE" w:rsidP="00A60E6C">
            <w:pPr>
              <w:jc w:val="both"/>
              <w:rPr>
                <w:rFonts w:cs="Times New Roman"/>
                <w:b/>
                <w:bCs/>
                <w:sz w:val="14"/>
                <w:szCs w:val="14"/>
                <w:lang w:val="en-GB"/>
              </w:rPr>
            </w:pPr>
          </w:p>
          <w:p w14:paraId="0B8C2068" w14:textId="2AD113F9" w:rsidR="001C2478" w:rsidRDefault="001C2478" w:rsidP="00A60E6C">
            <w:pPr>
              <w:jc w:val="both"/>
              <w:rPr>
                <w:rFonts w:cs="Times New Roman"/>
                <w:b/>
                <w:bCs/>
                <w:lang w:val="en-GB"/>
              </w:rPr>
            </w:pPr>
            <w:r w:rsidRPr="001C2478">
              <w:rPr>
                <w:rFonts w:cs="Times New Roman"/>
                <w:b/>
                <w:bCs/>
                <w:lang w:val="en-GB"/>
              </w:rPr>
              <w:t>Obligations of tyre distributors</w:t>
            </w:r>
          </w:p>
          <w:p w14:paraId="31F7FB45" w14:textId="77777777" w:rsidR="00A22DDF" w:rsidRPr="001C2478" w:rsidRDefault="00A22DDF" w:rsidP="00A60E6C">
            <w:pPr>
              <w:jc w:val="both"/>
              <w:rPr>
                <w:rFonts w:cs="Times New Roman"/>
                <w:b/>
                <w:bCs/>
                <w:lang w:val="en-GB"/>
              </w:rPr>
            </w:pPr>
          </w:p>
          <w:p w14:paraId="19C3E73D" w14:textId="30D6C2D5" w:rsidR="001C2478" w:rsidRPr="001C2478" w:rsidRDefault="00395461" w:rsidP="00A60E6C">
            <w:pPr>
              <w:jc w:val="both"/>
              <w:rPr>
                <w:rFonts w:cs="Times New Roman"/>
                <w:lang w:val="en-GB"/>
              </w:rPr>
            </w:pPr>
            <w:r>
              <w:rPr>
                <w:rFonts w:cs="Times New Roman"/>
                <w:lang w:val="sr-Cyrl-RS"/>
              </w:rPr>
              <w:t xml:space="preserve">1. </w:t>
            </w:r>
            <w:r w:rsidR="001C2478" w:rsidRPr="001C2478">
              <w:rPr>
                <w:rFonts w:cs="Times New Roman"/>
                <w:lang w:val="en-GB"/>
              </w:rPr>
              <w:t>Distributors shall ensure that:</w:t>
            </w:r>
          </w:p>
          <w:p w14:paraId="681F5CF7" w14:textId="1F28D23D" w:rsidR="001C2478" w:rsidRPr="001C2478" w:rsidRDefault="001C2478" w:rsidP="00A60E6C">
            <w:pPr>
              <w:jc w:val="both"/>
              <w:rPr>
                <w:rFonts w:cs="Times New Roman"/>
                <w:lang w:val="en-GB"/>
              </w:rPr>
            </w:pPr>
            <w:r w:rsidRPr="001C2478">
              <w:rPr>
                <w:rFonts w:cs="Times New Roman"/>
                <w:lang w:val="en-GB"/>
              </w:rPr>
              <w:t xml:space="preserve">(a) at the point of sale, tyres bear a tyre label, in the form of a sticker, that complies with the requirements set out in Annex II, provided by the supplier in accordance with point (a) of Article 4(1) </w:t>
            </w:r>
            <w:r w:rsidRPr="001C2478">
              <w:rPr>
                <w:rFonts w:cs="Times New Roman"/>
                <w:lang w:val="en-GB"/>
              </w:rPr>
              <w:lastRenderedPageBreak/>
              <w:t>in a clearly visible position and legible in its entirety, and that the product information sheet is available, including, upon request, in printed form; or</w:t>
            </w:r>
          </w:p>
          <w:p w14:paraId="662348AF" w14:textId="77777777" w:rsidR="00F01ECE" w:rsidRDefault="001C2478" w:rsidP="00A60E6C">
            <w:pPr>
              <w:jc w:val="both"/>
              <w:rPr>
                <w:rFonts w:cs="Times New Roman"/>
                <w:lang w:val="en-GB"/>
              </w:rPr>
            </w:pPr>
            <w:r w:rsidRPr="001C2478">
              <w:rPr>
                <w:rFonts w:cs="Times New Roman"/>
                <w:lang w:val="en-GB"/>
              </w:rPr>
              <w:t>(b) before the sale of a tyre that is part of a batch of one or more identical tyres, a printed tyre label that complies with the requirements set out in Annex II, is shown to the end-user and is clearly displayed close to the tyre at the point of sale, and that the product information sheet is available.</w:t>
            </w:r>
          </w:p>
          <w:p w14:paraId="3E437D6B" w14:textId="77777777" w:rsidR="00395461" w:rsidRDefault="00395461" w:rsidP="00A60E6C">
            <w:pPr>
              <w:jc w:val="both"/>
              <w:rPr>
                <w:rFonts w:cs="Times New Roman"/>
                <w:lang w:val="en-GB"/>
              </w:rPr>
            </w:pPr>
          </w:p>
          <w:p w14:paraId="3E2F3D53" w14:textId="503CFEA1" w:rsidR="00395461" w:rsidRPr="00AD2AB2" w:rsidRDefault="00395461" w:rsidP="00395461">
            <w:pPr>
              <w:jc w:val="both"/>
              <w:rPr>
                <w:rFonts w:eastAsia="Times New Roman" w:cs="Times New Roman"/>
                <w:lang w:val="en-GB"/>
              </w:rPr>
            </w:pPr>
            <w:r>
              <w:rPr>
                <w:rFonts w:eastAsia="Times New Roman" w:cs="Times New Roman"/>
                <w:lang w:val="sr-Cyrl-RS"/>
              </w:rPr>
              <w:t xml:space="preserve">2. </w:t>
            </w:r>
            <w:r w:rsidRPr="00AD2AB2">
              <w:rPr>
                <w:rFonts w:eastAsia="Times New Roman" w:cs="Times New Roman"/>
                <w:lang w:val="en-GB"/>
              </w:rPr>
              <w:t>Distributors shall ensure that any visual advertisement for a specific tyre type shows the tyre label. If the visual advertisement indicates the price of that tyre type, the tyre label shall be displayed close to the price indication.</w:t>
            </w:r>
          </w:p>
          <w:p w14:paraId="7605BF38" w14:textId="77777777" w:rsidR="00395461" w:rsidRDefault="00395461" w:rsidP="00395461">
            <w:pPr>
              <w:jc w:val="both"/>
              <w:rPr>
                <w:rFonts w:eastAsia="Times New Roman" w:cs="Times New Roman"/>
                <w:lang w:val="en-GB"/>
              </w:rPr>
            </w:pPr>
            <w:r w:rsidRPr="00AD2AB2">
              <w:rPr>
                <w:rFonts w:eastAsia="Times New Roman" w:cs="Times New Roman"/>
                <w:lang w:val="en-GB"/>
              </w:rPr>
              <w:t>For visual advertisements on the internet for a specific tyre type, distributors may make the tyre label available in a nested display.</w:t>
            </w:r>
          </w:p>
          <w:p w14:paraId="09C0868A" w14:textId="77777777" w:rsidR="00395461" w:rsidRDefault="00395461" w:rsidP="00395461">
            <w:pPr>
              <w:jc w:val="both"/>
              <w:rPr>
                <w:rFonts w:cs="Times New Roman"/>
                <w:lang w:val="en-GB"/>
              </w:rPr>
            </w:pPr>
          </w:p>
          <w:p w14:paraId="07A7A9E6" w14:textId="1C092FEB" w:rsidR="00395461" w:rsidRDefault="00395461" w:rsidP="00395461">
            <w:pPr>
              <w:jc w:val="both"/>
              <w:rPr>
                <w:rFonts w:eastAsia="Times New Roman" w:cs="Times New Roman"/>
                <w:lang w:val="en-GB"/>
              </w:rPr>
            </w:pPr>
            <w:r>
              <w:rPr>
                <w:rFonts w:eastAsia="Times New Roman" w:cs="Times New Roman"/>
                <w:lang w:val="sr-Cyrl-RS"/>
              </w:rPr>
              <w:t xml:space="preserve">3. </w:t>
            </w:r>
            <w:r w:rsidRPr="00A60E6C">
              <w:rPr>
                <w:rFonts w:eastAsia="Times New Roman" w:cs="Times New Roman"/>
                <w:lang w:val="en-GB"/>
              </w:rPr>
              <w:t>Distributors shall ensure that any technical promotional material concerning a specific tyre type displays the tyre label and includes the information set out in Annex IV.</w:t>
            </w:r>
          </w:p>
          <w:p w14:paraId="5CA23896" w14:textId="77777777" w:rsidR="00395461" w:rsidRDefault="00395461" w:rsidP="00395461">
            <w:pPr>
              <w:jc w:val="both"/>
              <w:rPr>
                <w:rFonts w:cs="Times New Roman"/>
                <w:lang w:val="en-GB"/>
              </w:rPr>
            </w:pPr>
          </w:p>
          <w:p w14:paraId="60398598" w14:textId="69B31F8C" w:rsidR="00395461" w:rsidRDefault="00395461" w:rsidP="00395461">
            <w:pPr>
              <w:jc w:val="both"/>
              <w:rPr>
                <w:rFonts w:eastAsia="Times New Roman" w:cs="Times New Roman"/>
                <w:lang w:val="en-GB"/>
              </w:rPr>
            </w:pPr>
            <w:r>
              <w:rPr>
                <w:rFonts w:eastAsia="Times New Roman" w:cs="Times New Roman"/>
                <w:lang w:val="sr-Cyrl-RS"/>
              </w:rPr>
              <w:t xml:space="preserve">4. </w:t>
            </w:r>
            <w:r w:rsidRPr="00A60E6C">
              <w:rPr>
                <w:rFonts w:eastAsia="Times New Roman" w:cs="Times New Roman"/>
                <w:lang w:val="en-GB"/>
              </w:rPr>
              <w:t>Distributors shall ensure that where tyres offered for sale are not visible to the end-user at the time of sale, they provide the end-user with a copy of the tyre label before the sale.</w:t>
            </w:r>
          </w:p>
          <w:p w14:paraId="032979A1" w14:textId="77777777" w:rsidR="00395461" w:rsidRDefault="00395461" w:rsidP="00395461">
            <w:pPr>
              <w:jc w:val="both"/>
              <w:rPr>
                <w:rFonts w:cs="Times New Roman"/>
                <w:lang w:val="en-GB"/>
              </w:rPr>
            </w:pPr>
          </w:p>
          <w:p w14:paraId="7F0A9C32" w14:textId="321D0665" w:rsidR="00395461" w:rsidRDefault="00395461" w:rsidP="00395461">
            <w:pPr>
              <w:jc w:val="both"/>
              <w:rPr>
                <w:rFonts w:eastAsia="Times New Roman" w:cs="Times New Roman"/>
                <w:lang w:val="en-GB"/>
              </w:rPr>
            </w:pPr>
            <w:r>
              <w:rPr>
                <w:rFonts w:eastAsia="Times New Roman" w:cs="Times New Roman"/>
                <w:lang w:val="sr-Cyrl-RS"/>
              </w:rPr>
              <w:t xml:space="preserve">5. </w:t>
            </w:r>
            <w:r w:rsidRPr="00A60E6C">
              <w:rPr>
                <w:rFonts w:eastAsia="Times New Roman" w:cs="Times New Roman"/>
                <w:lang w:val="en-GB"/>
              </w:rPr>
              <w:t xml:space="preserve">Distributors shall ensure that any paper‐based distance selling shows the tyre label and that end-users can access the product information sheet </w:t>
            </w:r>
            <w:r w:rsidRPr="00A60E6C">
              <w:rPr>
                <w:rFonts w:eastAsia="Times New Roman" w:cs="Times New Roman"/>
                <w:lang w:val="en-GB"/>
              </w:rPr>
              <w:lastRenderedPageBreak/>
              <w:t>through a free access website, and can request a printed copy of the product information sheet.</w:t>
            </w:r>
          </w:p>
          <w:p w14:paraId="76DD9194" w14:textId="77777777" w:rsidR="00395461" w:rsidRDefault="00395461" w:rsidP="00395461">
            <w:pPr>
              <w:jc w:val="both"/>
              <w:rPr>
                <w:rFonts w:cs="Times New Roman"/>
                <w:lang w:val="en-GB"/>
              </w:rPr>
            </w:pPr>
          </w:p>
          <w:p w14:paraId="1679F0C2" w14:textId="245824AA" w:rsidR="00395461" w:rsidRDefault="00395461" w:rsidP="00395461">
            <w:pPr>
              <w:jc w:val="both"/>
              <w:rPr>
                <w:rFonts w:eastAsia="Times New Roman" w:cs="Times New Roman"/>
                <w:lang w:val="en-GB"/>
              </w:rPr>
            </w:pPr>
            <w:r>
              <w:rPr>
                <w:rFonts w:eastAsia="Times New Roman" w:cs="Times New Roman"/>
                <w:lang w:val="sr-Cyrl-RS"/>
              </w:rPr>
              <w:t xml:space="preserve">6. </w:t>
            </w:r>
            <w:r w:rsidRPr="00A60E6C">
              <w:rPr>
                <w:rFonts w:eastAsia="Times New Roman" w:cs="Times New Roman"/>
                <w:lang w:val="en-GB"/>
              </w:rPr>
              <w:t>Distributors that use telemarketing‐based distance selling shall inform end-users of the classes for each of the parameters on the tyre label, and inform end-users that they can access the tyre label and the product information sheet through a free access website, and by requesting a printed copy.</w:t>
            </w:r>
          </w:p>
          <w:p w14:paraId="6A948BC6" w14:textId="77777777" w:rsidR="00395461" w:rsidRDefault="00395461" w:rsidP="00395461">
            <w:pPr>
              <w:jc w:val="both"/>
              <w:rPr>
                <w:rFonts w:cs="Times New Roman"/>
                <w:lang w:val="en-GB"/>
              </w:rPr>
            </w:pPr>
          </w:p>
          <w:p w14:paraId="223FB216" w14:textId="1AE70CA9" w:rsidR="00395461" w:rsidRPr="00A60E6C" w:rsidRDefault="00395461" w:rsidP="00395461">
            <w:pPr>
              <w:jc w:val="both"/>
              <w:rPr>
                <w:rFonts w:eastAsia="Times New Roman" w:cs="Times New Roman"/>
                <w:lang w:val="en-GB"/>
              </w:rPr>
            </w:pPr>
            <w:r>
              <w:rPr>
                <w:rFonts w:eastAsia="Times New Roman" w:cs="Times New Roman"/>
                <w:lang w:val="sr-Cyrl-RS"/>
              </w:rPr>
              <w:t xml:space="preserve">7. </w:t>
            </w:r>
            <w:r w:rsidRPr="00A60E6C">
              <w:rPr>
                <w:rFonts w:eastAsia="Times New Roman" w:cs="Times New Roman"/>
                <w:lang w:val="en-GB"/>
              </w:rPr>
              <w:t>For tyres sold or offered for sale on the internet, distributors shall ensure that the tyre label is displayed close to the price indication and that the product information sheet can be accessed. The size of the tyre label shall be such that it is clearly visible and legible and shall be proportionate to the size specified in point 2.1 of Annex II.</w:t>
            </w:r>
          </w:p>
          <w:p w14:paraId="46187FB0" w14:textId="009FAB58" w:rsidR="00395461" w:rsidRPr="00A60E6C" w:rsidRDefault="00395461" w:rsidP="00395461">
            <w:pPr>
              <w:jc w:val="both"/>
              <w:rPr>
                <w:rFonts w:cs="Times New Roman"/>
                <w:lang w:val="en-GB"/>
              </w:rPr>
            </w:pPr>
            <w:r w:rsidRPr="00A60E6C">
              <w:rPr>
                <w:rFonts w:eastAsia="Times New Roman" w:cs="Times New Roman"/>
                <w:lang w:val="en-GB"/>
              </w:rPr>
              <w:t>Distributors may make the tyre label for a specific tyre type available in a nested display.</w:t>
            </w:r>
          </w:p>
        </w:tc>
        <w:tc>
          <w:tcPr>
            <w:tcW w:w="325" w:type="pct"/>
          </w:tcPr>
          <w:p w14:paraId="509698F4" w14:textId="77777777" w:rsidR="00395461" w:rsidRDefault="00395461" w:rsidP="00395461">
            <w:pPr>
              <w:jc w:val="center"/>
              <w:rPr>
                <w:rFonts w:cs="Times New Roman"/>
                <w:lang w:val="sr-Cyrl-RS"/>
              </w:rPr>
            </w:pPr>
          </w:p>
          <w:p w14:paraId="2DD6DF45" w14:textId="77777777" w:rsidR="00395461" w:rsidRDefault="00395461" w:rsidP="00395461">
            <w:pPr>
              <w:jc w:val="center"/>
              <w:rPr>
                <w:rFonts w:cs="Times New Roman"/>
                <w:lang w:val="sr-Cyrl-RS"/>
              </w:rPr>
            </w:pPr>
          </w:p>
          <w:p w14:paraId="657B984C" w14:textId="77777777" w:rsidR="00F01ECE" w:rsidRDefault="003D3CE1" w:rsidP="00395461">
            <w:pPr>
              <w:jc w:val="center"/>
              <w:rPr>
                <w:rFonts w:cs="Times New Roman"/>
                <w:lang w:val="sr-Cyrl-RS"/>
              </w:rPr>
            </w:pPr>
            <w:r>
              <w:rPr>
                <w:rFonts w:cs="Times New Roman"/>
                <w:lang w:val="sr-Cyrl-RS"/>
              </w:rPr>
              <w:t>2.5.</w:t>
            </w:r>
          </w:p>
          <w:p w14:paraId="61EEC66E" w14:textId="77777777" w:rsidR="00395461" w:rsidRDefault="00395461" w:rsidP="00395461">
            <w:pPr>
              <w:jc w:val="center"/>
              <w:rPr>
                <w:rFonts w:cs="Times New Roman"/>
                <w:lang w:val="sr-Cyrl-RS"/>
              </w:rPr>
            </w:pPr>
          </w:p>
          <w:p w14:paraId="37FBCB6B" w14:textId="77777777" w:rsidR="00395461" w:rsidRDefault="00395461" w:rsidP="00395461">
            <w:pPr>
              <w:jc w:val="center"/>
              <w:rPr>
                <w:rFonts w:cs="Times New Roman"/>
                <w:lang w:val="sr-Cyrl-RS"/>
              </w:rPr>
            </w:pPr>
          </w:p>
          <w:p w14:paraId="0C6D58AC" w14:textId="77777777" w:rsidR="00395461" w:rsidRDefault="00395461" w:rsidP="00395461">
            <w:pPr>
              <w:jc w:val="center"/>
              <w:rPr>
                <w:rFonts w:cs="Times New Roman"/>
                <w:lang w:val="sr-Cyrl-RS"/>
              </w:rPr>
            </w:pPr>
          </w:p>
          <w:p w14:paraId="532A2E12" w14:textId="77777777" w:rsidR="00395461" w:rsidRDefault="00395461" w:rsidP="00395461">
            <w:pPr>
              <w:jc w:val="center"/>
              <w:rPr>
                <w:rFonts w:cs="Times New Roman"/>
                <w:lang w:val="sr-Cyrl-RS"/>
              </w:rPr>
            </w:pPr>
          </w:p>
          <w:p w14:paraId="02D67B4F" w14:textId="77777777" w:rsidR="00395461" w:rsidRDefault="00395461" w:rsidP="00395461">
            <w:pPr>
              <w:jc w:val="center"/>
              <w:rPr>
                <w:rFonts w:cs="Times New Roman"/>
                <w:lang w:val="sr-Cyrl-RS"/>
              </w:rPr>
            </w:pPr>
          </w:p>
          <w:p w14:paraId="6E1157A4" w14:textId="77777777" w:rsidR="00395461" w:rsidRDefault="00395461" w:rsidP="00395461">
            <w:pPr>
              <w:jc w:val="center"/>
              <w:rPr>
                <w:rFonts w:cs="Times New Roman"/>
                <w:lang w:val="sr-Cyrl-RS"/>
              </w:rPr>
            </w:pPr>
          </w:p>
          <w:p w14:paraId="2DD1BC86" w14:textId="77777777" w:rsidR="00395461" w:rsidRDefault="00395461" w:rsidP="00395461">
            <w:pPr>
              <w:jc w:val="center"/>
              <w:rPr>
                <w:rFonts w:cs="Times New Roman"/>
                <w:lang w:val="sr-Cyrl-RS"/>
              </w:rPr>
            </w:pPr>
          </w:p>
          <w:p w14:paraId="6E96357A" w14:textId="77777777" w:rsidR="00395461" w:rsidRDefault="00395461" w:rsidP="00395461">
            <w:pPr>
              <w:jc w:val="center"/>
              <w:rPr>
                <w:rFonts w:cs="Times New Roman"/>
                <w:lang w:val="sr-Cyrl-RS"/>
              </w:rPr>
            </w:pPr>
          </w:p>
          <w:p w14:paraId="5D9AD2DF" w14:textId="77777777" w:rsidR="00395461" w:rsidRDefault="00395461" w:rsidP="00395461">
            <w:pPr>
              <w:jc w:val="center"/>
              <w:rPr>
                <w:rFonts w:cs="Times New Roman"/>
                <w:lang w:val="sr-Cyrl-RS"/>
              </w:rPr>
            </w:pPr>
          </w:p>
          <w:p w14:paraId="55679371" w14:textId="77777777" w:rsidR="00395461" w:rsidRDefault="00395461" w:rsidP="00395461">
            <w:pPr>
              <w:jc w:val="center"/>
              <w:rPr>
                <w:rFonts w:cs="Times New Roman"/>
                <w:lang w:val="sr-Cyrl-RS"/>
              </w:rPr>
            </w:pPr>
          </w:p>
          <w:p w14:paraId="12E07722" w14:textId="77777777" w:rsidR="00395461" w:rsidRDefault="00395461" w:rsidP="00395461">
            <w:pPr>
              <w:jc w:val="center"/>
              <w:rPr>
                <w:rFonts w:cs="Times New Roman"/>
                <w:lang w:val="sr-Cyrl-RS"/>
              </w:rPr>
            </w:pPr>
          </w:p>
          <w:p w14:paraId="69BDDA97" w14:textId="77777777" w:rsidR="00395461" w:rsidRDefault="00395461" w:rsidP="00395461">
            <w:pPr>
              <w:jc w:val="center"/>
              <w:rPr>
                <w:rFonts w:cs="Times New Roman"/>
                <w:lang w:val="sr-Cyrl-RS"/>
              </w:rPr>
            </w:pPr>
          </w:p>
          <w:p w14:paraId="13A43DC2" w14:textId="77777777" w:rsidR="00395461" w:rsidRDefault="00395461" w:rsidP="00395461">
            <w:pPr>
              <w:jc w:val="center"/>
              <w:rPr>
                <w:rFonts w:cs="Times New Roman"/>
                <w:lang w:val="sr-Cyrl-RS"/>
              </w:rPr>
            </w:pPr>
          </w:p>
          <w:p w14:paraId="5E05E7E3" w14:textId="77777777" w:rsidR="00395461" w:rsidRDefault="00395461" w:rsidP="00395461">
            <w:pPr>
              <w:jc w:val="center"/>
              <w:rPr>
                <w:rFonts w:cs="Times New Roman"/>
                <w:lang w:val="sr-Cyrl-RS"/>
              </w:rPr>
            </w:pPr>
          </w:p>
          <w:p w14:paraId="793D501D" w14:textId="77777777" w:rsidR="00395461" w:rsidRDefault="00395461" w:rsidP="00395461">
            <w:pPr>
              <w:jc w:val="center"/>
              <w:rPr>
                <w:rFonts w:cs="Times New Roman"/>
                <w:lang w:val="sr-Cyrl-RS"/>
              </w:rPr>
            </w:pPr>
          </w:p>
          <w:p w14:paraId="28948E2A" w14:textId="77777777" w:rsidR="00395461" w:rsidRDefault="00395461" w:rsidP="00395461">
            <w:pPr>
              <w:jc w:val="center"/>
              <w:rPr>
                <w:rFonts w:cs="Times New Roman"/>
                <w:lang w:val="sr-Cyrl-RS"/>
              </w:rPr>
            </w:pPr>
          </w:p>
          <w:p w14:paraId="4289B070" w14:textId="77777777" w:rsidR="00395461" w:rsidRDefault="00395461" w:rsidP="00395461">
            <w:pPr>
              <w:jc w:val="center"/>
              <w:rPr>
                <w:rFonts w:cs="Times New Roman"/>
                <w:lang w:val="sr-Cyrl-RS"/>
              </w:rPr>
            </w:pPr>
          </w:p>
          <w:p w14:paraId="0F1900EF" w14:textId="77777777" w:rsidR="00395461" w:rsidRDefault="00395461" w:rsidP="00395461">
            <w:pPr>
              <w:jc w:val="center"/>
              <w:rPr>
                <w:rFonts w:cs="Times New Roman"/>
                <w:lang w:val="sr-Cyrl-RS"/>
              </w:rPr>
            </w:pPr>
          </w:p>
          <w:p w14:paraId="01ABD039" w14:textId="7FD47490" w:rsidR="00395461" w:rsidRDefault="00395461" w:rsidP="00395461">
            <w:pPr>
              <w:jc w:val="center"/>
              <w:rPr>
                <w:rFonts w:cs="Times New Roman"/>
                <w:lang w:val="sr-Cyrl-RS"/>
              </w:rPr>
            </w:pPr>
          </w:p>
          <w:p w14:paraId="1488BBAA" w14:textId="1C8F88A6" w:rsidR="00395461" w:rsidRDefault="00395461" w:rsidP="00395461">
            <w:pPr>
              <w:jc w:val="center"/>
              <w:rPr>
                <w:rFonts w:cs="Times New Roman"/>
                <w:lang w:val="sr-Cyrl-RS"/>
              </w:rPr>
            </w:pPr>
            <w:r>
              <w:rPr>
                <w:rFonts w:cs="Times New Roman"/>
                <w:lang w:val="sr-Cyrl-RS"/>
              </w:rPr>
              <w:t>2.9.</w:t>
            </w:r>
          </w:p>
          <w:p w14:paraId="497A1688" w14:textId="6BBF2B28" w:rsidR="00395461" w:rsidRDefault="00395461" w:rsidP="00395461">
            <w:pPr>
              <w:jc w:val="center"/>
              <w:rPr>
                <w:rFonts w:cs="Times New Roman"/>
                <w:lang w:val="sr-Cyrl-RS"/>
              </w:rPr>
            </w:pPr>
          </w:p>
          <w:p w14:paraId="1FE78FE0" w14:textId="11873F0C" w:rsidR="00395461" w:rsidRDefault="00395461" w:rsidP="00395461">
            <w:pPr>
              <w:jc w:val="center"/>
              <w:rPr>
                <w:rFonts w:cs="Times New Roman"/>
                <w:lang w:val="sr-Cyrl-RS"/>
              </w:rPr>
            </w:pPr>
          </w:p>
          <w:p w14:paraId="0C8A6B75" w14:textId="35490E8B" w:rsidR="00395461" w:rsidRDefault="00395461" w:rsidP="00395461">
            <w:pPr>
              <w:jc w:val="center"/>
              <w:rPr>
                <w:rFonts w:cs="Times New Roman"/>
                <w:lang w:val="sr-Cyrl-RS"/>
              </w:rPr>
            </w:pPr>
          </w:p>
          <w:p w14:paraId="4EBFB653" w14:textId="2BC26119" w:rsidR="00395461" w:rsidRDefault="00395461" w:rsidP="00395461">
            <w:pPr>
              <w:jc w:val="center"/>
              <w:rPr>
                <w:rFonts w:cs="Times New Roman"/>
                <w:lang w:val="sr-Cyrl-RS"/>
              </w:rPr>
            </w:pPr>
          </w:p>
          <w:p w14:paraId="5B13D8D8" w14:textId="2372AB5D" w:rsidR="00395461" w:rsidRDefault="00395461" w:rsidP="00395461">
            <w:pPr>
              <w:jc w:val="center"/>
              <w:rPr>
                <w:rFonts w:cs="Times New Roman"/>
                <w:lang w:val="sr-Cyrl-RS"/>
              </w:rPr>
            </w:pPr>
          </w:p>
          <w:p w14:paraId="0124E0E9" w14:textId="7ED5011D" w:rsidR="00395461" w:rsidRDefault="00395461" w:rsidP="00395461">
            <w:pPr>
              <w:jc w:val="center"/>
              <w:rPr>
                <w:rFonts w:cs="Times New Roman"/>
                <w:lang w:val="sr-Cyrl-RS"/>
              </w:rPr>
            </w:pPr>
          </w:p>
          <w:p w14:paraId="4C98B7C3" w14:textId="19CE8D62" w:rsidR="00395461" w:rsidRDefault="00395461" w:rsidP="00395461">
            <w:pPr>
              <w:jc w:val="center"/>
              <w:rPr>
                <w:rFonts w:cs="Times New Roman"/>
                <w:lang w:val="sr-Cyrl-RS"/>
              </w:rPr>
            </w:pPr>
          </w:p>
          <w:p w14:paraId="24129E67" w14:textId="795398ED" w:rsidR="00395461" w:rsidRDefault="00395461" w:rsidP="00395461">
            <w:pPr>
              <w:jc w:val="center"/>
              <w:rPr>
                <w:rFonts w:cs="Times New Roman"/>
                <w:lang w:val="sr-Cyrl-RS"/>
              </w:rPr>
            </w:pPr>
          </w:p>
          <w:p w14:paraId="171EAF31" w14:textId="0F339E48" w:rsidR="00395461" w:rsidRDefault="00395461" w:rsidP="00395461">
            <w:pPr>
              <w:jc w:val="center"/>
              <w:rPr>
                <w:rFonts w:cs="Times New Roman"/>
                <w:lang w:val="sr-Cyrl-RS"/>
              </w:rPr>
            </w:pPr>
          </w:p>
          <w:p w14:paraId="4A4BDB77" w14:textId="5B2F3D9E" w:rsidR="00395461" w:rsidRDefault="00395461" w:rsidP="00395461">
            <w:pPr>
              <w:jc w:val="center"/>
              <w:rPr>
                <w:rFonts w:cs="Times New Roman"/>
                <w:lang w:val="sr-Cyrl-RS"/>
              </w:rPr>
            </w:pPr>
          </w:p>
          <w:p w14:paraId="3E5BCAFD" w14:textId="628717A9" w:rsidR="00395461" w:rsidRDefault="00395461" w:rsidP="00395461">
            <w:pPr>
              <w:jc w:val="center"/>
              <w:rPr>
                <w:rFonts w:cs="Times New Roman"/>
                <w:lang w:val="sr-Cyrl-RS"/>
              </w:rPr>
            </w:pPr>
          </w:p>
          <w:p w14:paraId="73A3A0BB" w14:textId="675A2D2D" w:rsidR="00395461" w:rsidRDefault="00395461" w:rsidP="00395461">
            <w:pPr>
              <w:jc w:val="center"/>
              <w:rPr>
                <w:rFonts w:cs="Times New Roman"/>
                <w:lang w:val="sr-Cyrl-RS"/>
              </w:rPr>
            </w:pPr>
          </w:p>
          <w:p w14:paraId="0984124F" w14:textId="2ABF16F3" w:rsidR="00395461" w:rsidRDefault="00395461" w:rsidP="00395461">
            <w:pPr>
              <w:jc w:val="center"/>
              <w:rPr>
                <w:rFonts w:cs="Times New Roman"/>
                <w:lang w:val="sr-Cyrl-RS"/>
              </w:rPr>
            </w:pPr>
          </w:p>
          <w:p w14:paraId="7FE02F3B" w14:textId="3ED2E6C7" w:rsidR="00395461" w:rsidRDefault="00395461" w:rsidP="00395461">
            <w:pPr>
              <w:jc w:val="center"/>
              <w:rPr>
                <w:rFonts w:cs="Times New Roman"/>
                <w:lang w:val="sr-Cyrl-RS"/>
              </w:rPr>
            </w:pPr>
          </w:p>
          <w:p w14:paraId="3BEC2CDF" w14:textId="77777777" w:rsidR="005B25F2" w:rsidRDefault="005B25F2" w:rsidP="00395461">
            <w:pPr>
              <w:jc w:val="center"/>
              <w:rPr>
                <w:rFonts w:cs="Times New Roman"/>
                <w:lang w:val="sr-Cyrl-RS"/>
              </w:rPr>
            </w:pPr>
          </w:p>
          <w:p w14:paraId="42A3872D" w14:textId="5ECE432F" w:rsidR="00395461" w:rsidRPr="00395461" w:rsidRDefault="00395461" w:rsidP="00395461">
            <w:pPr>
              <w:jc w:val="center"/>
              <w:rPr>
                <w:rFonts w:cs="Times New Roman"/>
                <w:b/>
                <w:bCs/>
                <w:lang w:val="sr-Cyrl-RS"/>
              </w:rPr>
            </w:pPr>
            <w:r w:rsidRPr="00395461">
              <w:rPr>
                <w:rFonts w:cs="Times New Roman"/>
                <w:b/>
                <w:bCs/>
                <w:lang w:val="sr-Cyrl-RS"/>
              </w:rPr>
              <w:t>1.64.2.</w:t>
            </w:r>
          </w:p>
          <w:p w14:paraId="46187FB1" w14:textId="5E42C59A" w:rsidR="00395461" w:rsidRPr="004D2E7C" w:rsidRDefault="00395461" w:rsidP="00395461">
            <w:pPr>
              <w:jc w:val="center"/>
              <w:rPr>
                <w:rFonts w:cs="Times New Roman"/>
                <w:lang w:val="sr-Cyrl-RS"/>
              </w:rPr>
            </w:pPr>
          </w:p>
        </w:tc>
        <w:tc>
          <w:tcPr>
            <w:tcW w:w="1296" w:type="pct"/>
          </w:tcPr>
          <w:p w14:paraId="775272F0" w14:textId="77777777" w:rsidR="003D3CE1" w:rsidRPr="004D2E7C" w:rsidRDefault="003D3CE1" w:rsidP="003D3CE1">
            <w:pPr>
              <w:autoSpaceDE w:val="0"/>
              <w:autoSpaceDN w:val="0"/>
              <w:adjustRightInd w:val="0"/>
              <w:jc w:val="both"/>
              <w:rPr>
                <w:rFonts w:cs="Times New Roman"/>
                <w:lang w:val="sr-Cyrl-RS"/>
              </w:rPr>
            </w:pPr>
            <w:r w:rsidRPr="004D2E7C">
              <w:rPr>
                <w:rFonts w:cs="Times New Roman"/>
                <w:lang w:val="sr-Cyrl-RS"/>
              </w:rPr>
              <w:lastRenderedPageBreak/>
              <w:t xml:space="preserve">Испоручиоци производа обавезни су да пре стављања на тржиште производа обезбеде да производи: </w:t>
            </w:r>
          </w:p>
          <w:p w14:paraId="311059E6" w14:textId="77777777" w:rsidR="003D3CE1" w:rsidRPr="004D2E7C" w:rsidRDefault="003D3CE1" w:rsidP="003D3CE1">
            <w:pPr>
              <w:autoSpaceDE w:val="0"/>
              <w:autoSpaceDN w:val="0"/>
              <w:adjustRightInd w:val="0"/>
              <w:jc w:val="both"/>
              <w:rPr>
                <w:rFonts w:cs="Times New Roman"/>
                <w:lang w:val="sr-Cyrl-RS"/>
              </w:rPr>
            </w:pPr>
            <w:r w:rsidRPr="004D2E7C">
              <w:rPr>
                <w:rFonts w:cs="Times New Roman"/>
                <w:lang w:val="sr-Cyrl-RS"/>
              </w:rPr>
              <w:t xml:space="preserve">1) испуњавају захтеве прописане законом и овом уредбом; </w:t>
            </w:r>
          </w:p>
          <w:p w14:paraId="5B559802" w14:textId="77777777" w:rsidR="003D3CE1" w:rsidRPr="004D2E7C" w:rsidRDefault="003D3CE1" w:rsidP="003D3CE1">
            <w:pPr>
              <w:autoSpaceDE w:val="0"/>
              <w:autoSpaceDN w:val="0"/>
              <w:adjustRightInd w:val="0"/>
              <w:jc w:val="both"/>
              <w:rPr>
                <w:rFonts w:cs="Times New Roman"/>
                <w:lang w:val="sr-Cyrl-RS"/>
              </w:rPr>
            </w:pPr>
            <w:r w:rsidRPr="004D2E7C">
              <w:rPr>
                <w:rFonts w:cs="Times New Roman"/>
                <w:lang w:val="sr-Cyrl-RS"/>
              </w:rPr>
              <w:t xml:space="preserve">2) који се испоручују буду означени одговарајућим ознакама енергетске ефикасности које описују класу њихове </w:t>
            </w:r>
            <w:r w:rsidRPr="004D2E7C">
              <w:rPr>
                <w:rFonts w:cs="Times New Roman"/>
                <w:lang w:val="sr-Cyrl-RS"/>
              </w:rPr>
              <w:lastRenderedPageBreak/>
              <w:t xml:space="preserve">енергетске ефикасности и са листом са подацима о производу; </w:t>
            </w:r>
          </w:p>
          <w:p w14:paraId="7DB55B31" w14:textId="77777777" w:rsidR="003D3CE1" w:rsidRPr="004D2E7C" w:rsidRDefault="003D3CE1" w:rsidP="003D3CE1">
            <w:pPr>
              <w:autoSpaceDE w:val="0"/>
              <w:autoSpaceDN w:val="0"/>
              <w:adjustRightInd w:val="0"/>
              <w:jc w:val="both"/>
              <w:rPr>
                <w:rFonts w:cs="Times New Roman"/>
                <w:lang w:val="sr-Cyrl-RS"/>
              </w:rPr>
            </w:pPr>
            <w:r w:rsidRPr="004D2E7C">
              <w:rPr>
                <w:rFonts w:cs="Times New Roman"/>
                <w:lang w:val="sr-Cyrl-RS"/>
              </w:rPr>
              <w:t xml:space="preserve">3) имају листу са подацима доступну у брошури или другом штампаном материјалу који прати производ; </w:t>
            </w:r>
          </w:p>
          <w:p w14:paraId="22887283" w14:textId="77777777" w:rsidR="00F01ECE" w:rsidRDefault="003D3CE1" w:rsidP="003D3CE1">
            <w:pPr>
              <w:jc w:val="both"/>
              <w:rPr>
                <w:rFonts w:cs="Times New Roman"/>
                <w:lang w:val="sr-Cyrl-RS"/>
              </w:rPr>
            </w:pPr>
            <w:r w:rsidRPr="004D2E7C">
              <w:rPr>
                <w:rFonts w:cs="Times New Roman"/>
                <w:lang w:val="sr-Cyrl-RS"/>
              </w:rPr>
              <w:t>4) имају техничку документацију, као и да технички приручници произвођача и промотивни материјали о производима, приказани у било ком облику (штампани и слично) купцима пруже потребне информације о потрошњи енергије и класи енергетске ефикасности, на српском језику.</w:t>
            </w:r>
          </w:p>
          <w:p w14:paraId="2A8F5726" w14:textId="23204768" w:rsidR="003D3CE1" w:rsidRDefault="003D3CE1" w:rsidP="003D3CE1">
            <w:pPr>
              <w:jc w:val="both"/>
              <w:rPr>
                <w:rFonts w:cs="Times New Roman"/>
                <w:lang w:val="sr-Cyrl-RS"/>
              </w:rPr>
            </w:pPr>
          </w:p>
          <w:p w14:paraId="0B4BDEC1" w14:textId="77777777" w:rsidR="00395461" w:rsidRPr="004D2E7C" w:rsidRDefault="00395461" w:rsidP="00395461">
            <w:pPr>
              <w:jc w:val="both"/>
              <w:rPr>
                <w:rFonts w:cs="Times New Roman"/>
                <w:lang w:val="sr-Cyrl-RS"/>
              </w:rPr>
            </w:pPr>
            <w:r w:rsidRPr="004D2E7C">
              <w:rPr>
                <w:rFonts w:cs="Times New Roman"/>
                <w:lang w:val="sr-Cyrl-RS"/>
              </w:rPr>
              <w:t xml:space="preserve">У случају продаје, изнајмљивања или куповине на рате производа из члана 2. став 1. ове уредбе преко </w:t>
            </w:r>
            <w:proofErr w:type="spellStart"/>
            <w:r w:rsidRPr="004D2E7C">
              <w:rPr>
                <w:rFonts w:cs="Times New Roman"/>
                <w:lang w:val="sr-Cyrl-RS"/>
              </w:rPr>
              <w:t>интернета</w:t>
            </w:r>
            <w:proofErr w:type="spellEnd"/>
            <w:r w:rsidRPr="004D2E7C">
              <w:rPr>
                <w:rFonts w:cs="Times New Roman"/>
                <w:lang w:val="sr-Cyrl-RS"/>
              </w:rPr>
              <w:t xml:space="preserve">, каталога или на други сличан начин продаје на даљину, продавац је дужан да купцу, пре куповине производа, пружи податке о ознаци енергетске ефикасности производа и листу са подацима о производу. </w:t>
            </w:r>
          </w:p>
          <w:p w14:paraId="286023D8" w14:textId="27218AA6" w:rsidR="00395461" w:rsidRDefault="00395461" w:rsidP="00395461">
            <w:pPr>
              <w:jc w:val="both"/>
              <w:rPr>
                <w:rFonts w:cs="Times New Roman"/>
                <w:lang w:val="sr-Cyrl-RS"/>
              </w:rPr>
            </w:pPr>
            <w:r w:rsidRPr="004D2E7C">
              <w:rPr>
                <w:rFonts w:cs="Times New Roman"/>
                <w:lang w:val="sr-Cyrl-RS"/>
              </w:rPr>
              <w:t>При оглашавању производа из става 1. овог члана продавац, односно испоручилац је дужан да прикаже податке и да информације из члана 7. став 1 ове уредбе.</w:t>
            </w:r>
          </w:p>
          <w:p w14:paraId="4CD0C2F8" w14:textId="77777777" w:rsidR="00395461" w:rsidRDefault="00395461" w:rsidP="00395461">
            <w:pPr>
              <w:jc w:val="both"/>
              <w:rPr>
                <w:rFonts w:cs="Times New Roman"/>
                <w:lang w:val="sr-Cyrl-RS"/>
              </w:rPr>
            </w:pPr>
          </w:p>
          <w:p w14:paraId="46187FB2" w14:textId="580F2405" w:rsidR="003D3CE1" w:rsidRPr="004D2E7C" w:rsidRDefault="003D3CE1" w:rsidP="003D3CE1">
            <w:pPr>
              <w:jc w:val="both"/>
              <w:rPr>
                <w:rFonts w:cs="Times New Roman"/>
                <w:lang w:val="sr-Cyrl-RS"/>
              </w:rPr>
            </w:pPr>
            <w:r w:rsidRPr="00D9567F">
              <w:rPr>
                <w:rFonts w:eastAsia="MS Mincho" w:cs="Times New Roman"/>
                <w:color w:val="000000" w:themeColor="text1"/>
                <w:lang w:val="sr-Cyrl-CS" w:eastAsia="ja-JP"/>
              </w:rPr>
              <w:t xml:space="preserve">Министар доноси технички пропис којим се прописују захтеви енергетског означавања пнеуматика, ближе се утврђују обавезе испоручилаца и </w:t>
            </w:r>
            <w:r w:rsidRPr="00D9567F">
              <w:rPr>
                <w:rFonts w:eastAsia="MS Mincho" w:cs="Times New Roman"/>
                <w:color w:val="000000" w:themeColor="text1"/>
                <w:lang w:val="sr-Cyrl-CS" w:eastAsia="ja-JP"/>
              </w:rPr>
              <w:lastRenderedPageBreak/>
              <w:t>продаваца пнеуматика, обавезе испоручилаца и продаваца моторних возила, дефинишу се мерне методе, поступак провере</w:t>
            </w:r>
            <w:r w:rsidRPr="00D9567F">
              <w:rPr>
                <w:rFonts w:eastAsia="MS Mincho" w:cs="Times New Roman"/>
                <w:color w:val="000000" w:themeColor="text1"/>
                <w:lang w:eastAsia="ja-JP"/>
              </w:rPr>
              <w:t xml:space="preserve"> </w:t>
            </w:r>
            <w:r w:rsidRPr="00D9567F">
              <w:rPr>
                <w:rFonts w:eastAsia="MS Mincho" w:cs="Times New Roman"/>
                <w:color w:val="000000" w:themeColor="text1"/>
                <w:lang w:val="sr-Cyrl-CS" w:eastAsia="ja-JP"/>
              </w:rPr>
              <w:t xml:space="preserve">усаглашености пнеуматика са захтевима енергетског означавања у сврху тржишног надзора, поступак одређивања класе енергетске ефикасности пнеуматика, изглед дизајн и формат енергетске ознаке, листу са подацима, садржај техничке документације, информације које је потребно обезбедити приликом у визуелног оглашавања у техничким и промотивним материјалима приликом продаје на даљину и у </w:t>
            </w:r>
            <w:proofErr w:type="spellStart"/>
            <w:r w:rsidRPr="00D9567F">
              <w:rPr>
                <w:rFonts w:eastAsia="MS Mincho" w:cs="Times New Roman"/>
                <w:color w:val="000000" w:themeColor="text1"/>
                <w:lang w:val="sr-Cyrl-CS" w:eastAsia="ja-JP"/>
              </w:rPr>
              <w:t>телемаркетингу</w:t>
            </w:r>
            <w:proofErr w:type="spellEnd"/>
            <w:r w:rsidRPr="00D9567F">
              <w:rPr>
                <w:rFonts w:eastAsia="MS Mincho" w:cs="Times New Roman"/>
                <w:color w:val="000000" w:themeColor="text1"/>
                <w:lang w:val="sr-Cyrl-CS" w:eastAsia="ja-JP"/>
              </w:rPr>
              <w:t xml:space="preserve">, информације које је потребно обезбедити у случају продаје на даљину преко </w:t>
            </w:r>
            <w:proofErr w:type="spellStart"/>
            <w:r w:rsidRPr="00D9567F">
              <w:rPr>
                <w:rFonts w:eastAsia="MS Mincho" w:cs="Times New Roman"/>
                <w:color w:val="000000" w:themeColor="text1"/>
                <w:lang w:val="sr-Cyrl-CS" w:eastAsia="ja-JP"/>
              </w:rPr>
              <w:t>интернета</w:t>
            </w:r>
            <w:proofErr w:type="spellEnd"/>
            <w:r w:rsidRPr="00D9567F">
              <w:rPr>
                <w:rFonts w:eastAsia="MS Mincho" w:cs="Times New Roman"/>
                <w:color w:val="000000" w:themeColor="text1"/>
                <w:lang w:val="sr-Cyrl-CS" w:eastAsia="ja-JP"/>
              </w:rPr>
              <w:t>, поступак усклађивања лабораторија за мерење отпора котрљања, као и друге захтеве у вези енергетског означавања за поједине врсте пнеуматика.</w:t>
            </w:r>
          </w:p>
        </w:tc>
        <w:tc>
          <w:tcPr>
            <w:tcW w:w="235" w:type="pct"/>
            <w:vAlign w:val="center"/>
          </w:tcPr>
          <w:p w14:paraId="46187FB3" w14:textId="017C5807" w:rsidR="00F01ECE" w:rsidRPr="004D2E7C" w:rsidRDefault="00395461" w:rsidP="00F01ECE">
            <w:pPr>
              <w:jc w:val="center"/>
              <w:rPr>
                <w:rFonts w:cs="Times New Roman"/>
                <w:lang w:val="sr-Cyrl-RS"/>
              </w:rPr>
            </w:pPr>
            <w:r>
              <w:rPr>
                <w:rFonts w:cs="Times New Roman"/>
                <w:lang w:val="sr-Cyrl-RS"/>
              </w:rPr>
              <w:lastRenderedPageBreak/>
              <w:t>ДУ</w:t>
            </w:r>
          </w:p>
        </w:tc>
        <w:tc>
          <w:tcPr>
            <w:tcW w:w="676" w:type="pct"/>
          </w:tcPr>
          <w:p w14:paraId="46187FB4" w14:textId="77777777" w:rsidR="00F01ECE" w:rsidRPr="004D2E7C" w:rsidRDefault="00F01ECE" w:rsidP="00F01ECE">
            <w:pPr>
              <w:rPr>
                <w:rFonts w:cs="Times New Roman"/>
                <w:lang w:val="sr-Cyrl-RS"/>
              </w:rPr>
            </w:pPr>
          </w:p>
        </w:tc>
        <w:tc>
          <w:tcPr>
            <w:tcW w:w="699" w:type="pct"/>
            <w:vAlign w:val="center"/>
          </w:tcPr>
          <w:p w14:paraId="46187FB6" w14:textId="508CB4AD" w:rsidR="00F01ECE" w:rsidRPr="004D2E7C" w:rsidRDefault="00395461" w:rsidP="00F01ECE">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t xml:space="preserve">кроз подзаконске акте и </w:t>
            </w:r>
            <w:r w:rsidRPr="008A4AD2">
              <w:rPr>
                <w:rFonts w:cs="Times New Roman"/>
                <w:lang w:val="sr-Cyrl-RS"/>
              </w:rPr>
              <w:t>техничк</w:t>
            </w:r>
            <w:r>
              <w:rPr>
                <w:rFonts w:cs="Times New Roman"/>
                <w:lang w:val="sr-Cyrl-RS"/>
              </w:rPr>
              <w:t xml:space="preserve">е прописе, на основу члана 64. ЗЕЕРУЕ. </w:t>
            </w:r>
          </w:p>
        </w:tc>
      </w:tr>
      <w:tr w:rsidR="00F01ECE" w:rsidRPr="004D2E7C" w14:paraId="46187FFD" w14:textId="77777777" w:rsidTr="00D9567F">
        <w:tc>
          <w:tcPr>
            <w:tcW w:w="280" w:type="pct"/>
            <w:shd w:val="clear" w:color="auto" w:fill="D9D9D9"/>
            <w:vAlign w:val="center"/>
          </w:tcPr>
          <w:p w14:paraId="46187FF6" w14:textId="28B8E0A8" w:rsidR="00F01ECE" w:rsidRPr="00880D98" w:rsidRDefault="00880D98" w:rsidP="00F01ECE">
            <w:pPr>
              <w:jc w:val="center"/>
              <w:rPr>
                <w:rFonts w:eastAsia="Times New Roman" w:cs="Times New Roman"/>
                <w:lang w:val="sr-Latn-RS"/>
              </w:rPr>
            </w:pPr>
            <w:r>
              <w:rPr>
                <w:rFonts w:eastAsia="Times New Roman" w:cs="Times New Roman"/>
                <w:lang w:val="sr-Latn-RS"/>
              </w:rPr>
              <w:lastRenderedPageBreak/>
              <w:t>7.</w:t>
            </w:r>
          </w:p>
        </w:tc>
        <w:tc>
          <w:tcPr>
            <w:tcW w:w="1489" w:type="pct"/>
            <w:shd w:val="clear" w:color="auto" w:fill="D9D9D9"/>
            <w:vAlign w:val="center"/>
          </w:tcPr>
          <w:p w14:paraId="2D448A39" w14:textId="77777777" w:rsidR="00880D98" w:rsidRDefault="00880D98" w:rsidP="00880D98">
            <w:pPr>
              <w:jc w:val="both"/>
              <w:rPr>
                <w:rFonts w:eastAsia="Times New Roman" w:cs="Times New Roman"/>
                <w:b/>
                <w:bCs/>
                <w:lang w:val="en-GB"/>
              </w:rPr>
            </w:pPr>
          </w:p>
          <w:p w14:paraId="7AFB8642" w14:textId="62673AB8" w:rsidR="00880D98" w:rsidRDefault="00880D98" w:rsidP="00880D98">
            <w:pPr>
              <w:jc w:val="both"/>
              <w:rPr>
                <w:rFonts w:eastAsia="Times New Roman" w:cs="Times New Roman"/>
                <w:b/>
                <w:bCs/>
                <w:lang w:val="en-GB"/>
              </w:rPr>
            </w:pPr>
            <w:r w:rsidRPr="00880D98">
              <w:rPr>
                <w:rFonts w:eastAsia="Times New Roman" w:cs="Times New Roman"/>
                <w:b/>
                <w:bCs/>
                <w:lang w:val="en-GB"/>
              </w:rPr>
              <w:t>Obligations of vehicle suppliers and vehicle distributors</w:t>
            </w:r>
          </w:p>
          <w:p w14:paraId="07F879D9" w14:textId="77777777" w:rsidR="00880D98" w:rsidRPr="00880D98" w:rsidRDefault="00880D98" w:rsidP="00880D98">
            <w:pPr>
              <w:jc w:val="both"/>
              <w:rPr>
                <w:rFonts w:eastAsia="Times New Roman" w:cs="Times New Roman"/>
                <w:b/>
                <w:bCs/>
                <w:lang w:val="en-GB"/>
              </w:rPr>
            </w:pPr>
          </w:p>
          <w:p w14:paraId="46187FF7" w14:textId="2A44009C" w:rsidR="00F01ECE" w:rsidRPr="00880D98" w:rsidRDefault="00880D98" w:rsidP="00880D98">
            <w:pPr>
              <w:spacing w:after="120"/>
              <w:jc w:val="both"/>
              <w:rPr>
                <w:rFonts w:eastAsia="Times New Roman" w:cs="Times New Roman"/>
                <w:lang w:val="sr-Latn-RS"/>
              </w:rPr>
            </w:pPr>
            <w:r w:rsidRPr="00880D98">
              <w:rPr>
                <w:rFonts w:eastAsia="Times New Roman" w:cs="Times New Roman"/>
                <w:lang w:val="en-GB"/>
              </w:rPr>
              <w:t>Where end-users intend to acquire a new vehicle, vehicle suppliers and vehicle distributors shall provide, before the sale, those end-users with the tyre label for the tyres offered with or fitted on the vehicle and any relevant technical promotional material</w:t>
            </w:r>
            <w:r>
              <w:rPr>
                <w:rFonts w:eastAsia="Times New Roman" w:cs="Times New Roman"/>
                <w:lang w:val="en-GB"/>
              </w:rPr>
              <w:t xml:space="preserve"> </w:t>
            </w:r>
            <w:r w:rsidRPr="00880D98">
              <w:rPr>
                <w:rFonts w:eastAsia="Times New Roman" w:cs="Times New Roman"/>
                <w:lang w:val="en-GB"/>
              </w:rPr>
              <w:t>and shall ensure that the product information sheet is available.</w:t>
            </w:r>
          </w:p>
        </w:tc>
        <w:tc>
          <w:tcPr>
            <w:tcW w:w="325" w:type="pct"/>
            <w:vAlign w:val="center"/>
          </w:tcPr>
          <w:p w14:paraId="46187FF8" w14:textId="6A3F2197" w:rsidR="00F01ECE" w:rsidRPr="005B25F2" w:rsidRDefault="005B25F2" w:rsidP="00D9567F">
            <w:pPr>
              <w:jc w:val="center"/>
              <w:rPr>
                <w:rFonts w:cs="Times New Roman"/>
                <w:b/>
                <w:bCs/>
                <w:lang w:val="sr-Cyrl-RS"/>
              </w:rPr>
            </w:pPr>
            <w:r w:rsidRPr="005B25F2">
              <w:rPr>
                <w:rFonts w:cs="Times New Roman"/>
                <w:b/>
                <w:bCs/>
                <w:lang w:val="sr-Cyrl-RS"/>
              </w:rPr>
              <w:t>1.64.2.</w:t>
            </w:r>
          </w:p>
        </w:tc>
        <w:tc>
          <w:tcPr>
            <w:tcW w:w="1296" w:type="pct"/>
            <w:vAlign w:val="center"/>
          </w:tcPr>
          <w:p w14:paraId="46187FF9" w14:textId="12F88722" w:rsidR="00F01ECE" w:rsidRPr="004D2E7C" w:rsidRDefault="005B25F2" w:rsidP="005B25F2">
            <w:pPr>
              <w:jc w:val="both"/>
              <w:rPr>
                <w:rFonts w:cs="Times New Roman"/>
                <w:lang w:val="sr-Cyrl-RS"/>
              </w:rPr>
            </w:pPr>
            <w:r w:rsidRPr="00D9567F">
              <w:rPr>
                <w:rFonts w:eastAsia="MS Mincho" w:cs="Times New Roman"/>
                <w:color w:val="000000" w:themeColor="text1"/>
                <w:lang w:val="sr-Cyrl-CS" w:eastAsia="ja-JP"/>
              </w:rPr>
              <w:t>Министар доноси технички пропис којим се прописују захтеви енергетског означавања пнеуматика, ближе се утврђују обавезе испоручилаца и продаваца пнеуматика, обавезе испоручилаца и продаваца моторних возила, дефинишу се мерне методе, поступак провере</w:t>
            </w:r>
            <w:r w:rsidRPr="00D9567F">
              <w:rPr>
                <w:rFonts w:eastAsia="MS Mincho" w:cs="Times New Roman"/>
                <w:color w:val="000000" w:themeColor="text1"/>
                <w:lang w:eastAsia="ja-JP"/>
              </w:rPr>
              <w:t xml:space="preserve"> </w:t>
            </w:r>
            <w:r w:rsidRPr="00D9567F">
              <w:rPr>
                <w:rFonts w:eastAsia="MS Mincho" w:cs="Times New Roman"/>
                <w:color w:val="000000" w:themeColor="text1"/>
                <w:lang w:val="sr-Cyrl-CS" w:eastAsia="ja-JP"/>
              </w:rPr>
              <w:t xml:space="preserve">усаглашености пнеуматика са захтевима енергетског означавања у сврху тржишног надзора, поступак одређивања класе енергетске </w:t>
            </w:r>
            <w:r w:rsidRPr="00D9567F">
              <w:rPr>
                <w:rFonts w:eastAsia="MS Mincho" w:cs="Times New Roman"/>
                <w:color w:val="000000" w:themeColor="text1"/>
                <w:lang w:val="sr-Cyrl-CS" w:eastAsia="ja-JP"/>
              </w:rPr>
              <w:lastRenderedPageBreak/>
              <w:t xml:space="preserve">ефикасности пнеуматика, изглед дизајн и формат енергетске ознаке, листу са подацима, садржај техничке документације, информације које је потребно обезбедити приликом у визуелног оглашавања у техничким и промотивним материјалима приликом продаје на даљину и у </w:t>
            </w:r>
            <w:proofErr w:type="spellStart"/>
            <w:r w:rsidRPr="00D9567F">
              <w:rPr>
                <w:rFonts w:eastAsia="MS Mincho" w:cs="Times New Roman"/>
                <w:color w:val="000000" w:themeColor="text1"/>
                <w:lang w:val="sr-Cyrl-CS" w:eastAsia="ja-JP"/>
              </w:rPr>
              <w:t>телемаркетингу</w:t>
            </w:r>
            <w:proofErr w:type="spellEnd"/>
            <w:r w:rsidRPr="00D9567F">
              <w:rPr>
                <w:rFonts w:eastAsia="MS Mincho" w:cs="Times New Roman"/>
                <w:color w:val="000000" w:themeColor="text1"/>
                <w:lang w:val="sr-Cyrl-CS" w:eastAsia="ja-JP"/>
              </w:rPr>
              <w:t xml:space="preserve">, информације које је потребно обезбедити у случају продаје на даљину преко </w:t>
            </w:r>
            <w:proofErr w:type="spellStart"/>
            <w:r w:rsidRPr="00D9567F">
              <w:rPr>
                <w:rFonts w:eastAsia="MS Mincho" w:cs="Times New Roman"/>
                <w:color w:val="000000" w:themeColor="text1"/>
                <w:lang w:val="sr-Cyrl-CS" w:eastAsia="ja-JP"/>
              </w:rPr>
              <w:t>интернета</w:t>
            </w:r>
            <w:proofErr w:type="spellEnd"/>
            <w:r w:rsidRPr="00D9567F">
              <w:rPr>
                <w:rFonts w:eastAsia="MS Mincho" w:cs="Times New Roman"/>
                <w:color w:val="000000" w:themeColor="text1"/>
                <w:lang w:val="sr-Cyrl-CS" w:eastAsia="ja-JP"/>
              </w:rPr>
              <w:t>, поступак усклађивања лабораторија за мерење отпора котрљања, као и друге захтеве у вези енергетског означавања за поједине врсте пнеуматика.</w:t>
            </w:r>
          </w:p>
        </w:tc>
        <w:tc>
          <w:tcPr>
            <w:tcW w:w="235" w:type="pct"/>
            <w:vAlign w:val="center"/>
          </w:tcPr>
          <w:p w14:paraId="46187FFA" w14:textId="348F5399" w:rsidR="00F01ECE" w:rsidRPr="004D2E7C" w:rsidRDefault="005B25F2" w:rsidP="00F01ECE">
            <w:pPr>
              <w:jc w:val="center"/>
              <w:rPr>
                <w:rFonts w:cs="Times New Roman"/>
                <w:lang w:val="sr-Cyrl-RS"/>
              </w:rPr>
            </w:pPr>
            <w:r>
              <w:rPr>
                <w:rFonts w:cs="Times New Roman"/>
                <w:lang w:val="sr-Cyrl-RS"/>
              </w:rPr>
              <w:lastRenderedPageBreak/>
              <w:t>ДУ</w:t>
            </w:r>
          </w:p>
        </w:tc>
        <w:tc>
          <w:tcPr>
            <w:tcW w:w="676" w:type="pct"/>
            <w:vAlign w:val="center"/>
          </w:tcPr>
          <w:p w14:paraId="46187FFB" w14:textId="578F605A" w:rsidR="00F01ECE" w:rsidRPr="004D2E7C" w:rsidRDefault="00F01ECE" w:rsidP="00F01ECE">
            <w:pPr>
              <w:rPr>
                <w:rFonts w:cs="Times New Roman"/>
                <w:spacing w:val="-6"/>
                <w:lang w:val="sr-Cyrl-RS"/>
              </w:rPr>
            </w:pPr>
          </w:p>
        </w:tc>
        <w:tc>
          <w:tcPr>
            <w:tcW w:w="699" w:type="pct"/>
            <w:vAlign w:val="center"/>
          </w:tcPr>
          <w:p w14:paraId="46187FFC" w14:textId="79A92BD8" w:rsidR="00F01ECE" w:rsidRPr="004D2E7C" w:rsidRDefault="005B25F2" w:rsidP="00F01ECE">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t xml:space="preserve">кроз подзаконске акте и </w:t>
            </w:r>
            <w:r w:rsidRPr="008A4AD2">
              <w:rPr>
                <w:rFonts w:cs="Times New Roman"/>
                <w:lang w:val="sr-Cyrl-RS"/>
              </w:rPr>
              <w:t>техничк</w:t>
            </w:r>
            <w:r>
              <w:rPr>
                <w:rFonts w:cs="Times New Roman"/>
                <w:lang w:val="sr-Cyrl-RS"/>
              </w:rPr>
              <w:t>е прописе, на основу члана 64. ЗЕЕРУЕ.</w:t>
            </w:r>
          </w:p>
        </w:tc>
      </w:tr>
      <w:tr w:rsidR="00F01ECE" w:rsidRPr="004D2E7C" w14:paraId="46188005" w14:textId="77777777" w:rsidTr="00D9567F">
        <w:tc>
          <w:tcPr>
            <w:tcW w:w="280" w:type="pct"/>
            <w:shd w:val="clear" w:color="auto" w:fill="D9D9D9"/>
            <w:vAlign w:val="center"/>
          </w:tcPr>
          <w:p w14:paraId="46187FFE" w14:textId="67967DF6"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8.</w:t>
            </w:r>
          </w:p>
        </w:tc>
        <w:tc>
          <w:tcPr>
            <w:tcW w:w="1489" w:type="pct"/>
            <w:shd w:val="clear" w:color="auto" w:fill="D9D9D9"/>
            <w:vAlign w:val="center"/>
          </w:tcPr>
          <w:p w14:paraId="16BE742E" w14:textId="77777777" w:rsidR="00880D98" w:rsidRDefault="00880D98" w:rsidP="00880D98">
            <w:pPr>
              <w:jc w:val="both"/>
              <w:rPr>
                <w:rFonts w:eastAsia="Times New Roman" w:cs="Times New Roman"/>
                <w:b/>
                <w:bCs/>
                <w:lang w:val="en-GB"/>
              </w:rPr>
            </w:pPr>
          </w:p>
          <w:p w14:paraId="6271D70F" w14:textId="5957C21B" w:rsidR="00880D98" w:rsidRDefault="00880D98" w:rsidP="00880D98">
            <w:pPr>
              <w:jc w:val="both"/>
              <w:rPr>
                <w:rFonts w:eastAsia="Times New Roman" w:cs="Times New Roman"/>
                <w:b/>
                <w:bCs/>
                <w:lang w:val="en-GB"/>
              </w:rPr>
            </w:pPr>
            <w:r w:rsidRPr="00880D98">
              <w:rPr>
                <w:rFonts w:eastAsia="Times New Roman" w:cs="Times New Roman"/>
                <w:b/>
                <w:bCs/>
                <w:lang w:val="en-GB"/>
              </w:rPr>
              <w:t>Obligations of hosting service providers</w:t>
            </w:r>
          </w:p>
          <w:p w14:paraId="13B6729E" w14:textId="77777777" w:rsidR="00880D98" w:rsidRPr="00880D98" w:rsidRDefault="00880D98" w:rsidP="00880D98">
            <w:pPr>
              <w:jc w:val="both"/>
              <w:rPr>
                <w:rFonts w:eastAsia="Times New Roman" w:cs="Times New Roman"/>
                <w:b/>
                <w:bCs/>
                <w:lang w:val="en-GB"/>
              </w:rPr>
            </w:pPr>
          </w:p>
          <w:p w14:paraId="46187FFF" w14:textId="5E88D1E1" w:rsidR="00F01ECE" w:rsidRPr="00880D98" w:rsidRDefault="00880D98" w:rsidP="00880D98">
            <w:pPr>
              <w:spacing w:after="120"/>
              <w:jc w:val="both"/>
              <w:rPr>
                <w:rFonts w:eastAsia="Times New Roman" w:cs="Times New Roman"/>
                <w:lang w:val="sr-Latn-RS"/>
              </w:rPr>
            </w:pPr>
            <w:r w:rsidRPr="00880D98">
              <w:rPr>
                <w:rFonts w:eastAsia="Times New Roman" w:cs="Times New Roman"/>
                <w:lang w:val="en-GB"/>
              </w:rPr>
              <w:t>Where a service provider as referred to in Article 14 of Directive 2000/31/EC allows the selling of tyres through its internet site, that service provider shall enable the display of the tyre label and the product information sheet provided by the supplier close to the price indication and shall inform the distributor of the obligation to display the tyre label and the product information sheet.</w:t>
            </w:r>
          </w:p>
        </w:tc>
        <w:tc>
          <w:tcPr>
            <w:tcW w:w="325" w:type="pct"/>
            <w:vAlign w:val="center"/>
          </w:tcPr>
          <w:p w14:paraId="46188000" w14:textId="19E7D7D9" w:rsidR="00F01ECE" w:rsidRPr="004D2E7C" w:rsidRDefault="00F01ECE" w:rsidP="00D9567F">
            <w:pPr>
              <w:jc w:val="center"/>
              <w:rPr>
                <w:rFonts w:cs="Times New Roman"/>
                <w:lang w:val="sr-Cyrl-RS"/>
              </w:rPr>
            </w:pPr>
          </w:p>
        </w:tc>
        <w:tc>
          <w:tcPr>
            <w:tcW w:w="1296" w:type="pct"/>
            <w:vAlign w:val="center"/>
          </w:tcPr>
          <w:p w14:paraId="46188001" w14:textId="3A30C07F" w:rsidR="00F01ECE" w:rsidRPr="004D2E7C" w:rsidRDefault="00F01ECE" w:rsidP="00F01ECE">
            <w:pPr>
              <w:pStyle w:val="1tekst"/>
              <w:ind w:left="0" w:right="24" w:firstLine="0"/>
              <w:rPr>
                <w:rFonts w:ascii="Times New Roman" w:hAnsi="Times New Roman" w:cs="Times New Roman"/>
                <w:sz w:val="22"/>
                <w:szCs w:val="22"/>
                <w:lang w:val="sr-Cyrl-RS"/>
              </w:rPr>
            </w:pPr>
          </w:p>
        </w:tc>
        <w:tc>
          <w:tcPr>
            <w:tcW w:w="235" w:type="pct"/>
            <w:vAlign w:val="center"/>
          </w:tcPr>
          <w:p w14:paraId="46188002" w14:textId="07CCD96F" w:rsidR="00F01ECE" w:rsidRPr="004D2E7C" w:rsidRDefault="003A6629" w:rsidP="00F01ECE">
            <w:pPr>
              <w:jc w:val="center"/>
              <w:rPr>
                <w:rFonts w:cs="Times New Roman"/>
                <w:lang w:val="sr-Cyrl-RS"/>
              </w:rPr>
            </w:pPr>
            <w:r>
              <w:rPr>
                <w:rFonts w:cs="Times New Roman"/>
                <w:lang w:val="sr-Cyrl-RS"/>
              </w:rPr>
              <w:t>НУ</w:t>
            </w:r>
          </w:p>
        </w:tc>
        <w:tc>
          <w:tcPr>
            <w:tcW w:w="676" w:type="pct"/>
            <w:vAlign w:val="center"/>
          </w:tcPr>
          <w:p w14:paraId="46188003" w14:textId="77777777" w:rsidR="00F01ECE" w:rsidRPr="004D2E7C" w:rsidRDefault="00F01ECE" w:rsidP="00F01ECE">
            <w:pPr>
              <w:rPr>
                <w:rFonts w:cs="Times New Roman"/>
                <w:lang w:val="sr-Cyrl-RS"/>
              </w:rPr>
            </w:pPr>
          </w:p>
        </w:tc>
        <w:tc>
          <w:tcPr>
            <w:tcW w:w="699" w:type="pct"/>
            <w:vAlign w:val="center"/>
          </w:tcPr>
          <w:p w14:paraId="46188004" w14:textId="7855E4EB" w:rsidR="00F01ECE" w:rsidRPr="004D2E7C" w:rsidRDefault="003A6629" w:rsidP="00F01ECE">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t xml:space="preserve">кроз подзаконске акте и </w:t>
            </w:r>
            <w:r w:rsidRPr="008A4AD2">
              <w:rPr>
                <w:rFonts w:cs="Times New Roman"/>
                <w:lang w:val="sr-Cyrl-RS"/>
              </w:rPr>
              <w:t>техничк</w:t>
            </w:r>
            <w:r>
              <w:rPr>
                <w:rFonts w:cs="Times New Roman"/>
                <w:lang w:val="sr-Cyrl-RS"/>
              </w:rPr>
              <w:t>е прописе, на основу члана 64. ЗЕЕРУЕ.</w:t>
            </w:r>
          </w:p>
        </w:tc>
      </w:tr>
      <w:tr w:rsidR="00F01ECE" w:rsidRPr="004D2E7C" w14:paraId="4618800D" w14:textId="77777777" w:rsidTr="00D9567F">
        <w:tc>
          <w:tcPr>
            <w:tcW w:w="280" w:type="pct"/>
            <w:shd w:val="clear" w:color="auto" w:fill="D9D9D9"/>
            <w:vAlign w:val="center"/>
          </w:tcPr>
          <w:p w14:paraId="46188006" w14:textId="603654BD" w:rsidR="00F01ECE" w:rsidRPr="00880D98" w:rsidRDefault="00880D98" w:rsidP="00F01ECE">
            <w:pPr>
              <w:jc w:val="center"/>
              <w:rPr>
                <w:rFonts w:eastAsia="Times New Roman" w:cs="Times New Roman"/>
                <w:lang w:val="sr-Latn-RS"/>
              </w:rPr>
            </w:pPr>
            <w:r>
              <w:rPr>
                <w:rFonts w:eastAsia="Times New Roman" w:cs="Times New Roman"/>
                <w:lang w:val="sr-Latn-RS"/>
              </w:rPr>
              <w:t>9.</w:t>
            </w:r>
          </w:p>
        </w:tc>
        <w:tc>
          <w:tcPr>
            <w:tcW w:w="1489" w:type="pct"/>
            <w:shd w:val="clear" w:color="auto" w:fill="D9D9D9"/>
            <w:vAlign w:val="center"/>
          </w:tcPr>
          <w:p w14:paraId="0905AF72" w14:textId="77777777" w:rsidR="00880D98" w:rsidRDefault="00880D98" w:rsidP="00880D98">
            <w:pPr>
              <w:jc w:val="both"/>
              <w:rPr>
                <w:rFonts w:eastAsia="Times New Roman" w:cs="Times New Roman"/>
                <w:b/>
                <w:bCs/>
                <w:lang w:val="en-GB"/>
              </w:rPr>
            </w:pPr>
          </w:p>
          <w:p w14:paraId="4F3B2487" w14:textId="64040376" w:rsidR="00880D98" w:rsidRDefault="00880D98" w:rsidP="00880D98">
            <w:pPr>
              <w:jc w:val="both"/>
              <w:rPr>
                <w:rFonts w:eastAsia="Times New Roman" w:cs="Times New Roman"/>
                <w:b/>
                <w:bCs/>
                <w:lang w:val="en-GB"/>
              </w:rPr>
            </w:pPr>
            <w:r w:rsidRPr="00880D98">
              <w:rPr>
                <w:rFonts w:eastAsia="Times New Roman" w:cs="Times New Roman"/>
                <w:b/>
                <w:bCs/>
                <w:lang w:val="en-GB"/>
              </w:rPr>
              <w:t>Testing and measurement methods</w:t>
            </w:r>
          </w:p>
          <w:p w14:paraId="267B51F6" w14:textId="77777777" w:rsidR="00880D98" w:rsidRPr="00880D98" w:rsidRDefault="00880D98" w:rsidP="00880D98">
            <w:pPr>
              <w:jc w:val="both"/>
              <w:rPr>
                <w:rFonts w:eastAsia="Times New Roman" w:cs="Times New Roman"/>
                <w:b/>
                <w:bCs/>
                <w:lang w:val="en-GB"/>
              </w:rPr>
            </w:pPr>
          </w:p>
          <w:p w14:paraId="46188007" w14:textId="34FDA554" w:rsidR="00F01ECE" w:rsidRPr="00880D98" w:rsidRDefault="00880D98" w:rsidP="00880D98">
            <w:pPr>
              <w:spacing w:after="120"/>
              <w:jc w:val="both"/>
              <w:rPr>
                <w:rFonts w:eastAsia="Times New Roman" w:cs="Times New Roman"/>
                <w:lang w:val="en-GB"/>
              </w:rPr>
            </w:pPr>
            <w:r w:rsidRPr="00880D98">
              <w:rPr>
                <w:rFonts w:eastAsia="Times New Roman" w:cs="Times New Roman"/>
                <w:lang w:val="en-GB"/>
              </w:rPr>
              <w:t xml:space="preserve">The information to be provided under Articles 4, 6 and 7 on the parameters indicated on the tyre label shall be obtained in accordance with the testing </w:t>
            </w:r>
            <w:r w:rsidRPr="00880D98">
              <w:rPr>
                <w:rFonts w:eastAsia="Times New Roman" w:cs="Times New Roman"/>
                <w:lang w:val="en-GB"/>
              </w:rPr>
              <w:lastRenderedPageBreak/>
              <w:t>methods referred to in Annex I and the laboratory alignment procedure referred to in Annex V.</w:t>
            </w:r>
          </w:p>
        </w:tc>
        <w:tc>
          <w:tcPr>
            <w:tcW w:w="325" w:type="pct"/>
            <w:vAlign w:val="center"/>
          </w:tcPr>
          <w:p w14:paraId="46188008" w14:textId="77777777" w:rsidR="00F01ECE" w:rsidRPr="004D2E7C" w:rsidRDefault="00F01ECE" w:rsidP="00D9567F">
            <w:pPr>
              <w:jc w:val="center"/>
              <w:rPr>
                <w:rFonts w:cs="Times New Roman"/>
                <w:lang w:val="sr-Cyrl-RS"/>
              </w:rPr>
            </w:pPr>
          </w:p>
        </w:tc>
        <w:tc>
          <w:tcPr>
            <w:tcW w:w="1296" w:type="pct"/>
            <w:vAlign w:val="center"/>
          </w:tcPr>
          <w:p w14:paraId="46188009" w14:textId="77777777" w:rsidR="00F01ECE" w:rsidRPr="004D2E7C" w:rsidRDefault="00F01ECE" w:rsidP="00F01ECE">
            <w:pPr>
              <w:rPr>
                <w:rFonts w:cs="Times New Roman"/>
                <w:lang w:val="sr-Cyrl-RS"/>
              </w:rPr>
            </w:pPr>
          </w:p>
        </w:tc>
        <w:tc>
          <w:tcPr>
            <w:tcW w:w="235" w:type="pct"/>
            <w:vAlign w:val="center"/>
          </w:tcPr>
          <w:p w14:paraId="4618800A" w14:textId="11A815B8" w:rsidR="00F01ECE" w:rsidRPr="004D2E7C" w:rsidRDefault="003A6629" w:rsidP="00F01ECE">
            <w:pPr>
              <w:jc w:val="center"/>
              <w:rPr>
                <w:rFonts w:cs="Times New Roman"/>
                <w:lang w:val="sr-Cyrl-RS"/>
              </w:rPr>
            </w:pPr>
            <w:r>
              <w:rPr>
                <w:rFonts w:cs="Times New Roman"/>
                <w:lang w:val="sr-Cyrl-RS"/>
              </w:rPr>
              <w:t>НУ</w:t>
            </w:r>
          </w:p>
        </w:tc>
        <w:tc>
          <w:tcPr>
            <w:tcW w:w="676" w:type="pct"/>
            <w:vAlign w:val="center"/>
          </w:tcPr>
          <w:p w14:paraId="4618800B" w14:textId="6020060C" w:rsidR="00F01ECE" w:rsidRPr="004D2E7C" w:rsidRDefault="00F01ECE" w:rsidP="00F01ECE">
            <w:pPr>
              <w:rPr>
                <w:rFonts w:cs="Times New Roman"/>
                <w:lang w:val="sr-Cyrl-RS"/>
              </w:rPr>
            </w:pPr>
          </w:p>
        </w:tc>
        <w:tc>
          <w:tcPr>
            <w:tcW w:w="699" w:type="pct"/>
            <w:vAlign w:val="center"/>
          </w:tcPr>
          <w:p w14:paraId="4618800C" w14:textId="123C0A9A" w:rsidR="00F01ECE" w:rsidRPr="004D2E7C" w:rsidRDefault="003A6629" w:rsidP="00F01ECE">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t xml:space="preserve">кроз подзаконске акте и </w:t>
            </w:r>
            <w:r w:rsidRPr="008A4AD2">
              <w:rPr>
                <w:rFonts w:cs="Times New Roman"/>
                <w:lang w:val="sr-Cyrl-RS"/>
              </w:rPr>
              <w:t>техничк</w:t>
            </w:r>
            <w:r>
              <w:rPr>
                <w:rFonts w:cs="Times New Roman"/>
                <w:lang w:val="sr-Cyrl-RS"/>
              </w:rPr>
              <w:t>е прописе, на основу члана 64. ЗЕЕРУЕ.</w:t>
            </w:r>
          </w:p>
        </w:tc>
      </w:tr>
      <w:tr w:rsidR="00F01ECE" w:rsidRPr="004D2E7C" w14:paraId="46188016" w14:textId="77777777" w:rsidTr="00D9567F">
        <w:tc>
          <w:tcPr>
            <w:tcW w:w="280" w:type="pct"/>
            <w:shd w:val="clear" w:color="auto" w:fill="D9D9D9"/>
            <w:vAlign w:val="center"/>
          </w:tcPr>
          <w:p w14:paraId="4618800E" w14:textId="026FD220" w:rsidR="00F01ECE" w:rsidRPr="00880D98" w:rsidRDefault="00880D98" w:rsidP="00F01ECE">
            <w:pPr>
              <w:jc w:val="center"/>
              <w:rPr>
                <w:rFonts w:eastAsia="Times New Roman" w:cs="Times New Roman"/>
                <w:lang w:val="sr-Latn-RS"/>
              </w:rPr>
            </w:pPr>
            <w:r>
              <w:rPr>
                <w:rFonts w:eastAsia="Times New Roman" w:cs="Times New Roman"/>
                <w:lang w:val="sr-Latn-RS"/>
              </w:rPr>
              <w:lastRenderedPageBreak/>
              <w:t>10.</w:t>
            </w:r>
          </w:p>
        </w:tc>
        <w:tc>
          <w:tcPr>
            <w:tcW w:w="1489" w:type="pct"/>
            <w:shd w:val="clear" w:color="auto" w:fill="D9D9D9"/>
            <w:vAlign w:val="center"/>
          </w:tcPr>
          <w:p w14:paraId="5D561C2D" w14:textId="77777777" w:rsidR="00880D98" w:rsidRPr="00880D98" w:rsidRDefault="00880D98" w:rsidP="00880D98">
            <w:pPr>
              <w:pStyle w:val="Normal1"/>
              <w:spacing w:before="0" w:beforeAutospacing="0" w:after="0" w:afterAutospacing="0"/>
              <w:jc w:val="both"/>
              <w:rPr>
                <w:b/>
                <w:bCs/>
                <w:sz w:val="22"/>
                <w:szCs w:val="22"/>
                <w:lang w:val="en-GB"/>
              </w:rPr>
            </w:pPr>
          </w:p>
          <w:p w14:paraId="05E353CB" w14:textId="5F0BA8C3" w:rsidR="00880D98" w:rsidRPr="00880D98" w:rsidRDefault="00880D98" w:rsidP="00880D98">
            <w:pPr>
              <w:pStyle w:val="Normal1"/>
              <w:spacing w:before="0" w:beforeAutospacing="0" w:after="0" w:afterAutospacing="0"/>
              <w:jc w:val="both"/>
              <w:rPr>
                <w:b/>
                <w:bCs/>
                <w:sz w:val="22"/>
                <w:szCs w:val="22"/>
                <w:lang w:val="en-GB"/>
              </w:rPr>
            </w:pPr>
            <w:r w:rsidRPr="00880D98">
              <w:rPr>
                <w:b/>
                <w:bCs/>
                <w:sz w:val="22"/>
                <w:szCs w:val="22"/>
                <w:lang w:val="en-GB"/>
              </w:rPr>
              <w:t>Verification procedure</w:t>
            </w:r>
          </w:p>
          <w:p w14:paraId="250C2C49" w14:textId="77777777" w:rsidR="00880D98" w:rsidRPr="00880D98" w:rsidRDefault="00880D98" w:rsidP="00880D98">
            <w:pPr>
              <w:pStyle w:val="Normal1"/>
              <w:spacing w:before="0" w:beforeAutospacing="0" w:after="0" w:afterAutospacing="0"/>
              <w:jc w:val="both"/>
              <w:rPr>
                <w:b/>
                <w:bCs/>
                <w:sz w:val="22"/>
                <w:szCs w:val="22"/>
                <w:lang w:val="en-GB"/>
              </w:rPr>
            </w:pPr>
          </w:p>
          <w:p w14:paraId="46188010" w14:textId="4B83D44C" w:rsidR="00F01ECE" w:rsidRPr="00880D98" w:rsidRDefault="00880D98" w:rsidP="00880D98">
            <w:pPr>
              <w:pStyle w:val="Normal1"/>
              <w:spacing w:before="0" w:beforeAutospacing="0" w:after="120" w:afterAutospacing="0"/>
              <w:jc w:val="both"/>
              <w:rPr>
                <w:sz w:val="22"/>
                <w:szCs w:val="22"/>
                <w:lang w:val="en-GB"/>
              </w:rPr>
            </w:pPr>
            <w:r w:rsidRPr="00880D98">
              <w:rPr>
                <w:sz w:val="22"/>
                <w:szCs w:val="22"/>
                <w:lang w:val="en-GB"/>
              </w:rPr>
              <w:t>For each of the parameters set out in Annex I, Member States shall apply the verification procedure set out in Annex VI when assessing the conformity of the declared classes with this Regulation.</w:t>
            </w:r>
          </w:p>
        </w:tc>
        <w:tc>
          <w:tcPr>
            <w:tcW w:w="325" w:type="pct"/>
            <w:vAlign w:val="center"/>
          </w:tcPr>
          <w:p w14:paraId="46188011" w14:textId="429919C1" w:rsidR="00F01ECE" w:rsidRPr="004D2E7C" w:rsidRDefault="00F01ECE" w:rsidP="00D9567F">
            <w:pPr>
              <w:jc w:val="center"/>
              <w:rPr>
                <w:rFonts w:cs="Times New Roman"/>
                <w:lang w:val="sr-Cyrl-RS"/>
              </w:rPr>
            </w:pPr>
          </w:p>
        </w:tc>
        <w:tc>
          <w:tcPr>
            <w:tcW w:w="1296" w:type="pct"/>
            <w:vAlign w:val="center"/>
          </w:tcPr>
          <w:p w14:paraId="46188012" w14:textId="30BC4B14" w:rsidR="00F01ECE" w:rsidRPr="00514173" w:rsidRDefault="00F01ECE" w:rsidP="00514173">
            <w:pPr>
              <w:pStyle w:val="1tekst"/>
              <w:spacing w:after="120"/>
              <w:ind w:left="0" w:right="29" w:firstLine="0"/>
              <w:rPr>
                <w:rFonts w:ascii="Times New Roman" w:eastAsia="Calibri" w:hAnsi="Times New Roman" w:cs="Times New Roman"/>
                <w:sz w:val="22"/>
                <w:szCs w:val="22"/>
                <w:lang w:val="sr-Cyrl-RS"/>
              </w:rPr>
            </w:pPr>
          </w:p>
        </w:tc>
        <w:tc>
          <w:tcPr>
            <w:tcW w:w="235" w:type="pct"/>
            <w:vAlign w:val="center"/>
          </w:tcPr>
          <w:p w14:paraId="46188013" w14:textId="11D73AD2" w:rsidR="00F01ECE" w:rsidRPr="004D2E7C" w:rsidRDefault="00EA53DD" w:rsidP="00F01ECE">
            <w:pPr>
              <w:jc w:val="center"/>
              <w:rPr>
                <w:rFonts w:cs="Times New Roman"/>
                <w:lang w:val="sr-Cyrl-RS"/>
              </w:rPr>
            </w:pPr>
            <w:r>
              <w:rPr>
                <w:rFonts w:cs="Times New Roman"/>
                <w:lang w:val="sr-Cyrl-RS"/>
              </w:rPr>
              <w:t>НУ</w:t>
            </w:r>
          </w:p>
        </w:tc>
        <w:tc>
          <w:tcPr>
            <w:tcW w:w="676" w:type="pct"/>
            <w:vAlign w:val="center"/>
          </w:tcPr>
          <w:p w14:paraId="46188014" w14:textId="77777777" w:rsidR="00F01ECE" w:rsidRPr="004D2E7C" w:rsidRDefault="00F01ECE" w:rsidP="00F01ECE">
            <w:pPr>
              <w:rPr>
                <w:rFonts w:cs="Times New Roman"/>
                <w:lang w:val="sr-Cyrl-RS"/>
              </w:rPr>
            </w:pPr>
          </w:p>
        </w:tc>
        <w:tc>
          <w:tcPr>
            <w:tcW w:w="699" w:type="pct"/>
            <w:vAlign w:val="center"/>
          </w:tcPr>
          <w:p w14:paraId="46188015" w14:textId="08F84D47" w:rsidR="00F01ECE" w:rsidRPr="004D2E7C" w:rsidRDefault="00EA53DD" w:rsidP="00F01ECE">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t xml:space="preserve">кроз подзаконске акте и </w:t>
            </w:r>
            <w:r w:rsidRPr="008A4AD2">
              <w:rPr>
                <w:rFonts w:cs="Times New Roman"/>
                <w:lang w:val="sr-Cyrl-RS"/>
              </w:rPr>
              <w:t>техничк</w:t>
            </w:r>
            <w:r>
              <w:rPr>
                <w:rFonts w:cs="Times New Roman"/>
                <w:lang w:val="sr-Cyrl-RS"/>
              </w:rPr>
              <w:t>е прописе, на основу члана 64. ЗЕЕРУЕ.</w:t>
            </w:r>
          </w:p>
        </w:tc>
      </w:tr>
      <w:tr w:rsidR="00F01ECE" w:rsidRPr="004D2E7C" w14:paraId="46188023" w14:textId="77777777" w:rsidTr="00EA53DD">
        <w:tc>
          <w:tcPr>
            <w:tcW w:w="280" w:type="pct"/>
            <w:shd w:val="clear" w:color="auto" w:fill="D9D9D9"/>
            <w:vAlign w:val="center"/>
          </w:tcPr>
          <w:p w14:paraId="46188017" w14:textId="64965CEE" w:rsidR="00F01ECE" w:rsidRPr="00880D98" w:rsidRDefault="00880D98" w:rsidP="00F01ECE">
            <w:pPr>
              <w:jc w:val="center"/>
              <w:rPr>
                <w:rFonts w:eastAsia="Times New Roman" w:cs="Times New Roman"/>
                <w:lang w:val="sr-Latn-RS"/>
              </w:rPr>
            </w:pPr>
            <w:r>
              <w:rPr>
                <w:rFonts w:eastAsia="Times New Roman" w:cs="Times New Roman"/>
                <w:lang w:val="sr-Latn-RS"/>
              </w:rPr>
              <w:t>11.</w:t>
            </w:r>
          </w:p>
        </w:tc>
        <w:tc>
          <w:tcPr>
            <w:tcW w:w="1489" w:type="pct"/>
            <w:shd w:val="clear" w:color="auto" w:fill="D9D9D9"/>
            <w:vAlign w:val="center"/>
          </w:tcPr>
          <w:p w14:paraId="4856EA15" w14:textId="77777777" w:rsidR="00880D98" w:rsidRDefault="00880D98" w:rsidP="00880D98">
            <w:pPr>
              <w:pStyle w:val="Normal1"/>
              <w:spacing w:before="0" w:beforeAutospacing="0" w:after="0" w:afterAutospacing="0"/>
              <w:jc w:val="both"/>
              <w:rPr>
                <w:b/>
                <w:bCs/>
                <w:sz w:val="22"/>
                <w:szCs w:val="22"/>
                <w:lang w:val="en-GB"/>
              </w:rPr>
            </w:pPr>
          </w:p>
          <w:p w14:paraId="431C7694" w14:textId="34DE1EF8" w:rsidR="00880D98" w:rsidRDefault="00880D98" w:rsidP="00880D98">
            <w:pPr>
              <w:pStyle w:val="Normal1"/>
              <w:spacing w:before="0" w:beforeAutospacing="0" w:after="0" w:afterAutospacing="0"/>
              <w:jc w:val="both"/>
              <w:rPr>
                <w:b/>
                <w:bCs/>
                <w:sz w:val="22"/>
                <w:szCs w:val="22"/>
                <w:lang w:val="en-GB"/>
              </w:rPr>
            </w:pPr>
            <w:r w:rsidRPr="00880D98">
              <w:rPr>
                <w:b/>
                <w:bCs/>
                <w:sz w:val="22"/>
                <w:szCs w:val="22"/>
                <w:lang w:val="en-GB"/>
              </w:rPr>
              <w:t>Obligations of Member States</w:t>
            </w:r>
          </w:p>
          <w:p w14:paraId="12251D34" w14:textId="77777777" w:rsidR="00880D98" w:rsidRPr="00880D98" w:rsidRDefault="00880D98" w:rsidP="00880D98">
            <w:pPr>
              <w:pStyle w:val="Normal1"/>
              <w:spacing w:before="0" w:beforeAutospacing="0" w:after="0" w:afterAutospacing="0"/>
              <w:jc w:val="both"/>
              <w:rPr>
                <w:b/>
                <w:bCs/>
                <w:sz w:val="22"/>
                <w:szCs w:val="22"/>
                <w:lang w:val="en-GB"/>
              </w:rPr>
            </w:pPr>
          </w:p>
          <w:p w14:paraId="35FDE6A8" w14:textId="77777777" w:rsidR="00880D98" w:rsidRPr="00880D98" w:rsidRDefault="00880D98" w:rsidP="00880D98">
            <w:pPr>
              <w:pStyle w:val="Normal1"/>
              <w:spacing w:before="0" w:beforeAutospacing="0" w:after="0" w:afterAutospacing="0"/>
              <w:jc w:val="both"/>
              <w:rPr>
                <w:sz w:val="22"/>
                <w:szCs w:val="22"/>
                <w:lang w:val="en-GB"/>
              </w:rPr>
            </w:pPr>
            <w:r w:rsidRPr="00880D98">
              <w:rPr>
                <w:sz w:val="22"/>
                <w:szCs w:val="22"/>
                <w:lang w:val="en-GB"/>
              </w:rPr>
              <w:t>1.  Member States shall not impede the placing on the market or putting into service of tyres within their territories, where such tyres comply with this Regulation.</w:t>
            </w:r>
          </w:p>
          <w:p w14:paraId="68867B2B" w14:textId="77777777" w:rsidR="00880D98" w:rsidRPr="00880D98" w:rsidRDefault="00880D98" w:rsidP="00880D98">
            <w:pPr>
              <w:pStyle w:val="Normal1"/>
              <w:spacing w:before="0" w:beforeAutospacing="0" w:after="0" w:afterAutospacing="0"/>
              <w:jc w:val="both"/>
              <w:rPr>
                <w:sz w:val="22"/>
                <w:szCs w:val="22"/>
                <w:lang w:val="en-GB"/>
              </w:rPr>
            </w:pPr>
            <w:r w:rsidRPr="00880D98">
              <w:rPr>
                <w:sz w:val="22"/>
                <w:szCs w:val="22"/>
                <w:lang w:val="en-GB"/>
              </w:rPr>
              <w:t>2.  Where Member States provide incentives with regard to tyres, such incentives shall target only tyres in class A or B with respect to rolling resistance or wet grip within the meaning of Parts A and B of Annex I, respectively. Taxation and fiscal measures shall not constitute incentives for the purposes of this Regulation.</w:t>
            </w:r>
          </w:p>
          <w:p w14:paraId="0A300D0C" w14:textId="77777777" w:rsidR="00880D98" w:rsidRPr="00880D98" w:rsidRDefault="00880D98" w:rsidP="00880D98">
            <w:pPr>
              <w:pStyle w:val="Normal1"/>
              <w:spacing w:before="0" w:beforeAutospacing="0" w:after="0" w:afterAutospacing="0"/>
              <w:jc w:val="both"/>
              <w:rPr>
                <w:sz w:val="22"/>
                <w:szCs w:val="22"/>
                <w:lang w:val="en-GB"/>
              </w:rPr>
            </w:pPr>
            <w:r w:rsidRPr="00880D98">
              <w:rPr>
                <w:sz w:val="22"/>
                <w:szCs w:val="22"/>
                <w:lang w:val="en-GB"/>
              </w:rPr>
              <w:t xml:space="preserve">3.  Without prejudice to Regulation (EU) 2019/1020, where the relevant national authority as defined in point (37) of Article 3 of Regulation (EU) 2018/858 has sufficient reason to believe that a supplier has not ensured the accuracy of the tyre label in accordance with Article 4(6) of this Regulation, it shall verify that the classes and any additional performance information declared on the </w:t>
            </w:r>
            <w:r w:rsidRPr="00880D98">
              <w:rPr>
                <w:sz w:val="22"/>
                <w:szCs w:val="22"/>
                <w:lang w:val="en-GB"/>
              </w:rPr>
              <w:lastRenderedPageBreak/>
              <w:t>tyre label correspond to the values and to the documentation submitted by the supplier, in accordance with Article 4(5) of this Regulation.</w:t>
            </w:r>
          </w:p>
          <w:p w14:paraId="70713277" w14:textId="77777777" w:rsidR="00880D98" w:rsidRPr="00880D98" w:rsidRDefault="00880D98" w:rsidP="00880D98">
            <w:pPr>
              <w:pStyle w:val="Normal1"/>
              <w:spacing w:before="0" w:beforeAutospacing="0" w:after="0" w:afterAutospacing="0"/>
              <w:jc w:val="both"/>
              <w:rPr>
                <w:sz w:val="22"/>
                <w:szCs w:val="22"/>
                <w:lang w:val="en-GB"/>
              </w:rPr>
            </w:pPr>
            <w:r w:rsidRPr="00880D98">
              <w:rPr>
                <w:sz w:val="22"/>
                <w:szCs w:val="22"/>
                <w:lang w:val="en-GB"/>
              </w:rPr>
              <w:t>4.  In accordance with Regulation (EU) 2019/1020, Member States shall ensure that the national market surveillance authorities establish a system of routine and ad hoc inspections of points of sale for the purposes of ensuring compliance with this Regulation.</w:t>
            </w:r>
          </w:p>
          <w:p w14:paraId="4618801C" w14:textId="1D894069" w:rsidR="00F01ECE" w:rsidRPr="00880D98" w:rsidRDefault="00880D98" w:rsidP="00880D98">
            <w:pPr>
              <w:pStyle w:val="Normal1"/>
              <w:spacing w:before="0" w:beforeAutospacing="0" w:after="120" w:afterAutospacing="0"/>
              <w:jc w:val="both"/>
              <w:rPr>
                <w:sz w:val="22"/>
                <w:szCs w:val="22"/>
                <w:lang w:val="sr-Latn-RS"/>
              </w:rPr>
            </w:pPr>
            <w:r w:rsidRPr="00880D98">
              <w:rPr>
                <w:sz w:val="22"/>
                <w:szCs w:val="22"/>
                <w:lang w:val="en-GB"/>
              </w:rPr>
              <w:t>5.  Member States shall lay down the rules on penalties and enforcement mechanisms applicable to infringements of this Regulation and of the delegated acts adopted pursuant thereto and shall take all measures necessary to ensure that they are implemented. The penalties provided for shall be effective, proportionate and dissuasive. Member States shall, by 1 May 2021, notify the Commission of those rules and of those measures that have not previously been notified to the Commission, and shall notify it, without delay, of any subsequent amendment affecting them.</w:t>
            </w:r>
          </w:p>
        </w:tc>
        <w:tc>
          <w:tcPr>
            <w:tcW w:w="325" w:type="pct"/>
          </w:tcPr>
          <w:p w14:paraId="29CFEBBF" w14:textId="77777777" w:rsidR="00EA53DD" w:rsidRDefault="00EA53DD" w:rsidP="00EA53DD">
            <w:pPr>
              <w:jc w:val="center"/>
              <w:rPr>
                <w:rFonts w:cs="Times New Roman"/>
                <w:b/>
                <w:bCs/>
                <w:lang w:val="sr-Cyrl-RS"/>
              </w:rPr>
            </w:pPr>
          </w:p>
          <w:p w14:paraId="463D9B66" w14:textId="77777777" w:rsidR="00EA53DD" w:rsidRDefault="00EA53DD" w:rsidP="00EA53DD">
            <w:pPr>
              <w:jc w:val="center"/>
              <w:rPr>
                <w:rFonts w:cs="Times New Roman"/>
                <w:b/>
                <w:bCs/>
                <w:lang w:val="sr-Cyrl-RS"/>
              </w:rPr>
            </w:pPr>
          </w:p>
          <w:p w14:paraId="657F7F93" w14:textId="77777777" w:rsidR="00EA53DD" w:rsidRDefault="00EA53DD" w:rsidP="00EA53DD">
            <w:pPr>
              <w:jc w:val="center"/>
              <w:rPr>
                <w:rFonts w:cs="Times New Roman"/>
                <w:b/>
                <w:bCs/>
                <w:lang w:val="sr-Cyrl-RS"/>
              </w:rPr>
            </w:pPr>
          </w:p>
          <w:p w14:paraId="38923E59" w14:textId="77777777" w:rsidR="00EA53DD" w:rsidRDefault="00EA53DD" w:rsidP="00EA53DD">
            <w:pPr>
              <w:jc w:val="center"/>
              <w:rPr>
                <w:rFonts w:cs="Times New Roman"/>
                <w:b/>
                <w:bCs/>
                <w:lang w:val="sr-Cyrl-RS"/>
              </w:rPr>
            </w:pPr>
          </w:p>
          <w:p w14:paraId="7C40FCCA" w14:textId="77777777" w:rsidR="00EA53DD" w:rsidRDefault="00EA53DD" w:rsidP="00EA53DD">
            <w:pPr>
              <w:jc w:val="center"/>
              <w:rPr>
                <w:rFonts w:cs="Times New Roman"/>
                <w:b/>
                <w:bCs/>
                <w:lang w:val="sr-Cyrl-RS"/>
              </w:rPr>
            </w:pPr>
          </w:p>
          <w:p w14:paraId="779B0283" w14:textId="5D6EBC77" w:rsidR="00F01ECE" w:rsidRDefault="00EA53DD" w:rsidP="00EA53DD">
            <w:pPr>
              <w:jc w:val="center"/>
              <w:rPr>
                <w:rFonts w:cs="Times New Roman"/>
                <w:b/>
                <w:bCs/>
                <w:lang w:val="sr-Cyrl-RS"/>
              </w:rPr>
            </w:pPr>
            <w:r>
              <w:rPr>
                <w:rFonts w:cs="Times New Roman"/>
                <w:b/>
                <w:bCs/>
                <w:lang w:val="sr-Cyrl-RS"/>
              </w:rPr>
              <w:t>1.64.1.</w:t>
            </w:r>
          </w:p>
          <w:p w14:paraId="23DE2642" w14:textId="77777777" w:rsidR="00EA53DD" w:rsidRDefault="00EA53DD" w:rsidP="00EA53DD">
            <w:pPr>
              <w:jc w:val="center"/>
              <w:rPr>
                <w:rFonts w:cs="Times New Roman"/>
                <w:b/>
                <w:bCs/>
                <w:lang w:val="sr-Cyrl-RS"/>
              </w:rPr>
            </w:pPr>
          </w:p>
          <w:p w14:paraId="57BA4550" w14:textId="642ED03C" w:rsidR="00EA53DD" w:rsidRDefault="00EA53DD" w:rsidP="00EA53DD">
            <w:pPr>
              <w:jc w:val="center"/>
              <w:rPr>
                <w:rFonts w:cs="Times New Roman"/>
                <w:b/>
                <w:bCs/>
                <w:lang w:val="sr-Cyrl-RS"/>
              </w:rPr>
            </w:pPr>
          </w:p>
          <w:p w14:paraId="72F77B90" w14:textId="1B4C477D" w:rsidR="00EA53DD" w:rsidRDefault="00EA53DD" w:rsidP="00EA53DD">
            <w:pPr>
              <w:jc w:val="center"/>
              <w:rPr>
                <w:rFonts w:cs="Times New Roman"/>
                <w:b/>
                <w:bCs/>
                <w:lang w:val="sr-Cyrl-RS"/>
              </w:rPr>
            </w:pPr>
          </w:p>
          <w:p w14:paraId="585F49C5" w14:textId="5A9DEFB8" w:rsidR="00EA53DD" w:rsidRDefault="00EA53DD" w:rsidP="00EA53DD">
            <w:pPr>
              <w:jc w:val="center"/>
              <w:rPr>
                <w:rFonts w:cs="Times New Roman"/>
                <w:b/>
                <w:bCs/>
                <w:lang w:val="sr-Cyrl-RS"/>
              </w:rPr>
            </w:pPr>
          </w:p>
          <w:p w14:paraId="780247EC" w14:textId="0A8E2006" w:rsidR="00EA53DD" w:rsidRDefault="00EA53DD" w:rsidP="00EA53DD">
            <w:pPr>
              <w:jc w:val="center"/>
              <w:rPr>
                <w:rFonts w:cs="Times New Roman"/>
                <w:b/>
                <w:bCs/>
                <w:lang w:val="sr-Cyrl-RS"/>
              </w:rPr>
            </w:pPr>
          </w:p>
          <w:p w14:paraId="096F4041" w14:textId="0C00A853" w:rsidR="00EA53DD" w:rsidRDefault="00EA53DD" w:rsidP="00EA53DD">
            <w:pPr>
              <w:jc w:val="center"/>
              <w:rPr>
                <w:rFonts w:cs="Times New Roman"/>
                <w:b/>
                <w:bCs/>
                <w:lang w:val="sr-Cyrl-RS"/>
              </w:rPr>
            </w:pPr>
          </w:p>
          <w:p w14:paraId="10464029" w14:textId="72182DB9" w:rsidR="00EA53DD" w:rsidRDefault="00EA53DD" w:rsidP="00EA53DD">
            <w:pPr>
              <w:jc w:val="center"/>
              <w:rPr>
                <w:rFonts w:cs="Times New Roman"/>
                <w:b/>
                <w:bCs/>
                <w:lang w:val="sr-Cyrl-RS"/>
              </w:rPr>
            </w:pPr>
          </w:p>
          <w:p w14:paraId="249F0154" w14:textId="0302B562" w:rsidR="00EA53DD" w:rsidRDefault="00EA53DD" w:rsidP="00EA53DD">
            <w:pPr>
              <w:jc w:val="center"/>
              <w:rPr>
                <w:rFonts w:cs="Times New Roman"/>
                <w:b/>
                <w:bCs/>
                <w:lang w:val="sr-Cyrl-RS"/>
              </w:rPr>
            </w:pPr>
          </w:p>
          <w:p w14:paraId="4618801D" w14:textId="055DF52B" w:rsidR="00EA53DD" w:rsidRPr="004D2E7C" w:rsidRDefault="00EA53DD" w:rsidP="00EA53DD">
            <w:pPr>
              <w:jc w:val="center"/>
              <w:rPr>
                <w:rFonts w:cs="Times New Roman"/>
                <w:b/>
                <w:bCs/>
                <w:lang w:val="sr-Cyrl-RS"/>
              </w:rPr>
            </w:pPr>
            <w:r>
              <w:rPr>
                <w:rFonts w:cs="Times New Roman"/>
                <w:b/>
                <w:bCs/>
                <w:lang w:val="sr-Cyrl-RS"/>
              </w:rPr>
              <w:t>1.125.</w:t>
            </w:r>
          </w:p>
        </w:tc>
        <w:tc>
          <w:tcPr>
            <w:tcW w:w="1296" w:type="pct"/>
            <w:vAlign w:val="center"/>
          </w:tcPr>
          <w:p w14:paraId="1B5E6176" w14:textId="77777777" w:rsidR="00EA53DD" w:rsidRPr="007E1832" w:rsidRDefault="00EA53DD" w:rsidP="00EA53DD">
            <w:pPr>
              <w:autoSpaceDE w:val="0"/>
              <w:autoSpaceDN w:val="0"/>
              <w:adjustRightInd w:val="0"/>
              <w:ind w:firstLine="567"/>
              <w:jc w:val="both"/>
              <w:rPr>
                <w:rFonts w:eastAsia="MS Mincho" w:cs="Times New Roman"/>
                <w:color w:val="000000" w:themeColor="text1"/>
                <w:lang w:val="sr-Cyrl-CS" w:eastAsia="ja-JP"/>
              </w:rPr>
            </w:pPr>
            <w:r w:rsidRPr="007E1832">
              <w:rPr>
                <w:rFonts w:eastAsia="MS Mincho" w:cs="Times New Roman"/>
                <w:color w:val="000000" w:themeColor="text1"/>
                <w:lang w:val="sr-Cyrl-CS" w:eastAsia="ja-JP"/>
              </w:rPr>
              <w:t xml:space="preserve">Пнеуматици класе </w:t>
            </w:r>
            <w:r w:rsidRPr="007E1832">
              <w:rPr>
                <w:rFonts w:eastAsia="MS Mincho" w:cs="Times New Roman"/>
                <w:color w:val="000000" w:themeColor="text1"/>
                <w:lang w:val="sr-Latn-RS" w:eastAsia="ja-JP"/>
              </w:rPr>
              <w:t>„C</w:t>
            </w:r>
            <w:r w:rsidRPr="007E1832">
              <w:rPr>
                <w:rFonts w:eastAsia="MS Mincho" w:cs="Times New Roman"/>
                <w:color w:val="000000" w:themeColor="text1"/>
                <w:lang w:val="sr-Cyrl-CS" w:eastAsia="ja-JP"/>
              </w:rPr>
              <w:t>1</w:t>
            </w:r>
            <w:r w:rsidRPr="007E1832">
              <w:rPr>
                <w:rFonts w:eastAsia="MS Mincho" w:cs="Times New Roman"/>
                <w:color w:val="000000" w:themeColor="text1"/>
                <w:lang w:val="sr-Latn-RS" w:eastAsia="ja-JP"/>
              </w:rPr>
              <w:t>“</w:t>
            </w:r>
            <w:r w:rsidRPr="007E1832">
              <w:rPr>
                <w:rFonts w:eastAsia="MS Mincho" w:cs="Times New Roman"/>
                <w:color w:val="000000" w:themeColor="text1"/>
                <w:lang w:val="sr-Cyrl-CS" w:eastAsia="ja-JP"/>
              </w:rPr>
              <w:t xml:space="preserve">, </w:t>
            </w:r>
            <w:r w:rsidRPr="007E1832">
              <w:rPr>
                <w:rFonts w:eastAsia="MS Mincho" w:cs="Times New Roman"/>
                <w:color w:val="000000" w:themeColor="text1"/>
                <w:lang w:val="sr-Latn-RS" w:eastAsia="ja-JP"/>
              </w:rPr>
              <w:t>„C</w:t>
            </w:r>
            <w:r w:rsidRPr="007E1832">
              <w:rPr>
                <w:rFonts w:eastAsia="MS Mincho" w:cs="Times New Roman"/>
                <w:color w:val="000000" w:themeColor="text1"/>
                <w:lang w:val="sr-Cyrl-CS" w:eastAsia="ja-JP"/>
              </w:rPr>
              <w:t>2</w:t>
            </w:r>
            <w:r w:rsidRPr="007E1832">
              <w:rPr>
                <w:rFonts w:eastAsia="MS Mincho" w:cs="Times New Roman"/>
                <w:color w:val="000000" w:themeColor="text1"/>
                <w:lang w:val="sr-Latn-RS" w:eastAsia="ja-JP"/>
              </w:rPr>
              <w:t>“</w:t>
            </w:r>
            <w:r w:rsidRPr="007E1832">
              <w:rPr>
                <w:rFonts w:eastAsia="MS Mincho" w:cs="Times New Roman"/>
                <w:color w:val="000000" w:themeColor="text1"/>
                <w:lang w:val="sr-Cyrl-CS" w:eastAsia="ja-JP"/>
              </w:rPr>
              <w:t xml:space="preserve"> и </w:t>
            </w:r>
            <w:r w:rsidRPr="007E1832">
              <w:rPr>
                <w:rFonts w:eastAsia="MS Mincho" w:cs="Times New Roman"/>
                <w:color w:val="000000" w:themeColor="text1"/>
                <w:lang w:val="sr-Latn-RS" w:eastAsia="ja-JP"/>
              </w:rPr>
              <w:t>„C</w:t>
            </w:r>
            <w:r w:rsidRPr="007E1832">
              <w:rPr>
                <w:rFonts w:eastAsia="MS Mincho" w:cs="Times New Roman"/>
                <w:color w:val="000000" w:themeColor="text1"/>
                <w:lang w:val="sr-Cyrl-CS" w:eastAsia="ja-JP"/>
              </w:rPr>
              <w:t>3</w:t>
            </w:r>
            <w:r w:rsidRPr="007E1832">
              <w:rPr>
                <w:rFonts w:eastAsia="MS Mincho" w:cs="Times New Roman"/>
                <w:color w:val="000000" w:themeColor="text1"/>
                <w:lang w:val="sr-Latn-RS" w:eastAsia="ja-JP"/>
              </w:rPr>
              <w:t>“</w:t>
            </w:r>
            <w:r w:rsidRPr="007E1832">
              <w:rPr>
                <w:rFonts w:eastAsia="MS Mincho" w:cs="Times New Roman"/>
                <w:color w:val="000000" w:themeColor="text1"/>
                <w:lang w:val="sr-Cyrl-RS" w:eastAsia="ja-JP"/>
              </w:rPr>
              <w:t xml:space="preserve"> (у даљем тексту: пнеуматици)</w:t>
            </w:r>
            <w:r w:rsidRPr="007E1832">
              <w:rPr>
                <w:rFonts w:eastAsia="MS Mincho" w:cs="Times New Roman"/>
                <w:color w:val="000000" w:themeColor="text1"/>
                <w:lang w:val="sr-Cyrl-CS" w:eastAsia="ja-JP"/>
              </w:rPr>
              <w:t xml:space="preserve">, за које су прописани захтеви у погледу у енергетског означавања могу се ставити на тржиште само ако имају енергетску ознаку, као и ако испуњавају друге захтеве прописане овим законом техничким и другим прописима. </w:t>
            </w:r>
          </w:p>
          <w:p w14:paraId="023E5AF2" w14:textId="77777777" w:rsidR="00F01ECE" w:rsidRDefault="00F01ECE" w:rsidP="00EA53DD">
            <w:pPr>
              <w:spacing w:after="120"/>
              <w:jc w:val="both"/>
              <w:rPr>
                <w:rFonts w:eastAsia="Times New Roman" w:cs="Times New Roman"/>
                <w:color w:val="000000" w:themeColor="text1"/>
                <w:lang w:val="sr-Cyrl-RS"/>
              </w:rPr>
            </w:pPr>
          </w:p>
          <w:p w14:paraId="2697ACA1" w14:textId="77777777" w:rsidR="00EA53DD" w:rsidRPr="00EA53DD" w:rsidRDefault="00EA53DD" w:rsidP="00EA53DD">
            <w:pPr>
              <w:ind w:firstLine="540"/>
              <w:jc w:val="both"/>
              <w:rPr>
                <w:rFonts w:eastAsia="Times New Roman" w:cs="Times New Roman"/>
                <w:color w:val="000000" w:themeColor="text1"/>
                <w:lang w:val="sr-Cyrl-CS"/>
              </w:rPr>
            </w:pPr>
            <w:r w:rsidRPr="00EA53DD">
              <w:rPr>
                <w:rFonts w:eastAsia="Times New Roman" w:cs="Times New Roman"/>
                <w:color w:val="000000" w:themeColor="text1"/>
                <w:lang w:val="sr-Cyrl-CS"/>
              </w:rPr>
              <w:t xml:space="preserve">Надзор над спровођењем одредаба овог закона које се односе на енергетско означавање и еко-дизајн производа који утичу на потрошњу енергије, врши министарство надлежно за послове трговине преко тржишних инспектора, односно органи надлежни за надзор над спровођењем прописа који се односе на техничке захтеве за производе, у складу са законом којим се уређује тржишни надзор, овим законом и подзаконским актима донетим на основу овог закона. </w:t>
            </w:r>
          </w:p>
          <w:p w14:paraId="4618801F" w14:textId="7FE8EE2D" w:rsidR="00EA53DD" w:rsidRPr="00EA53DD" w:rsidRDefault="00EA53DD" w:rsidP="00EA53DD">
            <w:pPr>
              <w:ind w:firstLine="540"/>
              <w:jc w:val="both"/>
              <w:rPr>
                <w:rFonts w:eastAsia="Times New Roman" w:cs="Times New Roman"/>
                <w:color w:val="000000" w:themeColor="text1"/>
                <w:sz w:val="24"/>
                <w:szCs w:val="24"/>
                <w:lang w:val="sr-Cyrl-CS"/>
              </w:rPr>
            </w:pPr>
            <w:r w:rsidRPr="00EA53DD">
              <w:rPr>
                <w:rFonts w:eastAsia="Times New Roman" w:cs="Times New Roman"/>
                <w:color w:val="000000" w:themeColor="text1"/>
                <w:lang w:val="sr-Cyrl-CS"/>
              </w:rPr>
              <w:lastRenderedPageBreak/>
              <w:t>Органи из става 1. овог члана поступају у складу са општим захтевима и програмом тржишног надзора и предузимају потребне мере тржишног надзора.</w:t>
            </w:r>
          </w:p>
        </w:tc>
        <w:tc>
          <w:tcPr>
            <w:tcW w:w="235" w:type="pct"/>
            <w:vAlign w:val="center"/>
          </w:tcPr>
          <w:p w14:paraId="46188020" w14:textId="233A40C6" w:rsidR="00F01ECE" w:rsidRPr="004D2E7C" w:rsidRDefault="00EA53DD" w:rsidP="00F01ECE">
            <w:pPr>
              <w:jc w:val="center"/>
              <w:rPr>
                <w:rFonts w:cs="Times New Roman"/>
                <w:lang w:val="sr-Cyrl-RS"/>
              </w:rPr>
            </w:pPr>
            <w:r>
              <w:rPr>
                <w:rFonts w:cs="Times New Roman"/>
                <w:lang w:val="sr-Cyrl-RS"/>
              </w:rPr>
              <w:lastRenderedPageBreak/>
              <w:t>ДУ</w:t>
            </w:r>
          </w:p>
        </w:tc>
        <w:tc>
          <w:tcPr>
            <w:tcW w:w="676" w:type="pct"/>
            <w:vAlign w:val="center"/>
          </w:tcPr>
          <w:p w14:paraId="46188021" w14:textId="77777777" w:rsidR="00F01ECE" w:rsidRPr="004D2E7C" w:rsidRDefault="00F01ECE" w:rsidP="00F01ECE">
            <w:pPr>
              <w:rPr>
                <w:rFonts w:cs="Times New Roman"/>
                <w:spacing w:val="-6"/>
                <w:lang w:val="sr-Cyrl-RS"/>
              </w:rPr>
            </w:pPr>
          </w:p>
        </w:tc>
        <w:tc>
          <w:tcPr>
            <w:tcW w:w="699" w:type="pct"/>
            <w:vAlign w:val="center"/>
          </w:tcPr>
          <w:p w14:paraId="46188022" w14:textId="1CEEC726" w:rsidR="00F01ECE" w:rsidRPr="004D2E7C" w:rsidRDefault="00EA53DD" w:rsidP="00F01ECE">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t xml:space="preserve">доношењем подзаконских аката и </w:t>
            </w:r>
            <w:r w:rsidRPr="008A4AD2">
              <w:rPr>
                <w:rFonts w:cs="Times New Roman"/>
                <w:lang w:val="sr-Cyrl-RS"/>
              </w:rPr>
              <w:t>техничк</w:t>
            </w:r>
            <w:r>
              <w:rPr>
                <w:rFonts w:cs="Times New Roman"/>
                <w:lang w:val="sr-Cyrl-RS"/>
              </w:rPr>
              <w:t>их прописа.</w:t>
            </w:r>
          </w:p>
        </w:tc>
      </w:tr>
      <w:tr w:rsidR="00F01ECE" w:rsidRPr="004D2E7C" w14:paraId="4618802F" w14:textId="77777777" w:rsidTr="00914D1E">
        <w:tc>
          <w:tcPr>
            <w:tcW w:w="280" w:type="pct"/>
            <w:shd w:val="clear" w:color="auto" w:fill="D9D9D9"/>
            <w:vAlign w:val="center"/>
          </w:tcPr>
          <w:p w14:paraId="46188024" w14:textId="51D12CA5" w:rsidR="00F01ECE" w:rsidRPr="004D2E7C" w:rsidRDefault="00880D98" w:rsidP="00F01ECE">
            <w:pPr>
              <w:jc w:val="center"/>
              <w:rPr>
                <w:rFonts w:eastAsia="Times New Roman" w:cs="Times New Roman"/>
                <w:lang w:val="sr-Cyrl-RS"/>
              </w:rPr>
            </w:pPr>
            <w:r>
              <w:rPr>
                <w:rFonts w:eastAsia="Times New Roman" w:cs="Times New Roman"/>
                <w:lang w:val="sr-Latn-RS"/>
              </w:rPr>
              <w:lastRenderedPageBreak/>
              <w:t>1</w:t>
            </w:r>
            <w:r w:rsidR="00F01ECE" w:rsidRPr="004D2E7C">
              <w:rPr>
                <w:rFonts w:eastAsia="Times New Roman" w:cs="Times New Roman"/>
                <w:lang w:val="sr-Cyrl-RS"/>
              </w:rPr>
              <w:t>2.</w:t>
            </w:r>
          </w:p>
        </w:tc>
        <w:tc>
          <w:tcPr>
            <w:tcW w:w="1489" w:type="pct"/>
            <w:shd w:val="clear" w:color="auto" w:fill="D9D9D9"/>
            <w:vAlign w:val="center"/>
          </w:tcPr>
          <w:p w14:paraId="745C6620" w14:textId="77777777" w:rsidR="00880D98" w:rsidRDefault="00880D98" w:rsidP="00880D98">
            <w:pPr>
              <w:pStyle w:val="Normal1"/>
              <w:spacing w:before="0" w:beforeAutospacing="0" w:after="0" w:afterAutospacing="0"/>
              <w:jc w:val="both"/>
              <w:rPr>
                <w:b/>
                <w:bCs/>
                <w:sz w:val="22"/>
                <w:szCs w:val="22"/>
                <w:lang w:val="en-GB"/>
              </w:rPr>
            </w:pPr>
          </w:p>
          <w:p w14:paraId="28B757FD" w14:textId="56E0424D" w:rsidR="00880D98" w:rsidRDefault="00880D98" w:rsidP="00880D98">
            <w:pPr>
              <w:pStyle w:val="Normal1"/>
              <w:spacing w:before="0" w:beforeAutospacing="0" w:after="0" w:afterAutospacing="0"/>
              <w:jc w:val="both"/>
              <w:rPr>
                <w:b/>
                <w:bCs/>
                <w:sz w:val="22"/>
                <w:szCs w:val="22"/>
                <w:lang w:val="en-GB"/>
              </w:rPr>
            </w:pPr>
            <w:r w:rsidRPr="00880D98">
              <w:rPr>
                <w:b/>
                <w:bCs/>
                <w:sz w:val="22"/>
                <w:szCs w:val="22"/>
                <w:lang w:val="en-GB"/>
              </w:rPr>
              <w:t>Union market surveillance and control of products entering the Union market</w:t>
            </w:r>
          </w:p>
          <w:p w14:paraId="0C41E44E" w14:textId="77777777" w:rsidR="00880D98" w:rsidRPr="00880D98" w:rsidRDefault="00880D98" w:rsidP="00880D98">
            <w:pPr>
              <w:pStyle w:val="Normal1"/>
              <w:spacing w:before="0" w:beforeAutospacing="0" w:after="0" w:afterAutospacing="0"/>
              <w:jc w:val="both"/>
              <w:rPr>
                <w:b/>
                <w:bCs/>
                <w:sz w:val="22"/>
                <w:szCs w:val="22"/>
                <w:lang w:val="en-GB"/>
              </w:rPr>
            </w:pPr>
          </w:p>
          <w:p w14:paraId="1CB75011" w14:textId="17C6D7E2" w:rsidR="00880D98" w:rsidRDefault="00880D98" w:rsidP="00880D98">
            <w:pPr>
              <w:pStyle w:val="Normal1"/>
              <w:spacing w:before="0" w:beforeAutospacing="0" w:after="0" w:afterAutospacing="0"/>
              <w:jc w:val="both"/>
              <w:rPr>
                <w:sz w:val="22"/>
                <w:szCs w:val="22"/>
                <w:lang w:val="en-GB"/>
              </w:rPr>
            </w:pPr>
            <w:r w:rsidRPr="00880D98">
              <w:rPr>
                <w:sz w:val="22"/>
                <w:szCs w:val="22"/>
                <w:lang w:val="en-GB"/>
              </w:rPr>
              <w:t>1.  Regulation (EU) 2019/1020 shall apply to the tyres covered by this Regulation and the relevant delegated acts adopted pursuant thereto.</w:t>
            </w:r>
          </w:p>
          <w:p w14:paraId="4254AF20" w14:textId="77777777" w:rsidR="00880D98" w:rsidRPr="00880D98" w:rsidRDefault="00880D98" w:rsidP="00880D98">
            <w:pPr>
              <w:pStyle w:val="Normal1"/>
              <w:spacing w:before="0" w:beforeAutospacing="0" w:after="0" w:afterAutospacing="0"/>
              <w:jc w:val="both"/>
              <w:rPr>
                <w:sz w:val="22"/>
                <w:szCs w:val="22"/>
                <w:lang w:val="en-GB"/>
              </w:rPr>
            </w:pPr>
          </w:p>
          <w:p w14:paraId="3F876246" w14:textId="5AEEED33" w:rsidR="00880D98" w:rsidRDefault="00880D98" w:rsidP="00880D98">
            <w:pPr>
              <w:pStyle w:val="Normal1"/>
              <w:spacing w:before="0" w:beforeAutospacing="0" w:after="0" w:afterAutospacing="0"/>
              <w:jc w:val="both"/>
              <w:rPr>
                <w:sz w:val="22"/>
                <w:szCs w:val="22"/>
                <w:lang w:val="en-GB"/>
              </w:rPr>
            </w:pPr>
            <w:r w:rsidRPr="00880D98">
              <w:rPr>
                <w:sz w:val="22"/>
                <w:szCs w:val="22"/>
                <w:lang w:val="en-GB"/>
              </w:rPr>
              <w:t xml:space="preserve">2.  The Commission shall encourage and support cooperation and the exchange of information on market surveillance relating to the labelling of tyres between the authorities of the Member States that </w:t>
            </w:r>
            <w:r w:rsidRPr="00880D98">
              <w:rPr>
                <w:sz w:val="22"/>
                <w:szCs w:val="22"/>
                <w:lang w:val="en-GB"/>
              </w:rPr>
              <w:lastRenderedPageBreak/>
              <w:t>are responsible for market surveillance or are in charge of the control of tyres entering the Union market, and between those authorities and the Commission, in particular by involving the Administrative Cooperation Group for the Labelling of Tyres more closely.</w:t>
            </w:r>
          </w:p>
          <w:p w14:paraId="1B0EA767" w14:textId="77777777" w:rsidR="00880D98" w:rsidRPr="00880D98" w:rsidRDefault="00880D98" w:rsidP="00880D98">
            <w:pPr>
              <w:pStyle w:val="Normal1"/>
              <w:spacing w:before="0" w:beforeAutospacing="0" w:after="0" w:afterAutospacing="0"/>
              <w:jc w:val="both"/>
              <w:rPr>
                <w:sz w:val="22"/>
                <w:szCs w:val="22"/>
                <w:lang w:val="en-GB"/>
              </w:rPr>
            </w:pPr>
          </w:p>
          <w:p w14:paraId="47D1DB34" w14:textId="1C38E726" w:rsidR="00880D98" w:rsidRDefault="00880D98" w:rsidP="00880D98">
            <w:pPr>
              <w:pStyle w:val="Normal1"/>
              <w:spacing w:before="0" w:beforeAutospacing="0" w:after="0" w:afterAutospacing="0"/>
              <w:jc w:val="both"/>
              <w:rPr>
                <w:sz w:val="22"/>
                <w:szCs w:val="22"/>
                <w:lang w:val="en-GB"/>
              </w:rPr>
            </w:pPr>
            <w:r w:rsidRPr="00880D98">
              <w:rPr>
                <w:sz w:val="22"/>
                <w:szCs w:val="22"/>
                <w:lang w:val="en-GB"/>
              </w:rPr>
              <w:t>3.  Member States’ national market surveillance strategies established pursuant to Article 13 of Regulation (EU) 2019/1020 shall include actions to ensure the effective enforcement of this Regulation.</w:t>
            </w:r>
          </w:p>
          <w:p w14:paraId="4E085048" w14:textId="77777777" w:rsidR="00880D98" w:rsidRPr="00880D98" w:rsidRDefault="00880D98" w:rsidP="00880D98">
            <w:pPr>
              <w:pStyle w:val="Normal1"/>
              <w:spacing w:before="0" w:beforeAutospacing="0" w:after="0" w:afterAutospacing="0"/>
              <w:jc w:val="both"/>
              <w:rPr>
                <w:sz w:val="22"/>
                <w:szCs w:val="22"/>
                <w:lang w:val="en-GB"/>
              </w:rPr>
            </w:pPr>
          </w:p>
          <w:p w14:paraId="0B58BD69" w14:textId="77777777" w:rsidR="00F01ECE" w:rsidRDefault="00880D98" w:rsidP="00880D98">
            <w:pPr>
              <w:pStyle w:val="Normal1"/>
              <w:spacing w:before="0" w:beforeAutospacing="0" w:after="0" w:afterAutospacing="0"/>
              <w:jc w:val="both"/>
              <w:rPr>
                <w:sz w:val="22"/>
                <w:szCs w:val="22"/>
                <w:lang w:val="en-GB"/>
              </w:rPr>
            </w:pPr>
            <w:r w:rsidRPr="00880D98">
              <w:rPr>
                <w:sz w:val="22"/>
                <w:szCs w:val="22"/>
                <w:lang w:val="en-GB"/>
              </w:rPr>
              <w:t>4.  Market surveillance authorities may recover the costs of document inspection and physical product testing from the supplier in cases of non‐compliance by the supplier with this Regulation or the relevant delegated acts adopted pursuant thereto.</w:t>
            </w:r>
          </w:p>
          <w:p w14:paraId="46188027" w14:textId="2FFCABD4" w:rsidR="00880D98" w:rsidRPr="00880D98" w:rsidRDefault="00880D98" w:rsidP="00880D98">
            <w:pPr>
              <w:pStyle w:val="Normal1"/>
              <w:spacing w:before="0" w:beforeAutospacing="0" w:after="0" w:afterAutospacing="0"/>
              <w:jc w:val="both"/>
              <w:rPr>
                <w:lang w:val="sr-Latn-RS"/>
              </w:rPr>
            </w:pPr>
          </w:p>
        </w:tc>
        <w:tc>
          <w:tcPr>
            <w:tcW w:w="325" w:type="pct"/>
          </w:tcPr>
          <w:p w14:paraId="71FBEA45" w14:textId="77777777" w:rsidR="00914D1E" w:rsidRDefault="00914D1E" w:rsidP="00914D1E">
            <w:pPr>
              <w:jc w:val="center"/>
              <w:rPr>
                <w:rFonts w:cs="Times New Roman"/>
                <w:b/>
                <w:bCs/>
                <w:lang w:val="sr-Cyrl-RS"/>
              </w:rPr>
            </w:pPr>
          </w:p>
          <w:p w14:paraId="77B298B6" w14:textId="77777777" w:rsidR="00914D1E" w:rsidRDefault="00914D1E" w:rsidP="00914D1E">
            <w:pPr>
              <w:jc w:val="center"/>
              <w:rPr>
                <w:rFonts w:cs="Times New Roman"/>
                <w:b/>
                <w:bCs/>
                <w:lang w:val="sr-Cyrl-RS"/>
              </w:rPr>
            </w:pPr>
          </w:p>
          <w:p w14:paraId="2DC421D0" w14:textId="77777777" w:rsidR="00914D1E" w:rsidRDefault="00914D1E" w:rsidP="00914D1E">
            <w:pPr>
              <w:jc w:val="center"/>
              <w:rPr>
                <w:rFonts w:cs="Times New Roman"/>
                <w:b/>
                <w:bCs/>
                <w:lang w:val="sr-Cyrl-RS"/>
              </w:rPr>
            </w:pPr>
          </w:p>
          <w:p w14:paraId="70A3EAA0" w14:textId="19996BAA" w:rsidR="00F01ECE" w:rsidRDefault="00914D1E" w:rsidP="00914D1E">
            <w:pPr>
              <w:jc w:val="center"/>
              <w:rPr>
                <w:rFonts w:cs="Times New Roman"/>
                <w:b/>
                <w:bCs/>
                <w:lang w:val="sr-Cyrl-RS"/>
              </w:rPr>
            </w:pPr>
            <w:r>
              <w:rPr>
                <w:rFonts w:cs="Times New Roman"/>
                <w:b/>
                <w:bCs/>
                <w:lang w:val="sr-Cyrl-RS"/>
              </w:rPr>
              <w:t>1.125.</w:t>
            </w:r>
          </w:p>
          <w:p w14:paraId="7C7E1243" w14:textId="77777777" w:rsidR="00914D1E" w:rsidRDefault="00914D1E" w:rsidP="00914D1E">
            <w:pPr>
              <w:jc w:val="center"/>
              <w:rPr>
                <w:rFonts w:cs="Times New Roman"/>
                <w:b/>
                <w:bCs/>
                <w:lang w:val="sr-Cyrl-RS"/>
              </w:rPr>
            </w:pPr>
          </w:p>
          <w:p w14:paraId="1EC9843E" w14:textId="77777777" w:rsidR="00914D1E" w:rsidRDefault="00914D1E" w:rsidP="00914D1E">
            <w:pPr>
              <w:jc w:val="center"/>
              <w:rPr>
                <w:rFonts w:cs="Times New Roman"/>
                <w:b/>
                <w:bCs/>
                <w:lang w:val="sr-Cyrl-RS"/>
              </w:rPr>
            </w:pPr>
          </w:p>
          <w:p w14:paraId="262847A1" w14:textId="77777777" w:rsidR="00914D1E" w:rsidRDefault="00914D1E" w:rsidP="00914D1E">
            <w:pPr>
              <w:jc w:val="center"/>
              <w:rPr>
                <w:rFonts w:cs="Times New Roman"/>
                <w:b/>
                <w:bCs/>
                <w:lang w:val="sr-Cyrl-RS"/>
              </w:rPr>
            </w:pPr>
          </w:p>
          <w:p w14:paraId="1BE08508" w14:textId="77777777" w:rsidR="00914D1E" w:rsidRDefault="00914D1E" w:rsidP="00914D1E">
            <w:pPr>
              <w:jc w:val="center"/>
              <w:rPr>
                <w:rFonts w:cs="Times New Roman"/>
                <w:b/>
                <w:bCs/>
                <w:lang w:val="sr-Cyrl-RS"/>
              </w:rPr>
            </w:pPr>
          </w:p>
          <w:p w14:paraId="621B615F" w14:textId="77777777" w:rsidR="00914D1E" w:rsidRDefault="00914D1E" w:rsidP="00914D1E">
            <w:pPr>
              <w:jc w:val="center"/>
              <w:rPr>
                <w:rFonts w:cs="Times New Roman"/>
                <w:b/>
                <w:bCs/>
                <w:lang w:val="sr-Cyrl-RS"/>
              </w:rPr>
            </w:pPr>
          </w:p>
          <w:p w14:paraId="1A060AB1" w14:textId="77777777" w:rsidR="00914D1E" w:rsidRDefault="00914D1E" w:rsidP="00914D1E">
            <w:pPr>
              <w:jc w:val="center"/>
              <w:rPr>
                <w:rFonts w:cs="Times New Roman"/>
                <w:b/>
                <w:bCs/>
                <w:lang w:val="sr-Cyrl-RS"/>
              </w:rPr>
            </w:pPr>
          </w:p>
          <w:p w14:paraId="28198F46" w14:textId="77777777" w:rsidR="00914D1E" w:rsidRDefault="00914D1E" w:rsidP="00914D1E">
            <w:pPr>
              <w:jc w:val="center"/>
              <w:rPr>
                <w:rFonts w:cs="Times New Roman"/>
                <w:b/>
                <w:bCs/>
                <w:lang w:val="sr-Cyrl-RS"/>
              </w:rPr>
            </w:pPr>
          </w:p>
          <w:p w14:paraId="715A3630" w14:textId="77777777" w:rsidR="00914D1E" w:rsidRDefault="00914D1E" w:rsidP="00914D1E">
            <w:pPr>
              <w:jc w:val="center"/>
              <w:rPr>
                <w:rFonts w:cs="Times New Roman"/>
                <w:b/>
                <w:bCs/>
                <w:lang w:val="sr-Cyrl-RS"/>
              </w:rPr>
            </w:pPr>
          </w:p>
          <w:p w14:paraId="54F212A2" w14:textId="77777777" w:rsidR="00914D1E" w:rsidRDefault="00914D1E" w:rsidP="00914D1E">
            <w:pPr>
              <w:jc w:val="center"/>
              <w:rPr>
                <w:rFonts w:cs="Times New Roman"/>
                <w:b/>
                <w:bCs/>
                <w:lang w:val="sr-Cyrl-RS"/>
              </w:rPr>
            </w:pPr>
          </w:p>
          <w:p w14:paraId="544A9C9D" w14:textId="77777777" w:rsidR="00914D1E" w:rsidRDefault="00914D1E" w:rsidP="00914D1E">
            <w:pPr>
              <w:jc w:val="center"/>
              <w:rPr>
                <w:rFonts w:cs="Times New Roman"/>
                <w:b/>
                <w:bCs/>
                <w:lang w:val="sr-Cyrl-RS"/>
              </w:rPr>
            </w:pPr>
          </w:p>
          <w:p w14:paraId="08DDF717" w14:textId="77777777" w:rsidR="00914D1E" w:rsidRDefault="00914D1E" w:rsidP="00914D1E">
            <w:pPr>
              <w:jc w:val="center"/>
              <w:rPr>
                <w:rFonts w:cs="Times New Roman"/>
                <w:b/>
                <w:bCs/>
                <w:lang w:val="sr-Cyrl-RS"/>
              </w:rPr>
            </w:pPr>
          </w:p>
          <w:p w14:paraId="72FC4AA1" w14:textId="77777777" w:rsidR="00914D1E" w:rsidRDefault="00914D1E" w:rsidP="00914D1E">
            <w:pPr>
              <w:jc w:val="center"/>
              <w:rPr>
                <w:rFonts w:cs="Times New Roman"/>
                <w:b/>
                <w:bCs/>
                <w:lang w:val="sr-Cyrl-RS"/>
              </w:rPr>
            </w:pPr>
          </w:p>
          <w:p w14:paraId="36E62278" w14:textId="77777777" w:rsidR="00914D1E" w:rsidRDefault="00914D1E" w:rsidP="00914D1E">
            <w:pPr>
              <w:jc w:val="center"/>
              <w:rPr>
                <w:rFonts w:cs="Times New Roman"/>
                <w:b/>
                <w:bCs/>
                <w:lang w:val="sr-Cyrl-RS"/>
              </w:rPr>
            </w:pPr>
          </w:p>
          <w:p w14:paraId="6A491504" w14:textId="77777777" w:rsidR="00914D1E" w:rsidRDefault="00914D1E" w:rsidP="00914D1E">
            <w:pPr>
              <w:jc w:val="center"/>
              <w:rPr>
                <w:rFonts w:cs="Times New Roman"/>
                <w:b/>
                <w:bCs/>
                <w:lang w:val="sr-Cyrl-RS"/>
              </w:rPr>
            </w:pPr>
          </w:p>
          <w:p w14:paraId="07026CF5" w14:textId="58520639" w:rsidR="00914D1E" w:rsidRDefault="00914D1E" w:rsidP="00914D1E">
            <w:pPr>
              <w:jc w:val="center"/>
              <w:rPr>
                <w:rFonts w:cs="Times New Roman"/>
                <w:b/>
                <w:bCs/>
                <w:lang w:val="sr-Cyrl-RS"/>
              </w:rPr>
            </w:pPr>
          </w:p>
          <w:p w14:paraId="5DC5947E" w14:textId="77777777" w:rsidR="00914D1E" w:rsidRDefault="00914D1E" w:rsidP="00914D1E">
            <w:pPr>
              <w:jc w:val="center"/>
              <w:rPr>
                <w:rFonts w:cs="Times New Roman"/>
                <w:b/>
                <w:bCs/>
                <w:lang w:val="sr-Cyrl-RS"/>
              </w:rPr>
            </w:pPr>
          </w:p>
          <w:p w14:paraId="1CE83BA8" w14:textId="77777777" w:rsidR="00914D1E" w:rsidRDefault="00914D1E" w:rsidP="00914D1E">
            <w:pPr>
              <w:jc w:val="center"/>
              <w:rPr>
                <w:rFonts w:cs="Times New Roman"/>
                <w:lang w:val="sr-Cyrl-RS"/>
              </w:rPr>
            </w:pPr>
            <w:r w:rsidRPr="00914D1E">
              <w:rPr>
                <w:rFonts w:cs="Times New Roman"/>
                <w:lang w:val="sr-Cyrl-RS"/>
              </w:rPr>
              <w:t>4.1.</w:t>
            </w:r>
          </w:p>
          <w:p w14:paraId="4401E923" w14:textId="77777777" w:rsidR="00914D1E" w:rsidRDefault="00914D1E" w:rsidP="00914D1E">
            <w:pPr>
              <w:jc w:val="center"/>
              <w:rPr>
                <w:rFonts w:cs="Times New Roman"/>
                <w:lang w:val="sr-Cyrl-RS"/>
              </w:rPr>
            </w:pPr>
          </w:p>
          <w:p w14:paraId="46427CD3" w14:textId="77777777" w:rsidR="00914D1E" w:rsidRDefault="00914D1E" w:rsidP="00914D1E">
            <w:pPr>
              <w:jc w:val="center"/>
              <w:rPr>
                <w:rFonts w:cs="Times New Roman"/>
                <w:lang w:val="sr-Cyrl-RS"/>
              </w:rPr>
            </w:pPr>
          </w:p>
          <w:p w14:paraId="5A9407E3" w14:textId="77777777" w:rsidR="00914D1E" w:rsidRDefault="00914D1E" w:rsidP="00914D1E">
            <w:pPr>
              <w:jc w:val="center"/>
              <w:rPr>
                <w:rFonts w:cs="Times New Roman"/>
                <w:lang w:val="sr-Cyrl-RS"/>
              </w:rPr>
            </w:pPr>
          </w:p>
          <w:p w14:paraId="14F57348" w14:textId="77777777" w:rsidR="00914D1E" w:rsidRDefault="00914D1E" w:rsidP="00914D1E">
            <w:pPr>
              <w:jc w:val="center"/>
              <w:rPr>
                <w:rFonts w:cs="Times New Roman"/>
                <w:lang w:val="sr-Cyrl-RS"/>
              </w:rPr>
            </w:pPr>
          </w:p>
          <w:p w14:paraId="66FC4AF8" w14:textId="77777777" w:rsidR="00914D1E" w:rsidRDefault="00914D1E" w:rsidP="00914D1E">
            <w:pPr>
              <w:jc w:val="center"/>
              <w:rPr>
                <w:rFonts w:cs="Times New Roman"/>
                <w:lang w:val="sr-Cyrl-RS"/>
              </w:rPr>
            </w:pPr>
          </w:p>
          <w:p w14:paraId="418AE533" w14:textId="77777777" w:rsidR="00914D1E" w:rsidRDefault="00914D1E" w:rsidP="00914D1E">
            <w:pPr>
              <w:jc w:val="center"/>
              <w:rPr>
                <w:rFonts w:cs="Times New Roman"/>
                <w:lang w:val="sr-Cyrl-RS"/>
              </w:rPr>
            </w:pPr>
          </w:p>
          <w:p w14:paraId="55AD99DC" w14:textId="77777777" w:rsidR="00914D1E" w:rsidRDefault="00914D1E" w:rsidP="00914D1E">
            <w:pPr>
              <w:jc w:val="center"/>
              <w:rPr>
                <w:rFonts w:cs="Times New Roman"/>
                <w:lang w:val="sr-Cyrl-RS"/>
              </w:rPr>
            </w:pPr>
          </w:p>
          <w:p w14:paraId="5CC3E7C5" w14:textId="77777777" w:rsidR="00914D1E" w:rsidRDefault="00914D1E" w:rsidP="00914D1E">
            <w:pPr>
              <w:jc w:val="center"/>
              <w:rPr>
                <w:rFonts w:cs="Times New Roman"/>
                <w:lang w:val="sr-Cyrl-RS"/>
              </w:rPr>
            </w:pPr>
          </w:p>
          <w:p w14:paraId="17C79D7C" w14:textId="77777777" w:rsidR="00914D1E" w:rsidRDefault="00914D1E" w:rsidP="00914D1E">
            <w:pPr>
              <w:jc w:val="center"/>
              <w:rPr>
                <w:rFonts w:cs="Times New Roman"/>
                <w:lang w:val="sr-Cyrl-RS"/>
              </w:rPr>
            </w:pPr>
          </w:p>
          <w:p w14:paraId="4A7D7492" w14:textId="77777777" w:rsidR="00914D1E" w:rsidRDefault="00914D1E" w:rsidP="00914D1E">
            <w:pPr>
              <w:jc w:val="center"/>
              <w:rPr>
                <w:rFonts w:cs="Times New Roman"/>
                <w:lang w:val="sr-Cyrl-RS"/>
              </w:rPr>
            </w:pPr>
          </w:p>
          <w:p w14:paraId="47F9137A" w14:textId="77777777" w:rsidR="00914D1E" w:rsidRDefault="00914D1E" w:rsidP="00914D1E">
            <w:pPr>
              <w:jc w:val="center"/>
              <w:rPr>
                <w:rFonts w:cs="Times New Roman"/>
                <w:lang w:val="sr-Cyrl-RS"/>
              </w:rPr>
            </w:pPr>
          </w:p>
          <w:p w14:paraId="25C909CB" w14:textId="77777777" w:rsidR="00914D1E" w:rsidRDefault="00914D1E" w:rsidP="00914D1E">
            <w:pPr>
              <w:jc w:val="center"/>
              <w:rPr>
                <w:rFonts w:cs="Times New Roman"/>
                <w:lang w:val="sr-Cyrl-RS"/>
              </w:rPr>
            </w:pPr>
          </w:p>
          <w:p w14:paraId="46188028" w14:textId="5274E3BB" w:rsidR="00914D1E" w:rsidRPr="00914D1E" w:rsidRDefault="00914D1E" w:rsidP="00914D1E">
            <w:pPr>
              <w:jc w:val="center"/>
              <w:rPr>
                <w:rFonts w:cs="Times New Roman"/>
                <w:lang w:val="sr-Cyrl-RS"/>
              </w:rPr>
            </w:pPr>
            <w:r>
              <w:rPr>
                <w:rFonts w:cs="Times New Roman"/>
                <w:lang w:val="sr-Cyrl-RS"/>
              </w:rPr>
              <w:t>4.10.8.</w:t>
            </w:r>
          </w:p>
        </w:tc>
        <w:tc>
          <w:tcPr>
            <w:tcW w:w="1296" w:type="pct"/>
            <w:vAlign w:val="center"/>
          </w:tcPr>
          <w:p w14:paraId="1968BFAF" w14:textId="77777777" w:rsidR="00914D1E" w:rsidRPr="004D2E7C" w:rsidRDefault="00914D1E" w:rsidP="00914D1E">
            <w:pPr>
              <w:jc w:val="center"/>
              <w:rPr>
                <w:rFonts w:eastAsia="Times New Roman" w:cs="Times New Roman"/>
                <w:b/>
                <w:lang w:val="sr-Cyrl-RS"/>
              </w:rPr>
            </w:pPr>
            <w:r w:rsidRPr="004D2E7C">
              <w:rPr>
                <w:rFonts w:cs="Times New Roman"/>
                <w:b/>
                <w:lang w:val="sr-Cyrl-RS"/>
              </w:rPr>
              <w:lastRenderedPageBreak/>
              <w:t>Тржишни надзор</w:t>
            </w:r>
          </w:p>
          <w:p w14:paraId="628E6AB9" w14:textId="77777777" w:rsidR="00914D1E" w:rsidRPr="00514173" w:rsidRDefault="00914D1E" w:rsidP="00914D1E">
            <w:pPr>
              <w:jc w:val="center"/>
              <w:rPr>
                <w:rFonts w:eastAsia="Times New Roman" w:cs="Times New Roman"/>
                <w:sz w:val="14"/>
                <w:szCs w:val="14"/>
                <w:lang w:val="sr-Cyrl-RS"/>
              </w:rPr>
            </w:pPr>
          </w:p>
          <w:p w14:paraId="0CA1265C" w14:textId="77777777" w:rsidR="00914D1E" w:rsidRPr="00514173" w:rsidRDefault="00914D1E" w:rsidP="00914D1E">
            <w:pPr>
              <w:ind w:firstLine="540"/>
              <w:jc w:val="both"/>
              <w:rPr>
                <w:rFonts w:eastAsia="Times New Roman" w:cs="Times New Roman"/>
                <w:color w:val="000000" w:themeColor="text1"/>
                <w:lang w:val="sr-Cyrl-CS"/>
              </w:rPr>
            </w:pPr>
            <w:r w:rsidRPr="00514173">
              <w:rPr>
                <w:rFonts w:eastAsia="Times New Roman" w:cs="Times New Roman"/>
                <w:color w:val="000000" w:themeColor="text1"/>
                <w:lang w:val="sr-Cyrl-CS"/>
              </w:rPr>
              <w:t xml:space="preserve">Надзор над спровођењем одредаба овог закона које се односе на енергетско означавање и еко-дизајн производа који утичу на потрошњу енергије врши министарство надлежно за послове трговине преко тржишних инспектора, односно органи надлежни за надзор над спровођењем прописа који се односе на техничке захтеве за производе, у складу са законом којим се уређује тржишни </w:t>
            </w:r>
            <w:r w:rsidRPr="00514173">
              <w:rPr>
                <w:rFonts w:eastAsia="Times New Roman" w:cs="Times New Roman"/>
                <w:color w:val="000000" w:themeColor="text1"/>
                <w:lang w:val="sr-Cyrl-CS"/>
              </w:rPr>
              <w:lastRenderedPageBreak/>
              <w:t xml:space="preserve">надзор, овим законом и подзаконским актима донетим на основу овог закона. </w:t>
            </w:r>
          </w:p>
          <w:p w14:paraId="1D494129" w14:textId="77777777" w:rsidR="00914D1E" w:rsidRPr="00514173" w:rsidRDefault="00914D1E" w:rsidP="00914D1E">
            <w:pPr>
              <w:ind w:firstLine="540"/>
              <w:jc w:val="both"/>
              <w:rPr>
                <w:rFonts w:eastAsia="Times New Roman" w:cs="Times New Roman"/>
                <w:color w:val="000000" w:themeColor="text1"/>
                <w:lang w:val="sr-Cyrl-CS"/>
              </w:rPr>
            </w:pPr>
            <w:r w:rsidRPr="00514173">
              <w:rPr>
                <w:rFonts w:eastAsia="Times New Roman" w:cs="Times New Roman"/>
                <w:color w:val="000000" w:themeColor="text1"/>
                <w:lang w:val="sr-Cyrl-CS"/>
              </w:rPr>
              <w:t>Органи из става 1. овог члана поступају у складу са општим захтевима и програмом тржишног надзора и предузимају потребне мере тржишног надзора.</w:t>
            </w:r>
          </w:p>
          <w:p w14:paraId="1E557C0B" w14:textId="77777777" w:rsidR="00914D1E" w:rsidRPr="00514173" w:rsidRDefault="00914D1E" w:rsidP="00914D1E">
            <w:pPr>
              <w:pStyle w:val="1tekst"/>
              <w:ind w:left="0" w:right="24" w:firstLine="0"/>
              <w:rPr>
                <w:rFonts w:ascii="Times New Roman" w:eastAsia="Calibri" w:hAnsi="Times New Roman" w:cs="Times New Roman"/>
                <w:sz w:val="14"/>
                <w:szCs w:val="14"/>
                <w:lang w:val="sr-Cyrl-RS"/>
              </w:rPr>
            </w:pPr>
          </w:p>
          <w:p w14:paraId="41CDEDE7" w14:textId="77777777" w:rsidR="00F01ECE" w:rsidRDefault="00914D1E" w:rsidP="00914D1E">
            <w:pPr>
              <w:jc w:val="both"/>
              <w:rPr>
                <w:rFonts w:cs="Times New Roman"/>
                <w:lang w:val="sr-Cyrl-RS"/>
              </w:rPr>
            </w:pPr>
            <w:r w:rsidRPr="004D2E7C">
              <w:rPr>
                <w:rFonts w:cs="Times New Roman"/>
                <w:lang w:val="sr-Cyrl-RS"/>
              </w:rPr>
              <w:t>Овим законом уређује се област тржишног надзора коју врше надлежни органи тржишног надзора у прописаном делокругу, општа правила за спровођење активности и предузимање мера тржишног надзора, сарадња органа тржишног надзора и царинског органа, размена информација и комуникација са заинтересованим странама, општа начела за примену знака усаглашености, планирање и праћење активности тржишног надзора и координација у тој области.</w:t>
            </w:r>
          </w:p>
          <w:p w14:paraId="0EA2DE2B" w14:textId="77777777" w:rsidR="00914D1E" w:rsidRDefault="00914D1E" w:rsidP="00914D1E">
            <w:pPr>
              <w:jc w:val="both"/>
              <w:rPr>
                <w:rFonts w:cs="Times New Roman"/>
                <w:color w:val="000000" w:themeColor="text1"/>
                <w:lang w:val="sr-Cyrl-CS"/>
              </w:rPr>
            </w:pPr>
          </w:p>
          <w:p w14:paraId="4618802B" w14:textId="17038FD0" w:rsidR="00914D1E" w:rsidRPr="00514173" w:rsidRDefault="00914D1E" w:rsidP="00C73015">
            <w:pPr>
              <w:spacing w:after="120"/>
              <w:jc w:val="both"/>
              <w:rPr>
                <w:rFonts w:eastAsia="Times New Roman" w:cs="Times New Roman"/>
                <w:color w:val="000000" w:themeColor="text1"/>
                <w:lang w:val="sr-Cyrl-CS"/>
              </w:rPr>
            </w:pPr>
            <w:r w:rsidRPr="004D2E7C">
              <w:rPr>
                <w:rFonts w:cs="Times New Roman"/>
                <w:lang w:val="sr-Cyrl-RS"/>
              </w:rPr>
              <w:t>Трошкове провере и испитивања усаглашености производа, као и друге трошкове који настану у поступку предузимања мера тржишног надзора из делокруга надлежних органа тржишног надзора, сноси привредни субјект, ако се утврди да производ није усаглашен са прописаним захтевима.</w:t>
            </w:r>
          </w:p>
        </w:tc>
        <w:tc>
          <w:tcPr>
            <w:tcW w:w="235" w:type="pct"/>
            <w:vAlign w:val="center"/>
          </w:tcPr>
          <w:p w14:paraId="4618802C" w14:textId="159C3430" w:rsidR="00F01ECE" w:rsidRPr="004D2E7C" w:rsidRDefault="00C73015" w:rsidP="00F01ECE">
            <w:pPr>
              <w:jc w:val="center"/>
              <w:rPr>
                <w:rFonts w:cs="Times New Roman"/>
                <w:lang w:val="sr-Cyrl-RS"/>
              </w:rPr>
            </w:pPr>
            <w:r>
              <w:rPr>
                <w:rFonts w:cs="Times New Roman"/>
                <w:lang w:val="sr-Cyrl-RS"/>
              </w:rPr>
              <w:lastRenderedPageBreak/>
              <w:t>П</w:t>
            </w:r>
            <w:r w:rsidR="00914D1E">
              <w:rPr>
                <w:rFonts w:cs="Times New Roman"/>
                <w:lang w:val="sr-Cyrl-RS"/>
              </w:rPr>
              <w:t>У</w:t>
            </w:r>
          </w:p>
        </w:tc>
        <w:tc>
          <w:tcPr>
            <w:tcW w:w="676" w:type="pct"/>
            <w:vAlign w:val="center"/>
          </w:tcPr>
          <w:p w14:paraId="4618802D" w14:textId="77777777" w:rsidR="00F01ECE" w:rsidRPr="004D2E7C" w:rsidRDefault="00F01ECE" w:rsidP="00F01ECE">
            <w:pPr>
              <w:rPr>
                <w:rFonts w:cs="Times New Roman"/>
                <w:spacing w:val="-6"/>
                <w:lang w:val="sr-Cyrl-RS"/>
              </w:rPr>
            </w:pPr>
          </w:p>
        </w:tc>
        <w:tc>
          <w:tcPr>
            <w:tcW w:w="699" w:type="pct"/>
            <w:vAlign w:val="center"/>
          </w:tcPr>
          <w:p w14:paraId="4618802E" w14:textId="77777777" w:rsidR="00F01ECE" w:rsidRPr="004D2E7C" w:rsidRDefault="00F01ECE" w:rsidP="00F01ECE">
            <w:pPr>
              <w:rPr>
                <w:rFonts w:cs="Times New Roman"/>
                <w:lang w:val="sr-Cyrl-RS"/>
              </w:rPr>
            </w:pPr>
          </w:p>
        </w:tc>
      </w:tr>
      <w:tr w:rsidR="00F01ECE" w:rsidRPr="004D2E7C" w14:paraId="46188037" w14:textId="77777777" w:rsidTr="00914D1E">
        <w:tc>
          <w:tcPr>
            <w:tcW w:w="280" w:type="pct"/>
            <w:shd w:val="clear" w:color="auto" w:fill="D9D9D9"/>
            <w:vAlign w:val="center"/>
          </w:tcPr>
          <w:p w14:paraId="46188030" w14:textId="5FA6011B" w:rsidR="00F01ECE" w:rsidRPr="004D2E7C" w:rsidRDefault="00880D98" w:rsidP="00F01ECE">
            <w:pPr>
              <w:jc w:val="center"/>
              <w:rPr>
                <w:rFonts w:eastAsia="Times New Roman" w:cs="Times New Roman"/>
                <w:lang w:val="sr-Cyrl-RS"/>
              </w:rPr>
            </w:pPr>
            <w:r>
              <w:rPr>
                <w:rFonts w:eastAsia="Times New Roman" w:cs="Times New Roman"/>
                <w:lang w:val="sr-Latn-RS"/>
              </w:rPr>
              <w:lastRenderedPageBreak/>
              <w:t>13</w:t>
            </w:r>
            <w:r w:rsidR="00F01ECE" w:rsidRPr="004D2E7C">
              <w:rPr>
                <w:rFonts w:eastAsia="Times New Roman" w:cs="Times New Roman"/>
                <w:lang w:val="sr-Cyrl-RS"/>
              </w:rPr>
              <w:t>.</w:t>
            </w:r>
          </w:p>
        </w:tc>
        <w:tc>
          <w:tcPr>
            <w:tcW w:w="1489" w:type="pct"/>
            <w:shd w:val="clear" w:color="auto" w:fill="D9D9D9"/>
            <w:vAlign w:val="center"/>
          </w:tcPr>
          <w:p w14:paraId="0D8AE64D" w14:textId="77777777" w:rsidR="00880D98" w:rsidRDefault="00880D98" w:rsidP="00880D98">
            <w:pPr>
              <w:pStyle w:val="Normal1"/>
              <w:spacing w:before="0" w:beforeAutospacing="0" w:after="0" w:afterAutospacing="0"/>
              <w:jc w:val="both"/>
              <w:rPr>
                <w:b/>
                <w:bCs/>
                <w:sz w:val="22"/>
                <w:szCs w:val="22"/>
                <w:lang w:val="en-GB"/>
              </w:rPr>
            </w:pPr>
          </w:p>
          <w:p w14:paraId="4DF4AE6A" w14:textId="13967172" w:rsidR="00880D98" w:rsidRDefault="00880D98" w:rsidP="00880D98">
            <w:pPr>
              <w:pStyle w:val="Normal1"/>
              <w:spacing w:before="0" w:beforeAutospacing="0" w:after="0" w:afterAutospacing="0"/>
              <w:jc w:val="both"/>
              <w:rPr>
                <w:b/>
                <w:bCs/>
                <w:sz w:val="22"/>
                <w:szCs w:val="22"/>
                <w:lang w:val="en-GB"/>
              </w:rPr>
            </w:pPr>
            <w:r w:rsidRPr="00880D98">
              <w:rPr>
                <w:b/>
                <w:bCs/>
                <w:sz w:val="22"/>
                <w:szCs w:val="22"/>
                <w:lang w:val="en-GB"/>
              </w:rPr>
              <w:t>Delegated acts</w:t>
            </w:r>
          </w:p>
          <w:p w14:paraId="5DA4BA93" w14:textId="77777777" w:rsidR="00880D98" w:rsidRPr="00880D98" w:rsidRDefault="00880D98" w:rsidP="00880D98">
            <w:pPr>
              <w:pStyle w:val="Normal1"/>
              <w:spacing w:before="0" w:beforeAutospacing="0" w:after="0" w:afterAutospacing="0"/>
              <w:jc w:val="both"/>
              <w:rPr>
                <w:b/>
                <w:bCs/>
                <w:sz w:val="22"/>
                <w:szCs w:val="22"/>
                <w:lang w:val="en-GB"/>
              </w:rPr>
            </w:pPr>
          </w:p>
          <w:p w14:paraId="3ED3F20C" w14:textId="77777777" w:rsidR="00880D98" w:rsidRPr="00880D98" w:rsidRDefault="00880D98" w:rsidP="00880D98">
            <w:pPr>
              <w:pStyle w:val="Normal1"/>
              <w:spacing w:before="0" w:beforeAutospacing="0" w:after="0" w:afterAutospacing="0"/>
              <w:jc w:val="both"/>
              <w:rPr>
                <w:sz w:val="22"/>
                <w:szCs w:val="22"/>
                <w:lang w:val="en-GB"/>
              </w:rPr>
            </w:pPr>
            <w:r w:rsidRPr="00880D98">
              <w:rPr>
                <w:sz w:val="22"/>
                <w:szCs w:val="22"/>
                <w:lang w:val="en-GB"/>
              </w:rPr>
              <w:lastRenderedPageBreak/>
              <w:t>1.  The Commission is empowered to adopt delegated acts in accordance with Article 14 in order to amend:</w:t>
            </w:r>
          </w:p>
          <w:p w14:paraId="7876E230" w14:textId="5E322575" w:rsidR="00880D98" w:rsidRPr="00880D98" w:rsidRDefault="00880D98" w:rsidP="00880D98">
            <w:pPr>
              <w:pStyle w:val="Normal1"/>
              <w:spacing w:before="0" w:beforeAutospacing="0" w:after="0" w:afterAutospacing="0"/>
              <w:jc w:val="both"/>
              <w:rPr>
                <w:sz w:val="22"/>
                <w:szCs w:val="22"/>
                <w:lang w:val="en-GB"/>
              </w:rPr>
            </w:pPr>
            <w:r w:rsidRPr="00880D98">
              <w:rPr>
                <w:sz w:val="22"/>
                <w:szCs w:val="22"/>
                <w:lang w:val="en-GB"/>
              </w:rPr>
              <w:t>(a) Annex II with regard to the content and format of the tyre label;</w:t>
            </w:r>
          </w:p>
          <w:p w14:paraId="66FB9AE1" w14:textId="665F8D56" w:rsidR="00880D98" w:rsidRPr="00880D98" w:rsidRDefault="00880D98" w:rsidP="00880D98">
            <w:pPr>
              <w:pStyle w:val="Normal1"/>
              <w:spacing w:before="0" w:beforeAutospacing="0" w:after="0" w:afterAutospacing="0"/>
              <w:jc w:val="both"/>
              <w:rPr>
                <w:sz w:val="22"/>
                <w:szCs w:val="22"/>
                <w:lang w:val="en-GB"/>
              </w:rPr>
            </w:pPr>
            <w:r w:rsidRPr="00880D98">
              <w:rPr>
                <w:sz w:val="22"/>
                <w:szCs w:val="22"/>
                <w:lang w:val="en-GB"/>
              </w:rPr>
              <w:t>(b) parts D and E of Annex I and Annexes II, III, IV, V, VI and VII, by adapting the values, calculation methods and requirements set out therein to technological progress.</w:t>
            </w:r>
          </w:p>
          <w:p w14:paraId="5D71A1C6" w14:textId="77777777" w:rsidR="00880D98" w:rsidRPr="00880D98" w:rsidRDefault="00880D98" w:rsidP="00880D98">
            <w:pPr>
              <w:pStyle w:val="Normal1"/>
              <w:spacing w:before="0" w:beforeAutospacing="0" w:after="0" w:afterAutospacing="0"/>
              <w:jc w:val="both"/>
              <w:rPr>
                <w:sz w:val="22"/>
                <w:szCs w:val="22"/>
                <w:lang w:val="en-GB"/>
              </w:rPr>
            </w:pPr>
            <w:r w:rsidRPr="00880D98">
              <w:rPr>
                <w:sz w:val="22"/>
                <w:szCs w:val="22"/>
                <w:lang w:val="en-GB"/>
              </w:rPr>
              <w:t>2.  By 26 June 2022, the Commission shall adopt delegated acts in accordance with Article 14 in order to supplement this Regulation by introducing new information requirements for re‐treaded tyres in the Annexes, provided that a suitable testing method is available.</w:t>
            </w:r>
          </w:p>
          <w:p w14:paraId="6B580251" w14:textId="77777777" w:rsidR="00880D98" w:rsidRPr="00880D98" w:rsidRDefault="00880D98" w:rsidP="00880D98">
            <w:pPr>
              <w:pStyle w:val="Normal1"/>
              <w:spacing w:before="0" w:beforeAutospacing="0" w:after="0" w:afterAutospacing="0"/>
              <w:jc w:val="both"/>
              <w:rPr>
                <w:sz w:val="22"/>
                <w:szCs w:val="22"/>
                <w:lang w:val="en-GB"/>
              </w:rPr>
            </w:pPr>
            <w:r w:rsidRPr="00880D98">
              <w:rPr>
                <w:sz w:val="22"/>
                <w:szCs w:val="22"/>
                <w:lang w:val="en-GB"/>
              </w:rPr>
              <w:t>3.  The Commission is also empowered to adopt delegated acts in accordance with Article 14 in order to include parameters or information requirements for tyre abrasion and mileage, as soon as reliable, accurate and reproducible methods to test and measure tyre abrasion and mileage are available for use by European or international standardisation organisations and provided that the following conditions are met:</w:t>
            </w:r>
          </w:p>
          <w:p w14:paraId="6C4EAF34" w14:textId="46BC1145" w:rsidR="00880D98" w:rsidRPr="00880D98" w:rsidRDefault="00880D98" w:rsidP="00880D98">
            <w:pPr>
              <w:pStyle w:val="Normal1"/>
              <w:spacing w:before="0" w:beforeAutospacing="0" w:after="0" w:afterAutospacing="0"/>
              <w:jc w:val="both"/>
              <w:rPr>
                <w:sz w:val="22"/>
                <w:szCs w:val="22"/>
                <w:lang w:val="en-GB"/>
              </w:rPr>
            </w:pPr>
            <w:r w:rsidRPr="00880D98">
              <w:rPr>
                <w:sz w:val="22"/>
                <w:szCs w:val="22"/>
                <w:lang w:val="en-GB"/>
              </w:rPr>
              <w:t>(a) a thorough impact assessment has been carried out by the Commission; and</w:t>
            </w:r>
          </w:p>
          <w:p w14:paraId="37A6C877" w14:textId="641CD262" w:rsidR="00880D98" w:rsidRPr="00880D98" w:rsidRDefault="00880D98" w:rsidP="00880D98">
            <w:pPr>
              <w:pStyle w:val="Normal1"/>
              <w:spacing w:before="0" w:beforeAutospacing="0" w:after="0" w:afterAutospacing="0"/>
              <w:jc w:val="both"/>
              <w:rPr>
                <w:sz w:val="22"/>
                <w:szCs w:val="22"/>
                <w:lang w:val="en-GB"/>
              </w:rPr>
            </w:pPr>
            <w:r w:rsidRPr="00880D98">
              <w:rPr>
                <w:sz w:val="22"/>
                <w:szCs w:val="22"/>
                <w:lang w:val="en-GB"/>
              </w:rPr>
              <w:t>(b) a proper consultation of the relevant stakeholders has been conducted by the Commission.</w:t>
            </w:r>
          </w:p>
          <w:p w14:paraId="46188031" w14:textId="40BFEA38" w:rsidR="00F01ECE" w:rsidRPr="00880D98" w:rsidRDefault="00880D98" w:rsidP="00880D98">
            <w:pPr>
              <w:pStyle w:val="Normal1"/>
              <w:spacing w:before="0" w:beforeAutospacing="0" w:after="0" w:afterAutospacing="0"/>
              <w:jc w:val="both"/>
              <w:rPr>
                <w:lang w:val="sr-Latn-RS"/>
              </w:rPr>
            </w:pPr>
            <w:r w:rsidRPr="00880D98">
              <w:rPr>
                <w:sz w:val="22"/>
                <w:szCs w:val="22"/>
                <w:lang w:val="en-GB"/>
              </w:rPr>
              <w:t xml:space="preserve">4.  Where appropriate, when preparing delegated acts, the Commission shall test the content and format of tyre labels with representative groups of </w:t>
            </w:r>
            <w:r w:rsidRPr="00880D98">
              <w:rPr>
                <w:sz w:val="22"/>
                <w:szCs w:val="22"/>
                <w:lang w:val="en-GB"/>
              </w:rPr>
              <w:lastRenderedPageBreak/>
              <w:t>Union customers to ensure that the tyre labels are clearly understandable and shall publish the results.</w:t>
            </w:r>
          </w:p>
        </w:tc>
        <w:tc>
          <w:tcPr>
            <w:tcW w:w="325" w:type="pct"/>
            <w:vAlign w:val="center"/>
          </w:tcPr>
          <w:p w14:paraId="46188032" w14:textId="2A7306CB" w:rsidR="00F01ECE" w:rsidRPr="00914D1E" w:rsidRDefault="00914D1E" w:rsidP="00D9567F">
            <w:pPr>
              <w:jc w:val="center"/>
              <w:rPr>
                <w:rFonts w:cs="Times New Roman"/>
                <w:b/>
                <w:bCs/>
                <w:lang w:val="sr-Cyrl-RS"/>
              </w:rPr>
            </w:pPr>
            <w:r w:rsidRPr="00914D1E">
              <w:rPr>
                <w:rFonts w:cs="Times New Roman"/>
                <w:b/>
                <w:bCs/>
                <w:lang w:val="sr-Cyrl-RS"/>
              </w:rPr>
              <w:lastRenderedPageBreak/>
              <w:t>1.64.2.</w:t>
            </w:r>
          </w:p>
        </w:tc>
        <w:tc>
          <w:tcPr>
            <w:tcW w:w="1296" w:type="pct"/>
            <w:vAlign w:val="center"/>
          </w:tcPr>
          <w:p w14:paraId="46188033" w14:textId="6420DAB6" w:rsidR="00F01ECE" w:rsidRPr="004D2E7C" w:rsidRDefault="00914D1E" w:rsidP="00914D1E">
            <w:pPr>
              <w:jc w:val="both"/>
              <w:rPr>
                <w:rFonts w:cs="Times New Roman"/>
                <w:lang w:val="sr-Cyrl-RS"/>
              </w:rPr>
            </w:pPr>
            <w:r w:rsidRPr="00D9567F">
              <w:rPr>
                <w:rFonts w:eastAsia="MS Mincho" w:cs="Times New Roman"/>
                <w:color w:val="000000" w:themeColor="text1"/>
                <w:lang w:val="sr-Cyrl-CS" w:eastAsia="ja-JP"/>
              </w:rPr>
              <w:t xml:space="preserve">Министар доноси технички пропис којим се прописују захтеви енергетског означавања пнеуматика, ближе се </w:t>
            </w:r>
            <w:r w:rsidRPr="00D9567F">
              <w:rPr>
                <w:rFonts w:eastAsia="MS Mincho" w:cs="Times New Roman"/>
                <w:color w:val="000000" w:themeColor="text1"/>
                <w:lang w:val="sr-Cyrl-CS" w:eastAsia="ja-JP"/>
              </w:rPr>
              <w:lastRenderedPageBreak/>
              <w:t>утврђују обавезе испоручилаца и продаваца пнеуматика, обавезе испоручилаца и продаваца моторних возила, дефинишу се мерне методе, поступак провере</w:t>
            </w:r>
            <w:r w:rsidRPr="00D9567F">
              <w:rPr>
                <w:rFonts w:eastAsia="MS Mincho" w:cs="Times New Roman"/>
                <w:color w:val="000000" w:themeColor="text1"/>
                <w:lang w:eastAsia="ja-JP"/>
              </w:rPr>
              <w:t xml:space="preserve"> </w:t>
            </w:r>
            <w:r w:rsidRPr="00D9567F">
              <w:rPr>
                <w:rFonts w:eastAsia="MS Mincho" w:cs="Times New Roman"/>
                <w:color w:val="000000" w:themeColor="text1"/>
                <w:lang w:val="sr-Cyrl-CS" w:eastAsia="ja-JP"/>
              </w:rPr>
              <w:t xml:space="preserve">усаглашености пнеуматика са захтевима енергетског означавања у сврху тржишног надзора, поступак одређивања класе енергетске ефикасности пнеуматика, изглед дизајн и формат енергетске ознаке, листу са подацима, садржај техничке документације, информације које је потребно обезбедити приликом у визуелног оглашавања у техничким и промотивним материјалима приликом продаје на даљину и у </w:t>
            </w:r>
            <w:proofErr w:type="spellStart"/>
            <w:r w:rsidRPr="00D9567F">
              <w:rPr>
                <w:rFonts w:eastAsia="MS Mincho" w:cs="Times New Roman"/>
                <w:color w:val="000000" w:themeColor="text1"/>
                <w:lang w:val="sr-Cyrl-CS" w:eastAsia="ja-JP"/>
              </w:rPr>
              <w:t>телемаркетингу</w:t>
            </w:r>
            <w:proofErr w:type="spellEnd"/>
            <w:r w:rsidRPr="00D9567F">
              <w:rPr>
                <w:rFonts w:eastAsia="MS Mincho" w:cs="Times New Roman"/>
                <w:color w:val="000000" w:themeColor="text1"/>
                <w:lang w:val="sr-Cyrl-CS" w:eastAsia="ja-JP"/>
              </w:rPr>
              <w:t xml:space="preserve">, информације које је потребно обезбедити у случају продаје на даљину преко </w:t>
            </w:r>
            <w:proofErr w:type="spellStart"/>
            <w:r w:rsidRPr="00D9567F">
              <w:rPr>
                <w:rFonts w:eastAsia="MS Mincho" w:cs="Times New Roman"/>
                <w:color w:val="000000" w:themeColor="text1"/>
                <w:lang w:val="sr-Cyrl-CS" w:eastAsia="ja-JP"/>
              </w:rPr>
              <w:t>интернета</w:t>
            </w:r>
            <w:proofErr w:type="spellEnd"/>
            <w:r w:rsidRPr="00D9567F">
              <w:rPr>
                <w:rFonts w:eastAsia="MS Mincho" w:cs="Times New Roman"/>
                <w:color w:val="000000" w:themeColor="text1"/>
                <w:lang w:val="sr-Cyrl-CS" w:eastAsia="ja-JP"/>
              </w:rPr>
              <w:t>, поступак усклађивања лабораторија за мерење отпора котрљања, као и друге захтеве у вези енергетског означавања за поједине врсте пнеуматика.</w:t>
            </w:r>
          </w:p>
        </w:tc>
        <w:tc>
          <w:tcPr>
            <w:tcW w:w="235" w:type="pct"/>
            <w:vAlign w:val="center"/>
          </w:tcPr>
          <w:p w14:paraId="46188034" w14:textId="08D24D9D" w:rsidR="00F01ECE" w:rsidRPr="004D2E7C" w:rsidRDefault="00914D1E" w:rsidP="00F01ECE">
            <w:pPr>
              <w:jc w:val="center"/>
              <w:rPr>
                <w:rFonts w:cs="Times New Roman"/>
                <w:lang w:val="sr-Cyrl-RS"/>
              </w:rPr>
            </w:pPr>
            <w:r>
              <w:rPr>
                <w:rFonts w:cs="Times New Roman"/>
                <w:lang w:val="sr-Cyrl-RS"/>
              </w:rPr>
              <w:lastRenderedPageBreak/>
              <w:t>ПУ</w:t>
            </w:r>
          </w:p>
        </w:tc>
        <w:tc>
          <w:tcPr>
            <w:tcW w:w="676" w:type="pct"/>
            <w:vAlign w:val="center"/>
          </w:tcPr>
          <w:p w14:paraId="46188035" w14:textId="69DC9114" w:rsidR="00F01ECE" w:rsidRPr="004D2E7C" w:rsidRDefault="00F01ECE" w:rsidP="00F01ECE">
            <w:pPr>
              <w:rPr>
                <w:rFonts w:cs="Times New Roman"/>
                <w:lang w:val="sr-Cyrl-RS"/>
              </w:rPr>
            </w:pPr>
          </w:p>
        </w:tc>
        <w:tc>
          <w:tcPr>
            <w:tcW w:w="699" w:type="pct"/>
            <w:vAlign w:val="center"/>
          </w:tcPr>
          <w:p w14:paraId="46188036" w14:textId="77777777" w:rsidR="00F01ECE" w:rsidRPr="004D2E7C" w:rsidRDefault="00F01ECE" w:rsidP="00F01ECE">
            <w:pPr>
              <w:rPr>
                <w:rFonts w:cs="Times New Roman"/>
                <w:lang w:val="sr-Cyrl-RS"/>
              </w:rPr>
            </w:pPr>
          </w:p>
        </w:tc>
      </w:tr>
      <w:tr w:rsidR="00F01ECE" w:rsidRPr="004D2E7C" w14:paraId="4618803F" w14:textId="77777777" w:rsidTr="00914D1E">
        <w:tc>
          <w:tcPr>
            <w:tcW w:w="280" w:type="pct"/>
            <w:shd w:val="clear" w:color="auto" w:fill="D9D9D9"/>
            <w:vAlign w:val="center"/>
          </w:tcPr>
          <w:p w14:paraId="46188038" w14:textId="48A22520" w:rsidR="00F01ECE" w:rsidRPr="004D2E7C" w:rsidRDefault="00880D98" w:rsidP="00F01ECE">
            <w:pPr>
              <w:jc w:val="center"/>
              <w:rPr>
                <w:rFonts w:eastAsia="Times New Roman" w:cs="Times New Roman"/>
                <w:lang w:val="sr-Cyrl-RS"/>
              </w:rPr>
            </w:pPr>
            <w:r>
              <w:rPr>
                <w:rFonts w:eastAsia="Times New Roman" w:cs="Times New Roman"/>
                <w:lang w:val="sr-Latn-RS"/>
              </w:rPr>
              <w:lastRenderedPageBreak/>
              <w:t>1</w:t>
            </w:r>
            <w:r w:rsidR="00F01ECE" w:rsidRPr="004D2E7C">
              <w:rPr>
                <w:rFonts w:eastAsia="Times New Roman" w:cs="Times New Roman"/>
                <w:lang w:val="sr-Cyrl-RS"/>
              </w:rPr>
              <w:t>4.</w:t>
            </w:r>
          </w:p>
        </w:tc>
        <w:tc>
          <w:tcPr>
            <w:tcW w:w="1489" w:type="pct"/>
            <w:shd w:val="clear" w:color="auto" w:fill="D9D9D9"/>
            <w:vAlign w:val="center"/>
          </w:tcPr>
          <w:p w14:paraId="4E94B053" w14:textId="77777777" w:rsidR="00880D98" w:rsidRDefault="00880D98" w:rsidP="00880D98">
            <w:pPr>
              <w:pStyle w:val="Normal1"/>
              <w:spacing w:before="0" w:beforeAutospacing="0" w:after="0" w:afterAutospacing="0"/>
              <w:jc w:val="both"/>
              <w:rPr>
                <w:b/>
                <w:bCs/>
                <w:sz w:val="22"/>
                <w:szCs w:val="22"/>
                <w:lang w:val="en-GB"/>
              </w:rPr>
            </w:pPr>
          </w:p>
          <w:p w14:paraId="68F2E9ED" w14:textId="3DF3D73A" w:rsidR="00880D98" w:rsidRDefault="00880D98" w:rsidP="00880D98">
            <w:pPr>
              <w:pStyle w:val="Normal1"/>
              <w:spacing w:before="0" w:beforeAutospacing="0" w:after="0" w:afterAutospacing="0"/>
              <w:jc w:val="both"/>
              <w:rPr>
                <w:b/>
                <w:bCs/>
                <w:sz w:val="22"/>
                <w:szCs w:val="22"/>
                <w:lang w:val="en-GB"/>
              </w:rPr>
            </w:pPr>
            <w:r w:rsidRPr="00880D98">
              <w:rPr>
                <w:b/>
                <w:bCs/>
                <w:sz w:val="22"/>
                <w:szCs w:val="22"/>
                <w:lang w:val="en-GB"/>
              </w:rPr>
              <w:t>Exercise of the delegation</w:t>
            </w:r>
          </w:p>
          <w:p w14:paraId="2D735E42" w14:textId="77777777" w:rsidR="00880D98" w:rsidRPr="00880D98" w:rsidRDefault="00880D98" w:rsidP="00880D98">
            <w:pPr>
              <w:pStyle w:val="Normal1"/>
              <w:spacing w:before="0" w:beforeAutospacing="0" w:after="0" w:afterAutospacing="0"/>
              <w:jc w:val="both"/>
              <w:rPr>
                <w:b/>
                <w:bCs/>
                <w:sz w:val="22"/>
                <w:szCs w:val="22"/>
                <w:lang w:val="en-GB"/>
              </w:rPr>
            </w:pPr>
          </w:p>
          <w:p w14:paraId="4A05119F" w14:textId="77777777" w:rsidR="00880D98" w:rsidRPr="00880D98" w:rsidRDefault="00880D98" w:rsidP="00880D98">
            <w:pPr>
              <w:pStyle w:val="Normal1"/>
              <w:spacing w:before="0" w:beforeAutospacing="0" w:after="0" w:afterAutospacing="0"/>
              <w:jc w:val="both"/>
              <w:rPr>
                <w:sz w:val="22"/>
                <w:szCs w:val="22"/>
                <w:lang w:val="en-GB"/>
              </w:rPr>
            </w:pPr>
            <w:r w:rsidRPr="00880D98">
              <w:rPr>
                <w:sz w:val="22"/>
                <w:szCs w:val="22"/>
                <w:lang w:val="en-GB"/>
              </w:rPr>
              <w:t>1.  The power to adopt delegated acts is conferred on the Commission subject to the conditions laid down in this Article.</w:t>
            </w:r>
          </w:p>
          <w:p w14:paraId="3F81E983" w14:textId="77777777" w:rsidR="00880D98" w:rsidRPr="00880D98" w:rsidRDefault="00880D98" w:rsidP="00880D98">
            <w:pPr>
              <w:pStyle w:val="Normal1"/>
              <w:spacing w:before="0" w:beforeAutospacing="0" w:after="0" w:afterAutospacing="0"/>
              <w:jc w:val="both"/>
              <w:rPr>
                <w:sz w:val="22"/>
                <w:szCs w:val="22"/>
                <w:lang w:val="en-GB"/>
              </w:rPr>
            </w:pPr>
            <w:r w:rsidRPr="00880D98">
              <w:rPr>
                <w:sz w:val="22"/>
                <w:szCs w:val="22"/>
                <w:lang w:val="en-GB"/>
              </w:rPr>
              <w:t>2.  The power to adopt delegated acts referred to in Article 13 shall be conferred on the Commission for a period of five years from 25 June 2020. The Commission shall draw up a report in respect of the delegation of power not later than nine months before the end of the five‐year period. The delegation of power shall be tacitly extended for periods of an identical duration, unless the European Parliament or the Council opposes such extension not later than three months before the end of each period.</w:t>
            </w:r>
          </w:p>
          <w:p w14:paraId="75E81DE1" w14:textId="77777777" w:rsidR="00880D98" w:rsidRPr="00880D98" w:rsidRDefault="00880D98" w:rsidP="00880D98">
            <w:pPr>
              <w:pStyle w:val="Normal1"/>
              <w:spacing w:before="0" w:beforeAutospacing="0" w:after="0" w:afterAutospacing="0"/>
              <w:jc w:val="both"/>
              <w:rPr>
                <w:sz w:val="22"/>
                <w:szCs w:val="22"/>
                <w:lang w:val="en-GB"/>
              </w:rPr>
            </w:pPr>
            <w:r w:rsidRPr="00880D98">
              <w:rPr>
                <w:sz w:val="22"/>
                <w:szCs w:val="22"/>
                <w:lang w:val="en-GB"/>
              </w:rPr>
              <w:t>3.  The delegation of power referred to in Article 13 may be revoked at any time by the European Parliament or by the Council. A decision to revoke shall put an end to the delegation of the power specified in that decision. It shall take effect the day following the publication of the decision in the </w:t>
            </w:r>
            <w:r w:rsidRPr="00880D98">
              <w:rPr>
                <w:i/>
                <w:iCs/>
                <w:sz w:val="22"/>
                <w:szCs w:val="22"/>
                <w:lang w:val="en-GB"/>
              </w:rPr>
              <w:t>Official Journal of the European Union</w:t>
            </w:r>
            <w:r w:rsidRPr="00880D98">
              <w:rPr>
                <w:sz w:val="22"/>
                <w:szCs w:val="22"/>
                <w:lang w:val="en-GB"/>
              </w:rPr>
              <w:t> or at a later date specified therein. It shall not affect the validity of any delegated acts already in force.</w:t>
            </w:r>
          </w:p>
          <w:p w14:paraId="64CF3207" w14:textId="77777777" w:rsidR="00880D98" w:rsidRPr="00880D98" w:rsidRDefault="00880D98" w:rsidP="00880D98">
            <w:pPr>
              <w:pStyle w:val="Normal1"/>
              <w:spacing w:before="0" w:beforeAutospacing="0" w:after="0" w:afterAutospacing="0"/>
              <w:jc w:val="both"/>
              <w:rPr>
                <w:sz w:val="22"/>
                <w:szCs w:val="22"/>
                <w:lang w:val="en-GB"/>
              </w:rPr>
            </w:pPr>
            <w:r w:rsidRPr="00880D98">
              <w:rPr>
                <w:sz w:val="22"/>
                <w:szCs w:val="22"/>
                <w:lang w:val="en-GB"/>
              </w:rPr>
              <w:t xml:space="preserve">4.  Before adopting a delegated act, the Commission shall consult experts designated by each Member State in accordance with the principles laid down in the </w:t>
            </w:r>
            <w:proofErr w:type="spellStart"/>
            <w:r w:rsidRPr="00880D98">
              <w:rPr>
                <w:sz w:val="22"/>
                <w:szCs w:val="22"/>
                <w:lang w:val="en-GB"/>
              </w:rPr>
              <w:t>Interinstitutional</w:t>
            </w:r>
            <w:proofErr w:type="spellEnd"/>
            <w:r w:rsidRPr="00880D98">
              <w:rPr>
                <w:sz w:val="22"/>
                <w:szCs w:val="22"/>
                <w:lang w:val="en-GB"/>
              </w:rPr>
              <w:t xml:space="preserve"> </w:t>
            </w:r>
            <w:r w:rsidRPr="00880D98">
              <w:rPr>
                <w:sz w:val="22"/>
                <w:szCs w:val="22"/>
                <w:lang w:val="en-GB"/>
              </w:rPr>
              <w:lastRenderedPageBreak/>
              <w:t>Agreement of 13 April 2016 on Better Law‐Making.</w:t>
            </w:r>
          </w:p>
          <w:p w14:paraId="7BBF28F5" w14:textId="77777777" w:rsidR="00880D98" w:rsidRPr="00880D98" w:rsidRDefault="00880D98" w:rsidP="00880D98">
            <w:pPr>
              <w:pStyle w:val="Normal1"/>
              <w:spacing w:before="0" w:beforeAutospacing="0" w:after="0" w:afterAutospacing="0"/>
              <w:jc w:val="both"/>
              <w:rPr>
                <w:sz w:val="22"/>
                <w:szCs w:val="22"/>
                <w:lang w:val="en-GB"/>
              </w:rPr>
            </w:pPr>
            <w:r w:rsidRPr="00880D98">
              <w:rPr>
                <w:sz w:val="22"/>
                <w:szCs w:val="22"/>
                <w:lang w:val="en-GB"/>
              </w:rPr>
              <w:t>5.  As soon as it adopts a delegated act, the Commission shall notify it simultaneously to the European Parliament and to the Council.</w:t>
            </w:r>
          </w:p>
          <w:p w14:paraId="7D1A549D" w14:textId="77777777" w:rsidR="00F01ECE" w:rsidRDefault="00880D98" w:rsidP="00880D98">
            <w:pPr>
              <w:pStyle w:val="Normal1"/>
              <w:spacing w:before="0" w:beforeAutospacing="0" w:after="0" w:afterAutospacing="0"/>
              <w:jc w:val="both"/>
              <w:rPr>
                <w:sz w:val="22"/>
                <w:szCs w:val="22"/>
                <w:lang w:val="en-GB"/>
              </w:rPr>
            </w:pPr>
            <w:r w:rsidRPr="00880D98">
              <w:rPr>
                <w:sz w:val="22"/>
                <w:szCs w:val="22"/>
                <w:lang w:val="en-GB"/>
              </w:rPr>
              <w:t>6.  A delegated act adopted pursuant to Article 13 shall enter into force only if no objection has been expressed either by the European Parliament or the Council within a period of two months of notification of that act to the European Parliament and the Council or if, before the expiry of that period, the European Parliament and the Council have both informed the Commission that they will not object. That period shall be extended by two months at the initiative of the European Parliament or of the Council.</w:t>
            </w:r>
          </w:p>
          <w:p w14:paraId="46188039" w14:textId="393D3B57" w:rsidR="00880D98" w:rsidRPr="00880D98" w:rsidRDefault="00880D98" w:rsidP="00880D98">
            <w:pPr>
              <w:pStyle w:val="Normal1"/>
              <w:spacing w:before="0" w:beforeAutospacing="0" w:after="0" w:afterAutospacing="0"/>
              <w:jc w:val="both"/>
              <w:rPr>
                <w:lang w:val="sr-Latn-RS"/>
              </w:rPr>
            </w:pPr>
          </w:p>
        </w:tc>
        <w:tc>
          <w:tcPr>
            <w:tcW w:w="325" w:type="pct"/>
            <w:vAlign w:val="center"/>
          </w:tcPr>
          <w:p w14:paraId="4618803A" w14:textId="30953ACA" w:rsidR="00F01ECE" w:rsidRPr="00914D1E" w:rsidRDefault="00F01ECE" w:rsidP="00D9567F">
            <w:pPr>
              <w:jc w:val="center"/>
              <w:rPr>
                <w:rFonts w:cs="Times New Roman"/>
                <w:b/>
                <w:bCs/>
                <w:lang w:val="sr-Cyrl-RS"/>
              </w:rPr>
            </w:pPr>
          </w:p>
        </w:tc>
        <w:tc>
          <w:tcPr>
            <w:tcW w:w="1296" w:type="pct"/>
            <w:vAlign w:val="center"/>
          </w:tcPr>
          <w:p w14:paraId="4618803B" w14:textId="705CBB95" w:rsidR="00F01ECE" w:rsidRPr="004D2E7C" w:rsidRDefault="00F01ECE" w:rsidP="00914D1E">
            <w:pPr>
              <w:jc w:val="both"/>
              <w:rPr>
                <w:rFonts w:cs="Times New Roman"/>
                <w:lang w:val="sr-Cyrl-RS"/>
              </w:rPr>
            </w:pPr>
          </w:p>
        </w:tc>
        <w:tc>
          <w:tcPr>
            <w:tcW w:w="235" w:type="pct"/>
            <w:vAlign w:val="center"/>
          </w:tcPr>
          <w:p w14:paraId="4618803C" w14:textId="4FB3C6E2" w:rsidR="00F01ECE" w:rsidRPr="004D2E7C" w:rsidRDefault="00914D1E" w:rsidP="00914D1E">
            <w:pPr>
              <w:jc w:val="center"/>
              <w:rPr>
                <w:rFonts w:cs="Times New Roman"/>
                <w:lang w:val="sr-Cyrl-RS"/>
              </w:rPr>
            </w:pPr>
            <w:r>
              <w:rPr>
                <w:rFonts w:cs="Times New Roman"/>
                <w:lang w:val="sr-Cyrl-RS"/>
              </w:rPr>
              <w:t>НП</w:t>
            </w:r>
          </w:p>
        </w:tc>
        <w:tc>
          <w:tcPr>
            <w:tcW w:w="676" w:type="pct"/>
            <w:vAlign w:val="center"/>
          </w:tcPr>
          <w:p w14:paraId="4618803D" w14:textId="77CEE3F2" w:rsidR="00F01ECE" w:rsidRPr="004D2E7C" w:rsidRDefault="00914D1E" w:rsidP="00914D1E">
            <w:pPr>
              <w:rPr>
                <w:rFonts w:cs="Times New Roman"/>
                <w:spacing w:val="-6"/>
                <w:lang w:val="sr-Cyrl-RS"/>
              </w:rPr>
            </w:pPr>
            <w:r w:rsidRPr="004D2E7C">
              <w:rPr>
                <w:rFonts w:cs="Times New Roman"/>
                <w:spacing w:val="-6"/>
                <w:lang w:val="sr-Cyrl-RS"/>
              </w:rPr>
              <w:t>Одредбе су процедуралног карактера</w:t>
            </w:r>
            <w:r w:rsidRPr="004D2E7C">
              <w:rPr>
                <w:rFonts w:cs="Times New Roman"/>
                <w:lang w:val="sr-Cyrl-RS"/>
              </w:rPr>
              <w:t>.</w:t>
            </w:r>
          </w:p>
        </w:tc>
        <w:tc>
          <w:tcPr>
            <w:tcW w:w="699" w:type="pct"/>
            <w:vAlign w:val="center"/>
          </w:tcPr>
          <w:p w14:paraId="4618803E" w14:textId="77777777" w:rsidR="00F01ECE" w:rsidRPr="004D2E7C" w:rsidRDefault="00F01ECE" w:rsidP="00F01ECE">
            <w:pPr>
              <w:rPr>
                <w:rFonts w:cs="Times New Roman"/>
                <w:lang w:val="sr-Cyrl-RS"/>
              </w:rPr>
            </w:pPr>
          </w:p>
        </w:tc>
      </w:tr>
      <w:tr w:rsidR="00F01ECE" w:rsidRPr="004D2E7C" w14:paraId="46188047" w14:textId="77777777" w:rsidTr="00D9567F">
        <w:tc>
          <w:tcPr>
            <w:tcW w:w="280" w:type="pct"/>
            <w:shd w:val="clear" w:color="auto" w:fill="D9D9D9"/>
            <w:vAlign w:val="center"/>
          </w:tcPr>
          <w:p w14:paraId="46188040" w14:textId="03B7DDA8" w:rsidR="00F01ECE" w:rsidRPr="004D2E7C" w:rsidRDefault="00880D98" w:rsidP="00F01ECE">
            <w:pPr>
              <w:jc w:val="center"/>
              <w:rPr>
                <w:rFonts w:eastAsia="Times New Roman" w:cs="Times New Roman"/>
                <w:lang w:val="sr-Cyrl-RS"/>
              </w:rPr>
            </w:pPr>
            <w:r>
              <w:rPr>
                <w:rFonts w:eastAsia="Times New Roman" w:cs="Times New Roman"/>
                <w:lang w:val="sr-Latn-RS"/>
              </w:rPr>
              <w:lastRenderedPageBreak/>
              <w:t>1</w:t>
            </w:r>
            <w:r w:rsidR="00F01ECE" w:rsidRPr="004D2E7C">
              <w:rPr>
                <w:rFonts w:eastAsia="Times New Roman" w:cs="Times New Roman"/>
                <w:lang w:val="sr-Cyrl-RS"/>
              </w:rPr>
              <w:t>5.</w:t>
            </w:r>
          </w:p>
        </w:tc>
        <w:tc>
          <w:tcPr>
            <w:tcW w:w="1489" w:type="pct"/>
            <w:shd w:val="clear" w:color="auto" w:fill="D9D9D9"/>
            <w:vAlign w:val="center"/>
          </w:tcPr>
          <w:p w14:paraId="349D839D" w14:textId="30DACC3D" w:rsidR="00880D98" w:rsidRDefault="00880D98" w:rsidP="007C2F10">
            <w:pPr>
              <w:pStyle w:val="Normal1"/>
              <w:spacing w:before="0" w:beforeAutospacing="0" w:after="0" w:afterAutospacing="0"/>
              <w:jc w:val="both"/>
              <w:rPr>
                <w:b/>
                <w:bCs/>
                <w:sz w:val="22"/>
                <w:szCs w:val="22"/>
                <w:lang w:val="en-GB"/>
              </w:rPr>
            </w:pPr>
            <w:r w:rsidRPr="007C2F10">
              <w:rPr>
                <w:b/>
                <w:bCs/>
                <w:sz w:val="22"/>
                <w:szCs w:val="22"/>
                <w:lang w:val="en-GB"/>
              </w:rPr>
              <w:t>Evaluation and report</w:t>
            </w:r>
          </w:p>
          <w:p w14:paraId="54DA1BB9" w14:textId="77777777" w:rsidR="007C2F10" w:rsidRPr="007C2F10" w:rsidRDefault="007C2F10" w:rsidP="007C2F10">
            <w:pPr>
              <w:pStyle w:val="Normal1"/>
              <w:spacing w:before="0" w:beforeAutospacing="0" w:after="0" w:afterAutospacing="0"/>
              <w:jc w:val="both"/>
              <w:rPr>
                <w:b/>
                <w:bCs/>
                <w:sz w:val="22"/>
                <w:szCs w:val="22"/>
                <w:lang w:val="en-GB"/>
              </w:rPr>
            </w:pPr>
          </w:p>
          <w:p w14:paraId="19CEDEB3" w14:textId="77777777" w:rsidR="00880D98" w:rsidRPr="007C2F10" w:rsidRDefault="00880D98" w:rsidP="007C2F10">
            <w:pPr>
              <w:pStyle w:val="Normal1"/>
              <w:spacing w:before="0" w:beforeAutospacing="0" w:after="0" w:afterAutospacing="0"/>
              <w:jc w:val="both"/>
              <w:rPr>
                <w:sz w:val="22"/>
                <w:szCs w:val="22"/>
                <w:lang w:val="en-GB"/>
              </w:rPr>
            </w:pPr>
            <w:r w:rsidRPr="007C2F10">
              <w:rPr>
                <w:sz w:val="22"/>
                <w:szCs w:val="22"/>
                <w:lang w:val="en-GB"/>
              </w:rPr>
              <w:t>By 1 June 2025, the Commission shall carry out an evaluation of this Regulation and submit a report to the European Parliament, the Council and the European Economic and Social Committee.</w:t>
            </w:r>
          </w:p>
          <w:p w14:paraId="7F4CE22E" w14:textId="77777777" w:rsidR="00F01ECE" w:rsidRDefault="00880D98" w:rsidP="007C2F10">
            <w:pPr>
              <w:pStyle w:val="Normal1"/>
              <w:spacing w:before="0" w:beforeAutospacing="0" w:after="0" w:afterAutospacing="0"/>
              <w:jc w:val="both"/>
              <w:rPr>
                <w:sz w:val="22"/>
                <w:szCs w:val="22"/>
                <w:lang w:val="en-GB"/>
              </w:rPr>
            </w:pPr>
            <w:r w:rsidRPr="007C2F10">
              <w:rPr>
                <w:sz w:val="22"/>
                <w:szCs w:val="22"/>
                <w:lang w:val="en-GB"/>
              </w:rPr>
              <w:t xml:space="preserve">That report shall assess how effectively this Regulation and the delegated acts adopted pursuant thereto have led end-users to choose higher‐performing tyres, taking into account the impact of this Regulation and the delegated acts adopted pursuant thereto on business, fuel consumption, safety, greenhouse gas emissions, consumer awareness and market surveillance activities. The report shall also assess the costs and benefits of mandatory independent third‐party verification of </w:t>
            </w:r>
            <w:r w:rsidRPr="007C2F10">
              <w:rPr>
                <w:sz w:val="22"/>
                <w:szCs w:val="22"/>
                <w:lang w:val="en-GB"/>
              </w:rPr>
              <w:lastRenderedPageBreak/>
              <w:t>the information provided in the tyre label, taking into account experience gained with regard to the broader framework provided by Regulation (EC) No 661/2009.</w:t>
            </w:r>
          </w:p>
          <w:p w14:paraId="46188041" w14:textId="1C9AF244" w:rsidR="007C2F10" w:rsidRPr="007C2F10" w:rsidRDefault="007C2F10" w:rsidP="007C2F10">
            <w:pPr>
              <w:pStyle w:val="Normal1"/>
              <w:spacing w:before="0" w:beforeAutospacing="0" w:after="0" w:afterAutospacing="0"/>
              <w:jc w:val="both"/>
              <w:rPr>
                <w:sz w:val="22"/>
                <w:szCs w:val="22"/>
                <w:lang w:val="en-GB"/>
              </w:rPr>
            </w:pPr>
          </w:p>
        </w:tc>
        <w:tc>
          <w:tcPr>
            <w:tcW w:w="325" w:type="pct"/>
            <w:vAlign w:val="center"/>
          </w:tcPr>
          <w:p w14:paraId="46188042" w14:textId="21455F47" w:rsidR="00F01ECE" w:rsidRPr="004D2E7C" w:rsidRDefault="00F01ECE" w:rsidP="00D9567F">
            <w:pPr>
              <w:jc w:val="center"/>
              <w:rPr>
                <w:rFonts w:cs="Times New Roman"/>
                <w:b/>
                <w:bCs/>
                <w:lang w:val="sr-Cyrl-RS"/>
              </w:rPr>
            </w:pPr>
          </w:p>
        </w:tc>
        <w:tc>
          <w:tcPr>
            <w:tcW w:w="1296" w:type="pct"/>
          </w:tcPr>
          <w:p w14:paraId="46188043" w14:textId="0EF327AA" w:rsidR="00F01ECE" w:rsidRPr="004D2E7C" w:rsidRDefault="00F01ECE" w:rsidP="00514173">
            <w:pPr>
              <w:spacing w:after="120"/>
              <w:jc w:val="both"/>
              <w:rPr>
                <w:rFonts w:cs="Times New Roman"/>
                <w:lang w:val="sr-Cyrl-RS"/>
              </w:rPr>
            </w:pPr>
          </w:p>
        </w:tc>
        <w:tc>
          <w:tcPr>
            <w:tcW w:w="235" w:type="pct"/>
            <w:vAlign w:val="center"/>
          </w:tcPr>
          <w:p w14:paraId="46188044" w14:textId="649FE814" w:rsidR="00F01ECE" w:rsidRPr="004D2E7C" w:rsidRDefault="007C2F10" w:rsidP="00F01ECE">
            <w:pPr>
              <w:jc w:val="center"/>
              <w:rPr>
                <w:rFonts w:cs="Times New Roman"/>
                <w:lang w:val="sr-Cyrl-RS"/>
              </w:rPr>
            </w:pPr>
            <w:r>
              <w:rPr>
                <w:rFonts w:cs="Times New Roman"/>
                <w:lang w:val="sr-Cyrl-RS"/>
              </w:rPr>
              <w:t>НП</w:t>
            </w:r>
          </w:p>
        </w:tc>
        <w:tc>
          <w:tcPr>
            <w:tcW w:w="676" w:type="pct"/>
            <w:vAlign w:val="center"/>
          </w:tcPr>
          <w:p w14:paraId="46188045" w14:textId="623D243B" w:rsidR="00F01ECE" w:rsidRPr="004D2E7C" w:rsidRDefault="007C2F10" w:rsidP="007C2F10">
            <w:pPr>
              <w:rPr>
                <w:rFonts w:cs="Times New Roman"/>
                <w:spacing w:val="-6"/>
                <w:lang w:val="sr-Cyrl-RS"/>
              </w:rPr>
            </w:pPr>
            <w:r w:rsidRPr="004D2E7C">
              <w:rPr>
                <w:rFonts w:cs="Times New Roman"/>
                <w:spacing w:val="-6"/>
                <w:lang w:val="sr-Cyrl-RS"/>
              </w:rPr>
              <w:t>Одредба се односи на обавезе Европске комисије</w:t>
            </w:r>
            <w:r w:rsidRPr="004D2E7C">
              <w:rPr>
                <w:rFonts w:cs="Times New Roman"/>
                <w:lang w:val="sr-Cyrl-RS"/>
              </w:rPr>
              <w:t>.</w:t>
            </w:r>
          </w:p>
        </w:tc>
        <w:tc>
          <w:tcPr>
            <w:tcW w:w="699" w:type="pct"/>
            <w:vAlign w:val="center"/>
          </w:tcPr>
          <w:p w14:paraId="46188046" w14:textId="77777777" w:rsidR="00F01ECE" w:rsidRPr="004D2E7C" w:rsidRDefault="00F01ECE" w:rsidP="00F01ECE">
            <w:pPr>
              <w:rPr>
                <w:rFonts w:cs="Times New Roman"/>
                <w:lang w:val="sr-Cyrl-RS"/>
              </w:rPr>
            </w:pPr>
          </w:p>
        </w:tc>
      </w:tr>
      <w:tr w:rsidR="00F01ECE" w:rsidRPr="004D2E7C" w14:paraId="46188055" w14:textId="77777777" w:rsidTr="00D9567F">
        <w:tc>
          <w:tcPr>
            <w:tcW w:w="280" w:type="pct"/>
            <w:shd w:val="clear" w:color="auto" w:fill="D9D9D9"/>
            <w:vAlign w:val="center"/>
          </w:tcPr>
          <w:p w14:paraId="46188048" w14:textId="1AD41259" w:rsidR="00F01ECE" w:rsidRPr="004D2E7C" w:rsidRDefault="007C2F10" w:rsidP="00F01ECE">
            <w:pPr>
              <w:jc w:val="center"/>
              <w:rPr>
                <w:rFonts w:eastAsia="Times New Roman" w:cs="Times New Roman"/>
                <w:lang w:val="sr-Cyrl-RS"/>
              </w:rPr>
            </w:pPr>
            <w:r>
              <w:rPr>
                <w:rFonts w:eastAsia="Times New Roman" w:cs="Times New Roman"/>
                <w:lang w:val="sr-Latn-RS"/>
              </w:rPr>
              <w:lastRenderedPageBreak/>
              <w:t>1</w:t>
            </w:r>
            <w:r w:rsidR="00F01ECE" w:rsidRPr="004D2E7C">
              <w:rPr>
                <w:rFonts w:eastAsia="Times New Roman" w:cs="Times New Roman"/>
                <w:lang w:val="sr-Cyrl-RS"/>
              </w:rPr>
              <w:t>6.</w:t>
            </w:r>
          </w:p>
        </w:tc>
        <w:tc>
          <w:tcPr>
            <w:tcW w:w="1489" w:type="pct"/>
            <w:shd w:val="clear" w:color="auto" w:fill="D9D9D9"/>
            <w:vAlign w:val="center"/>
          </w:tcPr>
          <w:p w14:paraId="0961864F" w14:textId="4E6660B2" w:rsidR="007C2F10" w:rsidRDefault="007C2F10" w:rsidP="007C2F10">
            <w:pPr>
              <w:pStyle w:val="Normal1"/>
              <w:spacing w:before="0" w:beforeAutospacing="0" w:after="0" w:afterAutospacing="0"/>
              <w:jc w:val="both"/>
              <w:rPr>
                <w:b/>
                <w:bCs/>
                <w:sz w:val="22"/>
                <w:szCs w:val="22"/>
                <w:lang w:val="en-GB"/>
              </w:rPr>
            </w:pPr>
            <w:r w:rsidRPr="007C2F10">
              <w:rPr>
                <w:b/>
                <w:bCs/>
                <w:sz w:val="22"/>
                <w:szCs w:val="22"/>
                <w:lang w:val="en-GB"/>
              </w:rPr>
              <w:t>Amendment to Regulation (EU) 2017/1369</w:t>
            </w:r>
          </w:p>
          <w:p w14:paraId="48987A5C" w14:textId="77777777" w:rsidR="007C2F10" w:rsidRPr="007C2F10" w:rsidRDefault="007C2F10" w:rsidP="007C2F10">
            <w:pPr>
              <w:pStyle w:val="Normal1"/>
              <w:spacing w:before="0" w:beforeAutospacing="0" w:after="0" w:afterAutospacing="0"/>
              <w:jc w:val="both"/>
              <w:rPr>
                <w:b/>
                <w:bCs/>
                <w:sz w:val="22"/>
                <w:szCs w:val="22"/>
                <w:lang w:val="en-GB"/>
              </w:rPr>
            </w:pPr>
          </w:p>
          <w:p w14:paraId="7D6A377F" w14:textId="77777777" w:rsidR="007C2F10" w:rsidRPr="007C2F10" w:rsidRDefault="007C2F10" w:rsidP="007C2F10">
            <w:pPr>
              <w:pStyle w:val="Normal1"/>
              <w:spacing w:before="0" w:beforeAutospacing="0" w:after="0" w:afterAutospacing="0"/>
              <w:jc w:val="both"/>
              <w:rPr>
                <w:sz w:val="22"/>
                <w:szCs w:val="22"/>
                <w:lang w:val="en-GB"/>
              </w:rPr>
            </w:pPr>
            <w:r w:rsidRPr="007C2F10">
              <w:rPr>
                <w:sz w:val="22"/>
                <w:szCs w:val="22"/>
                <w:lang w:val="en-GB"/>
              </w:rPr>
              <w:t>In Article 12(2) of Regulation (EU) 2017/1369, point (a) is replaced by the following:</w:t>
            </w:r>
          </w:p>
          <w:p w14:paraId="3B1CD5E0" w14:textId="7618B5CF" w:rsidR="00F01ECE" w:rsidRDefault="007C2F10" w:rsidP="007C2F10">
            <w:pPr>
              <w:pStyle w:val="Normal1"/>
              <w:spacing w:before="0" w:beforeAutospacing="0" w:after="0" w:afterAutospacing="0"/>
              <w:jc w:val="both"/>
              <w:rPr>
                <w:sz w:val="22"/>
                <w:szCs w:val="22"/>
                <w:lang w:val="en-GB"/>
              </w:rPr>
            </w:pPr>
            <w:r w:rsidRPr="007C2F10">
              <w:rPr>
                <w:sz w:val="22"/>
                <w:szCs w:val="22"/>
                <w:lang w:val="en-GB"/>
              </w:rPr>
              <w:t>‘(a) to support market surveillance authorities in carrying out their tasks under this Regulation and the relevant delegated acts, including enforcement thereof, and under Regulation (EU) 2020/740 of the European Parliament and of the Council.</w:t>
            </w:r>
          </w:p>
          <w:p w14:paraId="4618804F" w14:textId="438E09DA" w:rsidR="007C2F10" w:rsidRPr="007C2F10" w:rsidRDefault="007C2F10" w:rsidP="007C2F10">
            <w:pPr>
              <w:pStyle w:val="Normal1"/>
              <w:spacing w:before="0" w:beforeAutospacing="0" w:after="0" w:afterAutospacing="0"/>
              <w:jc w:val="both"/>
              <w:rPr>
                <w:sz w:val="22"/>
                <w:szCs w:val="22"/>
                <w:lang w:val="en-GB"/>
              </w:rPr>
            </w:pPr>
          </w:p>
        </w:tc>
        <w:tc>
          <w:tcPr>
            <w:tcW w:w="325" w:type="pct"/>
            <w:vAlign w:val="center"/>
          </w:tcPr>
          <w:p w14:paraId="46188050" w14:textId="77777777" w:rsidR="00F01ECE" w:rsidRPr="004D2E7C" w:rsidRDefault="00F01ECE" w:rsidP="00D9567F">
            <w:pPr>
              <w:jc w:val="center"/>
              <w:rPr>
                <w:rFonts w:cs="Times New Roman"/>
                <w:lang w:val="sr-Cyrl-RS"/>
              </w:rPr>
            </w:pPr>
          </w:p>
        </w:tc>
        <w:tc>
          <w:tcPr>
            <w:tcW w:w="1296" w:type="pct"/>
          </w:tcPr>
          <w:p w14:paraId="46188051" w14:textId="77777777" w:rsidR="00F01ECE" w:rsidRPr="004D2E7C" w:rsidRDefault="00F01ECE" w:rsidP="00F01ECE">
            <w:pPr>
              <w:rPr>
                <w:rFonts w:cs="Times New Roman"/>
                <w:lang w:val="sr-Cyrl-RS"/>
              </w:rPr>
            </w:pPr>
          </w:p>
        </w:tc>
        <w:tc>
          <w:tcPr>
            <w:tcW w:w="235" w:type="pct"/>
            <w:vAlign w:val="center"/>
          </w:tcPr>
          <w:p w14:paraId="46188052" w14:textId="558D6781" w:rsidR="00F01ECE" w:rsidRPr="004D2E7C" w:rsidRDefault="00C73015" w:rsidP="00F01ECE">
            <w:pPr>
              <w:jc w:val="center"/>
              <w:rPr>
                <w:rFonts w:cs="Times New Roman"/>
                <w:lang w:val="sr-Cyrl-RS"/>
              </w:rPr>
            </w:pPr>
            <w:r>
              <w:rPr>
                <w:rFonts w:cs="Times New Roman"/>
                <w:lang w:val="sr-Cyrl-RS"/>
              </w:rPr>
              <w:t>НП</w:t>
            </w:r>
          </w:p>
        </w:tc>
        <w:tc>
          <w:tcPr>
            <w:tcW w:w="676" w:type="pct"/>
            <w:vAlign w:val="center"/>
          </w:tcPr>
          <w:p w14:paraId="46188053" w14:textId="745E10C0" w:rsidR="00F01ECE" w:rsidRPr="004D2E7C" w:rsidRDefault="00C73015" w:rsidP="00F01ECE">
            <w:pPr>
              <w:rPr>
                <w:rFonts w:cs="Times New Roman"/>
                <w:lang w:val="sr-Cyrl-RS"/>
              </w:rPr>
            </w:pPr>
            <w:r w:rsidRPr="004D2E7C">
              <w:rPr>
                <w:rFonts w:cs="Times New Roman"/>
                <w:spacing w:val="-6"/>
                <w:lang w:val="sr-Cyrl-RS"/>
              </w:rPr>
              <w:t>Одредбе су процедуралног карактера.</w:t>
            </w:r>
          </w:p>
        </w:tc>
        <w:tc>
          <w:tcPr>
            <w:tcW w:w="699" w:type="pct"/>
            <w:vAlign w:val="center"/>
          </w:tcPr>
          <w:p w14:paraId="46188054" w14:textId="77777777" w:rsidR="00F01ECE" w:rsidRPr="004D2E7C" w:rsidRDefault="00F01ECE" w:rsidP="00F01ECE">
            <w:pPr>
              <w:rPr>
                <w:rFonts w:cs="Times New Roman"/>
                <w:lang w:val="sr-Cyrl-RS"/>
              </w:rPr>
            </w:pPr>
          </w:p>
        </w:tc>
      </w:tr>
      <w:tr w:rsidR="00F01ECE" w:rsidRPr="004D2E7C" w14:paraId="4618805D" w14:textId="77777777" w:rsidTr="00D9567F">
        <w:tc>
          <w:tcPr>
            <w:tcW w:w="280" w:type="pct"/>
            <w:shd w:val="clear" w:color="auto" w:fill="D9D9D9"/>
            <w:vAlign w:val="center"/>
          </w:tcPr>
          <w:p w14:paraId="46188056" w14:textId="4BD55F2E" w:rsidR="00F01ECE" w:rsidRPr="004D2E7C" w:rsidRDefault="007C2F10" w:rsidP="00F01ECE">
            <w:pPr>
              <w:jc w:val="center"/>
              <w:rPr>
                <w:rFonts w:eastAsia="Times New Roman" w:cs="Times New Roman"/>
                <w:lang w:val="sr-Cyrl-RS"/>
              </w:rPr>
            </w:pPr>
            <w:r>
              <w:rPr>
                <w:rFonts w:eastAsia="Times New Roman" w:cs="Times New Roman"/>
                <w:lang w:val="sr-Latn-RS"/>
              </w:rPr>
              <w:t>1</w:t>
            </w:r>
            <w:r w:rsidR="00F01ECE" w:rsidRPr="004D2E7C">
              <w:rPr>
                <w:rFonts w:eastAsia="Times New Roman" w:cs="Times New Roman"/>
                <w:lang w:val="sr-Cyrl-RS"/>
              </w:rPr>
              <w:t>7.</w:t>
            </w:r>
          </w:p>
        </w:tc>
        <w:tc>
          <w:tcPr>
            <w:tcW w:w="1489" w:type="pct"/>
            <w:shd w:val="clear" w:color="auto" w:fill="D9D9D9"/>
            <w:vAlign w:val="center"/>
          </w:tcPr>
          <w:p w14:paraId="642AE0F9" w14:textId="2580EB78" w:rsidR="007C2F10" w:rsidRDefault="007C2F10" w:rsidP="007C2F10">
            <w:pPr>
              <w:jc w:val="both"/>
              <w:rPr>
                <w:rFonts w:eastAsia="Times New Roman" w:cs="Times New Roman"/>
                <w:b/>
                <w:bCs/>
                <w:lang w:val="en-GB"/>
              </w:rPr>
            </w:pPr>
            <w:r w:rsidRPr="007C2F10">
              <w:rPr>
                <w:rFonts w:eastAsia="Times New Roman" w:cs="Times New Roman"/>
                <w:b/>
                <w:bCs/>
                <w:lang w:val="en-GB"/>
              </w:rPr>
              <w:t>Repeal of Regulation (EC) No 1222/2009</w:t>
            </w:r>
          </w:p>
          <w:p w14:paraId="5DD6303C" w14:textId="77777777" w:rsidR="007C2F10" w:rsidRPr="007C2F10" w:rsidRDefault="007C2F10" w:rsidP="007C2F10">
            <w:pPr>
              <w:jc w:val="both"/>
              <w:rPr>
                <w:rFonts w:eastAsia="Times New Roman" w:cs="Times New Roman"/>
                <w:b/>
                <w:bCs/>
                <w:lang w:val="en-GB"/>
              </w:rPr>
            </w:pPr>
          </w:p>
          <w:p w14:paraId="5C05A7D1" w14:textId="77777777" w:rsidR="007C2F10" w:rsidRPr="007C2F10" w:rsidRDefault="007C2F10" w:rsidP="007C2F10">
            <w:pPr>
              <w:jc w:val="both"/>
              <w:rPr>
                <w:rFonts w:eastAsia="Times New Roman" w:cs="Times New Roman"/>
                <w:lang w:val="en-GB"/>
              </w:rPr>
            </w:pPr>
            <w:r w:rsidRPr="007C2F10">
              <w:rPr>
                <w:rFonts w:eastAsia="Times New Roman" w:cs="Times New Roman"/>
                <w:lang w:val="en-GB"/>
              </w:rPr>
              <w:t>Regulation (EC) No 1222/2009 is repealed with effect from 1 May 2021.</w:t>
            </w:r>
          </w:p>
          <w:p w14:paraId="52238126" w14:textId="77777777" w:rsidR="00F01ECE" w:rsidRDefault="007C2F10" w:rsidP="00F01ECE">
            <w:pPr>
              <w:jc w:val="both"/>
              <w:rPr>
                <w:rFonts w:eastAsia="Times New Roman" w:cs="Times New Roman"/>
                <w:lang w:val="en-GB"/>
              </w:rPr>
            </w:pPr>
            <w:r w:rsidRPr="007C2F10">
              <w:rPr>
                <w:rFonts w:eastAsia="Times New Roman" w:cs="Times New Roman"/>
                <w:lang w:val="en-GB"/>
              </w:rPr>
              <w:t>References to the repealed Regulation shall be construed as references to this Regulation and read in accordance with the correlation table in Annex VIII to this Regulation.</w:t>
            </w:r>
          </w:p>
          <w:p w14:paraId="46188057" w14:textId="7D055F3C" w:rsidR="007C2F10" w:rsidRPr="007C2F10" w:rsidRDefault="007C2F10" w:rsidP="00F01ECE">
            <w:pPr>
              <w:jc w:val="both"/>
              <w:rPr>
                <w:rFonts w:eastAsia="Times New Roman" w:cs="Times New Roman"/>
                <w:lang w:val="sr-Latn-RS"/>
              </w:rPr>
            </w:pPr>
          </w:p>
        </w:tc>
        <w:tc>
          <w:tcPr>
            <w:tcW w:w="325" w:type="pct"/>
            <w:vAlign w:val="center"/>
          </w:tcPr>
          <w:p w14:paraId="46188058" w14:textId="77777777" w:rsidR="00F01ECE" w:rsidRPr="004D2E7C" w:rsidRDefault="00F01ECE" w:rsidP="00D9567F">
            <w:pPr>
              <w:jc w:val="center"/>
              <w:rPr>
                <w:rFonts w:cs="Times New Roman"/>
                <w:lang w:val="sr-Cyrl-RS"/>
              </w:rPr>
            </w:pPr>
          </w:p>
        </w:tc>
        <w:tc>
          <w:tcPr>
            <w:tcW w:w="1296" w:type="pct"/>
          </w:tcPr>
          <w:p w14:paraId="46188059" w14:textId="77777777" w:rsidR="00F01ECE" w:rsidRPr="004D2E7C" w:rsidRDefault="00F01ECE" w:rsidP="00F01ECE">
            <w:pPr>
              <w:rPr>
                <w:rFonts w:cs="Times New Roman"/>
                <w:lang w:val="sr-Cyrl-RS"/>
              </w:rPr>
            </w:pPr>
          </w:p>
        </w:tc>
        <w:tc>
          <w:tcPr>
            <w:tcW w:w="235" w:type="pct"/>
            <w:vAlign w:val="center"/>
          </w:tcPr>
          <w:p w14:paraId="4618805A" w14:textId="6D0CDA63" w:rsidR="00F01ECE" w:rsidRPr="004D2E7C" w:rsidRDefault="00C73015" w:rsidP="00F01ECE">
            <w:pPr>
              <w:jc w:val="center"/>
              <w:rPr>
                <w:rFonts w:cs="Times New Roman"/>
                <w:lang w:val="sr-Cyrl-RS"/>
              </w:rPr>
            </w:pPr>
            <w:r>
              <w:rPr>
                <w:rFonts w:cs="Times New Roman"/>
                <w:lang w:val="sr-Cyrl-RS"/>
              </w:rPr>
              <w:t>НП</w:t>
            </w:r>
          </w:p>
        </w:tc>
        <w:tc>
          <w:tcPr>
            <w:tcW w:w="676" w:type="pct"/>
            <w:vAlign w:val="center"/>
          </w:tcPr>
          <w:p w14:paraId="4618805B" w14:textId="1F428F84" w:rsidR="00F01ECE" w:rsidRPr="004D2E7C" w:rsidRDefault="00C73015" w:rsidP="00F01ECE">
            <w:pPr>
              <w:rPr>
                <w:rFonts w:cs="Times New Roman"/>
                <w:lang w:val="sr-Cyrl-RS"/>
              </w:rPr>
            </w:pPr>
            <w:r w:rsidRPr="004D2E7C">
              <w:rPr>
                <w:rFonts w:cs="Times New Roman"/>
                <w:spacing w:val="-6"/>
                <w:lang w:val="sr-Cyrl-RS"/>
              </w:rPr>
              <w:t>Одредбе су процедуралног карактера.</w:t>
            </w:r>
          </w:p>
        </w:tc>
        <w:tc>
          <w:tcPr>
            <w:tcW w:w="699" w:type="pct"/>
            <w:vAlign w:val="center"/>
          </w:tcPr>
          <w:p w14:paraId="4618805C" w14:textId="77777777" w:rsidR="00F01ECE" w:rsidRPr="004D2E7C" w:rsidRDefault="00F01ECE" w:rsidP="00F01ECE">
            <w:pPr>
              <w:rPr>
                <w:rFonts w:cs="Times New Roman"/>
                <w:lang w:val="sr-Cyrl-RS"/>
              </w:rPr>
            </w:pPr>
          </w:p>
        </w:tc>
      </w:tr>
      <w:tr w:rsidR="00F01ECE" w:rsidRPr="004D2E7C" w14:paraId="46188065" w14:textId="77777777" w:rsidTr="00D9567F">
        <w:tc>
          <w:tcPr>
            <w:tcW w:w="280" w:type="pct"/>
            <w:shd w:val="clear" w:color="auto" w:fill="D9D9D9"/>
            <w:vAlign w:val="center"/>
          </w:tcPr>
          <w:p w14:paraId="4618805E" w14:textId="7585CAE5" w:rsidR="00F01ECE" w:rsidRPr="004D2E7C" w:rsidRDefault="007C2F10" w:rsidP="00F01ECE">
            <w:pPr>
              <w:jc w:val="center"/>
              <w:rPr>
                <w:rFonts w:eastAsia="Times New Roman" w:cs="Times New Roman"/>
                <w:lang w:val="sr-Cyrl-RS"/>
              </w:rPr>
            </w:pPr>
            <w:r>
              <w:rPr>
                <w:rFonts w:eastAsia="Times New Roman" w:cs="Times New Roman"/>
                <w:lang w:val="sr-Latn-RS"/>
              </w:rPr>
              <w:t>1</w:t>
            </w:r>
            <w:r w:rsidR="00F01ECE" w:rsidRPr="004D2E7C">
              <w:rPr>
                <w:rFonts w:eastAsia="Times New Roman" w:cs="Times New Roman"/>
                <w:lang w:val="sr-Cyrl-RS"/>
              </w:rPr>
              <w:t>8.</w:t>
            </w:r>
          </w:p>
        </w:tc>
        <w:tc>
          <w:tcPr>
            <w:tcW w:w="1489" w:type="pct"/>
            <w:shd w:val="clear" w:color="auto" w:fill="D9D9D9"/>
            <w:vAlign w:val="center"/>
          </w:tcPr>
          <w:p w14:paraId="743C3D55" w14:textId="208AD285" w:rsidR="007C2F10" w:rsidRDefault="007C2F10" w:rsidP="007C2F10">
            <w:pPr>
              <w:jc w:val="both"/>
              <w:rPr>
                <w:rFonts w:eastAsia="Times New Roman" w:cs="Times New Roman"/>
                <w:b/>
                <w:bCs/>
                <w:lang w:val="en-GB"/>
              </w:rPr>
            </w:pPr>
            <w:r w:rsidRPr="007C2F10">
              <w:rPr>
                <w:rFonts w:eastAsia="Times New Roman" w:cs="Times New Roman"/>
                <w:b/>
                <w:bCs/>
                <w:lang w:val="en-GB"/>
              </w:rPr>
              <w:t>Entry into force</w:t>
            </w:r>
          </w:p>
          <w:p w14:paraId="08BAF802" w14:textId="77777777" w:rsidR="007C2F10" w:rsidRPr="007C2F10" w:rsidRDefault="007C2F10" w:rsidP="007C2F10">
            <w:pPr>
              <w:jc w:val="both"/>
              <w:rPr>
                <w:rFonts w:eastAsia="Times New Roman" w:cs="Times New Roman"/>
                <w:b/>
                <w:bCs/>
                <w:lang w:val="en-GB"/>
              </w:rPr>
            </w:pPr>
          </w:p>
          <w:p w14:paraId="4609DA78" w14:textId="77777777" w:rsidR="007C2F10" w:rsidRPr="007C2F10" w:rsidRDefault="007C2F10" w:rsidP="007C2F10">
            <w:pPr>
              <w:jc w:val="both"/>
              <w:rPr>
                <w:rFonts w:eastAsia="Times New Roman" w:cs="Times New Roman"/>
                <w:lang w:val="en-GB"/>
              </w:rPr>
            </w:pPr>
            <w:r w:rsidRPr="007C2F10">
              <w:rPr>
                <w:rFonts w:eastAsia="Times New Roman" w:cs="Times New Roman"/>
                <w:lang w:val="en-GB"/>
              </w:rPr>
              <w:t>This Regulation shall enter into force on the twentieth day following that of its publication in the </w:t>
            </w:r>
            <w:r w:rsidRPr="007C2F10">
              <w:rPr>
                <w:rFonts w:eastAsia="Times New Roman" w:cs="Times New Roman"/>
                <w:i/>
                <w:iCs/>
                <w:lang w:val="en-GB"/>
              </w:rPr>
              <w:t>Official Journal of the European Union</w:t>
            </w:r>
            <w:r w:rsidRPr="007C2F10">
              <w:rPr>
                <w:rFonts w:eastAsia="Times New Roman" w:cs="Times New Roman"/>
                <w:lang w:val="en-GB"/>
              </w:rPr>
              <w:t>.</w:t>
            </w:r>
          </w:p>
          <w:p w14:paraId="030EF95A" w14:textId="77777777" w:rsidR="007C2F10" w:rsidRPr="007C2F10" w:rsidRDefault="007C2F10" w:rsidP="007C2F10">
            <w:pPr>
              <w:jc w:val="both"/>
              <w:rPr>
                <w:rFonts w:eastAsia="Times New Roman" w:cs="Times New Roman"/>
                <w:lang w:val="en-GB"/>
              </w:rPr>
            </w:pPr>
            <w:r w:rsidRPr="007C2F10">
              <w:rPr>
                <w:rFonts w:eastAsia="Times New Roman" w:cs="Times New Roman"/>
                <w:lang w:val="en-GB"/>
              </w:rPr>
              <w:t>It shall apply from 1 May 2021.</w:t>
            </w:r>
          </w:p>
          <w:p w14:paraId="7080974F" w14:textId="77777777" w:rsidR="007C2F10" w:rsidRPr="007C2F10" w:rsidRDefault="007C2F10" w:rsidP="007C2F10">
            <w:pPr>
              <w:jc w:val="both"/>
              <w:rPr>
                <w:rFonts w:eastAsia="Times New Roman" w:cs="Times New Roman"/>
                <w:lang w:val="en-GB"/>
              </w:rPr>
            </w:pPr>
            <w:r w:rsidRPr="007C2F10">
              <w:rPr>
                <w:rFonts w:eastAsia="Times New Roman" w:cs="Times New Roman"/>
                <w:lang w:val="en-GB"/>
              </w:rPr>
              <w:t>This Regulation shall be binding in its entirety and directly applicable in all Member States.</w:t>
            </w:r>
          </w:p>
          <w:p w14:paraId="4618805F" w14:textId="217A7B20" w:rsidR="00F01ECE" w:rsidRPr="004D2E7C" w:rsidRDefault="00F01ECE" w:rsidP="00F01ECE">
            <w:pPr>
              <w:jc w:val="both"/>
              <w:rPr>
                <w:rFonts w:eastAsia="Times New Roman" w:cs="Times New Roman"/>
                <w:lang w:val="en-GB"/>
              </w:rPr>
            </w:pPr>
          </w:p>
        </w:tc>
        <w:tc>
          <w:tcPr>
            <w:tcW w:w="325" w:type="pct"/>
            <w:vAlign w:val="center"/>
          </w:tcPr>
          <w:p w14:paraId="46188060" w14:textId="77777777" w:rsidR="00F01ECE" w:rsidRPr="004D2E7C" w:rsidRDefault="00F01ECE" w:rsidP="00D9567F">
            <w:pPr>
              <w:jc w:val="center"/>
              <w:rPr>
                <w:rFonts w:cs="Times New Roman"/>
                <w:lang w:val="sr-Cyrl-RS"/>
              </w:rPr>
            </w:pPr>
          </w:p>
        </w:tc>
        <w:tc>
          <w:tcPr>
            <w:tcW w:w="1296" w:type="pct"/>
          </w:tcPr>
          <w:p w14:paraId="46188061" w14:textId="77777777" w:rsidR="00F01ECE" w:rsidRPr="004D2E7C" w:rsidRDefault="00F01ECE" w:rsidP="00F01ECE">
            <w:pPr>
              <w:rPr>
                <w:rFonts w:cs="Times New Roman"/>
                <w:lang w:val="sr-Cyrl-RS"/>
              </w:rPr>
            </w:pPr>
          </w:p>
        </w:tc>
        <w:tc>
          <w:tcPr>
            <w:tcW w:w="235" w:type="pct"/>
            <w:vAlign w:val="center"/>
          </w:tcPr>
          <w:p w14:paraId="46188062" w14:textId="26785FF3" w:rsidR="00F01ECE" w:rsidRPr="004D2E7C" w:rsidRDefault="007C2F10" w:rsidP="00F01ECE">
            <w:pPr>
              <w:jc w:val="center"/>
              <w:rPr>
                <w:rFonts w:cs="Times New Roman"/>
                <w:lang w:val="sr-Cyrl-RS"/>
              </w:rPr>
            </w:pPr>
            <w:r>
              <w:rPr>
                <w:rFonts w:cs="Times New Roman"/>
                <w:lang w:val="sr-Cyrl-RS"/>
              </w:rPr>
              <w:t>НП</w:t>
            </w:r>
          </w:p>
        </w:tc>
        <w:tc>
          <w:tcPr>
            <w:tcW w:w="676" w:type="pct"/>
            <w:vAlign w:val="center"/>
          </w:tcPr>
          <w:p w14:paraId="46188063" w14:textId="03470F14" w:rsidR="00F01ECE" w:rsidRPr="004D2E7C" w:rsidRDefault="007C2F10" w:rsidP="00F01ECE">
            <w:pPr>
              <w:rPr>
                <w:rFonts w:cs="Times New Roman"/>
                <w:lang w:val="sr-Cyrl-RS"/>
              </w:rPr>
            </w:pPr>
            <w:r w:rsidRPr="004D2E7C">
              <w:rPr>
                <w:rFonts w:cs="Times New Roman"/>
                <w:spacing w:val="-6"/>
                <w:lang w:val="sr-Cyrl-RS"/>
              </w:rPr>
              <w:t>Одредбе су процедуралног карактера.</w:t>
            </w:r>
          </w:p>
        </w:tc>
        <w:tc>
          <w:tcPr>
            <w:tcW w:w="699" w:type="pct"/>
            <w:vAlign w:val="center"/>
          </w:tcPr>
          <w:p w14:paraId="46188064" w14:textId="77777777" w:rsidR="00F01ECE" w:rsidRPr="004D2E7C" w:rsidRDefault="00F01ECE" w:rsidP="00F01ECE">
            <w:pPr>
              <w:rPr>
                <w:rFonts w:cs="Times New Roman"/>
                <w:lang w:val="sr-Cyrl-RS"/>
              </w:rPr>
            </w:pPr>
          </w:p>
        </w:tc>
      </w:tr>
      <w:tr w:rsidR="00F01ECE" w:rsidRPr="004D2E7C" w14:paraId="46188217" w14:textId="77777777" w:rsidTr="00D9567F">
        <w:tc>
          <w:tcPr>
            <w:tcW w:w="280" w:type="pct"/>
            <w:shd w:val="clear" w:color="auto" w:fill="D9D9D9"/>
            <w:vAlign w:val="center"/>
          </w:tcPr>
          <w:p w14:paraId="4618820E" w14:textId="6E768541" w:rsidR="00F01ECE" w:rsidRPr="004066DA" w:rsidRDefault="004066DA" w:rsidP="004066DA">
            <w:pPr>
              <w:jc w:val="center"/>
              <w:rPr>
                <w:rFonts w:cs="Times New Roman"/>
              </w:rPr>
            </w:pPr>
            <w:r>
              <w:rPr>
                <w:rFonts w:cs="Times New Roman"/>
              </w:rPr>
              <w:lastRenderedPageBreak/>
              <w:t>Annex I</w:t>
            </w:r>
          </w:p>
        </w:tc>
        <w:tc>
          <w:tcPr>
            <w:tcW w:w="1489" w:type="pct"/>
            <w:shd w:val="clear" w:color="auto" w:fill="D9D9D9"/>
            <w:vAlign w:val="center"/>
          </w:tcPr>
          <w:p w14:paraId="46188211" w14:textId="5D3EE98F" w:rsidR="00F01ECE" w:rsidRPr="004066DA" w:rsidRDefault="007C2F10" w:rsidP="004066DA">
            <w:pPr>
              <w:jc w:val="both"/>
              <w:rPr>
                <w:rFonts w:cs="Times New Roman"/>
                <w:vanish/>
                <w:lang w:val="sr-Latn-RS"/>
              </w:rPr>
            </w:pPr>
            <w:r w:rsidRPr="004066DA">
              <w:rPr>
                <w:rFonts w:cs="Times New Roman"/>
              </w:rPr>
              <w:t>T</w:t>
            </w:r>
            <w:r w:rsidR="004066DA">
              <w:rPr>
                <w:rFonts w:cs="Times New Roman"/>
              </w:rPr>
              <w:t xml:space="preserve">esting, grading and measurement of </w:t>
            </w:r>
            <w:proofErr w:type="spellStart"/>
            <w:r w:rsidR="004066DA">
              <w:rPr>
                <w:rFonts w:cs="Times New Roman"/>
              </w:rPr>
              <w:t>tyre</w:t>
            </w:r>
            <w:proofErr w:type="spellEnd"/>
            <w:r w:rsidR="004066DA">
              <w:rPr>
                <w:rFonts w:cs="Times New Roman"/>
              </w:rPr>
              <w:t xml:space="preserve"> parameters</w:t>
            </w:r>
          </w:p>
        </w:tc>
        <w:tc>
          <w:tcPr>
            <w:tcW w:w="325" w:type="pct"/>
            <w:vAlign w:val="center"/>
          </w:tcPr>
          <w:p w14:paraId="46188212" w14:textId="77777777" w:rsidR="00F01ECE" w:rsidRPr="004066DA" w:rsidRDefault="00F01ECE" w:rsidP="00D9567F">
            <w:pPr>
              <w:jc w:val="center"/>
              <w:rPr>
                <w:rFonts w:cs="Times New Roman"/>
                <w:lang w:val="sr-Cyrl-RS"/>
              </w:rPr>
            </w:pPr>
          </w:p>
        </w:tc>
        <w:tc>
          <w:tcPr>
            <w:tcW w:w="1296" w:type="pct"/>
          </w:tcPr>
          <w:p w14:paraId="46188213" w14:textId="77777777" w:rsidR="00F01ECE" w:rsidRPr="004066DA" w:rsidRDefault="00F01ECE" w:rsidP="004066DA">
            <w:pPr>
              <w:rPr>
                <w:rFonts w:cs="Times New Roman"/>
                <w:vanish/>
                <w:lang w:val="sr-Cyrl-RS"/>
              </w:rPr>
            </w:pPr>
          </w:p>
        </w:tc>
        <w:tc>
          <w:tcPr>
            <w:tcW w:w="235" w:type="pct"/>
            <w:vAlign w:val="center"/>
          </w:tcPr>
          <w:p w14:paraId="46188214" w14:textId="549184C4" w:rsidR="00F01ECE" w:rsidRPr="004066DA" w:rsidRDefault="00C73015" w:rsidP="004066DA">
            <w:pPr>
              <w:jc w:val="center"/>
              <w:rPr>
                <w:rFonts w:cs="Times New Roman"/>
                <w:lang w:val="sr-Cyrl-RS"/>
              </w:rPr>
            </w:pPr>
            <w:r>
              <w:rPr>
                <w:rFonts w:cs="Times New Roman"/>
                <w:lang w:val="sr-Cyrl-RS"/>
              </w:rPr>
              <w:t>НУ</w:t>
            </w:r>
          </w:p>
        </w:tc>
        <w:tc>
          <w:tcPr>
            <w:tcW w:w="676" w:type="pct"/>
            <w:vAlign w:val="center"/>
          </w:tcPr>
          <w:p w14:paraId="46188215" w14:textId="78D053EA" w:rsidR="00F01ECE" w:rsidRPr="004066DA" w:rsidRDefault="00F01ECE" w:rsidP="004066DA">
            <w:pPr>
              <w:rPr>
                <w:rFonts w:cs="Times New Roman"/>
                <w:lang w:val="sr-Cyrl-RS"/>
              </w:rPr>
            </w:pPr>
          </w:p>
        </w:tc>
        <w:tc>
          <w:tcPr>
            <w:tcW w:w="699" w:type="pct"/>
            <w:vAlign w:val="center"/>
          </w:tcPr>
          <w:p w14:paraId="46188216" w14:textId="393869D0" w:rsidR="00F01ECE" w:rsidRPr="004066DA" w:rsidRDefault="00914D1E" w:rsidP="004066DA">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t xml:space="preserve">доношењем подзаконских аката и </w:t>
            </w:r>
            <w:r w:rsidRPr="008A4AD2">
              <w:rPr>
                <w:rFonts w:cs="Times New Roman"/>
                <w:lang w:val="sr-Cyrl-RS"/>
              </w:rPr>
              <w:t>техничк</w:t>
            </w:r>
            <w:r>
              <w:rPr>
                <w:rFonts w:cs="Times New Roman"/>
                <w:lang w:val="sr-Cyrl-RS"/>
              </w:rPr>
              <w:t>их прописа.</w:t>
            </w:r>
          </w:p>
        </w:tc>
      </w:tr>
      <w:tr w:rsidR="00F01ECE" w:rsidRPr="004D2E7C" w14:paraId="46188221" w14:textId="77777777" w:rsidTr="00D9567F">
        <w:tc>
          <w:tcPr>
            <w:tcW w:w="280" w:type="pct"/>
            <w:shd w:val="clear" w:color="auto" w:fill="D9D9D9"/>
            <w:vAlign w:val="center"/>
          </w:tcPr>
          <w:p w14:paraId="46188218" w14:textId="267DE98E" w:rsidR="00F01ECE" w:rsidRPr="004066DA" w:rsidRDefault="004066DA" w:rsidP="004066DA">
            <w:pPr>
              <w:jc w:val="center"/>
              <w:rPr>
                <w:rFonts w:cs="Times New Roman"/>
              </w:rPr>
            </w:pPr>
            <w:r>
              <w:rPr>
                <w:rFonts w:cs="Times New Roman"/>
              </w:rPr>
              <w:t>Annex II</w:t>
            </w:r>
          </w:p>
        </w:tc>
        <w:tc>
          <w:tcPr>
            <w:tcW w:w="1489" w:type="pct"/>
            <w:shd w:val="clear" w:color="auto" w:fill="D9D9D9"/>
            <w:vAlign w:val="center"/>
          </w:tcPr>
          <w:p w14:paraId="4618821B" w14:textId="3346DF91" w:rsidR="00F01ECE" w:rsidRPr="004066DA" w:rsidRDefault="004066DA" w:rsidP="004066DA">
            <w:pPr>
              <w:jc w:val="both"/>
              <w:rPr>
                <w:rFonts w:cs="Times New Roman"/>
                <w:lang w:val="en-GB"/>
              </w:rPr>
            </w:pPr>
            <w:r>
              <w:rPr>
                <w:rFonts w:cs="Times New Roman"/>
              </w:rPr>
              <w:t xml:space="preserve">Content and format of the </w:t>
            </w:r>
            <w:proofErr w:type="spellStart"/>
            <w:r>
              <w:rPr>
                <w:rFonts w:cs="Times New Roman"/>
              </w:rPr>
              <w:t>tyre</w:t>
            </w:r>
            <w:proofErr w:type="spellEnd"/>
            <w:r>
              <w:rPr>
                <w:rFonts w:cs="Times New Roman"/>
              </w:rPr>
              <w:t xml:space="preserve"> label</w:t>
            </w:r>
          </w:p>
        </w:tc>
        <w:tc>
          <w:tcPr>
            <w:tcW w:w="325" w:type="pct"/>
            <w:vAlign w:val="center"/>
          </w:tcPr>
          <w:p w14:paraId="4618821C" w14:textId="77777777" w:rsidR="00F01ECE" w:rsidRPr="004066DA" w:rsidRDefault="00F01ECE" w:rsidP="00D9567F">
            <w:pPr>
              <w:jc w:val="center"/>
              <w:rPr>
                <w:rFonts w:cs="Times New Roman"/>
                <w:lang w:val="sr-Cyrl-RS"/>
              </w:rPr>
            </w:pPr>
          </w:p>
        </w:tc>
        <w:tc>
          <w:tcPr>
            <w:tcW w:w="1296" w:type="pct"/>
          </w:tcPr>
          <w:p w14:paraId="4618821D" w14:textId="77777777" w:rsidR="00F01ECE" w:rsidRPr="004066DA" w:rsidRDefault="00F01ECE" w:rsidP="004066DA">
            <w:pPr>
              <w:rPr>
                <w:rFonts w:cs="Times New Roman"/>
                <w:lang w:val="sr-Cyrl-RS"/>
              </w:rPr>
            </w:pPr>
          </w:p>
        </w:tc>
        <w:tc>
          <w:tcPr>
            <w:tcW w:w="235" w:type="pct"/>
            <w:vAlign w:val="center"/>
          </w:tcPr>
          <w:p w14:paraId="4618821E" w14:textId="10F9D4DE" w:rsidR="00F01ECE" w:rsidRPr="004066DA" w:rsidRDefault="00C73015" w:rsidP="004066DA">
            <w:pPr>
              <w:jc w:val="center"/>
              <w:rPr>
                <w:rFonts w:cs="Times New Roman"/>
                <w:lang w:val="sr-Cyrl-RS"/>
              </w:rPr>
            </w:pPr>
            <w:r>
              <w:rPr>
                <w:rFonts w:cs="Times New Roman"/>
                <w:lang w:val="sr-Cyrl-RS"/>
              </w:rPr>
              <w:t>НУ</w:t>
            </w:r>
          </w:p>
        </w:tc>
        <w:tc>
          <w:tcPr>
            <w:tcW w:w="676" w:type="pct"/>
            <w:vAlign w:val="center"/>
          </w:tcPr>
          <w:p w14:paraId="4618821F" w14:textId="0E1982E3" w:rsidR="00F01ECE" w:rsidRPr="004066DA" w:rsidRDefault="00F01ECE" w:rsidP="004066DA">
            <w:pPr>
              <w:rPr>
                <w:rFonts w:cs="Times New Roman"/>
                <w:lang w:val="sr-Cyrl-RS"/>
              </w:rPr>
            </w:pPr>
          </w:p>
        </w:tc>
        <w:tc>
          <w:tcPr>
            <w:tcW w:w="699" w:type="pct"/>
            <w:vAlign w:val="center"/>
          </w:tcPr>
          <w:p w14:paraId="46188220" w14:textId="44402E4C" w:rsidR="00F01ECE" w:rsidRPr="004066DA" w:rsidRDefault="00914D1E" w:rsidP="004066DA">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t xml:space="preserve">доношењем подзаконских аката и </w:t>
            </w:r>
            <w:r w:rsidRPr="008A4AD2">
              <w:rPr>
                <w:rFonts w:cs="Times New Roman"/>
                <w:lang w:val="sr-Cyrl-RS"/>
              </w:rPr>
              <w:t>техничк</w:t>
            </w:r>
            <w:r>
              <w:rPr>
                <w:rFonts w:cs="Times New Roman"/>
                <w:lang w:val="sr-Cyrl-RS"/>
              </w:rPr>
              <w:t>их прописа.</w:t>
            </w:r>
          </w:p>
        </w:tc>
      </w:tr>
      <w:tr w:rsidR="004066DA" w:rsidRPr="004D2E7C" w14:paraId="72E65340" w14:textId="77777777" w:rsidTr="00D9567F">
        <w:tc>
          <w:tcPr>
            <w:tcW w:w="280" w:type="pct"/>
            <w:shd w:val="clear" w:color="auto" w:fill="D9D9D9"/>
            <w:vAlign w:val="center"/>
          </w:tcPr>
          <w:p w14:paraId="314127C5" w14:textId="7521B716" w:rsidR="004066DA" w:rsidRPr="004066DA" w:rsidRDefault="004066DA" w:rsidP="004066DA">
            <w:pPr>
              <w:jc w:val="center"/>
              <w:rPr>
                <w:rFonts w:eastAsia="Times New Roman" w:cs="Times New Roman"/>
              </w:rPr>
            </w:pPr>
            <w:r>
              <w:rPr>
                <w:rFonts w:eastAsia="Times New Roman" w:cs="Times New Roman"/>
              </w:rPr>
              <w:t>Annex III</w:t>
            </w:r>
          </w:p>
        </w:tc>
        <w:tc>
          <w:tcPr>
            <w:tcW w:w="1489" w:type="pct"/>
            <w:shd w:val="clear" w:color="auto" w:fill="D9D9D9"/>
            <w:vAlign w:val="center"/>
          </w:tcPr>
          <w:p w14:paraId="2B9F6EAF" w14:textId="59F74117" w:rsidR="004066DA" w:rsidRPr="004066DA" w:rsidRDefault="004066DA" w:rsidP="004066DA">
            <w:pPr>
              <w:jc w:val="both"/>
              <w:rPr>
                <w:rFonts w:cs="Times New Roman"/>
                <w:lang w:val="en-GB"/>
              </w:rPr>
            </w:pPr>
            <w:r w:rsidRPr="004066DA">
              <w:rPr>
                <w:rFonts w:cs="Times New Roman"/>
              </w:rPr>
              <w:t>P</w:t>
            </w:r>
            <w:r>
              <w:rPr>
                <w:rFonts w:cs="Times New Roman"/>
              </w:rPr>
              <w:t>roduct information sheet</w:t>
            </w:r>
          </w:p>
        </w:tc>
        <w:tc>
          <w:tcPr>
            <w:tcW w:w="325" w:type="pct"/>
            <w:vAlign w:val="center"/>
          </w:tcPr>
          <w:p w14:paraId="1E65F94E" w14:textId="77777777" w:rsidR="004066DA" w:rsidRPr="004066DA" w:rsidRDefault="004066DA" w:rsidP="00D9567F">
            <w:pPr>
              <w:jc w:val="center"/>
              <w:rPr>
                <w:rFonts w:cs="Times New Roman"/>
                <w:lang w:val="sr-Cyrl-RS"/>
              </w:rPr>
            </w:pPr>
          </w:p>
        </w:tc>
        <w:tc>
          <w:tcPr>
            <w:tcW w:w="1296" w:type="pct"/>
          </w:tcPr>
          <w:p w14:paraId="4919F4FC" w14:textId="77777777" w:rsidR="004066DA" w:rsidRPr="004066DA" w:rsidRDefault="004066DA" w:rsidP="004066DA">
            <w:pPr>
              <w:rPr>
                <w:rFonts w:cs="Times New Roman"/>
                <w:lang w:val="sr-Cyrl-RS"/>
              </w:rPr>
            </w:pPr>
          </w:p>
        </w:tc>
        <w:tc>
          <w:tcPr>
            <w:tcW w:w="235" w:type="pct"/>
            <w:vAlign w:val="center"/>
          </w:tcPr>
          <w:p w14:paraId="03D8449D" w14:textId="3EA4F048" w:rsidR="004066DA" w:rsidRPr="004066DA" w:rsidRDefault="00C73015" w:rsidP="004066DA">
            <w:pPr>
              <w:jc w:val="center"/>
              <w:rPr>
                <w:rFonts w:cs="Times New Roman"/>
                <w:lang w:val="sr-Cyrl-RS"/>
              </w:rPr>
            </w:pPr>
            <w:r>
              <w:rPr>
                <w:rFonts w:cs="Times New Roman"/>
                <w:lang w:val="sr-Cyrl-RS"/>
              </w:rPr>
              <w:t>НУ</w:t>
            </w:r>
          </w:p>
        </w:tc>
        <w:tc>
          <w:tcPr>
            <w:tcW w:w="676" w:type="pct"/>
            <w:vAlign w:val="center"/>
          </w:tcPr>
          <w:p w14:paraId="1ACCDF14" w14:textId="77777777" w:rsidR="004066DA" w:rsidRPr="004066DA" w:rsidRDefault="004066DA" w:rsidP="004066DA">
            <w:pPr>
              <w:rPr>
                <w:rFonts w:cs="Times New Roman"/>
                <w:lang w:val="sr-Cyrl-RS"/>
              </w:rPr>
            </w:pPr>
          </w:p>
        </w:tc>
        <w:tc>
          <w:tcPr>
            <w:tcW w:w="699" w:type="pct"/>
            <w:vAlign w:val="center"/>
          </w:tcPr>
          <w:p w14:paraId="4096C3E7" w14:textId="6D3CFC5D" w:rsidR="004066DA" w:rsidRPr="004066DA" w:rsidRDefault="00914D1E" w:rsidP="004066DA">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t xml:space="preserve">доношењем подзаконских аката и </w:t>
            </w:r>
            <w:r w:rsidRPr="008A4AD2">
              <w:rPr>
                <w:rFonts w:cs="Times New Roman"/>
                <w:lang w:val="sr-Cyrl-RS"/>
              </w:rPr>
              <w:t>техничк</w:t>
            </w:r>
            <w:r>
              <w:rPr>
                <w:rFonts w:cs="Times New Roman"/>
                <w:lang w:val="sr-Cyrl-RS"/>
              </w:rPr>
              <w:t>их прописа.</w:t>
            </w:r>
          </w:p>
        </w:tc>
      </w:tr>
      <w:tr w:rsidR="004066DA" w:rsidRPr="004D2E7C" w14:paraId="1405B180" w14:textId="77777777" w:rsidTr="00D9567F">
        <w:tc>
          <w:tcPr>
            <w:tcW w:w="280" w:type="pct"/>
            <w:shd w:val="clear" w:color="auto" w:fill="D9D9D9"/>
            <w:vAlign w:val="center"/>
          </w:tcPr>
          <w:p w14:paraId="395B743E" w14:textId="66BE9795" w:rsidR="004066DA" w:rsidRPr="004066DA" w:rsidRDefault="004066DA" w:rsidP="004066DA">
            <w:pPr>
              <w:jc w:val="center"/>
              <w:rPr>
                <w:rFonts w:eastAsia="Times New Roman" w:cs="Times New Roman"/>
              </w:rPr>
            </w:pPr>
            <w:r>
              <w:rPr>
                <w:rFonts w:eastAsia="Times New Roman" w:cs="Times New Roman"/>
              </w:rPr>
              <w:t>Annex IV</w:t>
            </w:r>
          </w:p>
        </w:tc>
        <w:tc>
          <w:tcPr>
            <w:tcW w:w="1489" w:type="pct"/>
            <w:shd w:val="clear" w:color="auto" w:fill="D9D9D9"/>
            <w:vAlign w:val="center"/>
          </w:tcPr>
          <w:p w14:paraId="04874E23" w14:textId="130B5134" w:rsidR="004066DA" w:rsidRPr="004066DA" w:rsidRDefault="004066DA" w:rsidP="004066DA">
            <w:pPr>
              <w:jc w:val="both"/>
              <w:rPr>
                <w:rFonts w:cs="Times New Roman"/>
                <w:lang w:val="en-GB"/>
              </w:rPr>
            </w:pPr>
            <w:r w:rsidRPr="004066DA">
              <w:rPr>
                <w:rFonts w:cs="Times New Roman"/>
              </w:rPr>
              <w:t>I</w:t>
            </w:r>
            <w:r>
              <w:rPr>
                <w:rFonts w:cs="Times New Roman"/>
              </w:rPr>
              <w:t>nformation provided in technical promotional material</w:t>
            </w:r>
          </w:p>
        </w:tc>
        <w:tc>
          <w:tcPr>
            <w:tcW w:w="325" w:type="pct"/>
            <w:vAlign w:val="center"/>
          </w:tcPr>
          <w:p w14:paraId="55CD5680" w14:textId="77777777" w:rsidR="004066DA" w:rsidRPr="004066DA" w:rsidRDefault="004066DA" w:rsidP="00D9567F">
            <w:pPr>
              <w:jc w:val="center"/>
              <w:rPr>
                <w:rFonts w:cs="Times New Roman"/>
                <w:lang w:val="sr-Cyrl-RS"/>
              </w:rPr>
            </w:pPr>
          </w:p>
        </w:tc>
        <w:tc>
          <w:tcPr>
            <w:tcW w:w="1296" w:type="pct"/>
          </w:tcPr>
          <w:p w14:paraId="417C58C6" w14:textId="77777777" w:rsidR="004066DA" w:rsidRPr="004066DA" w:rsidRDefault="004066DA" w:rsidP="004066DA">
            <w:pPr>
              <w:rPr>
                <w:rFonts w:cs="Times New Roman"/>
                <w:lang w:val="sr-Cyrl-RS"/>
              </w:rPr>
            </w:pPr>
          </w:p>
        </w:tc>
        <w:tc>
          <w:tcPr>
            <w:tcW w:w="235" w:type="pct"/>
            <w:vAlign w:val="center"/>
          </w:tcPr>
          <w:p w14:paraId="5A666976" w14:textId="113B2600" w:rsidR="004066DA" w:rsidRPr="004066DA" w:rsidRDefault="00C73015" w:rsidP="004066DA">
            <w:pPr>
              <w:jc w:val="center"/>
              <w:rPr>
                <w:rFonts w:cs="Times New Roman"/>
                <w:lang w:val="sr-Cyrl-RS"/>
              </w:rPr>
            </w:pPr>
            <w:r>
              <w:rPr>
                <w:rFonts w:cs="Times New Roman"/>
                <w:lang w:val="sr-Cyrl-RS"/>
              </w:rPr>
              <w:t>НУ</w:t>
            </w:r>
          </w:p>
        </w:tc>
        <w:tc>
          <w:tcPr>
            <w:tcW w:w="676" w:type="pct"/>
            <w:vAlign w:val="center"/>
          </w:tcPr>
          <w:p w14:paraId="25E8C34A" w14:textId="77777777" w:rsidR="004066DA" w:rsidRPr="004066DA" w:rsidRDefault="004066DA" w:rsidP="004066DA">
            <w:pPr>
              <w:rPr>
                <w:rFonts w:cs="Times New Roman"/>
                <w:lang w:val="sr-Cyrl-RS"/>
              </w:rPr>
            </w:pPr>
          </w:p>
        </w:tc>
        <w:tc>
          <w:tcPr>
            <w:tcW w:w="699" w:type="pct"/>
            <w:vAlign w:val="center"/>
          </w:tcPr>
          <w:p w14:paraId="6D98A52D" w14:textId="57AA650F" w:rsidR="004066DA" w:rsidRPr="004066DA" w:rsidRDefault="00914D1E" w:rsidP="004066DA">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t xml:space="preserve">доношењем подзаконских аката и </w:t>
            </w:r>
            <w:r w:rsidRPr="008A4AD2">
              <w:rPr>
                <w:rFonts w:cs="Times New Roman"/>
                <w:lang w:val="sr-Cyrl-RS"/>
              </w:rPr>
              <w:t>техничк</w:t>
            </w:r>
            <w:r>
              <w:rPr>
                <w:rFonts w:cs="Times New Roman"/>
                <w:lang w:val="sr-Cyrl-RS"/>
              </w:rPr>
              <w:t>их прописа.</w:t>
            </w:r>
          </w:p>
        </w:tc>
      </w:tr>
      <w:tr w:rsidR="004066DA" w:rsidRPr="004D2E7C" w14:paraId="7D279D26" w14:textId="77777777" w:rsidTr="00D9567F">
        <w:tc>
          <w:tcPr>
            <w:tcW w:w="280" w:type="pct"/>
            <w:shd w:val="clear" w:color="auto" w:fill="D9D9D9"/>
            <w:vAlign w:val="center"/>
          </w:tcPr>
          <w:p w14:paraId="5E99E86F" w14:textId="00A298CC" w:rsidR="004066DA" w:rsidRPr="004066DA" w:rsidRDefault="004066DA" w:rsidP="004066DA">
            <w:pPr>
              <w:jc w:val="center"/>
              <w:rPr>
                <w:rFonts w:eastAsia="Times New Roman" w:cs="Times New Roman"/>
              </w:rPr>
            </w:pPr>
            <w:r>
              <w:rPr>
                <w:rFonts w:eastAsia="Times New Roman" w:cs="Times New Roman"/>
              </w:rPr>
              <w:t>Annex V</w:t>
            </w:r>
          </w:p>
        </w:tc>
        <w:tc>
          <w:tcPr>
            <w:tcW w:w="1489" w:type="pct"/>
            <w:shd w:val="clear" w:color="auto" w:fill="D9D9D9"/>
            <w:vAlign w:val="center"/>
          </w:tcPr>
          <w:p w14:paraId="5176D941" w14:textId="7A1807C8" w:rsidR="004066DA" w:rsidRPr="004066DA" w:rsidRDefault="004066DA" w:rsidP="004066DA">
            <w:pPr>
              <w:jc w:val="both"/>
              <w:rPr>
                <w:rFonts w:cs="Times New Roman"/>
                <w:lang w:val="en-GB"/>
              </w:rPr>
            </w:pPr>
            <w:r w:rsidRPr="004066DA">
              <w:rPr>
                <w:rFonts w:cs="Times New Roman"/>
              </w:rPr>
              <w:t>L</w:t>
            </w:r>
            <w:r>
              <w:rPr>
                <w:rFonts w:cs="Times New Roman"/>
              </w:rPr>
              <w:t>aboratory alignment procedure for the measurement of rolling resistance</w:t>
            </w:r>
          </w:p>
        </w:tc>
        <w:tc>
          <w:tcPr>
            <w:tcW w:w="325" w:type="pct"/>
            <w:vAlign w:val="center"/>
          </w:tcPr>
          <w:p w14:paraId="57797C90" w14:textId="77777777" w:rsidR="004066DA" w:rsidRPr="004066DA" w:rsidRDefault="004066DA" w:rsidP="00D9567F">
            <w:pPr>
              <w:jc w:val="center"/>
              <w:rPr>
                <w:rFonts w:cs="Times New Roman"/>
                <w:lang w:val="sr-Cyrl-RS"/>
              </w:rPr>
            </w:pPr>
          </w:p>
        </w:tc>
        <w:tc>
          <w:tcPr>
            <w:tcW w:w="1296" w:type="pct"/>
          </w:tcPr>
          <w:p w14:paraId="6AAC7401" w14:textId="77777777" w:rsidR="004066DA" w:rsidRPr="004066DA" w:rsidRDefault="004066DA" w:rsidP="004066DA">
            <w:pPr>
              <w:rPr>
                <w:rFonts w:cs="Times New Roman"/>
                <w:lang w:val="sr-Cyrl-RS"/>
              </w:rPr>
            </w:pPr>
          </w:p>
        </w:tc>
        <w:tc>
          <w:tcPr>
            <w:tcW w:w="235" w:type="pct"/>
            <w:vAlign w:val="center"/>
          </w:tcPr>
          <w:p w14:paraId="74EB4671" w14:textId="600EBCFF" w:rsidR="004066DA" w:rsidRPr="004066DA" w:rsidRDefault="00C73015" w:rsidP="004066DA">
            <w:pPr>
              <w:jc w:val="center"/>
              <w:rPr>
                <w:rFonts w:cs="Times New Roman"/>
                <w:lang w:val="sr-Cyrl-RS"/>
              </w:rPr>
            </w:pPr>
            <w:r>
              <w:rPr>
                <w:rFonts w:cs="Times New Roman"/>
                <w:lang w:val="sr-Cyrl-RS"/>
              </w:rPr>
              <w:t>НУ</w:t>
            </w:r>
          </w:p>
        </w:tc>
        <w:tc>
          <w:tcPr>
            <w:tcW w:w="676" w:type="pct"/>
            <w:vAlign w:val="center"/>
          </w:tcPr>
          <w:p w14:paraId="00FA5577" w14:textId="77777777" w:rsidR="004066DA" w:rsidRPr="004066DA" w:rsidRDefault="004066DA" w:rsidP="004066DA">
            <w:pPr>
              <w:rPr>
                <w:rFonts w:cs="Times New Roman"/>
                <w:lang w:val="sr-Cyrl-RS"/>
              </w:rPr>
            </w:pPr>
          </w:p>
        </w:tc>
        <w:tc>
          <w:tcPr>
            <w:tcW w:w="699" w:type="pct"/>
            <w:vAlign w:val="center"/>
          </w:tcPr>
          <w:p w14:paraId="1EAD65D0" w14:textId="3EF3D23B" w:rsidR="004066DA" w:rsidRPr="004066DA" w:rsidRDefault="00914D1E" w:rsidP="004066DA">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t xml:space="preserve">доношењем подзаконских аката и </w:t>
            </w:r>
            <w:r w:rsidRPr="008A4AD2">
              <w:rPr>
                <w:rFonts w:cs="Times New Roman"/>
                <w:lang w:val="sr-Cyrl-RS"/>
              </w:rPr>
              <w:t>техничк</w:t>
            </w:r>
            <w:r>
              <w:rPr>
                <w:rFonts w:cs="Times New Roman"/>
                <w:lang w:val="sr-Cyrl-RS"/>
              </w:rPr>
              <w:t>их прописа.</w:t>
            </w:r>
          </w:p>
        </w:tc>
      </w:tr>
      <w:tr w:rsidR="004066DA" w:rsidRPr="004D2E7C" w14:paraId="0F17B3D6" w14:textId="77777777" w:rsidTr="00D9567F">
        <w:tc>
          <w:tcPr>
            <w:tcW w:w="280" w:type="pct"/>
            <w:shd w:val="clear" w:color="auto" w:fill="D9D9D9"/>
            <w:vAlign w:val="center"/>
          </w:tcPr>
          <w:p w14:paraId="26CB16EE" w14:textId="1CD56571" w:rsidR="004066DA" w:rsidRPr="004066DA" w:rsidRDefault="004066DA" w:rsidP="004066DA">
            <w:pPr>
              <w:jc w:val="center"/>
              <w:rPr>
                <w:rFonts w:eastAsia="Times New Roman" w:cs="Times New Roman"/>
              </w:rPr>
            </w:pPr>
            <w:r>
              <w:rPr>
                <w:rFonts w:eastAsia="Times New Roman" w:cs="Times New Roman"/>
              </w:rPr>
              <w:t>Annex VI</w:t>
            </w:r>
          </w:p>
        </w:tc>
        <w:tc>
          <w:tcPr>
            <w:tcW w:w="1489" w:type="pct"/>
            <w:shd w:val="clear" w:color="auto" w:fill="D9D9D9"/>
            <w:vAlign w:val="center"/>
          </w:tcPr>
          <w:p w14:paraId="583B5F75" w14:textId="542652B1" w:rsidR="004066DA" w:rsidRPr="004066DA" w:rsidRDefault="004066DA" w:rsidP="004066DA">
            <w:pPr>
              <w:jc w:val="both"/>
              <w:rPr>
                <w:rFonts w:cs="Times New Roman"/>
                <w:lang w:val="en-GB"/>
              </w:rPr>
            </w:pPr>
            <w:r w:rsidRPr="004066DA">
              <w:rPr>
                <w:rFonts w:cs="Times New Roman"/>
              </w:rPr>
              <w:t>V</w:t>
            </w:r>
            <w:r>
              <w:rPr>
                <w:rFonts w:cs="Times New Roman"/>
              </w:rPr>
              <w:t>erification procedure</w:t>
            </w:r>
          </w:p>
        </w:tc>
        <w:tc>
          <w:tcPr>
            <w:tcW w:w="325" w:type="pct"/>
            <w:vAlign w:val="center"/>
          </w:tcPr>
          <w:p w14:paraId="78C9F1C7" w14:textId="77777777" w:rsidR="004066DA" w:rsidRPr="004066DA" w:rsidRDefault="004066DA" w:rsidP="00D9567F">
            <w:pPr>
              <w:jc w:val="center"/>
              <w:rPr>
                <w:rFonts w:cs="Times New Roman"/>
                <w:lang w:val="sr-Cyrl-RS"/>
              </w:rPr>
            </w:pPr>
          </w:p>
        </w:tc>
        <w:tc>
          <w:tcPr>
            <w:tcW w:w="1296" w:type="pct"/>
          </w:tcPr>
          <w:p w14:paraId="764D5D2B" w14:textId="77777777" w:rsidR="004066DA" w:rsidRPr="004066DA" w:rsidRDefault="004066DA" w:rsidP="004066DA">
            <w:pPr>
              <w:rPr>
                <w:rFonts w:cs="Times New Roman"/>
                <w:lang w:val="sr-Cyrl-RS"/>
              </w:rPr>
            </w:pPr>
          </w:p>
        </w:tc>
        <w:tc>
          <w:tcPr>
            <w:tcW w:w="235" w:type="pct"/>
            <w:vAlign w:val="center"/>
          </w:tcPr>
          <w:p w14:paraId="10FC40D2" w14:textId="23B10BBE" w:rsidR="004066DA" w:rsidRPr="004066DA" w:rsidRDefault="00C73015" w:rsidP="004066DA">
            <w:pPr>
              <w:jc w:val="center"/>
              <w:rPr>
                <w:rFonts w:cs="Times New Roman"/>
                <w:lang w:val="sr-Cyrl-RS"/>
              </w:rPr>
            </w:pPr>
            <w:r>
              <w:rPr>
                <w:rFonts w:cs="Times New Roman"/>
                <w:lang w:val="sr-Cyrl-RS"/>
              </w:rPr>
              <w:t>НУ</w:t>
            </w:r>
          </w:p>
        </w:tc>
        <w:tc>
          <w:tcPr>
            <w:tcW w:w="676" w:type="pct"/>
            <w:vAlign w:val="center"/>
          </w:tcPr>
          <w:p w14:paraId="384F780E" w14:textId="77777777" w:rsidR="004066DA" w:rsidRPr="004066DA" w:rsidRDefault="004066DA" w:rsidP="004066DA">
            <w:pPr>
              <w:rPr>
                <w:rFonts w:cs="Times New Roman"/>
                <w:lang w:val="sr-Cyrl-RS"/>
              </w:rPr>
            </w:pPr>
          </w:p>
        </w:tc>
        <w:tc>
          <w:tcPr>
            <w:tcW w:w="699" w:type="pct"/>
            <w:vAlign w:val="center"/>
          </w:tcPr>
          <w:p w14:paraId="5BBD7AAA" w14:textId="2AD4FCD9" w:rsidR="004066DA" w:rsidRPr="004066DA" w:rsidRDefault="00914D1E" w:rsidP="004066DA">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lastRenderedPageBreak/>
              <w:t xml:space="preserve">доношењем подзаконских аката и </w:t>
            </w:r>
            <w:r w:rsidRPr="008A4AD2">
              <w:rPr>
                <w:rFonts w:cs="Times New Roman"/>
                <w:lang w:val="sr-Cyrl-RS"/>
              </w:rPr>
              <w:t>техничк</w:t>
            </w:r>
            <w:r>
              <w:rPr>
                <w:rFonts w:cs="Times New Roman"/>
                <w:lang w:val="sr-Cyrl-RS"/>
              </w:rPr>
              <w:t>их прописа.</w:t>
            </w:r>
          </w:p>
        </w:tc>
      </w:tr>
      <w:tr w:rsidR="004066DA" w:rsidRPr="004D2E7C" w14:paraId="6FA3ED12" w14:textId="77777777" w:rsidTr="00D9567F">
        <w:tc>
          <w:tcPr>
            <w:tcW w:w="280" w:type="pct"/>
            <w:shd w:val="clear" w:color="auto" w:fill="D9D9D9"/>
            <w:vAlign w:val="center"/>
          </w:tcPr>
          <w:p w14:paraId="2CC3AF28" w14:textId="19BE8A97" w:rsidR="004066DA" w:rsidRPr="004066DA" w:rsidRDefault="004066DA" w:rsidP="004066DA">
            <w:pPr>
              <w:jc w:val="center"/>
              <w:rPr>
                <w:rFonts w:eastAsia="Times New Roman" w:cs="Times New Roman"/>
              </w:rPr>
            </w:pPr>
            <w:r>
              <w:rPr>
                <w:rFonts w:eastAsia="Times New Roman" w:cs="Times New Roman"/>
              </w:rPr>
              <w:lastRenderedPageBreak/>
              <w:t>Annex VII</w:t>
            </w:r>
          </w:p>
        </w:tc>
        <w:tc>
          <w:tcPr>
            <w:tcW w:w="1489" w:type="pct"/>
            <w:shd w:val="clear" w:color="auto" w:fill="D9D9D9"/>
            <w:vAlign w:val="center"/>
          </w:tcPr>
          <w:p w14:paraId="6A236A9E" w14:textId="14B58878" w:rsidR="004066DA" w:rsidRPr="004066DA" w:rsidRDefault="004066DA" w:rsidP="004066DA">
            <w:pPr>
              <w:jc w:val="both"/>
              <w:rPr>
                <w:rFonts w:cs="Times New Roman"/>
                <w:lang w:val="en-GB"/>
              </w:rPr>
            </w:pPr>
            <w:r w:rsidRPr="004066DA">
              <w:rPr>
                <w:rFonts w:cs="Times New Roman"/>
              </w:rPr>
              <w:t>I</w:t>
            </w:r>
            <w:r>
              <w:rPr>
                <w:rFonts w:cs="Times New Roman"/>
              </w:rPr>
              <w:t>nformation to be entered into the product database by the supplier</w:t>
            </w:r>
          </w:p>
        </w:tc>
        <w:tc>
          <w:tcPr>
            <w:tcW w:w="325" w:type="pct"/>
            <w:vAlign w:val="center"/>
          </w:tcPr>
          <w:p w14:paraId="6BBE2E79" w14:textId="77777777" w:rsidR="004066DA" w:rsidRPr="004066DA" w:rsidRDefault="004066DA" w:rsidP="00D9567F">
            <w:pPr>
              <w:jc w:val="center"/>
              <w:rPr>
                <w:rFonts w:cs="Times New Roman"/>
                <w:lang w:val="sr-Cyrl-RS"/>
              </w:rPr>
            </w:pPr>
          </w:p>
        </w:tc>
        <w:tc>
          <w:tcPr>
            <w:tcW w:w="1296" w:type="pct"/>
          </w:tcPr>
          <w:p w14:paraId="7A09DA8E" w14:textId="77777777" w:rsidR="004066DA" w:rsidRPr="004066DA" w:rsidRDefault="004066DA" w:rsidP="004066DA">
            <w:pPr>
              <w:rPr>
                <w:rFonts w:cs="Times New Roman"/>
                <w:lang w:val="sr-Cyrl-RS"/>
              </w:rPr>
            </w:pPr>
          </w:p>
        </w:tc>
        <w:tc>
          <w:tcPr>
            <w:tcW w:w="235" w:type="pct"/>
            <w:vAlign w:val="center"/>
          </w:tcPr>
          <w:p w14:paraId="67126A80" w14:textId="06C8F326" w:rsidR="004066DA" w:rsidRPr="004066DA" w:rsidRDefault="00C73015" w:rsidP="004066DA">
            <w:pPr>
              <w:jc w:val="center"/>
              <w:rPr>
                <w:rFonts w:cs="Times New Roman"/>
                <w:lang w:val="sr-Cyrl-RS"/>
              </w:rPr>
            </w:pPr>
            <w:r>
              <w:rPr>
                <w:rFonts w:cs="Times New Roman"/>
                <w:lang w:val="sr-Cyrl-RS"/>
              </w:rPr>
              <w:t>НУ</w:t>
            </w:r>
          </w:p>
        </w:tc>
        <w:tc>
          <w:tcPr>
            <w:tcW w:w="676" w:type="pct"/>
            <w:vAlign w:val="center"/>
          </w:tcPr>
          <w:p w14:paraId="488CA683" w14:textId="77777777" w:rsidR="004066DA" w:rsidRPr="004066DA" w:rsidRDefault="004066DA" w:rsidP="004066DA">
            <w:pPr>
              <w:rPr>
                <w:rFonts w:cs="Times New Roman"/>
                <w:lang w:val="sr-Cyrl-RS"/>
              </w:rPr>
            </w:pPr>
          </w:p>
        </w:tc>
        <w:tc>
          <w:tcPr>
            <w:tcW w:w="699" w:type="pct"/>
            <w:vAlign w:val="center"/>
          </w:tcPr>
          <w:p w14:paraId="56DCCCA6" w14:textId="47F4DB63" w:rsidR="004066DA" w:rsidRPr="004066DA" w:rsidRDefault="00914D1E" w:rsidP="004066DA">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t xml:space="preserve">доношењем подзаконских аката и </w:t>
            </w:r>
            <w:r w:rsidRPr="008A4AD2">
              <w:rPr>
                <w:rFonts w:cs="Times New Roman"/>
                <w:lang w:val="sr-Cyrl-RS"/>
              </w:rPr>
              <w:t>техничк</w:t>
            </w:r>
            <w:r>
              <w:rPr>
                <w:rFonts w:cs="Times New Roman"/>
                <w:lang w:val="sr-Cyrl-RS"/>
              </w:rPr>
              <w:t>их прописа.</w:t>
            </w:r>
          </w:p>
        </w:tc>
      </w:tr>
      <w:tr w:rsidR="004066DA" w:rsidRPr="004D2E7C" w14:paraId="3748D3E6" w14:textId="77777777" w:rsidTr="00D9567F">
        <w:tc>
          <w:tcPr>
            <w:tcW w:w="280" w:type="pct"/>
            <w:shd w:val="clear" w:color="auto" w:fill="D9D9D9"/>
            <w:vAlign w:val="center"/>
          </w:tcPr>
          <w:p w14:paraId="203D2575" w14:textId="4EB95BC9" w:rsidR="004066DA" w:rsidRPr="004066DA" w:rsidRDefault="004066DA" w:rsidP="004066DA">
            <w:pPr>
              <w:jc w:val="center"/>
              <w:rPr>
                <w:rFonts w:eastAsia="Times New Roman" w:cs="Times New Roman"/>
              </w:rPr>
            </w:pPr>
            <w:r>
              <w:rPr>
                <w:rFonts w:eastAsia="Times New Roman" w:cs="Times New Roman"/>
              </w:rPr>
              <w:t>Annex VIII</w:t>
            </w:r>
          </w:p>
        </w:tc>
        <w:tc>
          <w:tcPr>
            <w:tcW w:w="1489" w:type="pct"/>
            <w:shd w:val="clear" w:color="auto" w:fill="D9D9D9"/>
            <w:vAlign w:val="center"/>
          </w:tcPr>
          <w:p w14:paraId="64D2C7BA" w14:textId="5749CBE6" w:rsidR="004066DA" w:rsidRPr="004066DA" w:rsidRDefault="004066DA" w:rsidP="004066DA">
            <w:pPr>
              <w:jc w:val="both"/>
              <w:rPr>
                <w:rFonts w:cs="Times New Roman"/>
                <w:lang w:val="en-GB"/>
              </w:rPr>
            </w:pPr>
            <w:r w:rsidRPr="004066DA">
              <w:rPr>
                <w:rFonts w:cs="Times New Roman"/>
              </w:rPr>
              <w:t>C</w:t>
            </w:r>
            <w:r>
              <w:rPr>
                <w:rFonts w:cs="Times New Roman"/>
              </w:rPr>
              <w:t>orrelation table</w:t>
            </w:r>
          </w:p>
        </w:tc>
        <w:tc>
          <w:tcPr>
            <w:tcW w:w="325" w:type="pct"/>
            <w:vAlign w:val="center"/>
          </w:tcPr>
          <w:p w14:paraId="05451CB1" w14:textId="77777777" w:rsidR="004066DA" w:rsidRPr="004066DA" w:rsidRDefault="004066DA" w:rsidP="00D9567F">
            <w:pPr>
              <w:jc w:val="center"/>
              <w:rPr>
                <w:rFonts w:cs="Times New Roman"/>
                <w:lang w:val="sr-Cyrl-RS"/>
              </w:rPr>
            </w:pPr>
          </w:p>
        </w:tc>
        <w:tc>
          <w:tcPr>
            <w:tcW w:w="1296" w:type="pct"/>
          </w:tcPr>
          <w:p w14:paraId="476A57EA" w14:textId="77777777" w:rsidR="004066DA" w:rsidRPr="004066DA" w:rsidRDefault="004066DA" w:rsidP="004066DA">
            <w:pPr>
              <w:rPr>
                <w:rFonts w:cs="Times New Roman"/>
                <w:lang w:val="sr-Cyrl-RS"/>
              </w:rPr>
            </w:pPr>
          </w:p>
        </w:tc>
        <w:tc>
          <w:tcPr>
            <w:tcW w:w="235" w:type="pct"/>
            <w:vAlign w:val="center"/>
          </w:tcPr>
          <w:p w14:paraId="55BB8CE4" w14:textId="6F203C8E" w:rsidR="004066DA" w:rsidRPr="004066DA" w:rsidRDefault="00914D1E" w:rsidP="004066DA">
            <w:pPr>
              <w:jc w:val="center"/>
              <w:rPr>
                <w:rFonts w:cs="Times New Roman"/>
                <w:lang w:val="sr-Cyrl-RS"/>
              </w:rPr>
            </w:pPr>
            <w:r>
              <w:rPr>
                <w:rFonts w:cs="Times New Roman"/>
                <w:lang w:val="sr-Cyrl-RS"/>
              </w:rPr>
              <w:t>НП</w:t>
            </w:r>
          </w:p>
        </w:tc>
        <w:tc>
          <w:tcPr>
            <w:tcW w:w="676" w:type="pct"/>
            <w:vAlign w:val="center"/>
          </w:tcPr>
          <w:p w14:paraId="1718DB5A" w14:textId="47DC6818" w:rsidR="004066DA" w:rsidRPr="004066DA" w:rsidRDefault="00914D1E" w:rsidP="004066DA">
            <w:pPr>
              <w:rPr>
                <w:rFonts w:cs="Times New Roman"/>
                <w:lang w:val="sr-Cyrl-RS"/>
              </w:rPr>
            </w:pPr>
            <w:r w:rsidRPr="004D2E7C">
              <w:rPr>
                <w:rFonts w:cs="Times New Roman"/>
                <w:lang w:val="sr-Cyrl-RS"/>
              </w:rPr>
              <w:t>У питању су одредбе процедуралног карактера.</w:t>
            </w:r>
          </w:p>
        </w:tc>
        <w:tc>
          <w:tcPr>
            <w:tcW w:w="699" w:type="pct"/>
            <w:vAlign w:val="center"/>
          </w:tcPr>
          <w:p w14:paraId="2FA3BAFA" w14:textId="77777777" w:rsidR="004066DA" w:rsidRPr="004066DA" w:rsidRDefault="004066DA" w:rsidP="004066DA">
            <w:pPr>
              <w:rPr>
                <w:rFonts w:cs="Times New Roman"/>
                <w:lang w:val="sr-Cyrl-RS"/>
              </w:rPr>
            </w:pPr>
          </w:p>
        </w:tc>
      </w:tr>
    </w:tbl>
    <w:p w14:paraId="46188223" w14:textId="77777777" w:rsidR="00760539" w:rsidRPr="00427F93" w:rsidRDefault="00760539" w:rsidP="004E6125">
      <w:pPr>
        <w:rPr>
          <w:rFonts w:cs="Times New Roman"/>
          <w:sz w:val="18"/>
          <w:szCs w:val="18"/>
        </w:rPr>
      </w:pPr>
    </w:p>
    <w:sectPr w:rsidR="00760539" w:rsidRPr="00427F93" w:rsidSect="00BC0F56">
      <w:footerReference w:type="default" r:id="rId8"/>
      <w:pgSz w:w="16840" w:h="11907" w:orient="landscape" w:code="9"/>
      <w:pgMar w:top="1134" w:right="851" w:bottom="851" w:left="851" w:header="454"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2C012" w14:textId="77777777" w:rsidR="00BF6162" w:rsidRDefault="00BF6162">
      <w:r>
        <w:separator/>
      </w:r>
    </w:p>
  </w:endnote>
  <w:endnote w:type="continuationSeparator" w:id="0">
    <w:p w14:paraId="07C09CBC" w14:textId="77777777" w:rsidR="00BF6162" w:rsidRDefault="00BF6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8904200"/>
      <w:docPartObj>
        <w:docPartGallery w:val="Page Numbers (Bottom of Page)"/>
        <w:docPartUnique/>
      </w:docPartObj>
    </w:sdtPr>
    <w:sdtEndPr>
      <w:rPr>
        <w:noProof/>
      </w:rPr>
    </w:sdtEndPr>
    <w:sdtContent>
      <w:p w14:paraId="217EB03A" w14:textId="39241435" w:rsidR="00BC0F56" w:rsidRDefault="00BC0F56">
        <w:pPr>
          <w:pStyle w:val="Footer"/>
          <w:jc w:val="right"/>
        </w:pPr>
        <w:r>
          <w:fldChar w:fldCharType="begin"/>
        </w:r>
        <w:r>
          <w:instrText xml:space="preserve"> PAGE   \* MERGEFORMAT </w:instrText>
        </w:r>
        <w:r>
          <w:fldChar w:fldCharType="separate"/>
        </w:r>
        <w:r w:rsidR="00CC47DD">
          <w:rPr>
            <w:noProof/>
          </w:rPr>
          <w:t>24</w:t>
        </w:r>
        <w:r>
          <w:rPr>
            <w:noProof/>
          </w:rPr>
          <w:fldChar w:fldCharType="end"/>
        </w:r>
      </w:p>
    </w:sdtContent>
  </w:sdt>
  <w:p w14:paraId="3B9A7A93" w14:textId="77777777" w:rsidR="00BC0F56" w:rsidRDefault="00BC0F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6AA62" w14:textId="77777777" w:rsidR="00BF6162" w:rsidRDefault="00BF6162">
      <w:r>
        <w:separator/>
      </w:r>
    </w:p>
  </w:footnote>
  <w:footnote w:type="continuationSeparator" w:id="0">
    <w:p w14:paraId="59B3136F" w14:textId="77777777" w:rsidR="00BF6162" w:rsidRDefault="00BF616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7139"/>
    <w:multiLevelType w:val="hybridMultilevel"/>
    <w:tmpl w:val="9A9850F2"/>
    <w:lvl w:ilvl="0" w:tplc="A6CA391E">
      <w:start w:val="6"/>
      <w:numFmt w:val="bullet"/>
      <w:lvlText w:val="-"/>
      <w:lvlJc w:val="left"/>
      <w:pPr>
        <w:ind w:left="810" w:hanging="360"/>
      </w:pPr>
      <w:rPr>
        <w:rFonts w:ascii="Times New Roman" w:eastAsia="Calibr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228C0D9C"/>
    <w:multiLevelType w:val="hybridMultilevel"/>
    <w:tmpl w:val="824E5514"/>
    <w:lvl w:ilvl="0" w:tplc="C52252CE">
      <w:start w:val="1"/>
      <w:numFmt w:val="decimal"/>
      <w:lvlText w:val="%1)"/>
      <w:lvlJc w:val="left"/>
      <w:pPr>
        <w:ind w:left="1260" w:hanging="360"/>
      </w:pPr>
      <w:rPr>
        <w:rFonts w:hint="default"/>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2D444C14"/>
    <w:multiLevelType w:val="hybridMultilevel"/>
    <w:tmpl w:val="305A4298"/>
    <w:lvl w:ilvl="0" w:tplc="0F18576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F0624B"/>
    <w:multiLevelType w:val="hybridMultilevel"/>
    <w:tmpl w:val="648E27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FF2AD9"/>
    <w:multiLevelType w:val="hybridMultilevel"/>
    <w:tmpl w:val="D4788476"/>
    <w:lvl w:ilvl="0" w:tplc="9B80F7B0">
      <w:start w:val="1"/>
      <w:numFmt w:val="decimal"/>
      <w:lvlText w:val="%1)"/>
      <w:lvlJc w:val="left"/>
      <w:pPr>
        <w:tabs>
          <w:tab w:val="num" w:pos="1620"/>
        </w:tabs>
        <w:ind w:left="1620" w:hanging="360"/>
      </w:pPr>
      <w:rPr>
        <w:rFonts w:ascii="Arial" w:hAnsi="Arial" w:cs="Times New Roman" w:hint="default"/>
        <w:b w:val="0"/>
        <w:i w:val="0"/>
        <w:sz w:val="22"/>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2A"/>
    <w:rsid w:val="00000366"/>
    <w:rsid w:val="00000A79"/>
    <w:rsid w:val="000027FD"/>
    <w:rsid w:val="00005548"/>
    <w:rsid w:val="00005BEF"/>
    <w:rsid w:val="00014106"/>
    <w:rsid w:val="000175E3"/>
    <w:rsid w:val="00023599"/>
    <w:rsid w:val="00025599"/>
    <w:rsid w:val="000312E2"/>
    <w:rsid w:val="00037235"/>
    <w:rsid w:val="00041295"/>
    <w:rsid w:val="000524AD"/>
    <w:rsid w:val="000549F4"/>
    <w:rsid w:val="00054B0E"/>
    <w:rsid w:val="00054D00"/>
    <w:rsid w:val="000627CE"/>
    <w:rsid w:val="0006766E"/>
    <w:rsid w:val="00070D6E"/>
    <w:rsid w:val="00072039"/>
    <w:rsid w:val="0007712A"/>
    <w:rsid w:val="000814EB"/>
    <w:rsid w:val="00082F18"/>
    <w:rsid w:val="00087019"/>
    <w:rsid w:val="00087E6D"/>
    <w:rsid w:val="00094658"/>
    <w:rsid w:val="00097252"/>
    <w:rsid w:val="000A0FAC"/>
    <w:rsid w:val="000A4816"/>
    <w:rsid w:val="000B4C45"/>
    <w:rsid w:val="000C2B83"/>
    <w:rsid w:val="000C4A1C"/>
    <w:rsid w:val="000D0A9C"/>
    <w:rsid w:val="000E68DC"/>
    <w:rsid w:val="000F0CFB"/>
    <w:rsid w:val="000F12AB"/>
    <w:rsid w:val="000F282C"/>
    <w:rsid w:val="000F286B"/>
    <w:rsid w:val="000F2C33"/>
    <w:rsid w:val="000F3DCE"/>
    <w:rsid w:val="000F5A9D"/>
    <w:rsid w:val="00100491"/>
    <w:rsid w:val="00116900"/>
    <w:rsid w:val="00116DD9"/>
    <w:rsid w:val="0012063A"/>
    <w:rsid w:val="00120862"/>
    <w:rsid w:val="001215A1"/>
    <w:rsid w:val="001250B5"/>
    <w:rsid w:val="00132DDD"/>
    <w:rsid w:val="001334FA"/>
    <w:rsid w:val="00135D9C"/>
    <w:rsid w:val="00140511"/>
    <w:rsid w:val="00145A79"/>
    <w:rsid w:val="0015061A"/>
    <w:rsid w:val="0015146A"/>
    <w:rsid w:val="0015346A"/>
    <w:rsid w:val="001569F9"/>
    <w:rsid w:val="00156D2E"/>
    <w:rsid w:val="00163037"/>
    <w:rsid w:val="00170A06"/>
    <w:rsid w:val="0017101F"/>
    <w:rsid w:val="0017238B"/>
    <w:rsid w:val="0018033F"/>
    <w:rsid w:val="00181703"/>
    <w:rsid w:val="0018691B"/>
    <w:rsid w:val="001950F8"/>
    <w:rsid w:val="001A09B1"/>
    <w:rsid w:val="001A117D"/>
    <w:rsid w:val="001A4D12"/>
    <w:rsid w:val="001A79D8"/>
    <w:rsid w:val="001B0DD8"/>
    <w:rsid w:val="001B6795"/>
    <w:rsid w:val="001C2478"/>
    <w:rsid w:val="001C7E48"/>
    <w:rsid w:val="001D11A6"/>
    <w:rsid w:val="001D6931"/>
    <w:rsid w:val="001D7709"/>
    <w:rsid w:val="001E475E"/>
    <w:rsid w:val="001E7125"/>
    <w:rsid w:val="001F2434"/>
    <w:rsid w:val="001F6E26"/>
    <w:rsid w:val="001F7946"/>
    <w:rsid w:val="00203F11"/>
    <w:rsid w:val="00207621"/>
    <w:rsid w:val="00211092"/>
    <w:rsid w:val="002126BF"/>
    <w:rsid w:val="0021322D"/>
    <w:rsid w:val="00215817"/>
    <w:rsid w:val="002243D8"/>
    <w:rsid w:val="002252EC"/>
    <w:rsid w:val="00227A57"/>
    <w:rsid w:val="002314A3"/>
    <w:rsid w:val="0023370C"/>
    <w:rsid w:val="00233E7B"/>
    <w:rsid w:val="00241196"/>
    <w:rsid w:val="00247AA9"/>
    <w:rsid w:val="0025042A"/>
    <w:rsid w:val="0025510E"/>
    <w:rsid w:val="00263FBD"/>
    <w:rsid w:val="0026437C"/>
    <w:rsid w:val="00264E0A"/>
    <w:rsid w:val="00265596"/>
    <w:rsid w:val="00297B8D"/>
    <w:rsid w:val="002A0174"/>
    <w:rsid w:val="002A0DCB"/>
    <w:rsid w:val="002A1727"/>
    <w:rsid w:val="002A593A"/>
    <w:rsid w:val="002A752C"/>
    <w:rsid w:val="002B6A26"/>
    <w:rsid w:val="002C3123"/>
    <w:rsid w:val="002D0431"/>
    <w:rsid w:val="002D5FD2"/>
    <w:rsid w:val="002D71BD"/>
    <w:rsid w:val="002E0D1B"/>
    <w:rsid w:val="002E1227"/>
    <w:rsid w:val="002E1EB3"/>
    <w:rsid w:val="002E29EC"/>
    <w:rsid w:val="002E7A2B"/>
    <w:rsid w:val="002F2547"/>
    <w:rsid w:val="002F4B0A"/>
    <w:rsid w:val="002F631C"/>
    <w:rsid w:val="00300BB6"/>
    <w:rsid w:val="003016B4"/>
    <w:rsid w:val="003025F1"/>
    <w:rsid w:val="00305DB0"/>
    <w:rsid w:val="00306F83"/>
    <w:rsid w:val="00313564"/>
    <w:rsid w:val="00315A59"/>
    <w:rsid w:val="00316F74"/>
    <w:rsid w:val="0032094F"/>
    <w:rsid w:val="00320A22"/>
    <w:rsid w:val="00322DA4"/>
    <w:rsid w:val="00322EC0"/>
    <w:rsid w:val="00322EC2"/>
    <w:rsid w:val="00330F58"/>
    <w:rsid w:val="00350178"/>
    <w:rsid w:val="00353230"/>
    <w:rsid w:val="00354D54"/>
    <w:rsid w:val="003575C7"/>
    <w:rsid w:val="0036017F"/>
    <w:rsid w:val="0036271A"/>
    <w:rsid w:val="00372FA4"/>
    <w:rsid w:val="00380522"/>
    <w:rsid w:val="00381AB4"/>
    <w:rsid w:val="00395461"/>
    <w:rsid w:val="003A2E7F"/>
    <w:rsid w:val="003A3F90"/>
    <w:rsid w:val="003A6629"/>
    <w:rsid w:val="003A7B45"/>
    <w:rsid w:val="003B0BDA"/>
    <w:rsid w:val="003B141E"/>
    <w:rsid w:val="003B2D5F"/>
    <w:rsid w:val="003B501A"/>
    <w:rsid w:val="003B6A3C"/>
    <w:rsid w:val="003D3816"/>
    <w:rsid w:val="003D3CE1"/>
    <w:rsid w:val="003E06B0"/>
    <w:rsid w:val="003E1049"/>
    <w:rsid w:val="003E1831"/>
    <w:rsid w:val="003E32D4"/>
    <w:rsid w:val="003E379B"/>
    <w:rsid w:val="003E69B2"/>
    <w:rsid w:val="003F6D06"/>
    <w:rsid w:val="00400151"/>
    <w:rsid w:val="00404262"/>
    <w:rsid w:val="004066DA"/>
    <w:rsid w:val="004132A0"/>
    <w:rsid w:val="00413422"/>
    <w:rsid w:val="004243CB"/>
    <w:rsid w:val="0042521D"/>
    <w:rsid w:val="00427CC8"/>
    <w:rsid w:val="00427F93"/>
    <w:rsid w:val="0043294B"/>
    <w:rsid w:val="00435EC3"/>
    <w:rsid w:val="00440E96"/>
    <w:rsid w:val="00441DEB"/>
    <w:rsid w:val="00442BA0"/>
    <w:rsid w:val="004470E3"/>
    <w:rsid w:val="0045024D"/>
    <w:rsid w:val="00453722"/>
    <w:rsid w:val="0045534A"/>
    <w:rsid w:val="004632A8"/>
    <w:rsid w:val="00463ED7"/>
    <w:rsid w:val="0046621F"/>
    <w:rsid w:val="00472310"/>
    <w:rsid w:val="00474782"/>
    <w:rsid w:val="00475EBF"/>
    <w:rsid w:val="004802EA"/>
    <w:rsid w:val="004821CB"/>
    <w:rsid w:val="004823A2"/>
    <w:rsid w:val="00493DDE"/>
    <w:rsid w:val="004A19BB"/>
    <w:rsid w:val="004A3AF1"/>
    <w:rsid w:val="004B40D0"/>
    <w:rsid w:val="004B5101"/>
    <w:rsid w:val="004C12BD"/>
    <w:rsid w:val="004C47FA"/>
    <w:rsid w:val="004C4A5D"/>
    <w:rsid w:val="004C4CC0"/>
    <w:rsid w:val="004D286F"/>
    <w:rsid w:val="004D2E7C"/>
    <w:rsid w:val="004D6046"/>
    <w:rsid w:val="004E460E"/>
    <w:rsid w:val="004E6125"/>
    <w:rsid w:val="004F4A3D"/>
    <w:rsid w:val="00501B49"/>
    <w:rsid w:val="00502F41"/>
    <w:rsid w:val="005037B4"/>
    <w:rsid w:val="005045EF"/>
    <w:rsid w:val="00505242"/>
    <w:rsid w:val="00511EE0"/>
    <w:rsid w:val="00513B2C"/>
    <w:rsid w:val="00514173"/>
    <w:rsid w:val="0052140F"/>
    <w:rsid w:val="005268C7"/>
    <w:rsid w:val="0053154C"/>
    <w:rsid w:val="00532413"/>
    <w:rsid w:val="005368AC"/>
    <w:rsid w:val="005471A3"/>
    <w:rsid w:val="00551845"/>
    <w:rsid w:val="005528DD"/>
    <w:rsid w:val="00556A4E"/>
    <w:rsid w:val="00572676"/>
    <w:rsid w:val="00574C1E"/>
    <w:rsid w:val="00581307"/>
    <w:rsid w:val="00582A2F"/>
    <w:rsid w:val="00583F66"/>
    <w:rsid w:val="005866E0"/>
    <w:rsid w:val="00586B96"/>
    <w:rsid w:val="005A0423"/>
    <w:rsid w:val="005A5669"/>
    <w:rsid w:val="005A68EF"/>
    <w:rsid w:val="005B249D"/>
    <w:rsid w:val="005B25F2"/>
    <w:rsid w:val="005B3122"/>
    <w:rsid w:val="005B51E2"/>
    <w:rsid w:val="005C4006"/>
    <w:rsid w:val="005D2842"/>
    <w:rsid w:val="005D5678"/>
    <w:rsid w:val="005D7E8F"/>
    <w:rsid w:val="005E0A4F"/>
    <w:rsid w:val="005E182E"/>
    <w:rsid w:val="005E3FFC"/>
    <w:rsid w:val="005F64F7"/>
    <w:rsid w:val="005F7A6E"/>
    <w:rsid w:val="00603C37"/>
    <w:rsid w:val="0061025D"/>
    <w:rsid w:val="00610779"/>
    <w:rsid w:val="00611656"/>
    <w:rsid w:val="006132B1"/>
    <w:rsid w:val="00616D31"/>
    <w:rsid w:val="00626B63"/>
    <w:rsid w:val="0063153E"/>
    <w:rsid w:val="00632FA7"/>
    <w:rsid w:val="0063453E"/>
    <w:rsid w:val="006425AE"/>
    <w:rsid w:val="00653116"/>
    <w:rsid w:val="0067499D"/>
    <w:rsid w:val="006769F7"/>
    <w:rsid w:val="00692150"/>
    <w:rsid w:val="006A15A6"/>
    <w:rsid w:val="006A2010"/>
    <w:rsid w:val="006B101C"/>
    <w:rsid w:val="006B11F4"/>
    <w:rsid w:val="006B3660"/>
    <w:rsid w:val="006B6BBA"/>
    <w:rsid w:val="006C4C68"/>
    <w:rsid w:val="006C6A92"/>
    <w:rsid w:val="006E1C42"/>
    <w:rsid w:val="006F493F"/>
    <w:rsid w:val="007074D5"/>
    <w:rsid w:val="0071351E"/>
    <w:rsid w:val="007200D3"/>
    <w:rsid w:val="007227D5"/>
    <w:rsid w:val="00722BE3"/>
    <w:rsid w:val="007233F0"/>
    <w:rsid w:val="0072618C"/>
    <w:rsid w:val="00730E8E"/>
    <w:rsid w:val="007336D6"/>
    <w:rsid w:val="00741616"/>
    <w:rsid w:val="00743075"/>
    <w:rsid w:val="00743224"/>
    <w:rsid w:val="0075540D"/>
    <w:rsid w:val="007554BD"/>
    <w:rsid w:val="00755EAC"/>
    <w:rsid w:val="00760539"/>
    <w:rsid w:val="00764D10"/>
    <w:rsid w:val="00765AB4"/>
    <w:rsid w:val="0077796A"/>
    <w:rsid w:val="00783BF4"/>
    <w:rsid w:val="00785A79"/>
    <w:rsid w:val="00792C31"/>
    <w:rsid w:val="00793368"/>
    <w:rsid w:val="00793442"/>
    <w:rsid w:val="007A0DB1"/>
    <w:rsid w:val="007A17D5"/>
    <w:rsid w:val="007A2084"/>
    <w:rsid w:val="007A418E"/>
    <w:rsid w:val="007A6286"/>
    <w:rsid w:val="007B6080"/>
    <w:rsid w:val="007B6589"/>
    <w:rsid w:val="007B70FF"/>
    <w:rsid w:val="007C2F10"/>
    <w:rsid w:val="007C35E2"/>
    <w:rsid w:val="007E1832"/>
    <w:rsid w:val="007F159B"/>
    <w:rsid w:val="007F2B0A"/>
    <w:rsid w:val="00802BBE"/>
    <w:rsid w:val="00802EF4"/>
    <w:rsid w:val="0081021A"/>
    <w:rsid w:val="00810D46"/>
    <w:rsid w:val="008113FE"/>
    <w:rsid w:val="008158C4"/>
    <w:rsid w:val="0081608C"/>
    <w:rsid w:val="00816456"/>
    <w:rsid w:val="00821832"/>
    <w:rsid w:val="008225D8"/>
    <w:rsid w:val="008228B6"/>
    <w:rsid w:val="00823F2B"/>
    <w:rsid w:val="0083156E"/>
    <w:rsid w:val="008340EC"/>
    <w:rsid w:val="0084418E"/>
    <w:rsid w:val="008464D5"/>
    <w:rsid w:val="00850EE8"/>
    <w:rsid w:val="00860F3E"/>
    <w:rsid w:val="00867199"/>
    <w:rsid w:val="00876AFE"/>
    <w:rsid w:val="00880C04"/>
    <w:rsid w:val="00880D98"/>
    <w:rsid w:val="008819C0"/>
    <w:rsid w:val="0088460E"/>
    <w:rsid w:val="00891A9B"/>
    <w:rsid w:val="00892333"/>
    <w:rsid w:val="008A10A3"/>
    <w:rsid w:val="008A17C3"/>
    <w:rsid w:val="008B046E"/>
    <w:rsid w:val="008B2A15"/>
    <w:rsid w:val="008B2BC4"/>
    <w:rsid w:val="008B7597"/>
    <w:rsid w:val="008C08FA"/>
    <w:rsid w:val="008D35EA"/>
    <w:rsid w:val="008D407C"/>
    <w:rsid w:val="008D73C0"/>
    <w:rsid w:val="008E58E2"/>
    <w:rsid w:val="0090296D"/>
    <w:rsid w:val="0091204B"/>
    <w:rsid w:val="00912097"/>
    <w:rsid w:val="00912C2D"/>
    <w:rsid w:val="00914D1E"/>
    <w:rsid w:val="00923E6C"/>
    <w:rsid w:val="009263A3"/>
    <w:rsid w:val="009307B9"/>
    <w:rsid w:val="00931AB2"/>
    <w:rsid w:val="00934816"/>
    <w:rsid w:val="009360E4"/>
    <w:rsid w:val="00936F54"/>
    <w:rsid w:val="00944CF6"/>
    <w:rsid w:val="0094618F"/>
    <w:rsid w:val="00947FA2"/>
    <w:rsid w:val="00970957"/>
    <w:rsid w:val="00972839"/>
    <w:rsid w:val="00974E56"/>
    <w:rsid w:val="009778D3"/>
    <w:rsid w:val="009829EE"/>
    <w:rsid w:val="009865DC"/>
    <w:rsid w:val="009918E5"/>
    <w:rsid w:val="00992FFA"/>
    <w:rsid w:val="0099552E"/>
    <w:rsid w:val="00997B1E"/>
    <w:rsid w:val="009A5F74"/>
    <w:rsid w:val="009A7783"/>
    <w:rsid w:val="009B4D22"/>
    <w:rsid w:val="009B7A9A"/>
    <w:rsid w:val="009C515C"/>
    <w:rsid w:val="009D2D29"/>
    <w:rsid w:val="009D3863"/>
    <w:rsid w:val="009D68A2"/>
    <w:rsid w:val="009E1DA7"/>
    <w:rsid w:val="009E26C3"/>
    <w:rsid w:val="009E28D0"/>
    <w:rsid w:val="009E3B06"/>
    <w:rsid w:val="009E740C"/>
    <w:rsid w:val="009F067D"/>
    <w:rsid w:val="00A00CD7"/>
    <w:rsid w:val="00A01902"/>
    <w:rsid w:val="00A02759"/>
    <w:rsid w:val="00A104D5"/>
    <w:rsid w:val="00A10957"/>
    <w:rsid w:val="00A13E12"/>
    <w:rsid w:val="00A14BCA"/>
    <w:rsid w:val="00A15C37"/>
    <w:rsid w:val="00A17BBA"/>
    <w:rsid w:val="00A17CE4"/>
    <w:rsid w:val="00A21EA0"/>
    <w:rsid w:val="00A2279B"/>
    <w:rsid w:val="00A22DDF"/>
    <w:rsid w:val="00A235F4"/>
    <w:rsid w:val="00A26E75"/>
    <w:rsid w:val="00A370DF"/>
    <w:rsid w:val="00A43A6D"/>
    <w:rsid w:val="00A44FBF"/>
    <w:rsid w:val="00A47416"/>
    <w:rsid w:val="00A55335"/>
    <w:rsid w:val="00A60E6C"/>
    <w:rsid w:val="00A614E1"/>
    <w:rsid w:val="00A67609"/>
    <w:rsid w:val="00A7392C"/>
    <w:rsid w:val="00A73BC9"/>
    <w:rsid w:val="00A817DF"/>
    <w:rsid w:val="00A8586D"/>
    <w:rsid w:val="00A908BC"/>
    <w:rsid w:val="00AA3919"/>
    <w:rsid w:val="00AA4CA9"/>
    <w:rsid w:val="00AC1C3B"/>
    <w:rsid w:val="00AC7873"/>
    <w:rsid w:val="00AD2AB2"/>
    <w:rsid w:val="00AD4512"/>
    <w:rsid w:val="00AE3CAB"/>
    <w:rsid w:val="00AE6939"/>
    <w:rsid w:val="00AE6C53"/>
    <w:rsid w:val="00AF05FE"/>
    <w:rsid w:val="00AF22AE"/>
    <w:rsid w:val="00AF2A4A"/>
    <w:rsid w:val="00AF6DED"/>
    <w:rsid w:val="00AF7750"/>
    <w:rsid w:val="00B00B76"/>
    <w:rsid w:val="00B013CC"/>
    <w:rsid w:val="00B05685"/>
    <w:rsid w:val="00B0581B"/>
    <w:rsid w:val="00B102B1"/>
    <w:rsid w:val="00B1124B"/>
    <w:rsid w:val="00B21C77"/>
    <w:rsid w:val="00B27825"/>
    <w:rsid w:val="00B27ECD"/>
    <w:rsid w:val="00B30E18"/>
    <w:rsid w:val="00B326F0"/>
    <w:rsid w:val="00B355D6"/>
    <w:rsid w:val="00B37945"/>
    <w:rsid w:val="00B44C2A"/>
    <w:rsid w:val="00B50E14"/>
    <w:rsid w:val="00B5214D"/>
    <w:rsid w:val="00B52612"/>
    <w:rsid w:val="00B528F0"/>
    <w:rsid w:val="00B56C36"/>
    <w:rsid w:val="00B60A8D"/>
    <w:rsid w:val="00B62028"/>
    <w:rsid w:val="00B65419"/>
    <w:rsid w:val="00B6627F"/>
    <w:rsid w:val="00B74872"/>
    <w:rsid w:val="00B81145"/>
    <w:rsid w:val="00B8357A"/>
    <w:rsid w:val="00B86D49"/>
    <w:rsid w:val="00B8771A"/>
    <w:rsid w:val="00B904C5"/>
    <w:rsid w:val="00B918BB"/>
    <w:rsid w:val="00B93E43"/>
    <w:rsid w:val="00B93EE3"/>
    <w:rsid w:val="00BA4611"/>
    <w:rsid w:val="00BA4808"/>
    <w:rsid w:val="00BB6CC1"/>
    <w:rsid w:val="00BB70EB"/>
    <w:rsid w:val="00BC03E8"/>
    <w:rsid w:val="00BC0F56"/>
    <w:rsid w:val="00BC3F7B"/>
    <w:rsid w:val="00BD090F"/>
    <w:rsid w:val="00BD3A4D"/>
    <w:rsid w:val="00BD6C5D"/>
    <w:rsid w:val="00BF3463"/>
    <w:rsid w:val="00BF3F37"/>
    <w:rsid w:val="00BF4F1E"/>
    <w:rsid w:val="00BF6162"/>
    <w:rsid w:val="00C03C31"/>
    <w:rsid w:val="00C107CD"/>
    <w:rsid w:val="00C117A7"/>
    <w:rsid w:val="00C141D8"/>
    <w:rsid w:val="00C14F72"/>
    <w:rsid w:val="00C153B8"/>
    <w:rsid w:val="00C21027"/>
    <w:rsid w:val="00C30008"/>
    <w:rsid w:val="00C303B9"/>
    <w:rsid w:val="00C41065"/>
    <w:rsid w:val="00C43291"/>
    <w:rsid w:val="00C4431B"/>
    <w:rsid w:val="00C469D7"/>
    <w:rsid w:val="00C50EF6"/>
    <w:rsid w:val="00C515FA"/>
    <w:rsid w:val="00C52D6D"/>
    <w:rsid w:val="00C5520C"/>
    <w:rsid w:val="00C561D0"/>
    <w:rsid w:val="00C563C6"/>
    <w:rsid w:val="00C60140"/>
    <w:rsid w:val="00C673E7"/>
    <w:rsid w:val="00C70526"/>
    <w:rsid w:val="00C73015"/>
    <w:rsid w:val="00C7656B"/>
    <w:rsid w:val="00C81542"/>
    <w:rsid w:val="00C818DC"/>
    <w:rsid w:val="00C84159"/>
    <w:rsid w:val="00C916BA"/>
    <w:rsid w:val="00C949CD"/>
    <w:rsid w:val="00C965FF"/>
    <w:rsid w:val="00CA42BF"/>
    <w:rsid w:val="00CA4C50"/>
    <w:rsid w:val="00CA6EFA"/>
    <w:rsid w:val="00CB5E72"/>
    <w:rsid w:val="00CB7FA5"/>
    <w:rsid w:val="00CC1604"/>
    <w:rsid w:val="00CC3A4A"/>
    <w:rsid w:val="00CC3F12"/>
    <w:rsid w:val="00CC47DD"/>
    <w:rsid w:val="00CC6EB1"/>
    <w:rsid w:val="00CC7DEA"/>
    <w:rsid w:val="00CD0AEC"/>
    <w:rsid w:val="00CD4D82"/>
    <w:rsid w:val="00CD67B7"/>
    <w:rsid w:val="00CE5708"/>
    <w:rsid w:val="00CE5F62"/>
    <w:rsid w:val="00CF26BD"/>
    <w:rsid w:val="00CF5E04"/>
    <w:rsid w:val="00CF633E"/>
    <w:rsid w:val="00D00E0A"/>
    <w:rsid w:val="00D03F8B"/>
    <w:rsid w:val="00D06A04"/>
    <w:rsid w:val="00D114C1"/>
    <w:rsid w:val="00D1326B"/>
    <w:rsid w:val="00D2702F"/>
    <w:rsid w:val="00D3223A"/>
    <w:rsid w:val="00D328FF"/>
    <w:rsid w:val="00D36211"/>
    <w:rsid w:val="00D60811"/>
    <w:rsid w:val="00D655AD"/>
    <w:rsid w:val="00D75C7E"/>
    <w:rsid w:val="00D7764F"/>
    <w:rsid w:val="00D77ACB"/>
    <w:rsid w:val="00D87628"/>
    <w:rsid w:val="00D93ADD"/>
    <w:rsid w:val="00D9567F"/>
    <w:rsid w:val="00DA0B63"/>
    <w:rsid w:val="00DA124E"/>
    <w:rsid w:val="00DA3A32"/>
    <w:rsid w:val="00DB43C2"/>
    <w:rsid w:val="00DB6477"/>
    <w:rsid w:val="00DD347C"/>
    <w:rsid w:val="00DD34B9"/>
    <w:rsid w:val="00DE0D29"/>
    <w:rsid w:val="00DE0EC9"/>
    <w:rsid w:val="00DE3516"/>
    <w:rsid w:val="00DE3DED"/>
    <w:rsid w:val="00DE6567"/>
    <w:rsid w:val="00DE6A22"/>
    <w:rsid w:val="00E13339"/>
    <w:rsid w:val="00E205F6"/>
    <w:rsid w:val="00E25D2A"/>
    <w:rsid w:val="00E30789"/>
    <w:rsid w:val="00E334D7"/>
    <w:rsid w:val="00E37AC7"/>
    <w:rsid w:val="00E400E8"/>
    <w:rsid w:val="00E44784"/>
    <w:rsid w:val="00E45AA0"/>
    <w:rsid w:val="00E50910"/>
    <w:rsid w:val="00E51DF9"/>
    <w:rsid w:val="00E522D2"/>
    <w:rsid w:val="00E571CB"/>
    <w:rsid w:val="00E72804"/>
    <w:rsid w:val="00E827B4"/>
    <w:rsid w:val="00E924F4"/>
    <w:rsid w:val="00E94CEE"/>
    <w:rsid w:val="00EA53DD"/>
    <w:rsid w:val="00EB685C"/>
    <w:rsid w:val="00ED6C00"/>
    <w:rsid w:val="00ED6E48"/>
    <w:rsid w:val="00ED727B"/>
    <w:rsid w:val="00EE0AE4"/>
    <w:rsid w:val="00EE1D0F"/>
    <w:rsid w:val="00EF4466"/>
    <w:rsid w:val="00F01ECE"/>
    <w:rsid w:val="00F02D94"/>
    <w:rsid w:val="00F07371"/>
    <w:rsid w:val="00F146D6"/>
    <w:rsid w:val="00F15788"/>
    <w:rsid w:val="00F2391D"/>
    <w:rsid w:val="00F24AA3"/>
    <w:rsid w:val="00F24ECA"/>
    <w:rsid w:val="00F25162"/>
    <w:rsid w:val="00F26DC9"/>
    <w:rsid w:val="00F30272"/>
    <w:rsid w:val="00F30F4A"/>
    <w:rsid w:val="00F3473E"/>
    <w:rsid w:val="00F35F22"/>
    <w:rsid w:val="00F36E2F"/>
    <w:rsid w:val="00F40F68"/>
    <w:rsid w:val="00F41D88"/>
    <w:rsid w:val="00F4308F"/>
    <w:rsid w:val="00F46B42"/>
    <w:rsid w:val="00F46E04"/>
    <w:rsid w:val="00F569FC"/>
    <w:rsid w:val="00F654FB"/>
    <w:rsid w:val="00F65A44"/>
    <w:rsid w:val="00F7736E"/>
    <w:rsid w:val="00F81B28"/>
    <w:rsid w:val="00F83A67"/>
    <w:rsid w:val="00F8513C"/>
    <w:rsid w:val="00F86C8B"/>
    <w:rsid w:val="00FA06F5"/>
    <w:rsid w:val="00FA6F43"/>
    <w:rsid w:val="00FB29D8"/>
    <w:rsid w:val="00FB2E38"/>
    <w:rsid w:val="00FB5F4A"/>
    <w:rsid w:val="00FB675E"/>
    <w:rsid w:val="00FC352E"/>
    <w:rsid w:val="00FC3DD3"/>
    <w:rsid w:val="00FC5779"/>
    <w:rsid w:val="00FC76F8"/>
    <w:rsid w:val="00FD58E0"/>
    <w:rsid w:val="00FD7A94"/>
    <w:rsid w:val="00FE00DB"/>
    <w:rsid w:val="00FE1BFE"/>
    <w:rsid w:val="00FE396C"/>
    <w:rsid w:val="00FF25CB"/>
    <w:rsid w:val="00FF4E3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87D5C"/>
  <w15:docId w15:val="{B6DE43BA-7A07-43EE-809B-3212D8FF7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A9A"/>
    <w:rPr>
      <w:rFonts w:eastAsia="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uiPriority w:val="99"/>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character" w:customStyle="1" w:styleId="tw4winMark">
    <w:name w:val="tw4winMark"/>
    <w:rsid w:val="003E1049"/>
    <w:rPr>
      <w:rFonts w:ascii="Courier New" w:hAnsi="Courier New"/>
      <w:vanish/>
      <w:color w:val="800080"/>
      <w:vertAlign w:val="subscript"/>
    </w:rPr>
  </w:style>
  <w:style w:type="paragraph" w:customStyle="1" w:styleId="Clan">
    <w:name w:val="Clan"/>
    <w:basedOn w:val="Normal"/>
    <w:rsid w:val="00947FA2"/>
    <w:pPr>
      <w:keepNext/>
      <w:tabs>
        <w:tab w:val="left" w:pos="1080"/>
      </w:tabs>
      <w:spacing w:before="120" w:after="120"/>
      <w:ind w:left="720" w:right="720"/>
      <w:jc w:val="center"/>
    </w:pPr>
    <w:rPr>
      <w:rFonts w:ascii="Arial" w:eastAsia="Times New Roman" w:hAnsi="Arial"/>
      <w:b/>
      <w:lang w:val="sr-Cyrl-CS"/>
    </w:rPr>
  </w:style>
  <w:style w:type="paragraph" w:styleId="ListParagraph">
    <w:name w:val="List Paragraph"/>
    <w:basedOn w:val="Normal"/>
    <w:qFormat/>
    <w:rsid w:val="0043294B"/>
    <w:pPr>
      <w:spacing w:line="288" w:lineRule="auto"/>
      <w:ind w:left="708"/>
      <w:jc w:val="both"/>
    </w:pPr>
    <w:rPr>
      <w:rFonts w:eastAsia="Times New Roman" w:cs="Times New Roman"/>
      <w:sz w:val="24"/>
      <w:szCs w:val="20"/>
      <w:lang w:val="en-GB" w:eastAsia="cs-CZ"/>
    </w:rPr>
  </w:style>
  <w:style w:type="character" w:styleId="CommentReference">
    <w:name w:val="annotation reference"/>
    <w:basedOn w:val="DefaultParagraphFont"/>
    <w:uiPriority w:val="99"/>
    <w:rsid w:val="009B4D22"/>
    <w:rPr>
      <w:sz w:val="16"/>
      <w:szCs w:val="16"/>
    </w:rPr>
  </w:style>
  <w:style w:type="paragraph" w:styleId="CommentText">
    <w:name w:val="annotation text"/>
    <w:aliases w:val="Char4"/>
    <w:basedOn w:val="Normal"/>
    <w:link w:val="CommentTextChar"/>
    <w:rsid w:val="009B4D22"/>
    <w:rPr>
      <w:sz w:val="20"/>
      <w:szCs w:val="20"/>
    </w:rPr>
  </w:style>
  <w:style w:type="character" w:customStyle="1" w:styleId="CommentTextChar">
    <w:name w:val="Comment Text Char"/>
    <w:aliases w:val="Char4 Char"/>
    <w:basedOn w:val="DefaultParagraphFont"/>
    <w:link w:val="CommentText"/>
    <w:rsid w:val="009B4D22"/>
    <w:rPr>
      <w:rFonts w:eastAsia="Calibri" w:cs="Arial"/>
    </w:rPr>
  </w:style>
  <w:style w:type="paragraph" w:styleId="CommentSubject">
    <w:name w:val="annotation subject"/>
    <w:basedOn w:val="CommentText"/>
    <w:next w:val="CommentText"/>
    <w:link w:val="CommentSubjectChar"/>
    <w:rsid w:val="009B4D22"/>
    <w:rPr>
      <w:b/>
      <w:bCs/>
    </w:rPr>
  </w:style>
  <w:style w:type="character" w:customStyle="1" w:styleId="CommentSubjectChar">
    <w:name w:val="Comment Subject Char"/>
    <w:basedOn w:val="CommentTextChar"/>
    <w:link w:val="CommentSubject"/>
    <w:rsid w:val="009B4D22"/>
    <w:rPr>
      <w:rFonts w:eastAsia="Calibri" w:cs="Arial"/>
      <w:b/>
      <w:bCs/>
    </w:rPr>
  </w:style>
  <w:style w:type="character" w:customStyle="1" w:styleId="FontStyle32">
    <w:name w:val="Font Style32"/>
    <w:rsid w:val="008B046E"/>
    <w:rPr>
      <w:rFonts w:ascii="Book Antiqua" w:hAnsi="Book Antiqua"/>
      <w:color w:val="000000"/>
      <w:sz w:val="16"/>
    </w:rPr>
  </w:style>
  <w:style w:type="character" w:styleId="Hyperlink">
    <w:name w:val="Hyperlink"/>
    <w:basedOn w:val="DefaultParagraphFont"/>
    <w:uiPriority w:val="99"/>
    <w:unhideWhenUsed/>
    <w:rsid w:val="00802EF4"/>
    <w:rPr>
      <w:color w:val="0000FF"/>
      <w:u w:val="single"/>
    </w:rPr>
  </w:style>
  <w:style w:type="character" w:styleId="Strong">
    <w:name w:val="Strong"/>
    <w:uiPriority w:val="22"/>
    <w:qFormat/>
    <w:rsid w:val="007554BD"/>
    <w:rPr>
      <w:b/>
      <w:bCs/>
    </w:rPr>
  </w:style>
  <w:style w:type="paragraph" w:customStyle="1" w:styleId="doc-ti">
    <w:name w:val="doc-ti"/>
    <w:basedOn w:val="Normal"/>
    <w:rsid w:val="00264E0A"/>
    <w:pPr>
      <w:spacing w:before="100" w:beforeAutospacing="1" w:after="100" w:afterAutospacing="1"/>
    </w:pPr>
    <w:rPr>
      <w:rFonts w:eastAsia="Times New Roman" w:cs="Times New Roman"/>
      <w:sz w:val="24"/>
      <w:szCs w:val="24"/>
    </w:rPr>
  </w:style>
  <w:style w:type="character" w:styleId="Emphasis">
    <w:name w:val="Emphasis"/>
    <w:basedOn w:val="DefaultParagraphFont"/>
    <w:uiPriority w:val="20"/>
    <w:qFormat/>
    <w:rsid w:val="00264E0A"/>
    <w:rPr>
      <w:i/>
      <w:iCs/>
    </w:rPr>
  </w:style>
  <w:style w:type="paragraph" w:customStyle="1" w:styleId="Normal1">
    <w:name w:val="Normal1"/>
    <w:basedOn w:val="Normal"/>
    <w:rsid w:val="00264E0A"/>
    <w:pPr>
      <w:spacing w:before="100" w:beforeAutospacing="1" w:after="100" w:afterAutospacing="1"/>
    </w:pPr>
    <w:rPr>
      <w:rFonts w:eastAsia="Times New Roman" w:cs="Times New Roman"/>
      <w:sz w:val="24"/>
      <w:szCs w:val="24"/>
    </w:rPr>
  </w:style>
  <w:style w:type="character" w:customStyle="1" w:styleId="super">
    <w:name w:val="super"/>
    <w:basedOn w:val="DefaultParagraphFont"/>
    <w:rsid w:val="005866E0"/>
  </w:style>
  <w:style w:type="character" w:customStyle="1" w:styleId="italic">
    <w:name w:val="italic"/>
    <w:basedOn w:val="DefaultParagraphFont"/>
    <w:rsid w:val="00972839"/>
  </w:style>
  <w:style w:type="character" w:customStyle="1" w:styleId="bold">
    <w:name w:val="bold"/>
    <w:basedOn w:val="DefaultParagraphFont"/>
    <w:rsid w:val="000F0CFB"/>
  </w:style>
  <w:style w:type="paragraph" w:customStyle="1" w:styleId="ti-art">
    <w:name w:val="ti-art"/>
    <w:basedOn w:val="Normal"/>
    <w:rsid w:val="00A26E75"/>
    <w:pPr>
      <w:spacing w:before="100" w:beforeAutospacing="1" w:after="100" w:afterAutospacing="1"/>
    </w:pPr>
    <w:rPr>
      <w:rFonts w:eastAsia="Times New Roman" w:cs="Times New Roman"/>
      <w:sz w:val="24"/>
      <w:szCs w:val="24"/>
    </w:rPr>
  </w:style>
  <w:style w:type="paragraph" w:customStyle="1" w:styleId="Style22">
    <w:name w:val="Style22"/>
    <w:basedOn w:val="Normal"/>
    <w:rsid w:val="00AF7750"/>
    <w:pPr>
      <w:widowControl w:val="0"/>
      <w:autoSpaceDE w:val="0"/>
      <w:autoSpaceDN w:val="0"/>
      <w:adjustRightInd w:val="0"/>
    </w:pPr>
    <w:rPr>
      <w:rFonts w:ascii="Book Antiqua" w:eastAsia="Times New Roman" w:hAnsi="Book Antiqua" w:cs="Book Antiqua"/>
      <w:sz w:val="24"/>
      <w:szCs w:val="24"/>
      <w:lang w:val="sr-Latn-CS" w:eastAsia="sr-Latn-CS"/>
    </w:rPr>
  </w:style>
  <w:style w:type="paragraph" w:customStyle="1" w:styleId="1tekst">
    <w:name w:val="_1tekst"/>
    <w:basedOn w:val="Normal"/>
    <w:rsid w:val="00B37945"/>
    <w:pPr>
      <w:ind w:left="150" w:right="150" w:firstLine="240"/>
      <w:jc w:val="both"/>
    </w:pPr>
    <w:rPr>
      <w:rFonts w:ascii="Tahoma" w:eastAsiaTheme="minorEastAsia" w:hAnsi="Tahoma" w:cs="Tahoma"/>
      <w:sz w:val="23"/>
      <w:szCs w:val="23"/>
    </w:rPr>
  </w:style>
  <w:style w:type="character" w:customStyle="1" w:styleId="UnresolvedMention">
    <w:name w:val="Unresolved Mention"/>
    <w:basedOn w:val="DefaultParagraphFont"/>
    <w:uiPriority w:val="99"/>
    <w:semiHidden/>
    <w:unhideWhenUsed/>
    <w:rsid w:val="007C2F10"/>
    <w:rPr>
      <w:color w:val="605E5C"/>
      <w:shd w:val="clear" w:color="auto" w:fill="E1DFDD"/>
    </w:rPr>
  </w:style>
  <w:style w:type="paragraph" w:styleId="Header">
    <w:name w:val="header"/>
    <w:basedOn w:val="Normal"/>
    <w:link w:val="HeaderChar"/>
    <w:unhideWhenUsed/>
    <w:rsid w:val="00BC0F56"/>
    <w:pPr>
      <w:tabs>
        <w:tab w:val="center" w:pos="4680"/>
        <w:tab w:val="right" w:pos="9360"/>
      </w:tabs>
    </w:pPr>
  </w:style>
  <w:style w:type="character" w:customStyle="1" w:styleId="HeaderChar">
    <w:name w:val="Header Char"/>
    <w:basedOn w:val="DefaultParagraphFont"/>
    <w:link w:val="Header"/>
    <w:rsid w:val="00BC0F56"/>
    <w:rPr>
      <w:rFonts w:eastAsia="Calibri" w:cs="Arial"/>
      <w:sz w:val="22"/>
      <w:szCs w:val="22"/>
    </w:rPr>
  </w:style>
  <w:style w:type="paragraph" w:styleId="Footer">
    <w:name w:val="footer"/>
    <w:basedOn w:val="Normal"/>
    <w:link w:val="FooterChar"/>
    <w:unhideWhenUsed/>
    <w:rsid w:val="00BC0F56"/>
    <w:pPr>
      <w:tabs>
        <w:tab w:val="center" w:pos="4680"/>
        <w:tab w:val="right" w:pos="9360"/>
      </w:tabs>
    </w:pPr>
  </w:style>
  <w:style w:type="character" w:customStyle="1" w:styleId="FooterChar">
    <w:name w:val="Footer Char"/>
    <w:basedOn w:val="DefaultParagraphFont"/>
    <w:link w:val="Footer"/>
    <w:rsid w:val="00BC0F56"/>
    <w:rPr>
      <w:rFonts w:eastAsia="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63820">
      <w:bodyDiv w:val="1"/>
      <w:marLeft w:val="0"/>
      <w:marRight w:val="0"/>
      <w:marTop w:val="0"/>
      <w:marBottom w:val="0"/>
      <w:divBdr>
        <w:top w:val="none" w:sz="0" w:space="0" w:color="auto"/>
        <w:left w:val="none" w:sz="0" w:space="0" w:color="auto"/>
        <w:bottom w:val="none" w:sz="0" w:space="0" w:color="auto"/>
        <w:right w:val="none" w:sz="0" w:space="0" w:color="auto"/>
      </w:divBdr>
    </w:div>
    <w:div w:id="87774897">
      <w:bodyDiv w:val="1"/>
      <w:marLeft w:val="0"/>
      <w:marRight w:val="0"/>
      <w:marTop w:val="0"/>
      <w:marBottom w:val="0"/>
      <w:divBdr>
        <w:top w:val="none" w:sz="0" w:space="0" w:color="auto"/>
        <w:left w:val="none" w:sz="0" w:space="0" w:color="auto"/>
        <w:bottom w:val="none" w:sz="0" w:space="0" w:color="auto"/>
        <w:right w:val="none" w:sz="0" w:space="0" w:color="auto"/>
      </w:divBdr>
    </w:div>
    <w:div w:id="108747648">
      <w:bodyDiv w:val="1"/>
      <w:marLeft w:val="0"/>
      <w:marRight w:val="0"/>
      <w:marTop w:val="0"/>
      <w:marBottom w:val="0"/>
      <w:divBdr>
        <w:top w:val="none" w:sz="0" w:space="0" w:color="auto"/>
        <w:left w:val="none" w:sz="0" w:space="0" w:color="auto"/>
        <w:bottom w:val="none" w:sz="0" w:space="0" w:color="auto"/>
        <w:right w:val="none" w:sz="0" w:space="0" w:color="auto"/>
      </w:divBdr>
    </w:div>
    <w:div w:id="213544941">
      <w:bodyDiv w:val="1"/>
      <w:marLeft w:val="0"/>
      <w:marRight w:val="0"/>
      <w:marTop w:val="0"/>
      <w:marBottom w:val="0"/>
      <w:divBdr>
        <w:top w:val="none" w:sz="0" w:space="0" w:color="auto"/>
        <w:left w:val="none" w:sz="0" w:space="0" w:color="auto"/>
        <w:bottom w:val="none" w:sz="0" w:space="0" w:color="auto"/>
        <w:right w:val="none" w:sz="0" w:space="0" w:color="auto"/>
      </w:divBdr>
    </w:div>
    <w:div w:id="243421797">
      <w:bodyDiv w:val="1"/>
      <w:marLeft w:val="0"/>
      <w:marRight w:val="0"/>
      <w:marTop w:val="0"/>
      <w:marBottom w:val="0"/>
      <w:divBdr>
        <w:top w:val="none" w:sz="0" w:space="0" w:color="auto"/>
        <w:left w:val="none" w:sz="0" w:space="0" w:color="auto"/>
        <w:bottom w:val="none" w:sz="0" w:space="0" w:color="auto"/>
        <w:right w:val="none" w:sz="0" w:space="0" w:color="auto"/>
      </w:divBdr>
    </w:div>
    <w:div w:id="307905489">
      <w:bodyDiv w:val="1"/>
      <w:marLeft w:val="0"/>
      <w:marRight w:val="0"/>
      <w:marTop w:val="0"/>
      <w:marBottom w:val="0"/>
      <w:divBdr>
        <w:top w:val="none" w:sz="0" w:space="0" w:color="auto"/>
        <w:left w:val="none" w:sz="0" w:space="0" w:color="auto"/>
        <w:bottom w:val="none" w:sz="0" w:space="0" w:color="auto"/>
        <w:right w:val="none" w:sz="0" w:space="0" w:color="auto"/>
      </w:divBdr>
    </w:div>
    <w:div w:id="363332344">
      <w:bodyDiv w:val="1"/>
      <w:marLeft w:val="0"/>
      <w:marRight w:val="0"/>
      <w:marTop w:val="0"/>
      <w:marBottom w:val="0"/>
      <w:divBdr>
        <w:top w:val="none" w:sz="0" w:space="0" w:color="auto"/>
        <w:left w:val="none" w:sz="0" w:space="0" w:color="auto"/>
        <w:bottom w:val="none" w:sz="0" w:space="0" w:color="auto"/>
        <w:right w:val="none" w:sz="0" w:space="0" w:color="auto"/>
      </w:divBdr>
    </w:div>
    <w:div w:id="468328004">
      <w:bodyDiv w:val="1"/>
      <w:marLeft w:val="0"/>
      <w:marRight w:val="0"/>
      <w:marTop w:val="0"/>
      <w:marBottom w:val="0"/>
      <w:divBdr>
        <w:top w:val="none" w:sz="0" w:space="0" w:color="auto"/>
        <w:left w:val="none" w:sz="0" w:space="0" w:color="auto"/>
        <w:bottom w:val="none" w:sz="0" w:space="0" w:color="auto"/>
        <w:right w:val="none" w:sz="0" w:space="0" w:color="auto"/>
      </w:divBdr>
    </w:div>
    <w:div w:id="506750174">
      <w:bodyDiv w:val="1"/>
      <w:marLeft w:val="0"/>
      <w:marRight w:val="0"/>
      <w:marTop w:val="0"/>
      <w:marBottom w:val="0"/>
      <w:divBdr>
        <w:top w:val="none" w:sz="0" w:space="0" w:color="auto"/>
        <w:left w:val="none" w:sz="0" w:space="0" w:color="auto"/>
        <w:bottom w:val="none" w:sz="0" w:space="0" w:color="auto"/>
        <w:right w:val="none" w:sz="0" w:space="0" w:color="auto"/>
      </w:divBdr>
    </w:div>
    <w:div w:id="508906916">
      <w:bodyDiv w:val="1"/>
      <w:marLeft w:val="0"/>
      <w:marRight w:val="0"/>
      <w:marTop w:val="0"/>
      <w:marBottom w:val="0"/>
      <w:divBdr>
        <w:top w:val="none" w:sz="0" w:space="0" w:color="auto"/>
        <w:left w:val="none" w:sz="0" w:space="0" w:color="auto"/>
        <w:bottom w:val="none" w:sz="0" w:space="0" w:color="auto"/>
        <w:right w:val="none" w:sz="0" w:space="0" w:color="auto"/>
      </w:divBdr>
    </w:div>
    <w:div w:id="526991254">
      <w:bodyDiv w:val="1"/>
      <w:marLeft w:val="0"/>
      <w:marRight w:val="0"/>
      <w:marTop w:val="0"/>
      <w:marBottom w:val="0"/>
      <w:divBdr>
        <w:top w:val="none" w:sz="0" w:space="0" w:color="auto"/>
        <w:left w:val="none" w:sz="0" w:space="0" w:color="auto"/>
        <w:bottom w:val="none" w:sz="0" w:space="0" w:color="auto"/>
        <w:right w:val="none" w:sz="0" w:space="0" w:color="auto"/>
      </w:divBdr>
      <w:divsChild>
        <w:div w:id="272715235">
          <w:marLeft w:val="0"/>
          <w:marRight w:val="0"/>
          <w:marTop w:val="0"/>
          <w:marBottom w:val="0"/>
          <w:divBdr>
            <w:top w:val="none" w:sz="0" w:space="0" w:color="auto"/>
            <w:left w:val="none" w:sz="0" w:space="0" w:color="auto"/>
            <w:bottom w:val="none" w:sz="0" w:space="0" w:color="auto"/>
            <w:right w:val="none" w:sz="0" w:space="0" w:color="auto"/>
          </w:divBdr>
          <w:divsChild>
            <w:div w:id="879125090">
              <w:marLeft w:val="0"/>
              <w:marRight w:val="0"/>
              <w:marTop w:val="120"/>
              <w:marBottom w:val="0"/>
              <w:divBdr>
                <w:top w:val="none" w:sz="0" w:space="0" w:color="auto"/>
                <w:left w:val="none" w:sz="0" w:space="0" w:color="auto"/>
                <w:bottom w:val="none" w:sz="0" w:space="0" w:color="auto"/>
                <w:right w:val="none" w:sz="0" w:space="0" w:color="auto"/>
              </w:divBdr>
            </w:div>
            <w:div w:id="9720041">
              <w:marLeft w:val="0"/>
              <w:marRight w:val="0"/>
              <w:marTop w:val="0"/>
              <w:marBottom w:val="0"/>
              <w:divBdr>
                <w:top w:val="none" w:sz="0" w:space="0" w:color="auto"/>
                <w:left w:val="none" w:sz="0" w:space="0" w:color="auto"/>
                <w:bottom w:val="none" w:sz="0" w:space="0" w:color="auto"/>
                <w:right w:val="none" w:sz="0" w:space="0" w:color="auto"/>
              </w:divBdr>
            </w:div>
          </w:divsChild>
        </w:div>
        <w:div w:id="842666813">
          <w:marLeft w:val="0"/>
          <w:marRight w:val="0"/>
          <w:marTop w:val="0"/>
          <w:marBottom w:val="0"/>
          <w:divBdr>
            <w:top w:val="none" w:sz="0" w:space="0" w:color="auto"/>
            <w:left w:val="none" w:sz="0" w:space="0" w:color="auto"/>
            <w:bottom w:val="none" w:sz="0" w:space="0" w:color="auto"/>
            <w:right w:val="none" w:sz="0" w:space="0" w:color="auto"/>
          </w:divBdr>
          <w:divsChild>
            <w:div w:id="278999116">
              <w:marLeft w:val="0"/>
              <w:marRight w:val="0"/>
              <w:marTop w:val="120"/>
              <w:marBottom w:val="0"/>
              <w:divBdr>
                <w:top w:val="none" w:sz="0" w:space="0" w:color="auto"/>
                <w:left w:val="none" w:sz="0" w:space="0" w:color="auto"/>
                <w:bottom w:val="none" w:sz="0" w:space="0" w:color="auto"/>
                <w:right w:val="none" w:sz="0" w:space="0" w:color="auto"/>
              </w:divBdr>
            </w:div>
            <w:div w:id="209376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544355">
      <w:bodyDiv w:val="1"/>
      <w:marLeft w:val="0"/>
      <w:marRight w:val="0"/>
      <w:marTop w:val="0"/>
      <w:marBottom w:val="0"/>
      <w:divBdr>
        <w:top w:val="none" w:sz="0" w:space="0" w:color="auto"/>
        <w:left w:val="none" w:sz="0" w:space="0" w:color="auto"/>
        <w:bottom w:val="none" w:sz="0" w:space="0" w:color="auto"/>
        <w:right w:val="none" w:sz="0" w:space="0" w:color="auto"/>
      </w:divBdr>
    </w:div>
    <w:div w:id="627513390">
      <w:bodyDiv w:val="1"/>
      <w:marLeft w:val="0"/>
      <w:marRight w:val="0"/>
      <w:marTop w:val="0"/>
      <w:marBottom w:val="0"/>
      <w:divBdr>
        <w:top w:val="none" w:sz="0" w:space="0" w:color="auto"/>
        <w:left w:val="none" w:sz="0" w:space="0" w:color="auto"/>
        <w:bottom w:val="none" w:sz="0" w:space="0" w:color="auto"/>
        <w:right w:val="none" w:sz="0" w:space="0" w:color="auto"/>
      </w:divBdr>
    </w:div>
    <w:div w:id="641689723">
      <w:bodyDiv w:val="1"/>
      <w:marLeft w:val="0"/>
      <w:marRight w:val="0"/>
      <w:marTop w:val="0"/>
      <w:marBottom w:val="0"/>
      <w:divBdr>
        <w:top w:val="none" w:sz="0" w:space="0" w:color="auto"/>
        <w:left w:val="none" w:sz="0" w:space="0" w:color="auto"/>
        <w:bottom w:val="none" w:sz="0" w:space="0" w:color="auto"/>
        <w:right w:val="none" w:sz="0" w:space="0" w:color="auto"/>
      </w:divBdr>
    </w:div>
    <w:div w:id="659189463">
      <w:bodyDiv w:val="1"/>
      <w:marLeft w:val="0"/>
      <w:marRight w:val="0"/>
      <w:marTop w:val="0"/>
      <w:marBottom w:val="0"/>
      <w:divBdr>
        <w:top w:val="none" w:sz="0" w:space="0" w:color="auto"/>
        <w:left w:val="none" w:sz="0" w:space="0" w:color="auto"/>
        <w:bottom w:val="none" w:sz="0" w:space="0" w:color="auto"/>
        <w:right w:val="none" w:sz="0" w:space="0" w:color="auto"/>
      </w:divBdr>
    </w:div>
    <w:div w:id="735206810">
      <w:bodyDiv w:val="1"/>
      <w:marLeft w:val="0"/>
      <w:marRight w:val="0"/>
      <w:marTop w:val="0"/>
      <w:marBottom w:val="0"/>
      <w:divBdr>
        <w:top w:val="none" w:sz="0" w:space="0" w:color="auto"/>
        <w:left w:val="none" w:sz="0" w:space="0" w:color="auto"/>
        <w:bottom w:val="none" w:sz="0" w:space="0" w:color="auto"/>
        <w:right w:val="none" w:sz="0" w:space="0" w:color="auto"/>
      </w:divBdr>
    </w:div>
    <w:div w:id="905870496">
      <w:bodyDiv w:val="1"/>
      <w:marLeft w:val="0"/>
      <w:marRight w:val="0"/>
      <w:marTop w:val="0"/>
      <w:marBottom w:val="0"/>
      <w:divBdr>
        <w:top w:val="none" w:sz="0" w:space="0" w:color="auto"/>
        <w:left w:val="none" w:sz="0" w:space="0" w:color="auto"/>
        <w:bottom w:val="none" w:sz="0" w:space="0" w:color="auto"/>
        <w:right w:val="none" w:sz="0" w:space="0" w:color="auto"/>
      </w:divBdr>
    </w:div>
    <w:div w:id="931086548">
      <w:bodyDiv w:val="1"/>
      <w:marLeft w:val="0"/>
      <w:marRight w:val="0"/>
      <w:marTop w:val="0"/>
      <w:marBottom w:val="0"/>
      <w:divBdr>
        <w:top w:val="none" w:sz="0" w:space="0" w:color="auto"/>
        <w:left w:val="none" w:sz="0" w:space="0" w:color="auto"/>
        <w:bottom w:val="none" w:sz="0" w:space="0" w:color="auto"/>
        <w:right w:val="none" w:sz="0" w:space="0" w:color="auto"/>
      </w:divBdr>
    </w:div>
    <w:div w:id="958608867">
      <w:bodyDiv w:val="1"/>
      <w:marLeft w:val="0"/>
      <w:marRight w:val="0"/>
      <w:marTop w:val="0"/>
      <w:marBottom w:val="0"/>
      <w:divBdr>
        <w:top w:val="none" w:sz="0" w:space="0" w:color="auto"/>
        <w:left w:val="none" w:sz="0" w:space="0" w:color="auto"/>
        <w:bottom w:val="none" w:sz="0" w:space="0" w:color="auto"/>
        <w:right w:val="none" w:sz="0" w:space="0" w:color="auto"/>
      </w:divBdr>
    </w:div>
    <w:div w:id="986936107">
      <w:bodyDiv w:val="1"/>
      <w:marLeft w:val="0"/>
      <w:marRight w:val="0"/>
      <w:marTop w:val="0"/>
      <w:marBottom w:val="0"/>
      <w:divBdr>
        <w:top w:val="none" w:sz="0" w:space="0" w:color="auto"/>
        <w:left w:val="none" w:sz="0" w:space="0" w:color="auto"/>
        <w:bottom w:val="none" w:sz="0" w:space="0" w:color="auto"/>
        <w:right w:val="none" w:sz="0" w:space="0" w:color="auto"/>
      </w:divBdr>
    </w:div>
    <w:div w:id="1038816154">
      <w:bodyDiv w:val="1"/>
      <w:marLeft w:val="0"/>
      <w:marRight w:val="0"/>
      <w:marTop w:val="0"/>
      <w:marBottom w:val="0"/>
      <w:divBdr>
        <w:top w:val="none" w:sz="0" w:space="0" w:color="auto"/>
        <w:left w:val="none" w:sz="0" w:space="0" w:color="auto"/>
        <w:bottom w:val="none" w:sz="0" w:space="0" w:color="auto"/>
        <w:right w:val="none" w:sz="0" w:space="0" w:color="auto"/>
      </w:divBdr>
    </w:div>
    <w:div w:id="1045373949">
      <w:bodyDiv w:val="1"/>
      <w:marLeft w:val="0"/>
      <w:marRight w:val="0"/>
      <w:marTop w:val="0"/>
      <w:marBottom w:val="0"/>
      <w:divBdr>
        <w:top w:val="none" w:sz="0" w:space="0" w:color="auto"/>
        <w:left w:val="none" w:sz="0" w:space="0" w:color="auto"/>
        <w:bottom w:val="none" w:sz="0" w:space="0" w:color="auto"/>
        <w:right w:val="none" w:sz="0" w:space="0" w:color="auto"/>
      </w:divBdr>
    </w:div>
    <w:div w:id="1092160388">
      <w:bodyDiv w:val="1"/>
      <w:marLeft w:val="0"/>
      <w:marRight w:val="0"/>
      <w:marTop w:val="0"/>
      <w:marBottom w:val="0"/>
      <w:divBdr>
        <w:top w:val="none" w:sz="0" w:space="0" w:color="auto"/>
        <w:left w:val="none" w:sz="0" w:space="0" w:color="auto"/>
        <w:bottom w:val="none" w:sz="0" w:space="0" w:color="auto"/>
        <w:right w:val="none" w:sz="0" w:space="0" w:color="auto"/>
      </w:divBdr>
      <w:divsChild>
        <w:div w:id="1368336145">
          <w:marLeft w:val="0"/>
          <w:marRight w:val="0"/>
          <w:marTop w:val="0"/>
          <w:marBottom w:val="0"/>
          <w:divBdr>
            <w:top w:val="none" w:sz="0" w:space="0" w:color="auto"/>
            <w:left w:val="none" w:sz="0" w:space="0" w:color="auto"/>
            <w:bottom w:val="none" w:sz="0" w:space="0" w:color="auto"/>
            <w:right w:val="none" w:sz="0" w:space="0" w:color="auto"/>
          </w:divBdr>
          <w:divsChild>
            <w:div w:id="2111848027">
              <w:marLeft w:val="0"/>
              <w:marRight w:val="0"/>
              <w:marTop w:val="0"/>
              <w:marBottom w:val="0"/>
              <w:divBdr>
                <w:top w:val="none" w:sz="0" w:space="0" w:color="auto"/>
                <w:left w:val="none" w:sz="0" w:space="0" w:color="auto"/>
                <w:bottom w:val="none" w:sz="0" w:space="0" w:color="auto"/>
                <w:right w:val="none" w:sz="0" w:space="0" w:color="auto"/>
              </w:divBdr>
              <w:divsChild>
                <w:div w:id="1904295009">
                  <w:marLeft w:val="0"/>
                  <w:marRight w:val="0"/>
                  <w:marTop w:val="0"/>
                  <w:marBottom w:val="0"/>
                  <w:divBdr>
                    <w:top w:val="none" w:sz="0" w:space="0" w:color="auto"/>
                    <w:left w:val="none" w:sz="0" w:space="0" w:color="auto"/>
                    <w:bottom w:val="none" w:sz="0" w:space="0" w:color="auto"/>
                    <w:right w:val="none" w:sz="0" w:space="0" w:color="auto"/>
                  </w:divBdr>
                  <w:divsChild>
                    <w:div w:id="1760758224">
                      <w:marLeft w:val="0"/>
                      <w:marRight w:val="0"/>
                      <w:marTop w:val="75"/>
                      <w:marBottom w:val="0"/>
                      <w:divBdr>
                        <w:top w:val="single" w:sz="12" w:space="0" w:color="884306"/>
                        <w:left w:val="single" w:sz="12" w:space="0" w:color="884306"/>
                        <w:bottom w:val="single" w:sz="12" w:space="0" w:color="884306"/>
                        <w:right w:val="single" w:sz="12" w:space="0" w:color="884306"/>
                      </w:divBdr>
                      <w:divsChild>
                        <w:div w:id="1047074274">
                          <w:marLeft w:val="0"/>
                          <w:marRight w:val="0"/>
                          <w:marTop w:val="0"/>
                          <w:marBottom w:val="900"/>
                          <w:divBdr>
                            <w:top w:val="none" w:sz="0" w:space="0" w:color="auto"/>
                            <w:left w:val="none" w:sz="0" w:space="0" w:color="auto"/>
                            <w:bottom w:val="none" w:sz="0" w:space="0" w:color="auto"/>
                            <w:right w:val="none" w:sz="0" w:space="0" w:color="auto"/>
                          </w:divBdr>
                          <w:divsChild>
                            <w:div w:id="419718576">
                              <w:marLeft w:val="0"/>
                              <w:marRight w:val="0"/>
                              <w:marTop w:val="0"/>
                              <w:marBottom w:val="0"/>
                              <w:divBdr>
                                <w:top w:val="none" w:sz="0" w:space="0" w:color="auto"/>
                                <w:left w:val="none" w:sz="0" w:space="0" w:color="auto"/>
                                <w:bottom w:val="none" w:sz="0" w:space="0" w:color="auto"/>
                                <w:right w:val="none" w:sz="0" w:space="0" w:color="auto"/>
                              </w:divBdr>
                              <w:divsChild>
                                <w:div w:id="145116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8984571">
      <w:bodyDiv w:val="1"/>
      <w:marLeft w:val="0"/>
      <w:marRight w:val="0"/>
      <w:marTop w:val="0"/>
      <w:marBottom w:val="0"/>
      <w:divBdr>
        <w:top w:val="none" w:sz="0" w:space="0" w:color="auto"/>
        <w:left w:val="none" w:sz="0" w:space="0" w:color="auto"/>
        <w:bottom w:val="none" w:sz="0" w:space="0" w:color="auto"/>
        <w:right w:val="none" w:sz="0" w:space="0" w:color="auto"/>
      </w:divBdr>
    </w:div>
    <w:div w:id="1147015132">
      <w:bodyDiv w:val="1"/>
      <w:marLeft w:val="0"/>
      <w:marRight w:val="0"/>
      <w:marTop w:val="0"/>
      <w:marBottom w:val="0"/>
      <w:divBdr>
        <w:top w:val="none" w:sz="0" w:space="0" w:color="auto"/>
        <w:left w:val="none" w:sz="0" w:space="0" w:color="auto"/>
        <w:bottom w:val="none" w:sz="0" w:space="0" w:color="auto"/>
        <w:right w:val="none" w:sz="0" w:space="0" w:color="auto"/>
      </w:divBdr>
      <w:divsChild>
        <w:div w:id="1899048275">
          <w:marLeft w:val="0"/>
          <w:marRight w:val="0"/>
          <w:marTop w:val="0"/>
          <w:marBottom w:val="0"/>
          <w:divBdr>
            <w:top w:val="none" w:sz="0" w:space="0" w:color="auto"/>
            <w:left w:val="none" w:sz="0" w:space="0" w:color="auto"/>
            <w:bottom w:val="none" w:sz="0" w:space="0" w:color="auto"/>
            <w:right w:val="none" w:sz="0" w:space="0" w:color="auto"/>
          </w:divBdr>
          <w:divsChild>
            <w:div w:id="812866292">
              <w:marLeft w:val="0"/>
              <w:marRight w:val="0"/>
              <w:marTop w:val="120"/>
              <w:marBottom w:val="0"/>
              <w:divBdr>
                <w:top w:val="none" w:sz="0" w:space="0" w:color="auto"/>
                <w:left w:val="none" w:sz="0" w:space="0" w:color="auto"/>
                <w:bottom w:val="none" w:sz="0" w:space="0" w:color="auto"/>
                <w:right w:val="none" w:sz="0" w:space="0" w:color="auto"/>
              </w:divBdr>
            </w:div>
            <w:div w:id="1656303319">
              <w:marLeft w:val="0"/>
              <w:marRight w:val="0"/>
              <w:marTop w:val="0"/>
              <w:marBottom w:val="0"/>
              <w:divBdr>
                <w:top w:val="none" w:sz="0" w:space="0" w:color="auto"/>
                <w:left w:val="none" w:sz="0" w:space="0" w:color="auto"/>
                <w:bottom w:val="none" w:sz="0" w:space="0" w:color="auto"/>
                <w:right w:val="none" w:sz="0" w:space="0" w:color="auto"/>
              </w:divBdr>
            </w:div>
          </w:divsChild>
        </w:div>
        <w:div w:id="221870917">
          <w:marLeft w:val="0"/>
          <w:marRight w:val="0"/>
          <w:marTop w:val="0"/>
          <w:marBottom w:val="0"/>
          <w:divBdr>
            <w:top w:val="none" w:sz="0" w:space="0" w:color="auto"/>
            <w:left w:val="none" w:sz="0" w:space="0" w:color="auto"/>
            <w:bottom w:val="none" w:sz="0" w:space="0" w:color="auto"/>
            <w:right w:val="none" w:sz="0" w:space="0" w:color="auto"/>
          </w:divBdr>
          <w:divsChild>
            <w:div w:id="1712148306">
              <w:marLeft w:val="0"/>
              <w:marRight w:val="0"/>
              <w:marTop w:val="120"/>
              <w:marBottom w:val="0"/>
              <w:divBdr>
                <w:top w:val="none" w:sz="0" w:space="0" w:color="auto"/>
                <w:left w:val="none" w:sz="0" w:space="0" w:color="auto"/>
                <w:bottom w:val="none" w:sz="0" w:space="0" w:color="auto"/>
                <w:right w:val="none" w:sz="0" w:space="0" w:color="auto"/>
              </w:divBdr>
            </w:div>
            <w:div w:id="33430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77970">
      <w:bodyDiv w:val="1"/>
      <w:marLeft w:val="0"/>
      <w:marRight w:val="0"/>
      <w:marTop w:val="0"/>
      <w:marBottom w:val="0"/>
      <w:divBdr>
        <w:top w:val="none" w:sz="0" w:space="0" w:color="auto"/>
        <w:left w:val="none" w:sz="0" w:space="0" w:color="auto"/>
        <w:bottom w:val="none" w:sz="0" w:space="0" w:color="auto"/>
        <w:right w:val="none" w:sz="0" w:space="0" w:color="auto"/>
      </w:divBdr>
    </w:div>
    <w:div w:id="1214925319">
      <w:bodyDiv w:val="1"/>
      <w:marLeft w:val="0"/>
      <w:marRight w:val="0"/>
      <w:marTop w:val="0"/>
      <w:marBottom w:val="0"/>
      <w:divBdr>
        <w:top w:val="none" w:sz="0" w:space="0" w:color="auto"/>
        <w:left w:val="none" w:sz="0" w:space="0" w:color="auto"/>
        <w:bottom w:val="none" w:sz="0" w:space="0" w:color="auto"/>
        <w:right w:val="none" w:sz="0" w:space="0" w:color="auto"/>
      </w:divBdr>
    </w:div>
    <w:div w:id="1254705273">
      <w:bodyDiv w:val="1"/>
      <w:marLeft w:val="0"/>
      <w:marRight w:val="0"/>
      <w:marTop w:val="0"/>
      <w:marBottom w:val="0"/>
      <w:divBdr>
        <w:top w:val="none" w:sz="0" w:space="0" w:color="auto"/>
        <w:left w:val="none" w:sz="0" w:space="0" w:color="auto"/>
        <w:bottom w:val="none" w:sz="0" w:space="0" w:color="auto"/>
        <w:right w:val="none" w:sz="0" w:space="0" w:color="auto"/>
      </w:divBdr>
    </w:div>
    <w:div w:id="1277718471">
      <w:bodyDiv w:val="1"/>
      <w:marLeft w:val="0"/>
      <w:marRight w:val="0"/>
      <w:marTop w:val="0"/>
      <w:marBottom w:val="0"/>
      <w:divBdr>
        <w:top w:val="none" w:sz="0" w:space="0" w:color="auto"/>
        <w:left w:val="none" w:sz="0" w:space="0" w:color="auto"/>
        <w:bottom w:val="none" w:sz="0" w:space="0" w:color="auto"/>
        <w:right w:val="none" w:sz="0" w:space="0" w:color="auto"/>
      </w:divBdr>
    </w:div>
    <w:div w:id="1295258048">
      <w:bodyDiv w:val="1"/>
      <w:marLeft w:val="0"/>
      <w:marRight w:val="0"/>
      <w:marTop w:val="0"/>
      <w:marBottom w:val="0"/>
      <w:divBdr>
        <w:top w:val="none" w:sz="0" w:space="0" w:color="auto"/>
        <w:left w:val="none" w:sz="0" w:space="0" w:color="auto"/>
        <w:bottom w:val="none" w:sz="0" w:space="0" w:color="auto"/>
        <w:right w:val="none" w:sz="0" w:space="0" w:color="auto"/>
      </w:divBdr>
    </w:div>
    <w:div w:id="1329794984">
      <w:bodyDiv w:val="1"/>
      <w:marLeft w:val="0"/>
      <w:marRight w:val="0"/>
      <w:marTop w:val="0"/>
      <w:marBottom w:val="0"/>
      <w:divBdr>
        <w:top w:val="none" w:sz="0" w:space="0" w:color="auto"/>
        <w:left w:val="none" w:sz="0" w:space="0" w:color="auto"/>
        <w:bottom w:val="none" w:sz="0" w:space="0" w:color="auto"/>
        <w:right w:val="none" w:sz="0" w:space="0" w:color="auto"/>
      </w:divBdr>
    </w:div>
    <w:div w:id="1354376817">
      <w:bodyDiv w:val="1"/>
      <w:marLeft w:val="0"/>
      <w:marRight w:val="0"/>
      <w:marTop w:val="0"/>
      <w:marBottom w:val="0"/>
      <w:divBdr>
        <w:top w:val="none" w:sz="0" w:space="0" w:color="auto"/>
        <w:left w:val="none" w:sz="0" w:space="0" w:color="auto"/>
        <w:bottom w:val="none" w:sz="0" w:space="0" w:color="auto"/>
        <w:right w:val="none" w:sz="0" w:space="0" w:color="auto"/>
      </w:divBdr>
    </w:div>
    <w:div w:id="1378775993">
      <w:bodyDiv w:val="1"/>
      <w:marLeft w:val="0"/>
      <w:marRight w:val="0"/>
      <w:marTop w:val="0"/>
      <w:marBottom w:val="0"/>
      <w:divBdr>
        <w:top w:val="none" w:sz="0" w:space="0" w:color="auto"/>
        <w:left w:val="none" w:sz="0" w:space="0" w:color="auto"/>
        <w:bottom w:val="none" w:sz="0" w:space="0" w:color="auto"/>
        <w:right w:val="none" w:sz="0" w:space="0" w:color="auto"/>
      </w:divBdr>
    </w:div>
    <w:div w:id="1410805191">
      <w:bodyDiv w:val="1"/>
      <w:marLeft w:val="0"/>
      <w:marRight w:val="0"/>
      <w:marTop w:val="0"/>
      <w:marBottom w:val="0"/>
      <w:divBdr>
        <w:top w:val="none" w:sz="0" w:space="0" w:color="auto"/>
        <w:left w:val="none" w:sz="0" w:space="0" w:color="auto"/>
        <w:bottom w:val="none" w:sz="0" w:space="0" w:color="auto"/>
        <w:right w:val="none" w:sz="0" w:space="0" w:color="auto"/>
      </w:divBdr>
    </w:div>
    <w:div w:id="1432430980">
      <w:bodyDiv w:val="1"/>
      <w:marLeft w:val="0"/>
      <w:marRight w:val="0"/>
      <w:marTop w:val="0"/>
      <w:marBottom w:val="0"/>
      <w:divBdr>
        <w:top w:val="none" w:sz="0" w:space="0" w:color="auto"/>
        <w:left w:val="none" w:sz="0" w:space="0" w:color="auto"/>
        <w:bottom w:val="none" w:sz="0" w:space="0" w:color="auto"/>
        <w:right w:val="none" w:sz="0" w:space="0" w:color="auto"/>
      </w:divBdr>
    </w:div>
    <w:div w:id="1464226404">
      <w:bodyDiv w:val="1"/>
      <w:marLeft w:val="0"/>
      <w:marRight w:val="0"/>
      <w:marTop w:val="0"/>
      <w:marBottom w:val="0"/>
      <w:divBdr>
        <w:top w:val="none" w:sz="0" w:space="0" w:color="auto"/>
        <w:left w:val="none" w:sz="0" w:space="0" w:color="auto"/>
        <w:bottom w:val="none" w:sz="0" w:space="0" w:color="auto"/>
        <w:right w:val="none" w:sz="0" w:space="0" w:color="auto"/>
      </w:divBdr>
    </w:div>
    <w:div w:id="1469469473">
      <w:bodyDiv w:val="1"/>
      <w:marLeft w:val="0"/>
      <w:marRight w:val="0"/>
      <w:marTop w:val="0"/>
      <w:marBottom w:val="0"/>
      <w:divBdr>
        <w:top w:val="none" w:sz="0" w:space="0" w:color="auto"/>
        <w:left w:val="none" w:sz="0" w:space="0" w:color="auto"/>
        <w:bottom w:val="none" w:sz="0" w:space="0" w:color="auto"/>
        <w:right w:val="none" w:sz="0" w:space="0" w:color="auto"/>
      </w:divBdr>
    </w:div>
    <w:div w:id="1492065465">
      <w:bodyDiv w:val="1"/>
      <w:marLeft w:val="0"/>
      <w:marRight w:val="0"/>
      <w:marTop w:val="0"/>
      <w:marBottom w:val="0"/>
      <w:divBdr>
        <w:top w:val="none" w:sz="0" w:space="0" w:color="auto"/>
        <w:left w:val="none" w:sz="0" w:space="0" w:color="auto"/>
        <w:bottom w:val="none" w:sz="0" w:space="0" w:color="auto"/>
        <w:right w:val="none" w:sz="0" w:space="0" w:color="auto"/>
      </w:divBdr>
    </w:div>
    <w:div w:id="1510634833">
      <w:bodyDiv w:val="1"/>
      <w:marLeft w:val="0"/>
      <w:marRight w:val="0"/>
      <w:marTop w:val="0"/>
      <w:marBottom w:val="0"/>
      <w:divBdr>
        <w:top w:val="none" w:sz="0" w:space="0" w:color="auto"/>
        <w:left w:val="none" w:sz="0" w:space="0" w:color="auto"/>
        <w:bottom w:val="none" w:sz="0" w:space="0" w:color="auto"/>
        <w:right w:val="none" w:sz="0" w:space="0" w:color="auto"/>
      </w:divBdr>
      <w:divsChild>
        <w:div w:id="1161853516">
          <w:marLeft w:val="0"/>
          <w:marRight w:val="0"/>
          <w:marTop w:val="0"/>
          <w:marBottom w:val="0"/>
          <w:divBdr>
            <w:top w:val="none" w:sz="0" w:space="0" w:color="auto"/>
            <w:left w:val="none" w:sz="0" w:space="0" w:color="auto"/>
            <w:bottom w:val="none" w:sz="0" w:space="0" w:color="auto"/>
            <w:right w:val="none" w:sz="0" w:space="0" w:color="auto"/>
          </w:divBdr>
          <w:divsChild>
            <w:div w:id="1345089178">
              <w:marLeft w:val="0"/>
              <w:marRight w:val="0"/>
              <w:marTop w:val="120"/>
              <w:marBottom w:val="0"/>
              <w:divBdr>
                <w:top w:val="none" w:sz="0" w:space="0" w:color="auto"/>
                <w:left w:val="none" w:sz="0" w:space="0" w:color="auto"/>
                <w:bottom w:val="none" w:sz="0" w:space="0" w:color="auto"/>
                <w:right w:val="none" w:sz="0" w:space="0" w:color="auto"/>
              </w:divBdr>
            </w:div>
            <w:div w:id="961614357">
              <w:marLeft w:val="0"/>
              <w:marRight w:val="0"/>
              <w:marTop w:val="0"/>
              <w:marBottom w:val="0"/>
              <w:divBdr>
                <w:top w:val="none" w:sz="0" w:space="0" w:color="auto"/>
                <w:left w:val="none" w:sz="0" w:space="0" w:color="auto"/>
                <w:bottom w:val="none" w:sz="0" w:space="0" w:color="auto"/>
                <w:right w:val="none" w:sz="0" w:space="0" w:color="auto"/>
              </w:divBdr>
            </w:div>
          </w:divsChild>
        </w:div>
        <w:div w:id="41366865">
          <w:marLeft w:val="0"/>
          <w:marRight w:val="0"/>
          <w:marTop w:val="0"/>
          <w:marBottom w:val="0"/>
          <w:divBdr>
            <w:top w:val="none" w:sz="0" w:space="0" w:color="auto"/>
            <w:left w:val="none" w:sz="0" w:space="0" w:color="auto"/>
            <w:bottom w:val="none" w:sz="0" w:space="0" w:color="auto"/>
            <w:right w:val="none" w:sz="0" w:space="0" w:color="auto"/>
          </w:divBdr>
          <w:divsChild>
            <w:div w:id="1769546634">
              <w:marLeft w:val="0"/>
              <w:marRight w:val="0"/>
              <w:marTop w:val="120"/>
              <w:marBottom w:val="0"/>
              <w:divBdr>
                <w:top w:val="none" w:sz="0" w:space="0" w:color="auto"/>
                <w:left w:val="none" w:sz="0" w:space="0" w:color="auto"/>
                <w:bottom w:val="none" w:sz="0" w:space="0" w:color="auto"/>
                <w:right w:val="none" w:sz="0" w:space="0" w:color="auto"/>
              </w:divBdr>
            </w:div>
            <w:div w:id="175466056">
              <w:marLeft w:val="0"/>
              <w:marRight w:val="0"/>
              <w:marTop w:val="0"/>
              <w:marBottom w:val="0"/>
              <w:divBdr>
                <w:top w:val="none" w:sz="0" w:space="0" w:color="auto"/>
                <w:left w:val="none" w:sz="0" w:space="0" w:color="auto"/>
                <w:bottom w:val="none" w:sz="0" w:space="0" w:color="auto"/>
                <w:right w:val="none" w:sz="0" w:space="0" w:color="auto"/>
              </w:divBdr>
            </w:div>
          </w:divsChild>
        </w:div>
        <w:div w:id="1743486129">
          <w:marLeft w:val="0"/>
          <w:marRight w:val="0"/>
          <w:marTop w:val="0"/>
          <w:marBottom w:val="0"/>
          <w:divBdr>
            <w:top w:val="none" w:sz="0" w:space="0" w:color="auto"/>
            <w:left w:val="none" w:sz="0" w:space="0" w:color="auto"/>
            <w:bottom w:val="none" w:sz="0" w:space="0" w:color="auto"/>
            <w:right w:val="none" w:sz="0" w:space="0" w:color="auto"/>
          </w:divBdr>
          <w:divsChild>
            <w:div w:id="1980112040">
              <w:marLeft w:val="0"/>
              <w:marRight w:val="0"/>
              <w:marTop w:val="120"/>
              <w:marBottom w:val="0"/>
              <w:divBdr>
                <w:top w:val="none" w:sz="0" w:space="0" w:color="auto"/>
                <w:left w:val="none" w:sz="0" w:space="0" w:color="auto"/>
                <w:bottom w:val="none" w:sz="0" w:space="0" w:color="auto"/>
                <w:right w:val="none" w:sz="0" w:space="0" w:color="auto"/>
              </w:divBdr>
            </w:div>
            <w:div w:id="1929997209">
              <w:marLeft w:val="0"/>
              <w:marRight w:val="0"/>
              <w:marTop w:val="0"/>
              <w:marBottom w:val="0"/>
              <w:divBdr>
                <w:top w:val="none" w:sz="0" w:space="0" w:color="auto"/>
                <w:left w:val="none" w:sz="0" w:space="0" w:color="auto"/>
                <w:bottom w:val="none" w:sz="0" w:space="0" w:color="auto"/>
                <w:right w:val="none" w:sz="0" w:space="0" w:color="auto"/>
              </w:divBdr>
            </w:div>
          </w:divsChild>
        </w:div>
        <w:div w:id="837696405">
          <w:marLeft w:val="0"/>
          <w:marRight w:val="0"/>
          <w:marTop w:val="0"/>
          <w:marBottom w:val="0"/>
          <w:divBdr>
            <w:top w:val="none" w:sz="0" w:space="0" w:color="auto"/>
            <w:left w:val="none" w:sz="0" w:space="0" w:color="auto"/>
            <w:bottom w:val="none" w:sz="0" w:space="0" w:color="auto"/>
            <w:right w:val="none" w:sz="0" w:space="0" w:color="auto"/>
          </w:divBdr>
          <w:divsChild>
            <w:div w:id="933903858">
              <w:marLeft w:val="0"/>
              <w:marRight w:val="0"/>
              <w:marTop w:val="120"/>
              <w:marBottom w:val="0"/>
              <w:divBdr>
                <w:top w:val="none" w:sz="0" w:space="0" w:color="auto"/>
                <w:left w:val="none" w:sz="0" w:space="0" w:color="auto"/>
                <w:bottom w:val="none" w:sz="0" w:space="0" w:color="auto"/>
                <w:right w:val="none" w:sz="0" w:space="0" w:color="auto"/>
              </w:divBdr>
            </w:div>
            <w:div w:id="198188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58351">
      <w:bodyDiv w:val="1"/>
      <w:marLeft w:val="0"/>
      <w:marRight w:val="0"/>
      <w:marTop w:val="0"/>
      <w:marBottom w:val="0"/>
      <w:divBdr>
        <w:top w:val="none" w:sz="0" w:space="0" w:color="auto"/>
        <w:left w:val="none" w:sz="0" w:space="0" w:color="auto"/>
        <w:bottom w:val="none" w:sz="0" w:space="0" w:color="auto"/>
        <w:right w:val="none" w:sz="0" w:space="0" w:color="auto"/>
      </w:divBdr>
    </w:div>
    <w:div w:id="1543251987">
      <w:bodyDiv w:val="1"/>
      <w:marLeft w:val="0"/>
      <w:marRight w:val="0"/>
      <w:marTop w:val="0"/>
      <w:marBottom w:val="0"/>
      <w:divBdr>
        <w:top w:val="none" w:sz="0" w:space="0" w:color="auto"/>
        <w:left w:val="none" w:sz="0" w:space="0" w:color="auto"/>
        <w:bottom w:val="none" w:sz="0" w:space="0" w:color="auto"/>
        <w:right w:val="none" w:sz="0" w:space="0" w:color="auto"/>
      </w:divBdr>
    </w:div>
    <w:div w:id="1547915554">
      <w:bodyDiv w:val="1"/>
      <w:marLeft w:val="0"/>
      <w:marRight w:val="0"/>
      <w:marTop w:val="0"/>
      <w:marBottom w:val="0"/>
      <w:divBdr>
        <w:top w:val="none" w:sz="0" w:space="0" w:color="auto"/>
        <w:left w:val="none" w:sz="0" w:space="0" w:color="auto"/>
        <w:bottom w:val="none" w:sz="0" w:space="0" w:color="auto"/>
        <w:right w:val="none" w:sz="0" w:space="0" w:color="auto"/>
      </w:divBdr>
    </w:div>
    <w:div w:id="1609578230">
      <w:bodyDiv w:val="1"/>
      <w:marLeft w:val="0"/>
      <w:marRight w:val="0"/>
      <w:marTop w:val="0"/>
      <w:marBottom w:val="0"/>
      <w:divBdr>
        <w:top w:val="none" w:sz="0" w:space="0" w:color="auto"/>
        <w:left w:val="none" w:sz="0" w:space="0" w:color="auto"/>
        <w:bottom w:val="none" w:sz="0" w:space="0" w:color="auto"/>
        <w:right w:val="none" w:sz="0" w:space="0" w:color="auto"/>
      </w:divBdr>
    </w:div>
    <w:div w:id="1637105642">
      <w:bodyDiv w:val="1"/>
      <w:marLeft w:val="0"/>
      <w:marRight w:val="0"/>
      <w:marTop w:val="0"/>
      <w:marBottom w:val="0"/>
      <w:divBdr>
        <w:top w:val="none" w:sz="0" w:space="0" w:color="auto"/>
        <w:left w:val="none" w:sz="0" w:space="0" w:color="auto"/>
        <w:bottom w:val="none" w:sz="0" w:space="0" w:color="auto"/>
        <w:right w:val="none" w:sz="0" w:space="0" w:color="auto"/>
      </w:divBdr>
      <w:divsChild>
        <w:div w:id="1995864665">
          <w:marLeft w:val="0"/>
          <w:marRight w:val="0"/>
          <w:marTop w:val="0"/>
          <w:marBottom w:val="0"/>
          <w:divBdr>
            <w:top w:val="none" w:sz="0" w:space="0" w:color="auto"/>
            <w:left w:val="none" w:sz="0" w:space="0" w:color="auto"/>
            <w:bottom w:val="none" w:sz="0" w:space="0" w:color="auto"/>
            <w:right w:val="none" w:sz="0" w:space="0" w:color="auto"/>
          </w:divBdr>
          <w:divsChild>
            <w:div w:id="1464926835">
              <w:marLeft w:val="0"/>
              <w:marRight w:val="0"/>
              <w:marTop w:val="0"/>
              <w:marBottom w:val="0"/>
              <w:divBdr>
                <w:top w:val="none" w:sz="0" w:space="0" w:color="auto"/>
                <w:left w:val="none" w:sz="0" w:space="0" w:color="auto"/>
                <w:bottom w:val="none" w:sz="0" w:space="0" w:color="auto"/>
                <w:right w:val="none" w:sz="0" w:space="0" w:color="auto"/>
              </w:divBdr>
              <w:divsChild>
                <w:div w:id="2106609811">
                  <w:marLeft w:val="0"/>
                  <w:marRight w:val="0"/>
                  <w:marTop w:val="0"/>
                  <w:marBottom w:val="0"/>
                  <w:divBdr>
                    <w:top w:val="none" w:sz="0" w:space="0" w:color="auto"/>
                    <w:left w:val="none" w:sz="0" w:space="0" w:color="auto"/>
                    <w:bottom w:val="none" w:sz="0" w:space="0" w:color="auto"/>
                    <w:right w:val="none" w:sz="0" w:space="0" w:color="auto"/>
                  </w:divBdr>
                  <w:divsChild>
                    <w:div w:id="1137525540">
                      <w:marLeft w:val="0"/>
                      <w:marRight w:val="0"/>
                      <w:marTop w:val="75"/>
                      <w:marBottom w:val="0"/>
                      <w:divBdr>
                        <w:top w:val="single" w:sz="12" w:space="0" w:color="884306"/>
                        <w:left w:val="single" w:sz="12" w:space="0" w:color="884306"/>
                        <w:bottom w:val="single" w:sz="12" w:space="0" w:color="884306"/>
                        <w:right w:val="single" w:sz="12" w:space="0" w:color="884306"/>
                      </w:divBdr>
                      <w:divsChild>
                        <w:div w:id="827676672">
                          <w:marLeft w:val="0"/>
                          <w:marRight w:val="0"/>
                          <w:marTop w:val="0"/>
                          <w:marBottom w:val="900"/>
                          <w:divBdr>
                            <w:top w:val="none" w:sz="0" w:space="0" w:color="auto"/>
                            <w:left w:val="none" w:sz="0" w:space="0" w:color="auto"/>
                            <w:bottom w:val="none" w:sz="0" w:space="0" w:color="auto"/>
                            <w:right w:val="none" w:sz="0" w:space="0" w:color="auto"/>
                          </w:divBdr>
                          <w:divsChild>
                            <w:div w:id="1108310446">
                              <w:marLeft w:val="0"/>
                              <w:marRight w:val="0"/>
                              <w:marTop w:val="0"/>
                              <w:marBottom w:val="0"/>
                              <w:divBdr>
                                <w:top w:val="none" w:sz="0" w:space="0" w:color="auto"/>
                                <w:left w:val="none" w:sz="0" w:space="0" w:color="auto"/>
                                <w:bottom w:val="none" w:sz="0" w:space="0" w:color="auto"/>
                                <w:right w:val="none" w:sz="0" w:space="0" w:color="auto"/>
                              </w:divBdr>
                              <w:divsChild>
                                <w:div w:id="160911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524380">
      <w:bodyDiv w:val="1"/>
      <w:marLeft w:val="0"/>
      <w:marRight w:val="0"/>
      <w:marTop w:val="0"/>
      <w:marBottom w:val="0"/>
      <w:divBdr>
        <w:top w:val="none" w:sz="0" w:space="0" w:color="auto"/>
        <w:left w:val="none" w:sz="0" w:space="0" w:color="auto"/>
        <w:bottom w:val="none" w:sz="0" w:space="0" w:color="auto"/>
        <w:right w:val="none" w:sz="0" w:space="0" w:color="auto"/>
      </w:divBdr>
    </w:div>
    <w:div w:id="1817068322">
      <w:bodyDiv w:val="1"/>
      <w:marLeft w:val="0"/>
      <w:marRight w:val="0"/>
      <w:marTop w:val="0"/>
      <w:marBottom w:val="0"/>
      <w:divBdr>
        <w:top w:val="none" w:sz="0" w:space="0" w:color="auto"/>
        <w:left w:val="none" w:sz="0" w:space="0" w:color="auto"/>
        <w:bottom w:val="none" w:sz="0" w:space="0" w:color="auto"/>
        <w:right w:val="none" w:sz="0" w:space="0" w:color="auto"/>
      </w:divBdr>
    </w:div>
    <w:div w:id="1820345333">
      <w:bodyDiv w:val="1"/>
      <w:marLeft w:val="0"/>
      <w:marRight w:val="0"/>
      <w:marTop w:val="0"/>
      <w:marBottom w:val="0"/>
      <w:divBdr>
        <w:top w:val="none" w:sz="0" w:space="0" w:color="auto"/>
        <w:left w:val="none" w:sz="0" w:space="0" w:color="auto"/>
        <w:bottom w:val="none" w:sz="0" w:space="0" w:color="auto"/>
        <w:right w:val="none" w:sz="0" w:space="0" w:color="auto"/>
      </w:divBdr>
      <w:divsChild>
        <w:div w:id="817645929">
          <w:marLeft w:val="0"/>
          <w:marRight w:val="0"/>
          <w:marTop w:val="0"/>
          <w:marBottom w:val="0"/>
          <w:divBdr>
            <w:top w:val="none" w:sz="0" w:space="0" w:color="auto"/>
            <w:left w:val="none" w:sz="0" w:space="0" w:color="auto"/>
            <w:bottom w:val="none" w:sz="0" w:space="0" w:color="auto"/>
            <w:right w:val="none" w:sz="0" w:space="0" w:color="auto"/>
          </w:divBdr>
          <w:divsChild>
            <w:div w:id="1980265569">
              <w:marLeft w:val="0"/>
              <w:marRight w:val="0"/>
              <w:marTop w:val="120"/>
              <w:marBottom w:val="0"/>
              <w:divBdr>
                <w:top w:val="none" w:sz="0" w:space="0" w:color="auto"/>
                <w:left w:val="none" w:sz="0" w:space="0" w:color="auto"/>
                <w:bottom w:val="none" w:sz="0" w:space="0" w:color="auto"/>
                <w:right w:val="none" w:sz="0" w:space="0" w:color="auto"/>
              </w:divBdr>
            </w:div>
            <w:div w:id="156691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93559">
      <w:bodyDiv w:val="1"/>
      <w:marLeft w:val="0"/>
      <w:marRight w:val="0"/>
      <w:marTop w:val="0"/>
      <w:marBottom w:val="0"/>
      <w:divBdr>
        <w:top w:val="none" w:sz="0" w:space="0" w:color="auto"/>
        <w:left w:val="none" w:sz="0" w:space="0" w:color="auto"/>
        <w:bottom w:val="none" w:sz="0" w:space="0" w:color="auto"/>
        <w:right w:val="none" w:sz="0" w:space="0" w:color="auto"/>
      </w:divBdr>
      <w:divsChild>
        <w:div w:id="208155682">
          <w:marLeft w:val="0"/>
          <w:marRight w:val="0"/>
          <w:marTop w:val="0"/>
          <w:marBottom w:val="0"/>
          <w:divBdr>
            <w:top w:val="none" w:sz="0" w:space="0" w:color="auto"/>
            <w:left w:val="none" w:sz="0" w:space="0" w:color="auto"/>
            <w:bottom w:val="none" w:sz="0" w:space="0" w:color="auto"/>
            <w:right w:val="none" w:sz="0" w:space="0" w:color="auto"/>
          </w:divBdr>
          <w:divsChild>
            <w:div w:id="1102531920">
              <w:marLeft w:val="0"/>
              <w:marRight w:val="0"/>
              <w:marTop w:val="120"/>
              <w:marBottom w:val="0"/>
              <w:divBdr>
                <w:top w:val="none" w:sz="0" w:space="0" w:color="auto"/>
                <w:left w:val="none" w:sz="0" w:space="0" w:color="auto"/>
                <w:bottom w:val="none" w:sz="0" w:space="0" w:color="auto"/>
                <w:right w:val="none" w:sz="0" w:space="0" w:color="auto"/>
              </w:divBdr>
            </w:div>
            <w:div w:id="629364242">
              <w:marLeft w:val="0"/>
              <w:marRight w:val="0"/>
              <w:marTop w:val="0"/>
              <w:marBottom w:val="0"/>
              <w:divBdr>
                <w:top w:val="none" w:sz="0" w:space="0" w:color="auto"/>
                <w:left w:val="none" w:sz="0" w:space="0" w:color="auto"/>
                <w:bottom w:val="none" w:sz="0" w:space="0" w:color="auto"/>
                <w:right w:val="none" w:sz="0" w:space="0" w:color="auto"/>
              </w:divBdr>
            </w:div>
          </w:divsChild>
        </w:div>
        <w:div w:id="1100688307">
          <w:marLeft w:val="0"/>
          <w:marRight w:val="0"/>
          <w:marTop w:val="0"/>
          <w:marBottom w:val="0"/>
          <w:divBdr>
            <w:top w:val="none" w:sz="0" w:space="0" w:color="auto"/>
            <w:left w:val="none" w:sz="0" w:space="0" w:color="auto"/>
            <w:bottom w:val="none" w:sz="0" w:space="0" w:color="auto"/>
            <w:right w:val="none" w:sz="0" w:space="0" w:color="auto"/>
          </w:divBdr>
          <w:divsChild>
            <w:div w:id="544879105">
              <w:marLeft w:val="0"/>
              <w:marRight w:val="0"/>
              <w:marTop w:val="120"/>
              <w:marBottom w:val="0"/>
              <w:divBdr>
                <w:top w:val="none" w:sz="0" w:space="0" w:color="auto"/>
                <w:left w:val="none" w:sz="0" w:space="0" w:color="auto"/>
                <w:bottom w:val="none" w:sz="0" w:space="0" w:color="auto"/>
                <w:right w:val="none" w:sz="0" w:space="0" w:color="auto"/>
              </w:divBdr>
            </w:div>
            <w:div w:id="1739471314">
              <w:marLeft w:val="0"/>
              <w:marRight w:val="0"/>
              <w:marTop w:val="0"/>
              <w:marBottom w:val="0"/>
              <w:divBdr>
                <w:top w:val="none" w:sz="0" w:space="0" w:color="auto"/>
                <w:left w:val="none" w:sz="0" w:space="0" w:color="auto"/>
                <w:bottom w:val="none" w:sz="0" w:space="0" w:color="auto"/>
                <w:right w:val="none" w:sz="0" w:space="0" w:color="auto"/>
              </w:divBdr>
            </w:div>
          </w:divsChild>
        </w:div>
        <w:div w:id="947396540">
          <w:marLeft w:val="0"/>
          <w:marRight w:val="0"/>
          <w:marTop w:val="0"/>
          <w:marBottom w:val="0"/>
          <w:divBdr>
            <w:top w:val="none" w:sz="0" w:space="0" w:color="auto"/>
            <w:left w:val="none" w:sz="0" w:space="0" w:color="auto"/>
            <w:bottom w:val="none" w:sz="0" w:space="0" w:color="auto"/>
            <w:right w:val="none" w:sz="0" w:space="0" w:color="auto"/>
          </w:divBdr>
          <w:divsChild>
            <w:div w:id="234895409">
              <w:marLeft w:val="0"/>
              <w:marRight w:val="0"/>
              <w:marTop w:val="120"/>
              <w:marBottom w:val="0"/>
              <w:divBdr>
                <w:top w:val="none" w:sz="0" w:space="0" w:color="auto"/>
                <w:left w:val="none" w:sz="0" w:space="0" w:color="auto"/>
                <w:bottom w:val="none" w:sz="0" w:space="0" w:color="auto"/>
                <w:right w:val="none" w:sz="0" w:space="0" w:color="auto"/>
              </w:divBdr>
            </w:div>
            <w:div w:id="1308323509">
              <w:marLeft w:val="0"/>
              <w:marRight w:val="0"/>
              <w:marTop w:val="0"/>
              <w:marBottom w:val="0"/>
              <w:divBdr>
                <w:top w:val="none" w:sz="0" w:space="0" w:color="auto"/>
                <w:left w:val="none" w:sz="0" w:space="0" w:color="auto"/>
                <w:bottom w:val="none" w:sz="0" w:space="0" w:color="auto"/>
                <w:right w:val="none" w:sz="0" w:space="0" w:color="auto"/>
              </w:divBdr>
            </w:div>
          </w:divsChild>
        </w:div>
        <w:div w:id="816916471">
          <w:marLeft w:val="0"/>
          <w:marRight w:val="0"/>
          <w:marTop w:val="0"/>
          <w:marBottom w:val="0"/>
          <w:divBdr>
            <w:top w:val="none" w:sz="0" w:space="0" w:color="auto"/>
            <w:left w:val="none" w:sz="0" w:space="0" w:color="auto"/>
            <w:bottom w:val="none" w:sz="0" w:space="0" w:color="auto"/>
            <w:right w:val="none" w:sz="0" w:space="0" w:color="auto"/>
          </w:divBdr>
          <w:divsChild>
            <w:div w:id="2081051570">
              <w:marLeft w:val="0"/>
              <w:marRight w:val="0"/>
              <w:marTop w:val="120"/>
              <w:marBottom w:val="0"/>
              <w:divBdr>
                <w:top w:val="none" w:sz="0" w:space="0" w:color="auto"/>
                <w:left w:val="none" w:sz="0" w:space="0" w:color="auto"/>
                <w:bottom w:val="none" w:sz="0" w:space="0" w:color="auto"/>
                <w:right w:val="none" w:sz="0" w:space="0" w:color="auto"/>
              </w:divBdr>
            </w:div>
            <w:div w:id="1879078808">
              <w:marLeft w:val="0"/>
              <w:marRight w:val="0"/>
              <w:marTop w:val="0"/>
              <w:marBottom w:val="0"/>
              <w:divBdr>
                <w:top w:val="none" w:sz="0" w:space="0" w:color="auto"/>
                <w:left w:val="none" w:sz="0" w:space="0" w:color="auto"/>
                <w:bottom w:val="none" w:sz="0" w:space="0" w:color="auto"/>
                <w:right w:val="none" w:sz="0" w:space="0" w:color="auto"/>
              </w:divBdr>
            </w:div>
          </w:divsChild>
        </w:div>
        <w:div w:id="158935654">
          <w:marLeft w:val="0"/>
          <w:marRight w:val="0"/>
          <w:marTop w:val="0"/>
          <w:marBottom w:val="0"/>
          <w:divBdr>
            <w:top w:val="none" w:sz="0" w:space="0" w:color="auto"/>
            <w:left w:val="none" w:sz="0" w:space="0" w:color="auto"/>
            <w:bottom w:val="none" w:sz="0" w:space="0" w:color="auto"/>
            <w:right w:val="none" w:sz="0" w:space="0" w:color="auto"/>
          </w:divBdr>
          <w:divsChild>
            <w:div w:id="882015749">
              <w:marLeft w:val="0"/>
              <w:marRight w:val="0"/>
              <w:marTop w:val="120"/>
              <w:marBottom w:val="0"/>
              <w:divBdr>
                <w:top w:val="none" w:sz="0" w:space="0" w:color="auto"/>
                <w:left w:val="none" w:sz="0" w:space="0" w:color="auto"/>
                <w:bottom w:val="none" w:sz="0" w:space="0" w:color="auto"/>
                <w:right w:val="none" w:sz="0" w:space="0" w:color="auto"/>
              </w:divBdr>
            </w:div>
            <w:div w:id="580913746">
              <w:marLeft w:val="0"/>
              <w:marRight w:val="0"/>
              <w:marTop w:val="0"/>
              <w:marBottom w:val="0"/>
              <w:divBdr>
                <w:top w:val="none" w:sz="0" w:space="0" w:color="auto"/>
                <w:left w:val="none" w:sz="0" w:space="0" w:color="auto"/>
                <w:bottom w:val="none" w:sz="0" w:space="0" w:color="auto"/>
                <w:right w:val="none" w:sz="0" w:space="0" w:color="auto"/>
              </w:divBdr>
            </w:div>
          </w:divsChild>
        </w:div>
        <w:div w:id="1268154084">
          <w:marLeft w:val="0"/>
          <w:marRight w:val="0"/>
          <w:marTop w:val="0"/>
          <w:marBottom w:val="0"/>
          <w:divBdr>
            <w:top w:val="none" w:sz="0" w:space="0" w:color="auto"/>
            <w:left w:val="none" w:sz="0" w:space="0" w:color="auto"/>
            <w:bottom w:val="none" w:sz="0" w:space="0" w:color="auto"/>
            <w:right w:val="none" w:sz="0" w:space="0" w:color="auto"/>
          </w:divBdr>
          <w:divsChild>
            <w:div w:id="381756005">
              <w:marLeft w:val="0"/>
              <w:marRight w:val="0"/>
              <w:marTop w:val="120"/>
              <w:marBottom w:val="0"/>
              <w:divBdr>
                <w:top w:val="none" w:sz="0" w:space="0" w:color="auto"/>
                <w:left w:val="none" w:sz="0" w:space="0" w:color="auto"/>
                <w:bottom w:val="none" w:sz="0" w:space="0" w:color="auto"/>
                <w:right w:val="none" w:sz="0" w:space="0" w:color="auto"/>
              </w:divBdr>
            </w:div>
            <w:div w:id="2117434876">
              <w:marLeft w:val="0"/>
              <w:marRight w:val="0"/>
              <w:marTop w:val="0"/>
              <w:marBottom w:val="0"/>
              <w:divBdr>
                <w:top w:val="none" w:sz="0" w:space="0" w:color="auto"/>
                <w:left w:val="none" w:sz="0" w:space="0" w:color="auto"/>
                <w:bottom w:val="none" w:sz="0" w:space="0" w:color="auto"/>
                <w:right w:val="none" w:sz="0" w:space="0" w:color="auto"/>
              </w:divBdr>
            </w:div>
          </w:divsChild>
        </w:div>
        <w:div w:id="337735363">
          <w:marLeft w:val="0"/>
          <w:marRight w:val="0"/>
          <w:marTop w:val="0"/>
          <w:marBottom w:val="0"/>
          <w:divBdr>
            <w:top w:val="none" w:sz="0" w:space="0" w:color="auto"/>
            <w:left w:val="none" w:sz="0" w:space="0" w:color="auto"/>
            <w:bottom w:val="none" w:sz="0" w:space="0" w:color="auto"/>
            <w:right w:val="none" w:sz="0" w:space="0" w:color="auto"/>
          </w:divBdr>
          <w:divsChild>
            <w:div w:id="660501410">
              <w:marLeft w:val="0"/>
              <w:marRight w:val="0"/>
              <w:marTop w:val="120"/>
              <w:marBottom w:val="0"/>
              <w:divBdr>
                <w:top w:val="none" w:sz="0" w:space="0" w:color="auto"/>
                <w:left w:val="none" w:sz="0" w:space="0" w:color="auto"/>
                <w:bottom w:val="none" w:sz="0" w:space="0" w:color="auto"/>
                <w:right w:val="none" w:sz="0" w:space="0" w:color="auto"/>
              </w:divBdr>
            </w:div>
            <w:div w:id="753474569">
              <w:marLeft w:val="0"/>
              <w:marRight w:val="0"/>
              <w:marTop w:val="0"/>
              <w:marBottom w:val="0"/>
              <w:divBdr>
                <w:top w:val="none" w:sz="0" w:space="0" w:color="auto"/>
                <w:left w:val="none" w:sz="0" w:space="0" w:color="auto"/>
                <w:bottom w:val="none" w:sz="0" w:space="0" w:color="auto"/>
                <w:right w:val="none" w:sz="0" w:space="0" w:color="auto"/>
              </w:divBdr>
            </w:div>
          </w:divsChild>
        </w:div>
        <w:div w:id="908349148">
          <w:marLeft w:val="0"/>
          <w:marRight w:val="0"/>
          <w:marTop w:val="0"/>
          <w:marBottom w:val="0"/>
          <w:divBdr>
            <w:top w:val="none" w:sz="0" w:space="0" w:color="auto"/>
            <w:left w:val="none" w:sz="0" w:space="0" w:color="auto"/>
            <w:bottom w:val="none" w:sz="0" w:space="0" w:color="auto"/>
            <w:right w:val="none" w:sz="0" w:space="0" w:color="auto"/>
          </w:divBdr>
          <w:divsChild>
            <w:div w:id="1710716465">
              <w:marLeft w:val="0"/>
              <w:marRight w:val="0"/>
              <w:marTop w:val="120"/>
              <w:marBottom w:val="0"/>
              <w:divBdr>
                <w:top w:val="none" w:sz="0" w:space="0" w:color="auto"/>
                <w:left w:val="none" w:sz="0" w:space="0" w:color="auto"/>
                <w:bottom w:val="none" w:sz="0" w:space="0" w:color="auto"/>
                <w:right w:val="none" w:sz="0" w:space="0" w:color="auto"/>
              </w:divBdr>
            </w:div>
            <w:div w:id="169838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31260">
      <w:bodyDiv w:val="1"/>
      <w:marLeft w:val="0"/>
      <w:marRight w:val="0"/>
      <w:marTop w:val="0"/>
      <w:marBottom w:val="0"/>
      <w:divBdr>
        <w:top w:val="none" w:sz="0" w:space="0" w:color="auto"/>
        <w:left w:val="none" w:sz="0" w:space="0" w:color="auto"/>
        <w:bottom w:val="none" w:sz="0" w:space="0" w:color="auto"/>
        <w:right w:val="none" w:sz="0" w:space="0" w:color="auto"/>
      </w:divBdr>
    </w:div>
    <w:div w:id="2051804603">
      <w:bodyDiv w:val="1"/>
      <w:marLeft w:val="0"/>
      <w:marRight w:val="0"/>
      <w:marTop w:val="0"/>
      <w:marBottom w:val="0"/>
      <w:divBdr>
        <w:top w:val="none" w:sz="0" w:space="0" w:color="auto"/>
        <w:left w:val="none" w:sz="0" w:space="0" w:color="auto"/>
        <w:bottom w:val="none" w:sz="0" w:space="0" w:color="auto"/>
        <w:right w:val="none" w:sz="0" w:space="0" w:color="auto"/>
      </w:divBdr>
    </w:div>
    <w:div w:id="2053192098">
      <w:bodyDiv w:val="1"/>
      <w:marLeft w:val="0"/>
      <w:marRight w:val="0"/>
      <w:marTop w:val="0"/>
      <w:marBottom w:val="0"/>
      <w:divBdr>
        <w:top w:val="none" w:sz="0" w:space="0" w:color="auto"/>
        <w:left w:val="none" w:sz="0" w:space="0" w:color="auto"/>
        <w:bottom w:val="none" w:sz="0" w:space="0" w:color="auto"/>
        <w:right w:val="none" w:sz="0" w:space="0" w:color="auto"/>
      </w:divBdr>
    </w:div>
    <w:div w:id="208089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82357-4492-4CDA-AE66-D7F4CBD80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6414</Words>
  <Characters>36560</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TU- 2017-1369-EU</vt:lpstr>
    </vt:vector>
  </TitlesOfParts>
  <Company>KEI</Company>
  <LinksUpToDate>false</LinksUpToDate>
  <CharactersWithSpaces>42889</CharactersWithSpaces>
  <SharedDoc>false</SharedDoc>
  <HLinks>
    <vt:vector size="6" baseType="variant">
      <vt:variant>
        <vt:i4>2031711</vt:i4>
      </vt:variant>
      <vt:variant>
        <vt:i4>0</vt:i4>
      </vt:variant>
      <vt:variant>
        <vt:i4>0</vt:i4>
      </vt:variant>
      <vt:variant>
        <vt:i4>5</vt:i4>
      </vt:variant>
      <vt:variant>
        <vt:lpwstr>http://eur-lex.europa.eu/legal-content/EN/AUTO/?uri=celex:32009L0125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TU- 2017-1369-EU</dc:title>
  <dc:creator>SrKo;MRE RS</dc:creator>
  <cp:lastModifiedBy>Snezana Marinovic</cp:lastModifiedBy>
  <cp:revision>4</cp:revision>
  <cp:lastPrinted>2021-03-29T09:04:00Z</cp:lastPrinted>
  <dcterms:created xsi:type="dcterms:W3CDTF">2021-03-02T09:46:00Z</dcterms:created>
  <dcterms:modified xsi:type="dcterms:W3CDTF">2021-03-29T09:04:00Z</dcterms:modified>
</cp:coreProperties>
</file>