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519"/>
      </w:tblGrid>
      <w:tr w:rsidR="0025042A" w:rsidRPr="002002A4" w:rsidTr="00655855">
        <w:trPr>
          <w:jc w:val="center"/>
        </w:trPr>
        <w:tc>
          <w:tcPr>
            <w:tcW w:w="3811" w:type="pct"/>
            <w:tcBorders>
              <w:top w:val="single" w:sz="4" w:space="0" w:color="auto"/>
              <w:left w:val="single" w:sz="4" w:space="0" w:color="auto"/>
              <w:bottom w:val="single" w:sz="4" w:space="0" w:color="auto"/>
              <w:right w:val="single" w:sz="4" w:space="0" w:color="auto"/>
            </w:tcBorders>
            <w:shd w:val="clear" w:color="auto" w:fill="D9D9D9"/>
          </w:tcPr>
          <w:p w:rsidR="0025042A" w:rsidRPr="002002A4" w:rsidRDefault="0025042A" w:rsidP="00C15AC8">
            <w:pPr>
              <w:pStyle w:val="doc-ti"/>
              <w:rPr>
                <w:b/>
                <w:sz w:val="20"/>
                <w:szCs w:val="20"/>
                <w:lang w:val="sr-Cyrl-RS"/>
              </w:rPr>
            </w:pPr>
            <w:r w:rsidRPr="002002A4">
              <w:rPr>
                <w:sz w:val="18"/>
                <w:szCs w:val="18"/>
                <w:lang w:val="sr-Cyrl-RS"/>
              </w:rPr>
              <w:t xml:space="preserve">1. Назив прописа </w:t>
            </w:r>
            <w:r w:rsidR="00FE3632" w:rsidRPr="002002A4">
              <w:rPr>
                <w:sz w:val="18"/>
                <w:szCs w:val="18"/>
                <w:lang w:val="sr-Cyrl-RS"/>
              </w:rPr>
              <w:t>Е</w:t>
            </w:r>
            <w:r w:rsidRPr="002002A4">
              <w:rPr>
                <w:sz w:val="18"/>
                <w:szCs w:val="18"/>
                <w:lang w:val="sr-Cyrl-RS"/>
              </w:rPr>
              <w:t>вропске уније</w:t>
            </w:r>
            <w:r w:rsidRPr="002002A4" w:rsidDel="00C32699">
              <w:rPr>
                <w:sz w:val="18"/>
                <w:szCs w:val="18"/>
                <w:lang w:val="sr-Cyrl-RS"/>
              </w:rPr>
              <w:t xml:space="preserve"> </w:t>
            </w:r>
            <w:r w:rsidRPr="002002A4">
              <w:rPr>
                <w:sz w:val="18"/>
                <w:szCs w:val="18"/>
                <w:lang w:val="sr-Cyrl-RS"/>
              </w:rPr>
              <w:t xml:space="preserve">: </w:t>
            </w:r>
            <w:r w:rsidR="00900F91" w:rsidRPr="002002A4">
              <w:rPr>
                <w:b/>
                <w:sz w:val="18"/>
                <w:szCs w:val="18"/>
                <w:lang w:val="sr-Cyrl-RS"/>
              </w:rPr>
              <w:t>УРЕДБА</w:t>
            </w:r>
            <w:r w:rsidR="00962798" w:rsidRPr="002002A4">
              <w:rPr>
                <w:b/>
                <w:sz w:val="20"/>
                <w:szCs w:val="20"/>
                <w:lang w:val="sr-Cyrl-RS"/>
              </w:rPr>
              <w:t xml:space="preserve"> (</w:t>
            </w:r>
            <w:r w:rsidR="00954AAC" w:rsidRPr="002002A4">
              <w:rPr>
                <w:b/>
                <w:sz w:val="20"/>
                <w:szCs w:val="20"/>
                <w:lang w:val="sr-Cyrl-RS"/>
              </w:rPr>
              <w:t>EU</w:t>
            </w:r>
            <w:r w:rsidR="00962798" w:rsidRPr="002002A4">
              <w:rPr>
                <w:b/>
                <w:sz w:val="20"/>
                <w:szCs w:val="20"/>
                <w:lang w:val="sr-Cyrl-RS"/>
              </w:rPr>
              <w:t xml:space="preserve">) </w:t>
            </w:r>
            <w:r w:rsidR="00C15AC8" w:rsidRPr="002002A4">
              <w:rPr>
                <w:b/>
                <w:sz w:val="20"/>
                <w:szCs w:val="20"/>
                <w:lang w:val="sr-Cyrl-RS"/>
              </w:rPr>
              <w:t>Бр.</w:t>
            </w:r>
            <w:r w:rsidR="00962798" w:rsidRPr="002002A4">
              <w:rPr>
                <w:b/>
                <w:sz w:val="20"/>
                <w:szCs w:val="20"/>
                <w:lang w:val="sr-Cyrl-RS"/>
              </w:rPr>
              <w:t xml:space="preserve"> 525/2013 </w:t>
            </w:r>
            <w:r w:rsidR="00C15AC8" w:rsidRPr="002002A4">
              <w:rPr>
                <w:b/>
                <w:sz w:val="20"/>
                <w:szCs w:val="20"/>
                <w:lang w:val="sr-Cyrl-RS"/>
              </w:rPr>
              <w:t xml:space="preserve">УРЕДБА ЕВРОПСКОГ ПАРЛАМЕНТА И САВЕТА од маја </w:t>
            </w:r>
            <w:r w:rsidR="00962798" w:rsidRPr="002002A4">
              <w:rPr>
                <w:b/>
                <w:sz w:val="20"/>
                <w:szCs w:val="20"/>
                <w:lang w:val="sr-Cyrl-RS"/>
              </w:rPr>
              <w:t>2013</w:t>
            </w:r>
            <w:r w:rsidR="00C15AC8" w:rsidRPr="002002A4">
              <w:rPr>
                <w:b/>
                <w:sz w:val="20"/>
                <w:szCs w:val="20"/>
                <w:lang w:val="sr-Cyrl-RS"/>
              </w:rPr>
              <w:t xml:space="preserve">год. </w:t>
            </w:r>
            <w:r w:rsidR="00962798" w:rsidRPr="002002A4">
              <w:rPr>
                <w:b/>
                <w:sz w:val="20"/>
                <w:szCs w:val="20"/>
                <w:lang w:val="sr-Cyrl-RS"/>
              </w:rPr>
              <w:t xml:space="preserve"> </w:t>
            </w:r>
            <w:r w:rsidR="00C15AC8" w:rsidRPr="002002A4">
              <w:rPr>
                <w:b/>
                <w:sz w:val="20"/>
                <w:szCs w:val="20"/>
                <w:lang w:val="sr-Cyrl-RS"/>
              </w:rPr>
              <w:t xml:space="preserve">о механизму за мониторинг емисија гасова са ефектом стаклене баште и </w:t>
            </w:r>
            <w:r w:rsidR="00954AAC" w:rsidRPr="002002A4">
              <w:rPr>
                <w:b/>
                <w:sz w:val="20"/>
                <w:szCs w:val="20"/>
                <w:lang w:val="sr-Cyrl-RS"/>
              </w:rPr>
              <w:t>извештавање</w:t>
            </w:r>
            <w:r w:rsidR="00C15AC8" w:rsidRPr="002002A4">
              <w:rPr>
                <w:b/>
                <w:sz w:val="20"/>
                <w:szCs w:val="20"/>
                <w:lang w:val="sr-Cyrl-RS"/>
              </w:rPr>
              <w:t xml:space="preserve"> о њима и за </w:t>
            </w:r>
            <w:r w:rsidR="00954AAC" w:rsidRPr="002002A4">
              <w:rPr>
                <w:b/>
                <w:sz w:val="20"/>
                <w:szCs w:val="20"/>
                <w:lang w:val="sr-Cyrl-RS"/>
              </w:rPr>
              <w:t>извештавање</w:t>
            </w:r>
            <w:r w:rsidR="00C15AC8" w:rsidRPr="002002A4">
              <w:rPr>
                <w:b/>
                <w:sz w:val="20"/>
                <w:szCs w:val="20"/>
                <w:lang w:val="sr-Cyrl-RS"/>
              </w:rPr>
              <w:t xml:space="preserve"> о другим информацијама које се одн</w:t>
            </w:r>
            <w:r w:rsidR="002002A4">
              <w:rPr>
                <w:b/>
                <w:sz w:val="20"/>
                <w:szCs w:val="20"/>
                <w:lang w:val="sr-Cyrl-RS"/>
              </w:rPr>
              <w:t>о</w:t>
            </w:r>
            <w:r w:rsidR="00C15AC8" w:rsidRPr="002002A4">
              <w:rPr>
                <w:b/>
                <w:sz w:val="20"/>
                <w:szCs w:val="20"/>
                <w:lang w:val="sr-Cyrl-RS"/>
              </w:rPr>
              <w:t xml:space="preserve">се на климатске промене на националном нивоу и на нивоу Уније Бр. 280/2004/ЕК (текст од значаја за ЕЕП) </w:t>
            </w:r>
          </w:p>
          <w:p w:rsidR="003B066A" w:rsidRPr="002002A4" w:rsidRDefault="003B066A" w:rsidP="00C15AC8">
            <w:pPr>
              <w:pStyle w:val="doc-ti"/>
              <w:rPr>
                <w:sz w:val="18"/>
                <w:szCs w:val="18"/>
                <w:lang w:val="sr-Cyrl-RS"/>
              </w:rPr>
            </w:pPr>
            <w:r w:rsidRPr="002002A4">
              <w:rPr>
                <w:b/>
                <w:sz w:val="20"/>
                <w:szCs w:val="20"/>
                <w:lang w:val="sr-Cyrl-RS"/>
              </w:rPr>
              <w:t>REGULATION (EU) No 525/2013 OF THE EUROPEAN PARLIAMENT AND OF THE COUNCIL of 21 May 2013 on a mechanism for monitoring and reporting greenhouse gas emissions and for reporting other information at national and Union level relevant to climate change and repealing Decision No 280/2004/EC (Text with EEA relevance)</w:t>
            </w:r>
          </w:p>
        </w:tc>
        <w:tc>
          <w:tcPr>
            <w:tcW w:w="1189" w:type="pct"/>
            <w:tcBorders>
              <w:top w:val="single" w:sz="4" w:space="0" w:color="auto"/>
              <w:left w:val="single" w:sz="4" w:space="0" w:color="auto"/>
              <w:bottom w:val="single" w:sz="4" w:space="0" w:color="auto"/>
              <w:right w:val="single" w:sz="4" w:space="0" w:color="auto"/>
            </w:tcBorders>
            <w:shd w:val="clear" w:color="auto" w:fill="D9D9D9"/>
          </w:tcPr>
          <w:p w:rsidR="0025042A" w:rsidRPr="002002A4" w:rsidRDefault="0025042A" w:rsidP="004E460E">
            <w:pPr>
              <w:spacing w:before="120" w:after="120"/>
              <w:jc w:val="both"/>
              <w:rPr>
                <w:rFonts w:ascii="Times New Roman" w:hAnsi="Times New Roman" w:cs="Times New Roman"/>
                <w:iCs/>
                <w:sz w:val="18"/>
                <w:szCs w:val="18"/>
                <w:lang w:val="sr-Cyrl-RS"/>
              </w:rPr>
            </w:pPr>
            <w:r w:rsidRPr="002002A4">
              <w:rPr>
                <w:rFonts w:ascii="Times New Roman" w:hAnsi="Times New Roman" w:cs="Times New Roman"/>
                <w:iCs/>
                <w:sz w:val="18"/>
                <w:szCs w:val="18"/>
                <w:lang w:val="sr-Cyrl-RS"/>
              </w:rPr>
              <w:t>2. „</w:t>
            </w:r>
            <w:r w:rsidR="004D4AD2" w:rsidRPr="002002A4">
              <w:rPr>
                <w:rFonts w:ascii="Times New Roman" w:hAnsi="Times New Roman" w:cs="Times New Roman"/>
                <w:iCs/>
                <w:sz w:val="18"/>
                <w:szCs w:val="18"/>
                <w:lang w:val="sr-Cyrl-RS"/>
              </w:rPr>
              <w:t>CELEX</w:t>
            </w:r>
            <w:r w:rsidRPr="002002A4">
              <w:rPr>
                <w:rFonts w:ascii="Times New Roman" w:hAnsi="Times New Roman" w:cs="Times New Roman"/>
                <w:iCs/>
                <w:sz w:val="18"/>
                <w:szCs w:val="18"/>
                <w:lang w:val="sr-Cyrl-RS"/>
              </w:rPr>
              <w:t xml:space="preserve">” ознака </w:t>
            </w:r>
            <w:r w:rsidR="00954AAC" w:rsidRPr="002002A4">
              <w:rPr>
                <w:rFonts w:ascii="Times New Roman" w:hAnsi="Times New Roman" w:cs="Times New Roman"/>
                <w:iCs/>
                <w:sz w:val="18"/>
                <w:szCs w:val="18"/>
                <w:lang w:val="sr-Cyrl-RS"/>
              </w:rPr>
              <w:t>EU</w:t>
            </w:r>
            <w:r w:rsidRPr="002002A4">
              <w:rPr>
                <w:rFonts w:ascii="Times New Roman" w:hAnsi="Times New Roman" w:cs="Times New Roman"/>
                <w:iCs/>
                <w:sz w:val="18"/>
                <w:szCs w:val="18"/>
                <w:lang w:val="sr-Cyrl-RS"/>
              </w:rPr>
              <w:t xml:space="preserve"> прописа</w:t>
            </w:r>
          </w:p>
          <w:p w:rsidR="0025042A" w:rsidRPr="002002A4" w:rsidRDefault="00962798" w:rsidP="004E460E">
            <w:pPr>
              <w:spacing w:before="120" w:after="120"/>
              <w:jc w:val="both"/>
              <w:rPr>
                <w:rFonts w:ascii="Times New Roman" w:hAnsi="Times New Roman" w:cs="Times New Roman"/>
                <w:b/>
                <w:iCs/>
                <w:sz w:val="18"/>
                <w:szCs w:val="18"/>
                <w:lang w:val="sr-Cyrl-RS"/>
              </w:rPr>
            </w:pPr>
            <w:r w:rsidRPr="002002A4">
              <w:rPr>
                <w:rFonts w:ascii="Times New Roman" w:hAnsi="Times New Roman" w:cs="Times New Roman"/>
                <w:b/>
                <w:iCs/>
                <w:szCs w:val="18"/>
                <w:lang w:val="sr-Cyrl-RS"/>
              </w:rPr>
              <w:t>32013</w:t>
            </w:r>
            <w:r w:rsidR="00FE3632" w:rsidRPr="002002A4">
              <w:rPr>
                <w:rFonts w:ascii="Times New Roman" w:hAnsi="Times New Roman" w:cs="Times New Roman"/>
                <w:b/>
                <w:iCs/>
                <w:szCs w:val="18"/>
                <w:lang w:val="sr-Cyrl-RS"/>
              </w:rPr>
              <w:t>Р</w:t>
            </w:r>
            <w:r w:rsidRPr="002002A4">
              <w:rPr>
                <w:rFonts w:ascii="Times New Roman" w:hAnsi="Times New Roman" w:cs="Times New Roman"/>
                <w:b/>
                <w:iCs/>
                <w:szCs w:val="18"/>
                <w:lang w:val="sr-Cyrl-RS"/>
              </w:rPr>
              <w:t>0525</w:t>
            </w:r>
          </w:p>
        </w:tc>
      </w:tr>
      <w:tr w:rsidR="0025042A" w:rsidRPr="002002A4" w:rsidTr="00655855">
        <w:trPr>
          <w:jc w:val="center"/>
        </w:trPr>
        <w:tc>
          <w:tcPr>
            <w:tcW w:w="3811" w:type="pct"/>
            <w:tcBorders>
              <w:top w:val="single" w:sz="4" w:space="0" w:color="auto"/>
              <w:left w:val="single" w:sz="4" w:space="0" w:color="auto"/>
              <w:bottom w:val="single" w:sz="4" w:space="0" w:color="auto"/>
              <w:right w:val="single" w:sz="4" w:space="0" w:color="auto"/>
            </w:tcBorders>
          </w:tcPr>
          <w:p w:rsidR="0025042A" w:rsidRPr="002002A4" w:rsidRDefault="0025042A" w:rsidP="003E1138">
            <w:pP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3. </w:t>
            </w:r>
            <w:r w:rsidR="003E1138" w:rsidRPr="002002A4">
              <w:rPr>
                <w:rFonts w:ascii="Times New Roman" w:hAnsi="Times New Roman" w:cs="Times New Roman"/>
                <w:sz w:val="18"/>
                <w:szCs w:val="18"/>
                <w:lang w:val="sr-Cyrl-RS"/>
              </w:rPr>
              <w:t xml:space="preserve">Овлашћени </w:t>
            </w:r>
            <w:r w:rsidRPr="002002A4">
              <w:rPr>
                <w:rFonts w:ascii="Times New Roman" w:hAnsi="Times New Roman" w:cs="Times New Roman"/>
                <w:sz w:val="18"/>
                <w:szCs w:val="18"/>
                <w:lang w:val="sr-Cyrl-RS"/>
              </w:rPr>
              <w:t>предлагач прописа</w:t>
            </w:r>
            <w:r w:rsidR="003E1138" w:rsidRPr="002002A4">
              <w:rPr>
                <w:rFonts w:ascii="Times New Roman" w:hAnsi="Times New Roman" w:cs="Times New Roman"/>
                <w:sz w:val="18"/>
                <w:szCs w:val="18"/>
                <w:lang w:val="sr-Cyrl-RS"/>
              </w:rPr>
              <w:t xml:space="preserve"> –</w:t>
            </w:r>
            <w:r w:rsidR="00F93349" w:rsidRPr="002002A4">
              <w:rPr>
                <w:rFonts w:ascii="Times New Roman" w:hAnsi="Times New Roman" w:cs="Times New Roman"/>
                <w:sz w:val="18"/>
                <w:szCs w:val="18"/>
                <w:lang w:val="sr-Cyrl-RS"/>
              </w:rPr>
              <w:t xml:space="preserve"> </w:t>
            </w:r>
            <w:r w:rsidR="003E1138" w:rsidRPr="002002A4">
              <w:rPr>
                <w:rFonts w:ascii="Times New Roman" w:hAnsi="Times New Roman" w:cs="Times New Roman"/>
                <w:sz w:val="18"/>
                <w:szCs w:val="18"/>
                <w:lang w:val="sr-Cyrl-RS"/>
              </w:rPr>
              <w:t>Влада</w:t>
            </w:r>
          </w:p>
        </w:tc>
        <w:tc>
          <w:tcPr>
            <w:tcW w:w="1189" w:type="pct"/>
            <w:tcBorders>
              <w:top w:val="single" w:sz="4" w:space="0" w:color="auto"/>
              <w:left w:val="single" w:sz="4" w:space="0" w:color="auto"/>
              <w:bottom w:val="single" w:sz="4" w:space="0" w:color="auto"/>
              <w:right w:val="single" w:sz="4" w:space="0" w:color="auto"/>
            </w:tcBorders>
          </w:tcPr>
          <w:p w:rsidR="00C134FB" w:rsidRPr="002002A4" w:rsidRDefault="0025042A" w:rsidP="004E460E">
            <w:pPr>
              <w:jc w:val="both"/>
              <w:rPr>
                <w:rFonts w:ascii="Times New Roman" w:hAnsi="Times New Roman" w:cs="Times New Roman"/>
                <w:iCs/>
                <w:sz w:val="18"/>
                <w:szCs w:val="18"/>
                <w:lang w:val="sr-Cyrl-RS"/>
              </w:rPr>
            </w:pPr>
            <w:r w:rsidRPr="002002A4">
              <w:rPr>
                <w:rFonts w:ascii="Times New Roman" w:hAnsi="Times New Roman" w:cs="Times New Roman"/>
                <w:iCs/>
                <w:sz w:val="18"/>
                <w:szCs w:val="18"/>
                <w:lang w:val="sr-Cyrl-RS"/>
              </w:rPr>
              <w:t xml:space="preserve">4. Датум израде табеле: </w:t>
            </w:r>
          </w:p>
        </w:tc>
      </w:tr>
      <w:tr w:rsidR="0025042A" w:rsidRPr="002002A4" w:rsidTr="00655855">
        <w:trPr>
          <w:jc w:val="center"/>
        </w:trPr>
        <w:tc>
          <w:tcPr>
            <w:tcW w:w="3811" w:type="pct"/>
            <w:tcBorders>
              <w:top w:val="single" w:sz="4" w:space="0" w:color="auto"/>
              <w:left w:val="single" w:sz="4" w:space="0" w:color="auto"/>
              <w:bottom w:val="single" w:sz="4" w:space="0" w:color="auto"/>
              <w:right w:val="single" w:sz="4" w:space="0" w:color="auto"/>
            </w:tcBorders>
          </w:tcPr>
          <w:p w:rsidR="0025042A" w:rsidRPr="002002A4" w:rsidRDefault="003E1138" w:rsidP="00962798">
            <w:pPr>
              <w:jc w:val="both"/>
              <w:rPr>
                <w:rFonts w:ascii="Times New Roman" w:hAnsi="Times New Roman" w:cs="Times New Roman"/>
                <w:sz w:val="18"/>
                <w:szCs w:val="18"/>
                <w:lang w:val="sr-Cyrl-RS"/>
              </w:rPr>
            </w:pPr>
            <w:r w:rsidRPr="002002A4">
              <w:rPr>
                <w:rFonts w:ascii="Times New Roman" w:hAnsi="Times New Roman" w:cs="Times New Roman"/>
                <w:b/>
                <w:sz w:val="18"/>
                <w:szCs w:val="18"/>
                <w:lang w:val="sr-Cyrl-RS"/>
              </w:rPr>
              <w:t xml:space="preserve">  </w:t>
            </w:r>
            <w:r w:rsidRPr="002002A4">
              <w:rPr>
                <w:rFonts w:ascii="Times New Roman" w:hAnsi="Times New Roman" w:cs="Times New Roman"/>
                <w:sz w:val="18"/>
                <w:szCs w:val="18"/>
                <w:lang w:val="sr-Cyrl-RS"/>
              </w:rPr>
              <w:t xml:space="preserve">Обрађивач – </w:t>
            </w:r>
            <w:r w:rsidR="00FE3632" w:rsidRPr="002002A4">
              <w:rPr>
                <w:rFonts w:ascii="Times New Roman" w:hAnsi="Times New Roman" w:cs="Times New Roman"/>
                <w:sz w:val="18"/>
                <w:szCs w:val="18"/>
                <w:lang w:val="sr-Cyrl-RS"/>
              </w:rPr>
              <w:t>М</w:t>
            </w:r>
            <w:r w:rsidR="000D6398" w:rsidRPr="002002A4">
              <w:rPr>
                <w:rFonts w:ascii="Times New Roman" w:hAnsi="Times New Roman" w:cs="Times New Roman"/>
                <w:sz w:val="18"/>
                <w:szCs w:val="18"/>
                <w:lang w:val="sr-Cyrl-RS"/>
              </w:rPr>
              <w:t>инистарство заштите животне средине</w:t>
            </w:r>
          </w:p>
        </w:tc>
        <w:tc>
          <w:tcPr>
            <w:tcW w:w="1189" w:type="pct"/>
            <w:tcBorders>
              <w:top w:val="single" w:sz="4" w:space="0" w:color="auto"/>
              <w:left w:val="single" w:sz="4" w:space="0" w:color="auto"/>
              <w:bottom w:val="single" w:sz="4" w:space="0" w:color="auto"/>
              <w:right w:val="single" w:sz="4" w:space="0" w:color="auto"/>
            </w:tcBorders>
          </w:tcPr>
          <w:p w:rsidR="00C134FB" w:rsidRPr="002002A4" w:rsidRDefault="00C134FB" w:rsidP="00C134FB">
            <w:pPr>
              <w:jc w:val="both"/>
              <w:rPr>
                <w:rFonts w:ascii="Times New Roman" w:hAnsi="Times New Roman" w:cs="Times New Roman"/>
                <w:iCs/>
                <w:sz w:val="18"/>
                <w:szCs w:val="18"/>
                <w:lang w:val="sr-Cyrl-RS"/>
              </w:rPr>
            </w:pPr>
            <w:r w:rsidRPr="002002A4">
              <w:rPr>
                <w:rFonts w:ascii="Times New Roman" w:hAnsi="Times New Roman" w:cs="Times New Roman"/>
                <w:iCs/>
                <w:sz w:val="18"/>
                <w:szCs w:val="18"/>
                <w:lang w:val="sr-Cyrl-RS"/>
              </w:rPr>
              <w:t>29.10.2017</w:t>
            </w:r>
          </w:p>
          <w:p w:rsidR="00C134FB" w:rsidRPr="002002A4" w:rsidRDefault="00C134FB" w:rsidP="00C134FB">
            <w:pPr>
              <w:jc w:val="both"/>
              <w:rPr>
                <w:rFonts w:ascii="Times New Roman" w:hAnsi="Times New Roman" w:cs="Times New Roman"/>
                <w:iCs/>
                <w:sz w:val="18"/>
                <w:szCs w:val="18"/>
                <w:lang w:val="sr-Cyrl-RS"/>
              </w:rPr>
            </w:pPr>
            <w:r w:rsidRPr="002002A4">
              <w:rPr>
                <w:rFonts w:ascii="Times New Roman" w:hAnsi="Times New Roman" w:cs="Times New Roman"/>
                <w:iCs/>
                <w:sz w:val="18"/>
                <w:szCs w:val="18"/>
                <w:lang w:val="sr-Cyrl-RS"/>
              </w:rPr>
              <w:t>Ревизија: 08.06.2018.</w:t>
            </w:r>
          </w:p>
          <w:p w:rsidR="00C134FB" w:rsidRPr="002002A4" w:rsidRDefault="00C134FB" w:rsidP="00C134FB">
            <w:pPr>
              <w:jc w:val="both"/>
              <w:rPr>
                <w:rFonts w:ascii="Times New Roman" w:hAnsi="Times New Roman" w:cs="Times New Roman"/>
                <w:iCs/>
                <w:sz w:val="18"/>
                <w:szCs w:val="18"/>
                <w:lang w:val="sr-Cyrl-RS"/>
              </w:rPr>
            </w:pPr>
            <w:r w:rsidRPr="002002A4">
              <w:rPr>
                <w:rFonts w:ascii="Times New Roman" w:hAnsi="Times New Roman" w:cs="Times New Roman"/>
                <w:iCs/>
                <w:sz w:val="18"/>
                <w:szCs w:val="18"/>
                <w:lang w:val="sr-Cyrl-RS"/>
              </w:rPr>
              <w:t>Ревизија:15.2020.</w:t>
            </w:r>
          </w:p>
          <w:p w:rsidR="0025042A" w:rsidRPr="002002A4" w:rsidRDefault="00C134FB" w:rsidP="00C134FB">
            <w:pPr>
              <w:jc w:val="both"/>
              <w:rPr>
                <w:rFonts w:ascii="Times New Roman" w:hAnsi="Times New Roman" w:cs="Times New Roman"/>
                <w:iCs/>
                <w:sz w:val="18"/>
                <w:szCs w:val="18"/>
                <w:lang w:val="sr-Cyrl-RS"/>
              </w:rPr>
            </w:pPr>
            <w:r w:rsidRPr="002002A4">
              <w:rPr>
                <w:rFonts w:ascii="Times New Roman" w:hAnsi="Times New Roman" w:cs="Times New Roman"/>
                <w:iCs/>
                <w:sz w:val="18"/>
                <w:szCs w:val="18"/>
                <w:lang w:val="sr-Cyrl-RS"/>
              </w:rPr>
              <w:t>Ревизија: 14.01.2020</w:t>
            </w:r>
          </w:p>
        </w:tc>
      </w:tr>
      <w:tr w:rsidR="001632E8" w:rsidRPr="002002A4" w:rsidTr="001632E8">
        <w:trPr>
          <w:trHeight w:val="917"/>
          <w:jc w:val="center"/>
        </w:trPr>
        <w:tc>
          <w:tcPr>
            <w:tcW w:w="3811" w:type="pct"/>
            <w:tcBorders>
              <w:top w:val="single" w:sz="4" w:space="0" w:color="auto"/>
              <w:left w:val="single" w:sz="4" w:space="0" w:color="auto"/>
              <w:right w:val="single" w:sz="4" w:space="0" w:color="auto"/>
            </w:tcBorders>
          </w:tcPr>
          <w:p w:rsidR="00C134FB" w:rsidRPr="002002A4" w:rsidRDefault="0062197C" w:rsidP="00643CA0">
            <w:pPr>
              <w:spacing w:before="120" w:after="120"/>
              <w:jc w:val="both"/>
              <w:rPr>
                <w:rStyle w:val="hps"/>
                <w:rFonts w:ascii="Times New Roman" w:hAnsi="Times New Roman" w:cs="Times New Roman"/>
                <w:b/>
                <w:sz w:val="18"/>
                <w:szCs w:val="18"/>
                <w:lang w:val="sr-Cyrl-RS"/>
              </w:rPr>
            </w:pPr>
            <w:r w:rsidRPr="002002A4">
              <w:rPr>
                <w:rFonts w:ascii="Times New Roman" w:hAnsi="Times New Roman" w:cs="Times New Roman"/>
                <w:sz w:val="18"/>
                <w:szCs w:val="18"/>
                <w:lang w:val="sr-Cyrl-RS"/>
              </w:rPr>
              <w:t xml:space="preserve">5. Назив </w:t>
            </w:r>
            <w:r w:rsidR="00C134FB" w:rsidRPr="002002A4">
              <w:rPr>
                <w:rFonts w:ascii="Times New Roman" w:hAnsi="Times New Roman" w:cs="Times New Roman"/>
                <w:sz w:val="18"/>
                <w:szCs w:val="18"/>
                <w:lang w:val="sr-Cyrl-RS"/>
              </w:rPr>
              <w:t>прописа чије одредбе су предмет анализе усклађености са прописом Европске уније:</w:t>
            </w:r>
          </w:p>
          <w:p w:rsidR="001632E8" w:rsidRPr="002002A4" w:rsidRDefault="001632E8" w:rsidP="00643CA0">
            <w:pPr>
              <w:spacing w:before="120" w:after="120"/>
              <w:jc w:val="both"/>
              <w:rPr>
                <w:rStyle w:val="hps"/>
                <w:rFonts w:ascii="Times New Roman" w:hAnsi="Times New Roman" w:cs="Times New Roman"/>
                <w:b/>
                <w:sz w:val="18"/>
                <w:szCs w:val="18"/>
                <w:lang w:val="sr-Cyrl-RS"/>
              </w:rPr>
            </w:pPr>
          </w:p>
          <w:p w:rsidR="001632E8" w:rsidRPr="002002A4" w:rsidRDefault="001632E8" w:rsidP="004E460E">
            <w:pPr>
              <w:jc w:val="both"/>
              <w:rPr>
                <w:rFonts w:ascii="Times New Roman" w:hAnsi="Times New Roman" w:cs="Times New Roman"/>
                <w:sz w:val="18"/>
                <w:szCs w:val="18"/>
                <w:lang w:val="sr-Cyrl-RS"/>
              </w:rPr>
            </w:pPr>
          </w:p>
        </w:tc>
        <w:tc>
          <w:tcPr>
            <w:tcW w:w="1189" w:type="pct"/>
            <w:tcBorders>
              <w:top w:val="single" w:sz="4" w:space="0" w:color="auto"/>
              <w:left w:val="single" w:sz="4" w:space="0" w:color="auto"/>
              <w:bottom w:val="single" w:sz="4" w:space="0" w:color="auto"/>
              <w:right w:val="single" w:sz="4" w:space="0" w:color="auto"/>
            </w:tcBorders>
          </w:tcPr>
          <w:p w:rsidR="001632E8" w:rsidRPr="002002A4" w:rsidRDefault="001632E8" w:rsidP="0025042A">
            <w:pPr>
              <w:spacing w:before="120" w:after="120"/>
              <w:jc w:val="both"/>
              <w:rPr>
                <w:rFonts w:ascii="Times New Roman" w:hAnsi="Times New Roman" w:cs="Times New Roman"/>
                <w:iCs/>
                <w:sz w:val="18"/>
                <w:szCs w:val="18"/>
                <w:lang w:val="sr-Cyrl-RS"/>
              </w:rPr>
            </w:pPr>
            <w:r w:rsidRPr="002002A4">
              <w:rPr>
                <w:rFonts w:ascii="Times New Roman" w:hAnsi="Times New Roman" w:cs="Times New Roman"/>
                <w:iCs/>
                <w:sz w:val="18"/>
                <w:szCs w:val="18"/>
                <w:lang w:val="sr-Cyrl-RS"/>
              </w:rPr>
              <w:t xml:space="preserve">6. </w:t>
            </w:r>
            <w:r w:rsidR="00C134FB" w:rsidRPr="002002A4">
              <w:rPr>
                <w:rFonts w:ascii="Times New Roman" w:hAnsi="Times New Roman" w:cs="Times New Roman"/>
                <w:iCs/>
                <w:sz w:val="18"/>
                <w:szCs w:val="18"/>
                <w:lang w:val="sr-Cyrl-RS"/>
              </w:rPr>
              <w:t>Бројчане ознаке (шифре) планираних прописа из базе НПАА</w:t>
            </w:r>
            <w:r w:rsidR="00C134FB" w:rsidRPr="002002A4">
              <w:rPr>
                <w:rStyle w:val="hps"/>
                <w:rFonts w:ascii="Times New Roman" w:hAnsi="Times New Roman" w:cs="Times New Roman"/>
                <w:iCs/>
                <w:sz w:val="18"/>
                <w:szCs w:val="18"/>
                <w:lang w:val="sr-Cyrl-RS"/>
              </w:rPr>
              <w:t>:</w:t>
            </w:r>
          </w:p>
          <w:p w:rsidR="001632E8" w:rsidRPr="002002A4" w:rsidRDefault="001632E8" w:rsidP="0025042A">
            <w:pPr>
              <w:spacing w:before="120" w:after="120"/>
              <w:jc w:val="both"/>
              <w:rPr>
                <w:rFonts w:ascii="Times New Roman" w:hAnsi="Times New Roman" w:cs="Times New Roman"/>
                <w:iCs/>
                <w:sz w:val="18"/>
                <w:szCs w:val="18"/>
                <w:lang w:val="sr-Cyrl-RS"/>
              </w:rPr>
            </w:pPr>
          </w:p>
        </w:tc>
      </w:tr>
      <w:tr w:rsidR="001632E8" w:rsidRPr="002002A4" w:rsidTr="001632E8">
        <w:trPr>
          <w:jc w:val="center"/>
        </w:trPr>
        <w:tc>
          <w:tcPr>
            <w:tcW w:w="3811" w:type="pct"/>
            <w:tcBorders>
              <w:left w:val="single" w:sz="4" w:space="0" w:color="auto"/>
              <w:bottom w:val="single" w:sz="4" w:space="0" w:color="auto"/>
              <w:right w:val="single" w:sz="4" w:space="0" w:color="auto"/>
            </w:tcBorders>
          </w:tcPr>
          <w:p w:rsidR="001632E8" w:rsidRPr="002002A4" w:rsidRDefault="0062197C" w:rsidP="00C134FB">
            <w:pPr>
              <w:spacing w:before="120" w:after="120"/>
              <w:jc w:val="both"/>
              <w:rPr>
                <w:rFonts w:ascii="Times New Roman" w:hAnsi="Times New Roman" w:cs="Times New Roman"/>
                <w:b/>
                <w:sz w:val="18"/>
                <w:szCs w:val="18"/>
                <w:lang w:val="sr-Cyrl-RS"/>
              </w:rPr>
            </w:pPr>
            <w:r w:rsidRPr="002002A4">
              <w:rPr>
                <w:rStyle w:val="hps"/>
                <w:rFonts w:ascii="Times New Roman" w:hAnsi="Times New Roman" w:cs="Times New Roman"/>
                <w:b/>
                <w:sz w:val="18"/>
                <w:szCs w:val="18"/>
                <w:lang w:val="sr-Cyrl-RS"/>
              </w:rPr>
              <w:t>Предлог</w:t>
            </w:r>
            <w:r w:rsidR="00C134FB" w:rsidRPr="002002A4">
              <w:rPr>
                <w:rStyle w:val="hps"/>
                <w:rFonts w:ascii="Times New Roman" w:hAnsi="Times New Roman" w:cs="Times New Roman"/>
                <w:b/>
                <w:sz w:val="18"/>
                <w:szCs w:val="18"/>
                <w:lang w:val="sr-Cyrl-RS"/>
              </w:rPr>
              <w:t xml:space="preserve"> закона о климатским променама</w:t>
            </w:r>
          </w:p>
        </w:tc>
        <w:tc>
          <w:tcPr>
            <w:tcW w:w="1189" w:type="pct"/>
            <w:tcBorders>
              <w:top w:val="single" w:sz="4" w:space="0" w:color="auto"/>
              <w:left w:val="single" w:sz="4" w:space="0" w:color="auto"/>
              <w:bottom w:val="single" w:sz="4" w:space="0" w:color="auto"/>
              <w:right w:val="single" w:sz="4" w:space="0" w:color="auto"/>
            </w:tcBorders>
          </w:tcPr>
          <w:p w:rsidR="001632E8" w:rsidRPr="002002A4" w:rsidRDefault="00C134FB" w:rsidP="004E460E">
            <w:pPr>
              <w:jc w:val="both"/>
              <w:rPr>
                <w:rFonts w:ascii="Times New Roman" w:hAnsi="Times New Roman" w:cs="Times New Roman"/>
                <w:iCs/>
                <w:sz w:val="18"/>
                <w:szCs w:val="18"/>
                <w:lang w:val="sr-Cyrl-RS"/>
              </w:rPr>
            </w:pPr>
            <w:r w:rsidRPr="002002A4">
              <w:rPr>
                <w:rFonts w:ascii="Times New Roman" w:hAnsi="Times New Roman" w:cs="Times New Roman"/>
                <w:color w:val="000000"/>
                <w:sz w:val="18"/>
                <w:szCs w:val="18"/>
                <w:lang w:val="sr-Cyrl-RS"/>
              </w:rPr>
              <w:t>2017-34</w:t>
            </w:r>
            <w:r w:rsidR="00645CC2" w:rsidRPr="002002A4">
              <w:rPr>
                <w:rFonts w:ascii="Times New Roman" w:hAnsi="Times New Roman" w:cs="Times New Roman"/>
                <w:color w:val="000000"/>
                <w:sz w:val="18"/>
                <w:szCs w:val="18"/>
                <w:lang w:val="sr-Cyrl-RS"/>
              </w:rPr>
              <w:t>4</w:t>
            </w:r>
          </w:p>
        </w:tc>
      </w:tr>
      <w:tr w:rsidR="0025042A" w:rsidRPr="002002A4" w:rsidTr="00655855">
        <w:trPr>
          <w:jc w:val="center"/>
        </w:trPr>
        <w:tc>
          <w:tcPr>
            <w:tcW w:w="5000" w:type="pct"/>
            <w:gridSpan w:val="2"/>
          </w:tcPr>
          <w:p w:rsidR="0025042A" w:rsidRPr="002002A4" w:rsidRDefault="0025042A" w:rsidP="004E460E">
            <w:pPr>
              <w:spacing w:before="120" w:after="120"/>
              <w:jc w:val="both"/>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7. Усклађеност одредби прописа са одредбама прописа </w:t>
            </w:r>
            <w:r w:rsidR="00954AAC" w:rsidRPr="002002A4">
              <w:rPr>
                <w:rFonts w:ascii="Times New Roman" w:hAnsi="Times New Roman" w:cs="Times New Roman"/>
                <w:sz w:val="18"/>
                <w:szCs w:val="18"/>
                <w:lang w:val="sr-Cyrl-RS"/>
              </w:rPr>
              <w:t>EU</w:t>
            </w:r>
            <w:r w:rsidRPr="002002A4">
              <w:rPr>
                <w:rFonts w:ascii="Times New Roman" w:hAnsi="Times New Roman" w:cs="Times New Roman"/>
                <w:sz w:val="18"/>
                <w:szCs w:val="18"/>
                <w:lang w:val="sr-Cyrl-RS"/>
              </w:rPr>
              <w:t>:</w:t>
            </w:r>
          </w:p>
        </w:tc>
      </w:tr>
    </w:tbl>
    <w:p w:rsidR="0025042A" w:rsidRPr="002002A4" w:rsidRDefault="0025042A">
      <w:pPr>
        <w:rPr>
          <w:sz w:val="6"/>
          <w:szCs w:val="6"/>
          <w:lang w:val="sr-Cyrl-RS"/>
        </w:rPr>
      </w:pP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170"/>
        <w:gridCol w:w="4252"/>
        <w:gridCol w:w="991"/>
        <w:gridCol w:w="4022"/>
        <w:gridCol w:w="671"/>
        <w:gridCol w:w="2557"/>
        <w:gridCol w:w="1256"/>
      </w:tblGrid>
      <w:tr w:rsidR="00655855" w:rsidRPr="002002A4" w:rsidTr="00655855">
        <w:trPr>
          <w:trHeight w:val="652"/>
          <w:tblHeader/>
          <w:jc w:val="center"/>
        </w:trPr>
        <w:tc>
          <w:tcPr>
            <w:tcW w:w="392" w:type="pct"/>
            <w:shd w:val="clear" w:color="auto" w:fill="D9D9D9"/>
            <w:vAlign w:val="center"/>
          </w:tcPr>
          <w:p w:rsidR="0025042A" w:rsidRPr="002002A4" w:rsidRDefault="0025042A" w:rsidP="004E460E">
            <w:pPr>
              <w:spacing w:before="120" w:after="120"/>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w:t>
            </w:r>
          </w:p>
        </w:tc>
        <w:tc>
          <w:tcPr>
            <w:tcW w:w="1425" w:type="pct"/>
            <w:shd w:val="clear" w:color="auto" w:fill="D9D9D9"/>
            <w:vAlign w:val="center"/>
          </w:tcPr>
          <w:p w:rsidR="0025042A" w:rsidRPr="002002A4" w:rsidRDefault="0025042A" w:rsidP="004E460E">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а1)</w:t>
            </w:r>
          </w:p>
        </w:tc>
        <w:tc>
          <w:tcPr>
            <w:tcW w:w="332" w:type="pct"/>
            <w:vAlign w:val="center"/>
          </w:tcPr>
          <w:p w:rsidR="0025042A" w:rsidRPr="002002A4" w:rsidRDefault="0025042A" w:rsidP="004E460E">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б)</w:t>
            </w:r>
          </w:p>
        </w:tc>
        <w:tc>
          <w:tcPr>
            <w:tcW w:w="1348" w:type="pct"/>
            <w:vAlign w:val="center"/>
          </w:tcPr>
          <w:p w:rsidR="0025042A" w:rsidRPr="002002A4" w:rsidRDefault="0025042A" w:rsidP="004E460E">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б1)</w:t>
            </w:r>
          </w:p>
        </w:tc>
        <w:tc>
          <w:tcPr>
            <w:tcW w:w="225" w:type="pct"/>
            <w:vAlign w:val="center"/>
          </w:tcPr>
          <w:p w:rsidR="0025042A" w:rsidRPr="002002A4" w:rsidRDefault="0025042A" w:rsidP="004E460E">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в)</w:t>
            </w:r>
          </w:p>
        </w:tc>
        <w:tc>
          <w:tcPr>
            <w:tcW w:w="857" w:type="pct"/>
            <w:vAlign w:val="center"/>
          </w:tcPr>
          <w:p w:rsidR="0025042A" w:rsidRPr="002002A4" w:rsidRDefault="0025042A" w:rsidP="004E460E">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г)</w:t>
            </w:r>
          </w:p>
        </w:tc>
        <w:tc>
          <w:tcPr>
            <w:tcW w:w="421" w:type="pct"/>
            <w:vAlign w:val="center"/>
          </w:tcPr>
          <w:p w:rsidR="0025042A" w:rsidRPr="002002A4" w:rsidRDefault="0025042A" w:rsidP="004E460E">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д)</w:t>
            </w:r>
          </w:p>
        </w:tc>
      </w:tr>
      <w:tr w:rsidR="00655855" w:rsidRPr="002002A4" w:rsidTr="00655855">
        <w:trPr>
          <w:trHeight w:val="1970"/>
          <w:jc w:val="center"/>
        </w:trPr>
        <w:tc>
          <w:tcPr>
            <w:tcW w:w="392" w:type="pct"/>
            <w:shd w:val="clear" w:color="auto" w:fill="D9D9D9"/>
            <w:vAlign w:val="center"/>
          </w:tcPr>
          <w:p w:rsidR="0025042A" w:rsidRPr="002002A4" w:rsidRDefault="0025042A" w:rsidP="004E460E">
            <w:pPr>
              <w:spacing w:before="120" w:after="120"/>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Одредба прописа </w:t>
            </w:r>
            <w:r w:rsidR="00954AAC" w:rsidRPr="002002A4">
              <w:rPr>
                <w:rFonts w:ascii="Times New Roman" w:hAnsi="Times New Roman" w:cs="Times New Roman"/>
                <w:sz w:val="18"/>
                <w:szCs w:val="18"/>
                <w:lang w:val="sr-Cyrl-RS"/>
              </w:rPr>
              <w:t>EU</w:t>
            </w:r>
          </w:p>
          <w:p w:rsidR="000C5E5B" w:rsidRPr="002002A4" w:rsidRDefault="00C15AC8" w:rsidP="00C15AC8">
            <w:pPr>
              <w:spacing w:before="120" w:after="120"/>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Члан</w:t>
            </w:r>
          </w:p>
        </w:tc>
        <w:tc>
          <w:tcPr>
            <w:tcW w:w="1425" w:type="pct"/>
            <w:shd w:val="clear" w:color="auto" w:fill="D9D9D9"/>
            <w:vAlign w:val="center"/>
          </w:tcPr>
          <w:p w:rsidR="0025042A" w:rsidRPr="002002A4" w:rsidRDefault="0025042A" w:rsidP="00C15AC8">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Садрж</w:t>
            </w:r>
            <w:r w:rsidR="00C15AC8" w:rsidRPr="002002A4">
              <w:rPr>
                <w:rFonts w:ascii="Times New Roman" w:hAnsi="Times New Roman" w:cs="Times New Roman"/>
                <w:sz w:val="18"/>
                <w:szCs w:val="18"/>
                <w:lang w:val="sr-Cyrl-RS"/>
              </w:rPr>
              <w:t>ај</w:t>
            </w:r>
            <w:r w:rsidRPr="002002A4">
              <w:rPr>
                <w:rFonts w:ascii="Times New Roman" w:hAnsi="Times New Roman" w:cs="Times New Roman"/>
                <w:sz w:val="18"/>
                <w:szCs w:val="18"/>
                <w:lang w:val="sr-Cyrl-RS"/>
              </w:rPr>
              <w:t xml:space="preserve"> одредбе</w:t>
            </w:r>
          </w:p>
        </w:tc>
        <w:tc>
          <w:tcPr>
            <w:tcW w:w="332" w:type="pct"/>
            <w:vAlign w:val="center"/>
          </w:tcPr>
          <w:p w:rsidR="0025042A" w:rsidRPr="002002A4" w:rsidRDefault="0025042A" w:rsidP="00EE0AE4">
            <w:pPr>
              <w:spacing w:before="120" w:after="120"/>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Одредбе прописа Р</w:t>
            </w:r>
            <w:r w:rsidR="00EE0AE4" w:rsidRPr="002002A4">
              <w:rPr>
                <w:rFonts w:ascii="Times New Roman" w:hAnsi="Times New Roman" w:cs="Times New Roman"/>
                <w:sz w:val="18"/>
                <w:szCs w:val="18"/>
                <w:lang w:val="sr-Cyrl-RS"/>
              </w:rPr>
              <w:t>.</w:t>
            </w:r>
            <w:r w:rsidRPr="002002A4">
              <w:rPr>
                <w:rFonts w:ascii="Times New Roman" w:hAnsi="Times New Roman" w:cs="Times New Roman"/>
                <w:sz w:val="18"/>
                <w:szCs w:val="18"/>
                <w:lang w:val="sr-Cyrl-RS"/>
              </w:rPr>
              <w:t xml:space="preserve"> Србије</w:t>
            </w:r>
          </w:p>
        </w:tc>
        <w:tc>
          <w:tcPr>
            <w:tcW w:w="1348" w:type="pct"/>
            <w:vAlign w:val="center"/>
          </w:tcPr>
          <w:p w:rsidR="0025042A" w:rsidRPr="002002A4" w:rsidRDefault="0025042A" w:rsidP="00C15AC8">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Садржа</w:t>
            </w:r>
            <w:r w:rsidR="00C15AC8" w:rsidRPr="002002A4">
              <w:rPr>
                <w:rFonts w:ascii="Times New Roman" w:hAnsi="Times New Roman" w:cs="Times New Roman"/>
                <w:sz w:val="18"/>
                <w:szCs w:val="18"/>
                <w:lang w:val="sr-Cyrl-RS"/>
              </w:rPr>
              <w:t>ј</w:t>
            </w:r>
            <w:r w:rsidRPr="002002A4">
              <w:rPr>
                <w:rFonts w:ascii="Times New Roman" w:hAnsi="Times New Roman" w:cs="Times New Roman"/>
                <w:sz w:val="18"/>
                <w:szCs w:val="18"/>
                <w:lang w:val="sr-Cyrl-RS"/>
              </w:rPr>
              <w:t xml:space="preserve"> одредбе</w:t>
            </w:r>
          </w:p>
        </w:tc>
        <w:tc>
          <w:tcPr>
            <w:tcW w:w="225" w:type="pct"/>
            <w:vAlign w:val="center"/>
          </w:tcPr>
          <w:p w:rsidR="0025042A" w:rsidRPr="002002A4" w:rsidRDefault="0025042A" w:rsidP="004E460E">
            <w:pPr>
              <w:spacing w:before="120" w:after="120"/>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Усклађеност</w:t>
            </w:r>
            <w:r w:rsidR="003025F1" w:rsidRPr="002002A4">
              <w:rPr>
                <w:rStyle w:val="FootnoteReference"/>
                <w:rFonts w:ascii="Times New Roman" w:hAnsi="Times New Roman" w:cs="Times New Roman"/>
                <w:sz w:val="18"/>
                <w:szCs w:val="18"/>
                <w:lang w:val="sr-Cyrl-RS"/>
              </w:rPr>
              <w:footnoteReference w:id="1"/>
            </w:r>
            <w:r w:rsidRPr="002002A4">
              <w:rPr>
                <w:rFonts w:ascii="Times New Roman" w:hAnsi="Times New Roman" w:cs="Times New Roman"/>
                <w:sz w:val="18"/>
                <w:szCs w:val="18"/>
                <w:lang w:val="sr-Cyrl-RS"/>
              </w:rPr>
              <w:t xml:space="preserve"> </w:t>
            </w:r>
          </w:p>
        </w:tc>
        <w:tc>
          <w:tcPr>
            <w:tcW w:w="857" w:type="pct"/>
            <w:vAlign w:val="center"/>
          </w:tcPr>
          <w:p w:rsidR="0025042A" w:rsidRPr="002002A4" w:rsidRDefault="0025042A" w:rsidP="004E460E">
            <w:pPr>
              <w:spacing w:before="120" w:after="120"/>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Разлози за делимичну усклађеност, н</w:t>
            </w:r>
            <w:r w:rsidR="00954AAC" w:rsidRPr="002002A4">
              <w:rPr>
                <w:rFonts w:ascii="Times New Roman" w:hAnsi="Times New Roman" w:cs="Times New Roman"/>
                <w:sz w:val="18"/>
                <w:szCs w:val="18"/>
                <w:lang w:val="sr-Cyrl-RS"/>
              </w:rPr>
              <w:t>EU</w:t>
            </w:r>
            <w:r w:rsidRPr="002002A4">
              <w:rPr>
                <w:rFonts w:ascii="Times New Roman" w:hAnsi="Times New Roman" w:cs="Times New Roman"/>
                <w:sz w:val="18"/>
                <w:szCs w:val="18"/>
                <w:lang w:val="sr-Cyrl-RS"/>
              </w:rPr>
              <w:t>склађеност или непреносивост</w:t>
            </w:r>
          </w:p>
        </w:tc>
        <w:tc>
          <w:tcPr>
            <w:tcW w:w="421" w:type="pct"/>
            <w:vAlign w:val="center"/>
          </w:tcPr>
          <w:p w:rsidR="0025042A" w:rsidRPr="002002A4" w:rsidRDefault="0025042A" w:rsidP="004E460E">
            <w:pPr>
              <w:spacing w:before="120" w:after="120"/>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Напомена о усклађености</w:t>
            </w:r>
          </w:p>
        </w:tc>
      </w:tr>
      <w:tr w:rsidR="00655855"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7C6BFD" w:rsidRPr="002002A4" w:rsidRDefault="0013707F" w:rsidP="0013707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ПОГЛАВЉЕ I</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655855"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7C6BFD" w:rsidRPr="002002A4" w:rsidRDefault="0013707F" w:rsidP="0013707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ПРЕДМЕТ, САДРЖАЈ И ДЕФИНИЦИЈЕ </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655855"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7C6BFD" w:rsidRPr="002002A4" w:rsidRDefault="00FE3632"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w:t>
            </w:r>
            <w:r w:rsidR="007C6BFD" w:rsidRPr="002002A4">
              <w:rPr>
                <w:rFonts w:ascii="Times New Roman" w:hAnsi="Times New Roman" w:cs="Times New Roman"/>
                <w:sz w:val="18"/>
                <w:szCs w:val="18"/>
                <w:lang w:val="sr-Cyrl-RS"/>
              </w:rPr>
              <w:t>. 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7C6BFD" w:rsidRPr="002002A4" w:rsidRDefault="007C6BFD" w:rsidP="009C55CF">
            <w:pPr>
              <w:jc w:val="center"/>
              <w:rPr>
                <w:rFonts w:ascii="Times New Roman" w:hAnsi="Times New Roman" w:cs="Times New Roman"/>
                <w:sz w:val="18"/>
                <w:szCs w:val="18"/>
                <w:lang w:val="sr-Cyrl-RS"/>
              </w:rPr>
            </w:pP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7C6BFD" w:rsidRPr="002002A4" w:rsidRDefault="007C6BFD"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3707F"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3707F" w:rsidRPr="002002A4" w:rsidRDefault="0013707F"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3707F" w:rsidRPr="002002A4" w:rsidRDefault="0013707F" w:rsidP="00CF0723">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This Regulation establishes a mechanism for:</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B3642C">
            <w:pP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B3642C"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w:t>
            </w:r>
            <w:r w:rsidR="0013707F" w:rsidRPr="002002A4">
              <w:rPr>
                <w:rFonts w:ascii="Times New Roman" w:hAnsi="Times New Roman" w:cs="Times New Roman"/>
                <w:sz w:val="18"/>
                <w:szCs w:val="18"/>
                <w:lang w:val="sr-Cyrl-RS"/>
              </w:rPr>
              <w:t>У </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13707F"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r w:rsidR="00B3642C" w:rsidRPr="002002A4">
              <w:rPr>
                <w:rFonts w:ascii="Times New Roman" w:hAnsi="Times New Roman" w:cs="Times New Roman"/>
                <w:sz w:val="18"/>
                <w:szCs w:val="18"/>
                <w:lang w:val="sr-Cyrl-RS"/>
              </w:rPr>
              <w:t xml:space="preserve">Потпуна усклађеност биће </w:t>
            </w:r>
            <w:r w:rsidR="00B3642C" w:rsidRPr="002002A4">
              <w:rPr>
                <w:rFonts w:ascii="Times New Roman" w:hAnsi="Times New Roman" w:cs="Times New Roman"/>
                <w:sz w:val="18"/>
                <w:szCs w:val="18"/>
                <w:lang w:val="sr-Cyrl-RS"/>
              </w:rPr>
              <w:lastRenderedPageBreak/>
              <w:t>постигнута усвајањем подзаконског акта</w:t>
            </w:r>
          </w:p>
          <w:p w:rsidR="0013707F" w:rsidRPr="002002A4" w:rsidRDefault="001B3A6B" w:rsidP="009C55CF">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w:t>
            </w:r>
          </w:p>
        </w:tc>
      </w:tr>
      <w:tr w:rsidR="00B3642C" w:rsidRPr="002002A4" w:rsidTr="001B3A6B">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1.(а)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ensuring the timeliness, transparency, accuracy, consistency, comparability and completeness of reporting by the Union and its Member States to the UNFCCC Secretariat;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tcPr>
          <w:p w:rsidR="00B3642C" w:rsidRPr="002002A4" w:rsidRDefault="00B3642C" w:rsidP="00B3642C">
            <w:pPr>
              <w:jc w:val="center"/>
              <w:rPr>
                <w:rFonts w:ascii="Times New Roman" w:hAnsi="Times New Roman" w:cs="Times New Roman"/>
                <w:sz w:val="18"/>
                <w:szCs w:val="18"/>
                <w:lang w:val="sr-Cyrl-RS"/>
              </w:rPr>
            </w:pPr>
          </w:p>
          <w:p w:rsidR="00B3642C" w:rsidRPr="002002A4" w:rsidRDefault="00B3642C" w:rsidP="00B3642C">
            <w:pPr>
              <w:jc w:val="center"/>
              <w:rPr>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1B3A6B">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reporting and verifying information relating to commitments of the Union and its Member States pursuant to the UNFCCC, to the Kyoto Protocol and to decisions adopted there under and evaluating progress towards meeting those commitments;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tcPr>
          <w:p w:rsidR="00B3642C" w:rsidRPr="002002A4" w:rsidRDefault="00B3642C" w:rsidP="00B3642C">
            <w:pPr>
              <w:jc w:val="center"/>
              <w:rPr>
                <w:rFonts w:ascii="Times New Roman" w:hAnsi="Times New Roman" w:cs="Times New Roman"/>
                <w:sz w:val="18"/>
                <w:szCs w:val="18"/>
                <w:lang w:val="sr-Cyrl-RS"/>
              </w:rPr>
            </w:pPr>
          </w:p>
          <w:p w:rsidR="00B3642C" w:rsidRPr="002002A4" w:rsidRDefault="00B3642C" w:rsidP="00B3642C">
            <w:pPr>
              <w:jc w:val="center"/>
              <w:rPr>
                <w:rFonts w:ascii="Times New Roman" w:hAnsi="Times New Roman" w:cs="Times New Roman"/>
                <w:sz w:val="18"/>
                <w:szCs w:val="18"/>
                <w:lang w:val="sr-Cyrl-RS"/>
              </w:rPr>
            </w:pPr>
          </w:p>
          <w:p w:rsidR="00B3642C" w:rsidRPr="002002A4" w:rsidRDefault="00B3642C" w:rsidP="00B3642C">
            <w:pPr>
              <w:jc w:val="center"/>
              <w:rPr>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1B3A6B">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monitoring and reporting all anthropogenic emissions by sources and removals by sinks of greenhouse gases not controlled by the Montreal Protocol on substances that deplete the ozone layer in the Member States;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tcPr>
          <w:p w:rsidR="00B3642C" w:rsidRPr="002002A4" w:rsidRDefault="00B3642C" w:rsidP="00B3642C">
            <w:pPr>
              <w:jc w:val="center"/>
              <w:rPr>
                <w:rFonts w:ascii="Times New Roman" w:hAnsi="Times New Roman" w:cs="Times New Roman"/>
                <w:sz w:val="18"/>
                <w:szCs w:val="18"/>
                <w:lang w:val="sr-Cyrl-RS"/>
              </w:rPr>
            </w:pPr>
          </w:p>
          <w:p w:rsidR="00B3642C" w:rsidRPr="002002A4" w:rsidRDefault="00B3642C" w:rsidP="00B3642C">
            <w:pPr>
              <w:jc w:val="center"/>
              <w:rPr>
                <w:rFonts w:ascii="Times New Roman" w:hAnsi="Times New Roman" w:cs="Times New Roman"/>
                <w:sz w:val="18"/>
                <w:szCs w:val="18"/>
                <w:lang w:val="sr-Cyrl-RS"/>
              </w:rPr>
            </w:pPr>
          </w:p>
          <w:p w:rsidR="00B3642C" w:rsidRPr="002002A4" w:rsidRDefault="00B3642C" w:rsidP="00B3642C">
            <w:pPr>
              <w:jc w:val="center"/>
              <w:rPr>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3707F"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3707F" w:rsidRPr="002002A4" w:rsidRDefault="0013707F"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1.(д)</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3707F" w:rsidRPr="002002A4" w:rsidRDefault="0013707F" w:rsidP="00CF0723">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 monitoring, reporting, reviewing and verifying greenhouse gas emissions and other information pursuant to Article 6 of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Није </w:t>
            </w:r>
            <w:r w:rsidR="00CF0723" w:rsidRPr="002002A4">
              <w:rPr>
                <w:rFonts w:ascii="Times New Roman" w:hAnsi="Times New Roman" w:cs="Times New Roman"/>
                <w:sz w:val="18"/>
                <w:szCs w:val="18"/>
                <w:lang w:val="sr-Cyrl-RS"/>
              </w:rPr>
              <w:t>применљиво</w:t>
            </w:r>
            <w:r w:rsidRPr="002002A4">
              <w:rPr>
                <w:rFonts w:ascii="Times New Roman" w:hAnsi="Times New Roman" w:cs="Times New Roman"/>
                <w:sz w:val="18"/>
                <w:szCs w:val="18"/>
                <w:lang w:val="sr-Cyrl-RS"/>
              </w:rPr>
              <w:t xml:space="preserve">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3707F"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3707F" w:rsidRPr="002002A4" w:rsidRDefault="0013707F"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1.(е)</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3707F" w:rsidRPr="002002A4" w:rsidRDefault="0013707F" w:rsidP="00CF0723">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 reporting the use of revenue generated by auctioning allowances under Article 3d(1) or (2) or Article 10(1) of Directive 2003/87/EC, pursuant to Article 3d(4) and Article 10(3) of that Directive;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Није </w:t>
            </w:r>
            <w:r w:rsidR="00CF0723" w:rsidRPr="002002A4">
              <w:rPr>
                <w:rFonts w:ascii="Times New Roman" w:hAnsi="Times New Roman" w:cs="Times New Roman"/>
                <w:sz w:val="18"/>
                <w:szCs w:val="18"/>
                <w:lang w:val="sr-Cyrl-RS"/>
              </w:rPr>
              <w:t>применљиво</w:t>
            </w:r>
            <w:r w:rsidRPr="002002A4">
              <w:rPr>
                <w:rFonts w:ascii="Times New Roman" w:hAnsi="Times New Roman" w:cs="Times New Roman"/>
                <w:sz w:val="18"/>
                <w:szCs w:val="18"/>
                <w:lang w:val="sr-Cyrl-RS"/>
              </w:rPr>
              <w:t xml:space="preserve">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3707F" w:rsidRPr="002002A4" w:rsidRDefault="0013707F" w:rsidP="009C55CF">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1.(ф)</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(f) monitoring and reporting on the actions taken by Member States to adapt to the inevitable consequences of climate change in a cost-effective manner;</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1.(г)</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(g) evaluating progress by the Member States towards meeting their obligations under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p w:rsidR="00B3642C" w:rsidRPr="002002A4" w:rsidRDefault="001B3A6B" w:rsidP="00B3642C">
            <w:pPr>
              <w:jc w:val="center"/>
              <w:rPr>
                <w:rFonts w:ascii="Times New Roman" w:hAnsi="Times New Roman" w:cs="Times New Roman"/>
                <w:sz w:val="18"/>
                <w:szCs w:val="18"/>
                <w:lang w:val="sr-Cyrl-RS"/>
              </w:rPr>
            </w:pPr>
            <w:r>
              <w:rPr>
                <w:rFonts w:ascii="Times New Roman" w:hAnsi="Times New Roman" w:cs="Times New Roman"/>
                <w:sz w:val="18"/>
                <w:szCs w:val="18"/>
                <w:lang w:val="sr-Cyrl-RS"/>
              </w:rPr>
              <w:t>11.4</w:t>
            </w:r>
          </w:p>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28"/>
                <w:lang w:val="sr-Cyrl-RS"/>
              </w:rPr>
            </w:pPr>
            <w:r w:rsidRPr="002002A4">
              <w:rPr>
                <w:rFonts w:ascii="Times New Roman" w:eastAsia="Times New Roman" w:hAnsi="Times New Roman" w:cs="Times New Roman"/>
                <w:color w:val="000000"/>
                <w:sz w:val="18"/>
                <w:szCs w:val="28"/>
                <w:lang w:val="sr-Cyrl-RS"/>
              </w:rPr>
              <w:t>Министарство припрема годишњи извештај о достизању емисија GHG у складу са актом из става 1. овог члана и у случају одступања, укључујући и дозвољене преносе у складу са чланом 12. овог закона, припрема предлог потребних корективних мера за достизање емисија GHG из извора до 15. новембра сваке године и доставља га Влади на усвајање.</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Scope</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This Regulation shall apply to:</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reporting on the Union’s and its Member States’ low-</w:t>
            </w:r>
            <w:r w:rsidRPr="002002A4">
              <w:rPr>
                <w:rFonts w:ascii="Times New Roman" w:hAnsi="Times New Roman" w:cs="Times New Roman"/>
                <w:sz w:val="18"/>
                <w:szCs w:val="18"/>
                <w:lang w:val="sr-Cyrl-RS"/>
              </w:rPr>
              <w:lastRenderedPageBreak/>
              <w:t>carbon development strategies and any updates thereof in accordance with Decision 1/CP.16;</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2.1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eastAsia="Times New Roman" w:hAnsi="Times New Roman" w:cs="Times New Roman"/>
                <w:color w:val="000000"/>
                <w:sz w:val="18"/>
                <w:szCs w:val="18"/>
                <w:lang w:val="sr-Cyrl-RS"/>
              </w:rPr>
              <w:lastRenderedPageBreak/>
              <w:t xml:space="preserve">Одредбе овог закона примењују се на емисије </w:t>
            </w:r>
            <w:r w:rsidRPr="002002A4">
              <w:rPr>
                <w:rFonts w:ascii="Times New Roman" w:eastAsia="Times New Roman" w:hAnsi="Times New Roman" w:cs="Times New Roman"/>
                <w:color w:val="000000"/>
                <w:sz w:val="18"/>
                <w:szCs w:val="18"/>
                <w:lang w:val="sr-Cyrl-RS"/>
              </w:rPr>
              <w:lastRenderedPageBreak/>
              <w:t>GHG изазване људском активношћу и секторе и системе изложене утицајима климатских промена.</w:t>
            </w: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2.(б)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emissions of greenhouse gases listed in Annex I to this Regulation from sectors and sources and the removals by sinks covered by the national greenhouse gas inventories pursuant to Article 4(1)(a) of the UNFCCC and emitted within the territories of the Member States;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2.2</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eastAsia="Times New Roman" w:hAnsi="Times New Roman" w:cs="Times New Roman"/>
                <w:color w:val="000000"/>
                <w:sz w:val="18"/>
                <w:szCs w:val="18"/>
                <w:lang w:val="sr-Cyrl-RS"/>
              </w:rPr>
              <w:t>GHG из става 1 овог члана су угљендиоксид (CO2), метан (CH4), азотсубоксид (N2O), флуороугљоводоници (HFCs), перфлуороугљеници (PFCs) и сумпорхексафлуорид (SF6).</w:t>
            </w: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greenhouse gas emissions falling within the scope of Article 2(1) of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eastAsia="Times New Roman" w:hAnsi="Times New Roman" w:cs="Times New Roman"/>
                <w:color w:val="000000"/>
                <w:sz w:val="18"/>
                <w:szCs w:val="18"/>
                <w:lang w:val="sr-Cyrl-RS"/>
              </w:rPr>
              <w:t>Одредбе овог закона примењују се на емисије GHG изазване људском активношћу и секторе и системе изложене утицајима климатских промена.</w:t>
            </w: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У комбинацији са одредбама члана 11.1 Закона о климатским променама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-Функционална транспозиција-</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2.(д)</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 the non-CO2 related climate impacts, which are associated with emissions from civil aviation;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Функционална транспозиција није изводљива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2.(е)</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 the Union’s and its Member States’ projections of anthropogenic emissions by sources and removals by sinks of greenhouse gases not controlled by the Montreal Protocol, and the Member States’ policies and measures relating thereto;</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Одредбе овог закона примењују се на емисије GHG изазване људском активношћу и секторе и системе изложене утицајима климатских промена.</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2.(ф)</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(f) aggregate financial and technological support to developing countries in accordance with requirements under the UNFCCC;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србија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2.(г)</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(g) the use of revenue from auctioning allowances pursuant to Article 3d(1) and (2) and Article 10(1) of Directive 2003/87/EC;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Србија није део EU-ETS и тако неможе имати средстава из наслова аукција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2.(х)</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(h) Member States’ actions to adapt to climate change.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3.2</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eastAsia="Times New Roman" w:hAnsi="Times New Roman" w:cs="Times New Roman"/>
                <w:color w:val="000000"/>
                <w:sz w:val="18"/>
                <w:szCs w:val="18"/>
                <w:lang w:val="sr-Cyrl-RS"/>
              </w:rPr>
              <w:t xml:space="preserve">Циљ овог закона је и смањење емисија GHG и прилагођавање на измењене климатске услове  усвајањем и спровођењем секторских политика и мера, стратегија и акционих планова. </w:t>
            </w: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Definitions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For the purposes of this Regulation, the following </w:t>
            </w:r>
            <w:r w:rsidRPr="002002A4">
              <w:rPr>
                <w:rFonts w:ascii="Times New Roman" w:hAnsi="Times New Roman" w:cs="Times New Roman"/>
                <w:sz w:val="18"/>
                <w:szCs w:val="18"/>
                <w:lang w:val="sr-Cyrl-RS"/>
              </w:rPr>
              <w:lastRenderedPageBreak/>
              <w:t>definitions apply: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3.(1)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‘global warming potential’ or ‘GWP’ of a gas means the total contribution to global warming resulting from the emission of one unit of that gas relative to one unit of the reference gas, CO2, which is assigned a value of 1;</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‘national inventory system’ means a system of institutional, legal and procedural arrangements established within a Member State for estimating anthropogenic emissions by sources and removals by sinks of greenhouse gases not controlled by the Montreal Protocol, and for reporting and archiving inventory information in accordance with Decision 19/CMP.1 or other relevant decisions of UNFCCC or Kyoto Protocol bodies;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5.37.</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 xml:space="preserve">37) систем инвентара GHG јесте систем институционалних, законодавних и процедуралних механизама који обезбеђују процену и извештавање о прописаним антропогеним емисијама GHG из извора и уклањања помоћу понора; </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‘competent inventory authorities’ means authorities entrusted under a national inventory system with the task of compiling the greenhouse gas inventory;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58.</w:t>
            </w:r>
            <w:r w:rsidR="001B3A6B">
              <w:rPr>
                <w:rFonts w:ascii="Times New Roman" w:hAnsi="Times New Roman" w:cs="Times New Roman"/>
                <w:sz w:val="18"/>
                <w:szCs w:val="18"/>
                <w:lang w:val="sr-Cyrl-RS"/>
              </w:rPr>
              <w:t>3</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eastAsia="Times New Roman" w:hAnsi="Times New Roman" w:cs="Times New Roman"/>
                <w:color w:val="000000"/>
                <w:sz w:val="18"/>
                <w:szCs w:val="18"/>
                <w:lang w:val="sr-Cyrl-RS"/>
              </w:rPr>
              <w:t>Агенција успоставља и води Инвентар GHG  и припрема Извештај о инвентару GHG.</w:t>
            </w: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 ‘quality assurance’ or ‘QA’ means a planned system of review procedures to ensure that data quality objectives are met and that the best possible estimates and information are reported to support the effectiveness of the quality control programme and to assist Member States;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 ‘quality control’ or ‘QC’ means a system of routine technical activities to measure and control the quality of the information and estimates compiled with the purpose of ensuring data integrity, correctness and completeness, identifying and addressing errors and omissions, documenting and archiving data and other material used, and recording all QA activities;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3.(6)</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 ‘indicator’ means a quantitative or qualitative factor or variable that contributes to better understanding progress in implementing policies and measures and greenhouse gas emission trends;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3.(7)</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 ‘assigned amount unit’ or ‘AAU’ means a unit issued pursuant to the relevant provisions in the Annex to Decision 13/CMP.1 of the Conference of the Parties to the UNFCCC serving as the meeting of the Parties to the Kyoto Protocol (Decision 13/CMP.1) or in other relevant decisions of UNFCCC or Kyoto Protocol bodies;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Транспозиција није применљива за Србију, јер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3.(8)</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(8) ‘removal unit’ or ‘RMU’ means a unit issued pursuant to the relevant provisions in the Annex to Decision 13/CMP.1 or in other relevant decisions of UNFCCC or Kyoto Protocol bodies; L 165/18 Official Journal of the European Union 18.6.2013 EN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Транспозиција није применљива за Србију, јер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3.(9)</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(9) ‘emission reduction unit’ or ‘ERU’ means a unit issued pursuant to the relevant provisions in the Annex to Decision 13/CMP.1 or in other relevant decisions of UNFCCC or Kyoto Protocol bodies;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Транспозиција није применљива за Србију, јер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3.(10)</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(10) ‘certified emission reduction’ or ‘CER’ means a unit issued pursuant to Article 12 of the Kyoto Protocol and requirements thereunder, as well as the relevant provisions in the Annex to Decision 13/CMP.1 or in other relevant decisions of UNFCCC or Kyoto Protocol bodies;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Транспозиција није применљива за Србију, јер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3.(11)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(11) ‘temporary certified emission reduction’ or ‘tCER’ means a unit issued pursuant to Article 12 of the Kyoto Protocol and requirements thereunder, as well as the relevant provisions in the Annex to Decision 13/CMP.1, or in other relevant decisions of UNFCCC or Kyoto Protocol bodies, that is to say credits given for emission removals which are certified for an afforestation or reforestation clean development mechanism (CDM) project, to be replaced upon expiry at end of the second commitment period;</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Транспозиција није применљива за Србију, јер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3.(12)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(12) ‘long-term certified emission reduction’ or ‘lCER’ means a unit issued pursuant to Article 12 of the Kyoto Protocol and requirements thereunder, as well as the relevant provisions in the Annex to Decision 13/CMP.1, or in other relevant decisions of UNFCCC or Kyoto Protocol bodies, that is to say credits given for long-term emission removals which are certified for an afforestation or reforestation CDM project, to be replaced upon expiry at end of the project’s crediting period or in event of storage reversal or non-submission of a certification report;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Транспозиција није применљива за Србију, јер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3.(13)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(13) ‘national registry’ means a registry in the form of a standardised electronic database which includes data on the issue, holding, transfer, acquisition, cancellation, retirement, carry-over, replacement or change of expiry </w:t>
            </w:r>
            <w:r w:rsidRPr="002002A4">
              <w:rPr>
                <w:rFonts w:ascii="Times New Roman" w:hAnsi="Times New Roman" w:cs="Times New Roman"/>
                <w:sz w:val="18"/>
                <w:szCs w:val="18"/>
                <w:lang w:val="sr-Cyrl-RS"/>
              </w:rPr>
              <w:lastRenderedPageBreak/>
              <w:t>date, as relevant, of AAUs, RMUs, ERUs, CERs, tCERs and lCERs;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Транспозиција није применљива за Србију, јер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3.(14)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(14) ‘policies and measures’ means all instruments which aim to implement commitments under Article 4(2)(a) and (b) of the UNFCCC, which may include those that do not have the limitation and reduction of greenhouse gas emissions as a primary objective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5.25.</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25) политике и мере јесу сви инструменти чије спровођење води смањењу емисија GHG, укључујући и оне чији примарни циљ није ограничавање или смањење емисија GHG из извора и уклањања путем понора;</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3.(15)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(15) ‘system for policies and measures and projections’ means a system of institutional, legal and procedural arrangements established for reporting policies and measures and projections of anthropogenic emissions by sources and removals by sinks of greenhouse gases not controlled by the Montreal Protocol as required by Article 12 of this Regulation;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1B3A6B">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w:t>
            </w:r>
            <w:r w:rsidR="001B3A6B">
              <w:rPr>
                <w:rFonts w:ascii="Times New Roman" w:hAnsi="Times New Roman" w:cs="Times New Roman"/>
                <w:sz w:val="18"/>
                <w:szCs w:val="18"/>
                <w:lang w:val="sr-Cyrl-RS"/>
              </w:rPr>
              <w:t>3</w:t>
            </w:r>
            <w:r w:rsidRPr="002002A4">
              <w:rPr>
                <w:rFonts w:ascii="Times New Roman" w:hAnsi="Times New Roman" w:cs="Times New Roman"/>
                <w:sz w:val="18"/>
                <w:szCs w:val="18"/>
                <w:lang w:val="sr-Cyrl-RS"/>
              </w:rPr>
              <w:t>.2</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Систем подразумева</w:t>
            </w:r>
            <w:r w:rsidRPr="002002A4" w:rsidDel="003155C8">
              <w:rPr>
                <w:rFonts w:ascii="Times New Roman" w:eastAsia="Times New Roman" w:hAnsi="Times New Roman" w:cs="Times New Roman"/>
                <w:color w:val="000000"/>
                <w:sz w:val="18"/>
                <w:szCs w:val="18"/>
                <w:lang w:val="sr-Cyrl-RS"/>
              </w:rPr>
              <w:t xml:space="preserve"> </w:t>
            </w:r>
            <w:r w:rsidRPr="002002A4">
              <w:rPr>
                <w:rFonts w:ascii="Times New Roman" w:eastAsia="Times New Roman" w:hAnsi="Times New Roman" w:cs="Times New Roman"/>
                <w:color w:val="000000"/>
                <w:sz w:val="18"/>
                <w:szCs w:val="18"/>
                <w:lang w:val="sr-Cyrl-RS"/>
              </w:rPr>
              <w:t xml:space="preserve"> институционалне, правне и процедуралне механизме за извештавање о политикама и мерама ипројекцијама антропогених емисија GHG из извора и уклањања помочу понора. </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3.(16)</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(16) ‘ex ante assessment of policies and measures’ means an evaluation of the projected effects of a policy or measure;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3.(17)</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(17) ‘ex post assessment of policies and measures’ means an evaluation of the past effects of a policy or measure;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3.(18)</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(18) ‘projections without measures’ means projections of anthropogenic greenhouse gas emissions by sources and removals by sinks that exclude the effects of all policies and measures which are planned, adopted or implemented after the year chosen as the starting point for the relevant projection;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5.31.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31) пројекције без мера јесу пројекције антропогених емисија GHG из извора и одстрањених путем понора које искључују ефекте свих политика и мера које су планиране, донете или спроведене након године изабрана као почетна за ове пројекције;</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3.(19)</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 ‘projections with measures’ means projections of anthropogenic greenhouse gas emissions by sources and removals by sinks that encompass the effects, in terms of greenhouse gas emissions reductions, of policies and measures that have been adopted and implemented;</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5.32.</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32) пројекције са мерама јесу пројекције антропогених емисија GHG из извора и одстрањених путем понора које укључују ефекте донесених и спроведених политика и мера на смањења емисија GHG;</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3.(20)</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(20) ‘projections with additional measures’ means projections of anthropogenic greenhouse gas emissions by sources and removals by sinks that encompass the effects, in terms of greenhouse gas emissions reductions, </w:t>
            </w:r>
            <w:r w:rsidRPr="002002A4">
              <w:rPr>
                <w:rFonts w:ascii="Times New Roman" w:hAnsi="Times New Roman" w:cs="Times New Roman"/>
                <w:sz w:val="18"/>
                <w:szCs w:val="18"/>
                <w:lang w:val="sr-Cyrl-RS"/>
              </w:rPr>
              <w:lastRenderedPageBreak/>
              <w:t>of policies and measures which have been adopted and implemented to mitigate climate change as well as policies and measures which are planned for that purpose;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5.33.</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 xml:space="preserve">33) пројекције са додатним мерама јесу пројекције антропогених емисија GHG из извора и одстрањених путем понора које укључују ефекте донесених и спроведених политика и мера на </w:t>
            </w:r>
            <w:r w:rsidRPr="002002A4">
              <w:rPr>
                <w:rFonts w:ascii="Times New Roman" w:eastAsia="Times New Roman" w:hAnsi="Times New Roman" w:cs="Times New Roman"/>
                <w:color w:val="000000"/>
                <w:sz w:val="18"/>
                <w:szCs w:val="18"/>
                <w:lang w:val="sr-Cyrl-RS"/>
              </w:rPr>
              <w:lastRenderedPageBreak/>
              <w:t>смањење емисија GHG, као и политике и мере које су у ту сврху планиране;</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3.(21)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(21) ‘sensitivity analysis’ means an investigation of a model algorithm or an assumption to quantify how sensitive or stable the model output data are in relation to variations in the input data or underlying assumptions. It is carried out by varying input values or model equations and by observing how the model output varies correspondingly;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sz w:val="18"/>
                <w:szCs w:val="18"/>
                <w:lang w:val="sr-Cyrl-RS"/>
              </w:rPr>
            </w:pP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3.(22)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(22) ‘climate change mitigation-related support’ means support for activities in developing countries that contribute to the objective of stabilising greenhouse gas concentrations in the atmosphere at a level that would prevent dangerous anthropogenic interference with the climate system;</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Транспозиција није применљива за Србију, јер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3.(23)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(23) ‘climate change adaptation-related support’ means support for activities in developing countries that are intended to reduce the vulnerability of human or natural systems to the impact of climate change and climate-related risks, by maintaining or increasing developing countries’ adaptive capacity and resilience;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Транспозиција није применљива за Србију, јер има у оквиру UNFCCC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3.(24)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 ‘technical corrections’ means adjustments to the national greenhouse gas inventory estimates made in the context of the review carried out pursuant to Article 19 when the submitted inventory data are incomplete or are prepared in a way that is not consistent with relevant international or Union rules or guidelines and that are intended to replace originally submitted estimates;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Транспозиција није применљива за Србију, јер има у оквиру UNFCCC статус државе у развоју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3.(25)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(25) ‘recalculations’, in accordance with the UNFCCC reporting guidelines on annual inventories, means a procedure for re-estimating anthropogenic greenhouse gas emissions by sources and removals by sinks of previously submitted inventories as a consequence of changes in methodologies or in the manner in which emission factors and activity data are obtained and used; the inclusion of new source and sink categories or of new gases; or changes in the GWP of greenhouse gases.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2</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LOW-CARBON DEVELOPMENT STRATEGIES</w:t>
            </w:r>
          </w:p>
        </w:tc>
        <w:tc>
          <w:tcPr>
            <w:tcW w:w="332"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ind w:firstLine="21"/>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Low-carbon development strategy</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Member States, and the Commission on behalf of the Union, shall prepare their low-carbon development strategies in accordance with any reporting provisions agreed internationally in the context of the UNFCCC process, to contribute to:</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У области климатских промена које прописује овај закон, доносе се следећа документа:</w:t>
            </w:r>
          </w:p>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1) стратегија нискоугљеничног развоја;</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4.1.а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the transparent and accurate monitoring of the actual and projected progress made by Member States, including the contribution made by Union measures, in fulfilling the Union’s and the Member States’ commitments under the UNFCCC to limit or reduce anthropogenic greenhouse gas emissions;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4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28"/>
                <w:lang w:val="sr-Cyrl-RS"/>
              </w:rPr>
            </w:pPr>
            <w:r w:rsidRPr="002002A4">
              <w:rPr>
                <w:rFonts w:ascii="Times New Roman" w:eastAsia="Times New Roman" w:hAnsi="Times New Roman" w:cs="Times New Roman"/>
                <w:color w:val="000000"/>
                <w:sz w:val="18"/>
                <w:szCs w:val="28"/>
                <w:lang w:val="sr-Cyrl-RS"/>
              </w:rPr>
              <w:t>За достизање циљева овог закона, државни органи и организације треба да усвоје одговарајуће секторске политике и мере из делокруга своје надлежности.</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Индиректна транспозиција јер су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транспарентност и тачност извештавања спадају у   начела UNFCCC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везана за извештавање о емисијама GHG</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4.1.б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meeting the greenhouse gas emission reduction commitments of Member States under Decision No 406/2009/EC and achieving long-term emission reductions and enhancements of removals by sinks in all sectors in line with the Union’s objective, in the context of necessary reductions according to the IPCC by developed countries as a group, to reduce emissions by 80 to 95 % by 2050 compared to 1990 levels in a cost-effective manner.</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Министарство надлежно за заштиту животне средине (у даљем тексту: Министарство) припрема С</w:t>
            </w:r>
            <w:r w:rsidRPr="002002A4">
              <w:rPr>
                <w:rFonts w:ascii="Times New Roman" w:eastAsia="Times New Roman" w:hAnsi="Times New Roman" w:cs="Times New Roman"/>
                <w:color w:val="333333"/>
                <w:sz w:val="18"/>
                <w:szCs w:val="18"/>
                <w:lang w:val="sr-Cyrl-RS"/>
              </w:rPr>
              <w:t xml:space="preserve">тратегију нискоугљеничног развоја (у даљем тексту Стратегија) </w:t>
            </w:r>
            <w:r w:rsidRPr="002002A4">
              <w:rPr>
                <w:rFonts w:ascii="Times New Roman" w:eastAsia="Times New Roman" w:hAnsi="Times New Roman" w:cs="Times New Roman"/>
                <w:color w:val="000000"/>
                <w:sz w:val="18"/>
                <w:szCs w:val="18"/>
                <w:lang w:val="sr-Cyrl-RS"/>
              </w:rPr>
              <w:t xml:space="preserve">у циљу утврђивања могућности ограничења емисија GHG из извора, као и </w:t>
            </w:r>
            <w:r w:rsidRPr="002002A4">
              <w:rPr>
                <w:rFonts w:ascii="Times New Roman" w:eastAsia="Times New Roman" w:hAnsi="Times New Roman" w:cs="Times New Roman"/>
                <w:color w:val="333333"/>
                <w:sz w:val="18"/>
                <w:szCs w:val="18"/>
                <w:lang w:val="sr-Cyrl-RS"/>
              </w:rPr>
              <w:t>транспарентног и тачног праћења постизања тих могућности.</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Member States shall report to the Commission on the status of implementation of their low-carbon development strategy by 9 January 2015 or in accordance with any timetable agreed internationally in the context of the UNFCCC process.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1B3A6B">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w:t>
            </w:r>
            <w:r w:rsidR="001B3A6B">
              <w:rPr>
                <w:rFonts w:ascii="Times New Roman" w:hAnsi="Times New Roman" w:cs="Times New Roman"/>
                <w:sz w:val="18"/>
                <w:szCs w:val="18"/>
                <w:lang w:val="sr-Cyrl-RS"/>
              </w:rPr>
              <w:t>4</w:t>
            </w:r>
            <w:r w:rsidRPr="002002A4">
              <w:rPr>
                <w:rFonts w:ascii="Times New Roman" w:hAnsi="Times New Roman" w:cs="Times New Roman"/>
                <w:sz w:val="18"/>
                <w:szCs w:val="18"/>
                <w:lang w:val="sr-Cyrl-RS"/>
              </w:rPr>
              <w:t>.3</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Министарство извештаје из става 1. овог члана као и све релевантне процене трошкова и ефеката политика и мера којима се ограничавају или смањују емисије GHG из извора или повећавају уклоњене количине путем понора, значајне информације на којима су засноване процене, описе модела и коришћене методолошке приступе, дефиниције и претпоставке на којима се заснивају ставља на увид јавности на својој интернет страници.</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Србија ће извештавати јавност јер у техничком смислу извештај не може слати ЕК, јер нема приступ интернет апликацији</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4.3.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The Commission and the Member States shall make available to the public forthwith their respective low-carbon development strategies and any updates thereof.</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16.5</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Усвојена акта из става 1, овог члана, Министарство објављује на својој интернет страници у року од 14 дана након усвајања.</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3</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REPORTING HISTORICAL GREENHOUSE GAS EMISSIONS AND REMOVALS</w:t>
            </w:r>
          </w:p>
        </w:tc>
        <w:tc>
          <w:tcPr>
            <w:tcW w:w="332"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ind w:firstLine="21"/>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National inventory systems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Member States shall establish, operate and seek to continuously improve national inventory systems, in accordance with UNFCCC requirements on national systems, to estimate anthropogenic emissions by sources and removals by sinks of greenhouse gases listed in Annex I to this Regulation and to ensure the timeliness, transparency, accuracy, consistency, comparability and completeness of their greenhouse gas inventories.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57.1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Национални Систем инвентара GHG успоставља се, води и константно унапређује како би се, у складу са обавезама извештавања према Оквирној конвенцији УН о промени климе, осигура процена емисија GHG из извора и уклањања путем понора, као и правовременост, транспарентност, тачност, доследност, упоредивост и потпуност инвентара GHG.</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Member States shall ensure that their competent inventory authorities have access to:</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5.2.(а)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data and methods reported for activities and installations under Directive 2003/87/EC for the purpose of preparing national greenhouse gas inventories in order to ensure consistency of the reported greenhouse gas emissions under the Union’s emissions trading scheme and in the national greenhouse gas inventories;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5.2.(б)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where relevant, data collected through the reporting systems on fluorinated gases in the various sectors, set up pursuant to Article 6(4) of Regulation (EC) No 842/2006 for the purpose of preparing national greenhouse gas inventories;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5.2.(ц)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where relevant, emissions, underlying data and methodologies reported by facilities under Regulation (EC) No 166/2006 for the purpose of preparing national greenhouse gas inventories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B3642C" w:rsidRPr="002002A4" w:rsidRDefault="001B3A6B" w:rsidP="00B3642C">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B3642C"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5.2.(д)</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 data reported under Regulation (EC) No 1099/2008.</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63.4</w:t>
            </w:r>
            <w:r w:rsidR="00106671"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xml:space="preserve">Транспозиција Уредбе 1099/2008/ЕЦ </w:t>
            </w:r>
            <w:r w:rsidRPr="002002A4">
              <w:rPr>
                <w:rFonts w:ascii="Times New Roman" w:hAnsi="Times New Roman" w:cs="Times New Roman"/>
                <w:sz w:val="18"/>
                <w:szCs w:val="18"/>
                <w:lang w:val="sr-Cyrl-RS"/>
              </w:rPr>
              <w:lastRenderedPageBreak/>
              <w:t>у Србији није предвиђена, (Статистички завод ће је само имплементирати по свом плану имплементације)</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5.3.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Member States shall ensure that their competent inventory authorities, where relevant: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106671"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5.3.(а)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make use of reporting systems established pursuant to Article 6(4) of Regulation (EC) No 842/2006 to improve the estimation of fluorinated gases in the national greenhouse gas inventories;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r w:rsidR="00106671" w:rsidRPr="002002A4">
              <w:rPr>
                <w:rFonts w:ascii="Times New Roman" w:hAnsi="Times New Roman" w:cs="Times New Roman"/>
                <w:sz w:val="18"/>
                <w:szCs w:val="18"/>
                <w:lang w:val="sr-Cyrl-RS"/>
              </w:rPr>
              <w:t>.</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5.3.(б)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are able to undertake the annual consistency checks referred to in points (l) and (m) of Article 7(1).</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 The Commission shall adopt implementing acts to set out rules on the structure, format and submission process of the information relating to national inventory systems and to requirements on the establishment, operation and functioning of national inventory systems in accordance with relevant decisions adopted by the bodies of the UNFCCC or the Kyoto Protocol or of agreements deriving from them or succeeding them. Those implementing acts shall be adopted in accordance with the examination procedure referred to in Article 26(2).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6</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Union inventory system</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A Union inventory system to ensure the timeliness, transparency, accuracy, consistency, comparability and completeness of national inventories with regard to the Union greenhouse gas inventory is hereby established. The Commission shall administer, maintain and seek to continuously improve that system, which shall include: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6.1.(а)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(a) a quality assurance and quality control programme, </w:t>
            </w:r>
            <w:r w:rsidRPr="002002A4">
              <w:rPr>
                <w:rFonts w:ascii="Times New Roman" w:hAnsi="Times New Roman" w:cs="Times New Roman"/>
                <w:sz w:val="18"/>
                <w:szCs w:val="18"/>
                <w:lang w:val="sr-Cyrl-RS"/>
              </w:rPr>
              <w:lastRenderedPageBreak/>
              <w:t>which shall include setting quality objectives and drafting an inventory quality assurance and quality control plan. The Commission shall assist Member States in implementing their quality assurance and quality control programmes;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6.1.(б)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a procedure to estimate, in consultation with the Member State concerned, any data missing from its national inventory;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6.1.(ц)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the reviews of Member States’ greenhouse gas inventories referred to in Article 19.</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The Commission shall be empowered to adopt delegated acts in accordance with Article 25 concerning the substantive requirements for a Union inventory system in order to fulfil the obligations pursuant to Decision 19/CMP.1. The Commission shall not adopt provisions pursuant to paragraph 1 that are more onerous for Member States to comply with than provisions of acts adopted pursuant to Article 3(3) and Article 4(2) of Decision No 280/2004/EC.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7</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Greenhouse gas inventories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By 15 January each year (year X), Member States shall determine and report the following to the Commission: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their anthropogenic emissions of greenhouse gases listed in Annex I to this Regulation and the anthropogenic emissions of greenhouse gases referred to in Article 2(1) of Decision No 406/2009/EC for the year X-2, in accordance with UNFCCC reporting requirements. Without prejudice to the reporting of the greenhouse gases listed in Annex I to this Regulation, the CO2 emissions from IPCC source category ‘1.A.3.A civil aviation’ shall be considered equal to zero for the purposes of Article 3 and Article 7(1) of Decision No 406/ 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(b) data in accordance with UNFCCC reporting requirements on their anthropogenic emissions of carbon monoxide (CO), sulphur dioxide (SO2), nitrogen oxides (NOx) and volatile organic compounds, consistent with data already reported pursuant to Article 7 of Directive </w:t>
            </w:r>
            <w:r w:rsidRPr="002002A4">
              <w:rPr>
                <w:rFonts w:ascii="Times New Roman" w:hAnsi="Times New Roman" w:cs="Times New Roman"/>
                <w:sz w:val="18"/>
                <w:szCs w:val="18"/>
                <w:lang w:val="sr-Cyrl-RS"/>
              </w:rPr>
              <w:lastRenderedPageBreak/>
              <w:t>2001/81/EC and the UNECE Convention on Long-Range Transboundary Pollution, for the year X-2;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ind w:firstLine="5"/>
              <w:jc w:val="center"/>
              <w:rPr>
                <w:rFonts w:ascii="Times New Roman" w:hAnsi="Times New Roman" w:cs="Times New Roman"/>
                <w:sz w:val="18"/>
                <w:szCs w:val="18"/>
                <w:lang w:val="sr-Cyrl-RS"/>
              </w:rPr>
            </w:pP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7.1.(ц)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their anthropogenic greenhouse gas emissions by sources and removals of CO2 by sinks resulting from LULUCF, for the year X-2, in accordance with UNFCCC reporting requirements;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ind w:firstLine="5"/>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7.1.(д)</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 their anthropogenic greenhouse gas emissions by sources and removals of CO2 by sinks resulting from LULUCF activities pursuant to Decision No 529/2013/EU and the Kyoto Protocol and information on the accounting of these greenhouse gas emissions and removals from LULUCF activities, in accordance with Decision No 529/2013/EU and with Article 3(3) and (4) of the Kyoto Protocol, and relevant decisions thereunder, for the years between 2008 or other applicable years and the year X-2. Where Member States account for cropland management, grazing land management, revegetation or wetland drainage and rewetting, they shall in addition report greenhouse gas emissions by sources and removals by sinks for each such activity for the relevant base year or period specified in Annex VI to Decision No 529/2013/EU and in the Annex to Decision 13/CMP.1. In complying with their reporting obligations pursuant to this point, and in particular when submitting information on emissions and removals relating to their accounting obligations set out in Decision No 529/2013/EU, Member States shall submit information taking fully into account applicable IPCC good practice guidance for LULUCF;</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Предмет транспозиције уредбе 529/2013/EU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7.1.(е)</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 any changes to the information referred to in points (a) to (d) for the years between the relevant base year or period and the year X-3, indicating the reasons for these changes;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7.1.(ф)</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(f) information on indicators, as set out in Annex III, for the year X-2;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7.1.(г)</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(g) information from their national registry on the issue, acquisition, holding, transfer, cancellation, retirement and carry-over of AAUs, RMUs, ERUs, CERs, tCERs </w:t>
            </w:r>
            <w:r w:rsidRPr="002002A4">
              <w:rPr>
                <w:rFonts w:ascii="Times New Roman" w:hAnsi="Times New Roman" w:cs="Times New Roman"/>
                <w:sz w:val="18"/>
                <w:szCs w:val="18"/>
                <w:lang w:val="sr-Cyrl-RS"/>
              </w:rPr>
              <w:lastRenderedPageBreak/>
              <w:t>and lCERs for the year X-1;</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Нема транспозиције - укључујући земље Анеxа I Кyото Протокола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7.1.(х)</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(h) summary information on concluded transfers pursuant to Article 3(4) and (5) of Decision No 406/2009/EC, for the year X-1;</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Нема транспозиције - укључујући земље Анеxа I Кyото Протокола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7.1.(и)</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 information on the use of joint implementation, of the CDM and of international emissions trading, pursuant to Articles 6, 12 and 17 of the Kyoto Protocol, or any other flexible mechanism provided for in other instruments adopted by the Conference of the Parties to the UNFCCC or the Conference of the Parties to the UNFCCC serving as the meeting of the Parties to the Kyoto Protocol, to meet 18.6.2013 Official Journal of the European Union L 165/21 EN their quantified emission limitation or reduction commitments pursuant to Article 2 of Decision 2002/358/EC and the Kyoto Protocol or any future commitments under the UNFCCC or the Kyoto Protocol, for the year X-2;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Нема транспозиције - укључујући земље Анеxа I Кyото Протокола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7.1.(ј)</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(j) information on the steps taken to improve inventory estimates, in particular in areas of the inventory that have been subject to adjustments or recommendations following expert reviews;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7.1.(к)</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(k) the actual or estimated allocation of the verified emissions reported by installations and operators under Directive 2003/87/EC to the source categories of the national greenhouse gas inventory, where possible, and the ratio of those verified emissions to the total reported greenhouse gas emissions in those source categories, for the year X-2;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7.1.(л)</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(l) where relevant, the results of the checks performed on the consistency of the emissions reported in the greenhouse gas inventories, for the year X-2, with the verified emissions reported under Directive 2003/87/EC;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7.1.(м)</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(m) where relevant, the results of the checks performed on the consistency of the data used to estimate emissions in preparation of the greenhouse gas inventories, for the year X-2, with:</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 the data used to prepare inventories of air pollutants under Directive 2001/81/EC;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ind w:firstLine="5"/>
              <w:jc w:val="center"/>
              <w:rPr>
                <w:rFonts w:ascii="Times New Roman" w:hAnsi="Times New Roman" w:cs="Times New Roman"/>
                <w:sz w:val="18"/>
                <w:szCs w:val="18"/>
                <w:lang w:val="sr-Cyrl-RS"/>
              </w:rPr>
            </w:pP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(ii) the data reported pursuant to Article 6(1) of Regulation (EC) No 842/2006;</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ind w:firstLine="5"/>
              <w:jc w:val="center"/>
              <w:rPr>
                <w:rFonts w:ascii="Times New Roman" w:hAnsi="Times New Roman" w:cs="Times New Roman"/>
                <w:sz w:val="18"/>
                <w:szCs w:val="18"/>
                <w:lang w:val="sr-Cyrl-RS"/>
              </w:rPr>
            </w:pP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(iii) the energy data reported pursuant to Article 4 of, and Annex B to, Regulation (EC) No 1099/2008;</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ind w:firstLine="5"/>
              <w:jc w:val="center"/>
              <w:rPr>
                <w:rFonts w:ascii="Times New Roman" w:hAnsi="Times New Roman" w:cs="Times New Roman"/>
                <w:sz w:val="18"/>
                <w:szCs w:val="18"/>
                <w:lang w:val="sr-Cyrl-RS"/>
              </w:rPr>
            </w:pP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7.1.(н)</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(n) a description of changes to their national inventory system;</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7.1.(о)</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(o) a description of changes to the national registry;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Нема транспозиције - укључујући земље Анеxа I Кyото Протокола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7.1.(п)</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(p) information on their quality assurance and quality control plans, a general uncertainty assessment, a general assessment of completeness and, where available, other elements of the national greenhouse gas inventory report needed to prepare the Union greenhouse gas inventory report.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7.1.1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In the first reporting year under this Regulation, Member States shall inform the Commission of any intention to make use of Article 3(4) and (5) of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Нема транспозиције – није применљиво</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Member States shall report to the Commission preliminary data by 15 January and final data by 15 March of the second year after the end of each accounting period specified in Annex I to Decision No 529/2013/EU, as prepared for their LULUCF accounts for that accounting period in accordance with Article 4(6) of that Decision.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Биће додато након транспозиције 529/2013/EU</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By 15 March each year, Member States shall communicate to the Commission a complete and up-to-date national inventory report. Such report shall contain all the information listed in paragraph 1 and any subsequent updates to that information.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4. By 15 April each year, Member States shall submit to the UNFCCC Secretariat national inventories containing </w:t>
            </w:r>
            <w:r w:rsidRPr="002002A4">
              <w:rPr>
                <w:rFonts w:ascii="Times New Roman" w:hAnsi="Times New Roman" w:cs="Times New Roman"/>
                <w:sz w:val="18"/>
                <w:szCs w:val="18"/>
                <w:lang w:val="sr-Cyrl-RS"/>
              </w:rPr>
              <w:lastRenderedPageBreak/>
              <w:t>information submitted to the Commission in accordance with paragraph 3.</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Потпуна усклађеност биће постигнута усвајањем </w:t>
            </w:r>
            <w:r w:rsidRPr="002002A4">
              <w:rPr>
                <w:rFonts w:ascii="Times New Roman" w:hAnsi="Times New Roman" w:cs="Times New Roman"/>
                <w:sz w:val="18"/>
                <w:szCs w:val="18"/>
                <w:lang w:val="sr-Cyrl-RS"/>
              </w:rPr>
              <w:lastRenderedPageBreak/>
              <w:t>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7.5.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 The Commission shall, in cooperation with the Member States, annually compile a Union greenhouse gas inventory and prepare a Union greenhouse gas inventory report and shall submit them, by 15 April each year, to the UNFCCC Secretariat.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7.6.</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 The Commission shall be empowered to adopt delegated acts in accordance with Article 25 to:</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7.6.(а)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add or delete substances to or from the list of greenhouse gases in Annex I to this Regulation or add, delete or amend indicators in Annex III to this Regulation in accordance with relevant decisions adopted by the bodies of the UNFCCC or the Kyoto Protocol or of agreements deriving from them or succeeding them;</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7.6.(б)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take account of changes in the GWPs and internationally agreed inventory guidelines in accordance with relevant decisions adopted by the bodies of the UNFCCC or the Kyoto Protocol or of agreements deriving from them or succeeding them.</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7.7.</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 The Commission shall adopt implementing acts to set out the structure, format and process for the Member States’ submission of greenhouse gas inventories pursuant to paragraph 1 in accordance with relevant decisions adopted by the bodies of the UNFCCC or the Kyoto Protocol or of agreements deriving from them or succeeding them. Those implementing acts shall also specify the timescales for cooperation and coordination between the Commission and the Member States in preparing the Union greenhouse gas inventory report. Those implementing acts shall be adopted in accordance with the examination procedure referred to in Article 26(2).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7.8.</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8. The Commission shall adopt implementing acts to set out the structure, format and process for Member States’ submission of greenhouse gas emissions and removals in accordance with Article 4 of Decision No 529/2013/EU. In adopting those implementing acts, the Commission shall ensure compatibility of Union and UNFCCC </w:t>
            </w:r>
            <w:r w:rsidRPr="002002A4">
              <w:rPr>
                <w:rFonts w:ascii="Times New Roman" w:hAnsi="Times New Roman" w:cs="Times New Roman"/>
                <w:sz w:val="18"/>
                <w:szCs w:val="18"/>
                <w:lang w:val="sr-Cyrl-RS"/>
              </w:rPr>
              <w:lastRenderedPageBreak/>
              <w:t>timetables for the monitoring and reporting of that information. Those implementing acts shall be adopted in accordance with the examination procedure referred to in Article 26(2).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Арт. 8</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Approximated greenhouse gas inventories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8.1.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By 31 July each year (year X), Member States shall, where possible, submit to the Commission approximated greenhouse gas inventories for the year X-1. The Commission shall, on the basis of the Member States’ approximated greenhouse gas inventories or, if a Member State has not communicated its approximated inventories by that date, on the basis of its own estimates, annually compile a Union approximated greenhouse gas inventory. The Commission shall make this information available to the public each year by 30 September.</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8.2.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The Commission shall adopt implementing acts to set out the structure, format and submission process for Member States’ approximated greenhouse gas inventories pursuant to paragraph 1. Those implementing acts shall be adopted in accordance with the examination procedure referred to in Article 26(2).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9</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Procedures for completing emission estimates to compile the Union inventory</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5"/>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9.1.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The Commission shall perform an initial check of the data submitted by Member States pursuant to Article 7(1) for accuracy. It shall send the results of that check to Member States within six weeks of the submission deadline. Member States shall respond to any relevant questions raised by the initial check by 15 March, together with the final inventory submission for the year X-2.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9.2.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Where a Member State does not submit the inventory data required to compile the Union inventory by 15 March, the Commission may prepare estimates to complete the data submitted by the Member State, in consultation and close cooperation with the Member State concerned. The Commission shall use, for this purpose, the guidelines applicable for preparing the national greenhouse gas inventories.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4</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REGISTRIES</w:t>
            </w:r>
          </w:p>
        </w:tc>
        <w:tc>
          <w:tcPr>
            <w:tcW w:w="332"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ind w:firstLine="21"/>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10</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Establishment and operation of registries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10.1.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The Union and the Member States shall set up and maintain registries to accurately account for the issue, holding, transfer, acquisition, cancellation, retirement, carryover, replacement or change of expiry date, as relevant, of AAUs, RMUs, ERUs, CERs, tCERs and lCERs. Member States may also use these registries to accurately account for the units referred to in Article 11a(5) of Directive 2003/87/EC.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10.2.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The Union and the Member States may maintain their registries in a consolidated system, together with one or more other Member States.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10.3.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The data referred to in paragraph 1 of this Article shall be made available to the central administrator designated pursuant to Article 20 of Directive 2003/87/EC.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 The Commission shall be empowered to adopt delegated acts in accordance with Article 25 in order to set up the Union registry referred to in paragraph 1 of this Article.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11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Retirement of units under the Kyoto Protocol</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11.1.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Member States shall, following the completion of the review of their national inventories under the Kyoto Protocol for each year of the first commitment period under the Kyoto Protocol, including the resolution of any implementation issues, retire from the registry AAUs, RMUs, ERUs, CERs, tCERs and lCERs equivalent to their net emissions during that year.</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11.2.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In respect of the last year of the first commitment period under the Kyoto Protocol, Member States shall retire units from the registry prior to the end of the additional period for fulfilling commitments set out in Decision 11/CMP.1 of the Conference of the Parties to the UNFCCC serving as the meeting of the Parties to the Kyoto Protocol.</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5</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REPORTING ON POLICIES AND MEASURES AND </w:t>
            </w:r>
            <w:r w:rsidRPr="002002A4">
              <w:rPr>
                <w:rFonts w:ascii="Times New Roman" w:hAnsi="Times New Roman" w:cs="Times New Roman"/>
                <w:sz w:val="18"/>
                <w:szCs w:val="18"/>
                <w:lang w:val="sr-Cyrl-RS"/>
              </w:rPr>
              <w:lastRenderedPageBreak/>
              <w:t>ON PROJECTIONS OF ANTHROPOGENIC GREENHOUSE GAS EMISSIONS BY SOURCES AND REMOVALS BY SINKS</w:t>
            </w:r>
          </w:p>
        </w:tc>
        <w:tc>
          <w:tcPr>
            <w:tcW w:w="332"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ind w:firstLine="21"/>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vAlign w:val="center"/>
          </w:tcPr>
          <w:p w:rsidR="00B3642C" w:rsidRPr="002002A4" w:rsidRDefault="00B3642C" w:rsidP="00B3642C">
            <w:pPr>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Арт. 12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National and Union systems for policies and measures and projections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12.1.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By 9 July 2015, Member States and the Commission shall set up, operate and seek to continuously improve national and Union systems respectively, for reporting on policies and measures and for reporting on projections of anthropogenic greenhouse gas emissions by sources and removals by sinks. Those systems shall include the relevant institutional, legal and procedural arrangements established within a Member State and the Union for evaluating policy and making projections of anthropogenic greenhouse gas emissions by sources and removals by sinks.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1F4CDB">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w:t>
            </w:r>
            <w:r w:rsidR="001F4CDB">
              <w:rPr>
                <w:rFonts w:ascii="Times New Roman" w:hAnsi="Times New Roman" w:cs="Times New Roman"/>
                <w:sz w:val="18"/>
                <w:szCs w:val="18"/>
                <w:lang w:val="sr-Cyrl-RS"/>
              </w:rPr>
              <w:t>3</w:t>
            </w:r>
            <w:r w:rsidRPr="002002A4">
              <w:rPr>
                <w:rFonts w:ascii="Times New Roman" w:hAnsi="Times New Roman" w:cs="Times New Roman"/>
                <w:sz w:val="18"/>
                <w:szCs w:val="18"/>
                <w:lang w:val="sr-Cyrl-RS"/>
              </w:rPr>
              <w:t>.1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У циљу обезбеђења правовремености, транспарентности, тачности, доследности, упоредивости и потпуности информација о политикама и мерама и пројекцијама, успоставља се, одржава и континуирано унапређује систем за извештавање о политикама, мерама и пројекцијама GHG.</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12.2.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Member States and the Commission shall aim to ensure the timeliness, transparency, accuracy, consistency, comparability and completeness of the information reported on policies and measures and projections of anthropogenic greenhouse gas emissions by sources and removals by sinks, as referred to in Articles 13 and 14, including, where relevant, the use and application of data, methods and models, and the implementation of quality assurance and quality control activities and sensitivity analysis.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1F4CDB">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w:t>
            </w:r>
            <w:r w:rsidR="001F4CDB">
              <w:rPr>
                <w:rFonts w:ascii="Times New Roman" w:hAnsi="Times New Roman" w:cs="Times New Roman"/>
                <w:sz w:val="18"/>
                <w:szCs w:val="18"/>
                <w:lang w:val="sr-Cyrl-RS"/>
              </w:rPr>
              <w:t>3</w:t>
            </w:r>
            <w:r w:rsidRPr="002002A4">
              <w:rPr>
                <w:rFonts w:ascii="Times New Roman" w:hAnsi="Times New Roman" w:cs="Times New Roman"/>
                <w:sz w:val="18"/>
                <w:szCs w:val="18"/>
                <w:lang w:val="sr-Cyrl-RS"/>
              </w:rPr>
              <w:t>.2</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Систем подразумева</w:t>
            </w:r>
            <w:r w:rsidRPr="002002A4" w:rsidDel="00014749">
              <w:rPr>
                <w:rFonts w:ascii="Times New Roman" w:eastAsia="Times New Roman" w:hAnsi="Times New Roman" w:cs="Times New Roman"/>
                <w:color w:val="000000"/>
                <w:sz w:val="18"/>
                <w:szCs w:val="18"/>
                <w:lang w:val="sr-Cyrl-RS"/>
              </w:rPr>
              <w:t xml:space="preserve"> </w:t>
            </w:r>
            <w:r w:rsidRPr="002002A4">
              <w:rPr>
                <w:rFonts w:ascii="Times New Roman" w:eastAsia="Times New Roman" w:hAnsi="Times New Roman" w:cs="Times New Roman"/>
                <w:color w:val="000000"/>
                <w:sz w:val="18"/>
                <w:szCs w:val="18"/>
                <w:lang w:val="sr-Cyrl-RS"/>
              </w:rPr>
              <w:t xml:space="preserve">институционалне, правне и процедуралне механизме за извештавање о политикама и мерама ипројекцијама антропогених емисија GHG из извора и уклањања помоћу понора. </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12.3.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The Commission shall adopt implementing acts on the structure, format and submission process of information on national and Union systems for policies and measures and projections pursuant to paragraphs 1 and 2 of this Article, Article 13 and Article 14(1), and in accordance with relevant decisions adopted by the bodies of the UNFCCC or the Kyoto Protocol or of agreements deriving from them or succeeding them. The Commission shall ensure consistency with internationally agreed reporting requirements as well as the compatibility of Union and international timetables for monitoring and reporting of that information. Those implementing acts shall be adopted in accordance with the examination procedure referred to in Article 26(2).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Обавеза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Арт. 13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Reporting on policies and measures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By 15 March 2015, and every two years thereafter, Member States shall provide the Commission with the following:</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a description of their national system for reporting on policies and measures, or groups of measures, and for reporting on projections of anthropogenic greenhouse gas emissions by sources and removals by sinks pursuant to Article 12(1), where such description has not already been provided, or information on any changes made to that system where such a description has already been provided;</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updates relevant to their low-carbon development strategies referred to in Article 4 and progress in implementing those strategies;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information on national policies and measures, or groups of measures, and on implementation of Union policies and measures, or groups of measures, that limit or reduce greenhouse gas emissions by sources or enhance removals by sinks, presented on a sectoral basis and organised by gas or group of gases (HFCs and PFCs) listed in Annex I. That information shall refer to applicable and relevant national or Union policies and shall include: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13.1.(ц).(и)</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 the objective of the policy or measure and a short description of the policy or measure;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13.1.(ц).(II)</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(ii) the type of policy instrument;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13.1.(ц).(IIи)</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(iii) the status of implementation of the policy or measure or group of measures;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13.1.(ц).(ив)</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(iv) where used, indicators to monitor and evaluate </w:t>
            </w:r>
            <w:r w:rsidRPr="002002A4">
              <w:rPr>
                <w:rFonts w:ascii="Times New Roman" w:hAnsi="Times New Roman" w:cs="Times New Roman"/>
                <w:sz w:val="18"/>
                <w:szCs w:val="18"/>
                <w:lang w:val="sr-Cyrl-RS"/>
              </w:rPr>
              <w:lastRenderedPageBreak/>
              <w:t>progress over time;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Потпуна усклађеност биће </w:t>
            </w:r>
            <w:r w:rsidRPr="002002A4">
              <w:rPr>
                <w:rFonts w:ascii="Times New Roman" w:hAnsi="Times New Roman" w:cs="Times New Roman"/>
                <w:sz w:val="18"/>
                <w:szCs w:val="18"/>
                <w:lang w:val="sr-Cyrl-RS"/>
              </w:rPr>
              <w:lastRenderedPageBreak/>
              <w:t>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13.1.(ц).(в)</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(v) where available, quantitative estimates of the effects on emissions by sources and removals by sinks of greenhouse gases broken down into: </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13.1.(ц).(в)-1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the results of ex ante assessments of the effects of individual or groups of policies and measures on the mitigation of climate change. Estimates shall be provided for a sequence of four future years ending with 0 or 5 immediately following the reporting year, with a distinction between greenhouse gas emissions covered by Directive 2003/87/EC and those covered by Decision No 406/2009/EC; </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13.1.(ц).(в)-2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the results of ex post assessments of the effects of individual or groups of policies and measures on the mitigation of climate change, with a distinction between greenhouse gas emissions covered by Directive 2003/87/EC and those covered by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13.1.(ц).(ви)</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(vi) where available, estimates of the projected costs and benefits of policies and measures, as well as estimates, as appropriate, of the realised costs and benefits of policies and measures;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13.1.(ц).(вII)</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(vii) where available, all references to the assessments and the underpinning technical reports referred to in paragraph 3;</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13.1.(д)</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 the information referred to in point (d) of Article 6(1) of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Србија ће испуњавати своје захтеве везане за ограничење емисија до међународне заједнице а Стратегије нискоугљичног развоја ће свакако у својим сценаријима имати и додатне мере којима би се постигла још већа ограничења емисија GHG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13.1.(е)</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(e) information on the extent to which the Member State’s action constitutes a significant element of the </w:t>
            </w:r>
            <w:r w:rsidRPr="002002A4">
              <w:rPr>
                <w:rFonts w:ascii="Times New Roman" w:hAnsi="Times New Roman" w:cs="Times New Roman"/>
                <w:sz w:val="18"/>
                <w:szCs w:val="18"/>
                <w:lang w:val="sr-Cyrl-RS"/>
              </w:rPr>
              <w:lastRenderedPageBreak/>
              <w:t>efforts undertaken at national level as well as the extent to which the projected use of joint implementation, of the CDM and of international emissions trading is supplemental to domestic action in accordance with the relevant provisions of the Kyoto Protocol and the decisions adopted thereunder.</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Није применљиво за Србију јер Србија има у оквиру UNFCCC </w:t>
            </w:r>
            <w:r w:rsidRPr="002002A4">
              <w:rPr>
                <w:rFonts w:ascii="Times New Roman" w:hAnsi="Times New Roman" w:cs="Times New Roman"/>
                <w:sz w:val="18"/>
                <w:szCs w:val="18"/>
                <w:lang w:val="sr-Cyrl-RS"/>
              </w:rPr>
              <w:lastRenderedPageBreak/>
              <w:t>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13.2.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A Member State shall communicate to the Commission any substantial changes to the information reported pursuant to this Article during the first year of the reporting period, by 15 March of the year following the previous report.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13.3.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Member States shall make available to the public, in electronic form, any relevant assessment of the costs and effects of national policies and measures, where available, and any relevant information on the implementation of Union policies and measures that limit or reduce greenhouse gas emissions by sources or enhance removals by sinks along with any existing technical reports that underpin those assessments. Those assessments should include descriptions of the models and methodological approaches used, definitions and underlying assumptions.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14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Reporting on projections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14.1.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By 15 March 2015, and every two years thereafter, Member States shall report to the Commission national projections of anthropogenic greenhouse gas emissions by sources and removals by sinks, organised by gas or group of gases (HFCs and PFCs) listed in Annex I and by sector. Those projections shall include quantitative estimates for a sequence of four future years ending with 0 or 5 immediately following the reporting year. National projections shall take into consideration any policies and measures adopted at Union level and shall include: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14.1.(а)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projections without measures where available, projections with measures, and, where available, projections with additional measures;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14.1.(б)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(b) total greenhouse gas projections and separate estimates for the projected greenhouse gas emissions for </w:t>
            </w:r>
            <w:r w:rsidRPr="002002A4">
              <w:rPr>
                <w:rFonts w:ascii="Times New Roman" w:hAnsi="Times New Roman" w:cs="Times New Roman"/>
                <w:sz w:val="18"/>
                <w:szCs w:val="18"/>
                <w:lang w:val="sr-Cyrl-RS"/>
              </w:rPr>
              <w:lastRenderedPageBreak/>
              <w:t>the emission sources covered by Directive 2003/87/EC and by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Потпуна усклађеност биће постигнута усвајањем </w:t>
            </w:r>
            <w:r w:rsidRPr="002002A4">
              <w:rPr>
                <w:rFonts w:ascii="Times New Roman" w:hAnsi="Times New Roman" w:cs="Times New Roman"/>
                <w:sz w:val="18"/>
                <w:szCs w:val="18"/>
                <w:lang w:val="sr-Cyrl-RS"/>
              </w:rPr>
              <w:lastRenderedPageBreak/>
              <w:t>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14.1.(ц)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the impact of policies and measures identified pursuant to Article 13. Where such policies and measures are not included, this shall be clearly stated and explained;</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14.1.(д)</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 results of the sensitivity analysis performed for the projections;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14.1.(е)</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 all relevant references to the assessment and the technical reports that underpin the projections referred to in paragraph 4.</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14.2.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Member States shall communicate to the Commission any substantial changes to the information reported pursuant to this Article during the first year of the reporting period, by 15 March of the year following the previous report.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14.3.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Member States shall report the most up-to-date projections available. Where a Member State does not submit complete projection estimates by 15 March every second year, and the Commission has established that gaps in the estimates cannot be filled by that Member State once identified through the Commission’s QA or QC procedures, the Commission may prepare estimates as required to compile Union projections, in consultation with the Member State concerned.</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Обавета ЕК</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14.4.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 Member States shall make available to the public, in electronic form, their national projections of greenhouse gas emissions by sources and removals by sinks along with relevant technical reports that underpin those projections. Those projections should include descriptions of the models and methodological approaches used, definitions and underlying assumptions.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6</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REPORTING ON OTHER INFORMATION RELEVANT FOR CLIMATE CHANGE</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Арт. 15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15: Reporting on national adaptation actions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106671"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By 15 March 2015, and every four years thereafter, aligned with the timings for reporting to the UNFCCC, Member States shall report to the Commission information on their national adaptation planning and strategies, outlining their implemented or planned actions to facilitate adaptation to climate change. That information shall include the main objectives and the climatechange impact category addressed, such as flooding, sea level rise, extreme temperatures, droughts, and other extreme weather events.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Потпуна усклађеност биће постигнута усвајањем подзаконског акта</w:t>
            </w:r>
          </w:p>
          <w:p w:rsidR="00106671" w:rsidRPr="002002A4" w:rsidRDefault="001B3A6B" w:rsidP="00106671">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106671" w:rsidRPr="002002A4" w:rsidRDefault="00106671" w:rsidP="00106671">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16</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Reporting on financial and technology support provided to developing countries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16.1.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Member States shall cooperate with the Commission to allow timely coherent reporting by the Union and its Member States on support provided to developing countries in accordance with the relevant provisions of the UNFCCC, as applicable, including any common format agreed under the UNFCCC, and to ensure annual reporting by 30 September.</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јер Србија има у оквиру UNFCCC има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16.2.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Where relevant or applicable under the UNFCCC, Member States shall endeavour to provide information on financial flows based on the so-called ‘Rio markers’ for climate change mitigation-related support and climate change adaptation-related support introduced by the OECD Development Assistance Committee and methodological information concerning the implementation of the climate change Rio markers methodology.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јер Србија има у оквиру UNFCCC има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16.3.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Where information is reported on private financial flows mobilised, it shall include information on the definitions and methodologies used to determine any figures.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јер Србија има у оквиру UNFCCC има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16.4.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 In accordance with decisions adopted by the bodies of the UNFCCC or the Kyoto Protocol or of agreements deriving from them or succeeding them, information on support provided shall include information on support for mitigation, adaptation, capacity-building and technology transfer and, if possible, information as to whether financial resources are new and additional.</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јер Србија има у оквиру UNFCCC има статус државе у развоју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Арт. 17</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Reporting on the use of auctioning revenue and project credits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17.1.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By 31 July each year (year X), Member States shall submit to the Commission for the year X-1:</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Србија није део EU-ETS и тако неможе имати средстава из аукција емисионих јединица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17.1.(а)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a detailed justification as referred to in Article 6(2) of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Србија није део EU-ETS и тако неможе имати средстава из аукција емисионих јединица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17.1.(б)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information on the use of revenues during the year X-1 generated by the Member State by auctioning allowances pursuant to Article 10(1) of Directive 2003/87/EC, including information on such revenue that has been used for one or more of the purposes specified in Article 10(3) of that Directive, or the equivalent in financial value of that revenue, and the actions taken pursuant to that Article;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Србија није део EU-ETS и тако неможе имати средстава из аукција емисионих јединица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17.1.(ц)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information on the use, as determined by the Member State, of all revenue generated by the Member State by auctioning aviation allowances pursuant to Article 3d(1) or (2) of Directive 2003/87/EC; that information shall be provided in accordance with Article 3d(4) of that Directive;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Србија није део EU-ETS и тако неможе имати средстава из аукција емисионих јединица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17.1.(д)</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 information referred to in point (b) of Article 6(1) of Decision No 406/2009/EC and information on how their purchasing policy enhances the achievement of an international agreement on climate change;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Србија није део EU-ETS и тако неможе имати средстава из аукција емисионих јединица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17.1.(е)</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 information regarding the application of Article 11b(6) of Directive 2003/87/EC as regards hydroelectric power production project activities with a generating capacity exceeding 20 MW.</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применљиво за Србију, Србија није део EU-ETS и тако неможе имати средстава из аукција емисионих јединица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17.2.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Auctioning revenue not disbursed at the time a Member State submits a report to the Commission pursuant to this Article shall be quantified and reported in reports for subsequent years.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lang w:val="sr-Cyrl-RS"/>
              </w:rPr>
            </w:pPr>
            <w:r w:rsidRPr="002002A4">
              <w:rPr>
                <w:rFonts w:ascii="Times New Roman" w:hAnsi="Times New Roman" w:cs="Times New Roman"/>
                <w:sz w:val="18"/>
                <w:szCs w:val="18"/>
                <w:lang w:val="sr-Cyrl-RS"/>
              </w:rPr>
              <w:t>Није применљиво за Србију, Србија није део EU-ETS и тако неможе имати средстава из аукција емисионих јединица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17.3.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3. Member States shall make available to the public the reports submitted to the Commission pursuant to this Article. The Commission shall make aggregate Union </w:t>
            </w:r>
            <w:r w:rsidRPr="002002A4">
              <w:rPr>
                <w:rFonts w:ascii="Times New Roman" w:hAnsi="Times New Roman" w:cs="Times New Roman"/>
                <w:sz w:val="18"/>
                <w:szCs w:val="18"/>
                <w:lang w:val="sr-Cyrl-RS"/>
              </w:rPr>
              <w:lastRenderedPageBreak/>
              <w:t>information available to the public in an easily accessible form.</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lang w:val="sr-Cyrl-RS"/>
              </w:rPr>
            </w:pPr>
            <w:r w:rsidRPr="002002A4">
              <w:rPr>
                <w:rFonts w:ascii="Times New Roman" w:hAnsi="Times New Roman" w:cs="Times New Roman"/>
                <w:sz w:val="18"/>
                <w:szCs w:val="18"/>
                <w:lang w:val="sr-Cyrl-RS"/>
              </w:rPr>
              <w:t xml:space="preserve">Није применљиво за Србију, Србија није део EU-ETS и тако неможе имати средстава из </w:t>
            </w:r>
            <w:r w:rsidRPr="002002A4">
              <w:rPr>
                <w:rFonts w:ascii="Times New Roman" w:hAnsi="Times New Roman" w:cs="Times New Roman"/>
                <w:sz w:val="18"/>
                <w:szCs w:val="18"/>
                <w:lang w:val="sr-Cyrl-RS"/>
              </w:rPr>
              <w:lastRenderedPageBreak/>
              <w:t>аукција емисионих јединица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17.4.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 The Commission shall adopt implementing acts to set out the structure, format and submission processes for Member States’ reporting of information pursuant to this Article. Those implementing acts shall be adopted in accordance with the examination procedure referred to in Article 26(2).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lang w:val="sr-Cyrl-RS"/>
              </w:rPr>
            </w:pPr>
            <w:r w:rsidRPr="002002A4">
              <w:rPr>
                <w:rFonts w:ascii="Times New Roman" w:hAnsi="Times New Roman" w:cs="Times New Roman"/>
                <w:sz w:val="18"/>
                <w:szCs w:val="18"/>
                <w:lang w:val="sr-Cyrl-RS"/>
              </w:rPr>
              <w:t>Није применљиво за Србију, Србија није део EU-ETS и тако неможе имати средстава из аукција емисионих јединица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18</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Biennial reports and national communications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18.1.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The Union and the Member States shall submit biennial reports in accordance with Decision 2/CP.17 of the Conference of the Parties to the UNFCCC (Decision 2/CP.17), or subsequent relevant decisions adopted by the bodies of the UNFCCC, and national communications in accordance with Article 12 of the UNFCCC to the UNFCCC Secretariat.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w:t>
            </w:r>
          </w:p>
          <w:p w:rsidR="00B3642C" w:rsidRPr="002002A4" w:rsidRDefault="00B3642C" w:rsidP="001F4CDB">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w:t>
            </w:r>
            <w:r w:rsidR="001F4CDB">
              <w:rPr>
                <w:rFonts w:ascii="Times New Roman" w:hAnsi="Times New Roman" w:cs="Times New Roman"/>
                <w:sz w:val="18"/>
                <w:szCs w:val="18"/>
                <w:lang w:val="sr-Cyrl-RS"/>
              </w:rPr>
              <w:t>5</w:t>
            </w:r>
            <w:bookmarkStart w:id="0" w:name="_GoBack"/>
            <w:bookmarkEnd w:id="0"/>
            <w:r w:rsidRPr="002002A4">
              <w:rPr>
                <w:rFonts w:ascii="Times New Roman" w:hAnsi="Times New Roman" w:cs="Times New Roman"/>
                <w:sz w:val="18"/>
                <w:szCs w:val="18"/>
                <w:lang w:val="sr-Cyrl-RS"/>
              </w:rPr>
              <w:t>.3</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both"/>
              <w:rPr>
                <w:rFonts w:ascii="Times New Roman" w:eastAsia="Times New Roman" w:hAnsi="Times New Roman" w:cs="Times New Roman"/>
                <w:color w:val="000000"/>
                <w:sz w:val="18"/>
                <w:szCs w:val="18"/>
                <w:lang w:val="sr-Cyrl-RS"/>
              </w:rPr>
            </w:pPr>
            <w:r w:rsidRPr="002002A4">
              <w:rPr>
                <w:rFonts w:ascii="Times New Roman" w:eastAsia="Times New Roman" w:hAnsi="Times New Roman" w:cs="Times New Roman"/>
                <w:color w:val="000000"/>
                <w:sz w:val="18"/>
                <w:szCs w:val="18"/>
                <w:lang w:val="sr-Cyrl-RS"/>
              </w:rPr>
              <w:t>Извештаје из става 1. овог члана Министарство ставља на увид јавности на својој интернет страници.</w:t>
            </w:r>
          </w:p>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Закон о ратификацији UNFCCC</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18.2.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Member States shall provide the Commission with copies of the national communications and biennial reports submitted to the UNFCCC Secretariat.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7</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4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UNION EXPERT REVIEW ON GREENHOUSE GAS EMISSIONS</w:t>
            </w:r>
          </w:p>
        </w:tc>
        <w:tc>
          <w:tcPr>
            <w:tcW w:w="3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3642C" w:rsidRPr="002002A4" w:rsidRDefault="00B3642C" w:rsidP="00B3642C">
            <w:pPr>
              <w:ind w:firstLine="21"/>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3642C" w:rsidRPr="002002A4" w:rsidRDefault="00B3642C" w:rsidP="00B3642C">
            <w:pPr>
              <w:jc w:val="center"/>
              <w:rPr>
                <w:rFonts w:ascii="Times New Roman" w:hAnsi="Times New Roman" w:cs="Times New Roman"/>
                <w:sz w:val="18"/>
                <w:szCs w:val="18"/>
                <w:lang w:val="sr-Cyrl-RS"/>
              </w:rPr>
            </w:pP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19</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Inventory review</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The Commission shall carry out a comprehensive review of the national inventory data submitted by Member States pursuant to Article 7(4) of this Regulation to determine the annual emission allocation provided in the fourth subparagraph of Article 3(2) of Decision No 406/2009/EC, for the application of Articles 20 and 27 of this Regulation and with a view to monitoring Member States’ achievement of their greenhouse gas emission reduction or limitation targets pursuant to Articles 3 and 7 of Decision No 406/2009/EC in the years when a comprehensive review is carried out.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2. Starting with the data reported for the year 2013, the Commission shall conduct an annual review of the national inventory data submitted by Member States pursuant to Article 7(1) of this Regulation that are </w:t>
            </w:r>
            <w:r w:rsidRPr="002002A4">
              <w:rPr>
                <w:rFonts w:ascii="Times New Roman" w:hAnsi="Times New Roman" w:cs="Times New Roman"/>
                <w:sz w:val="18"/>
                <w:szCs w:val="18"/>
                <w:lang w:val="sr-Cyrl-RS"/>
              </w:rPr>
              <w:lastRenderedPageBreak/>
              <w:t>relevant to monitor Member States’ greenhouse gas emission reduction or limitation pursuant to Articles 3 and 7 of Decision No 406/2009/EC, and any other greenhouse gas emission reduction or limitation targets set out in Union legislation. Member States shall participate fully in that process.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19.3.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The comprehensive review referred to in paragraph 1 shall involve: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19.3.(а)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checks to verify the transparency, accuracy, consistency, comparability and completeness of information submitted;</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19.3.(б)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checks to identify cases where inventory data is prepared in a manner which is inconsistent with UNFCCC guidance documentation or Union rules; and</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19.3.(ц)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where appropriate, calculating the resulting technical corrections necessary, in consultation with the Member States.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 The annual reviews shall involve the checks set out in point (a) of paragraph 3. Where requested by a Member State in consultation with the Commission or where those checks identify significant issues, such as: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19.4.(а)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recommendations from earlier Union or UNFCCC reviews which have not been implemented, or questions that have not been explained by a Member State; or</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19.4.(б)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overestimations or underestimations relating to a key category in a Member State’s inventory,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19.4.1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the annual review for the Member State concerned shall also involve the checks set out in point (b) of paragraph 3 in order for the calculations set out in point (c) of paragraph 3 to be carried out.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 The Commission shall adopt implementing acts to determine the timing and steps for the conduct of the comprehensive review and annual review referred to in paragraphs 1 and 2 respectively of this Article, including the tasks set out in paragraphs 3 and 4 of this Article and ensuring due consultation of the Member States with regard to the conclusions of the reviews. Those implementing acts shall be adopted in accordance with the examination procedure referred to in Article 26(2).</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19.6.</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6. The Commission shall, by means of an implementing act, determine the total sum of emissions for the relevant year arising from the corrected inventory data for each Member State upon completion of the relevant review.</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19.7.</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7. The data for each Member State as recorded in the registries set up pursuant to Article 11 of Decision No 406/ 2009/EC and Article 19 of Directive 2003/87/EC as at the date falling four months from the date of publication of an implementing act adopted pursuant to paragraph 6 of this Article, shall be relevant for the application of Article 7(1) of Decision No 406/2009/EC. This includes changes to such data arising as a result of that Member State making use of the flexibilities by that Member State pursuant to Articles 3 and 5 of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20</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Addressing the effects of recalculations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20.1.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When the comprehensive review of inventory data relating to the year 2020 has been completed pursuant to Article 19, the Commission shall calculate, in accordance with the formula set out in Annex II, the sum of the effects of the recalculated greenhouse gas emissions for each Member State.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20.2.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Without prejudice to Article 27(2) of this Regulation, the Commission shall use, inter alia, the sum referred to in paragraph 1 of this Article when proposing the targets for emission reductions or limitations for each Member State for the period after 2020 pursuant to Article 14 of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20.3.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The Commission shall forthwith publish the results of calculations made pursuant to paragraph 1.</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8</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REPORTING ON PROGRESS TOWARDS UNION AND INTERNATIONAL COMMITMENTS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Reporting on progress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21.1.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1. The Commission shall annually assess, based on information reported under this Regulation, and in consultation with the Member States, the progress made by the Union and its Member States to meet the following, with a view to determining whether sufficient </w:t>
            </w:r>
            <w:r w:rsidRPr="002002A4">
              <w:rPr>
                <w:rFonts w:ascii="Times New Roman" w:hAnsi="Times New Roman" w:cs="Times New Roman"/>
                <w:sz w:val="18"/>
                <w:szCs w:val="18"/>
                <w:lang w:val="sr-Cyrl-RS"/>
              </w:rPr>
              <w:lastRenderedPageBreak/>
              <w:t>progress has been made: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21.1.(а)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commitments under Article 4 of the UNFCCC and Article 3 of the Kyoto Protocol as further set out in decisions adopted by the Conference of the Parties to the UNFCCC, or by the Conference of the Parties to the UNFCCC serving as the meeting of the Parties to the Kyoto Protocol. Such assessment shall be based on the information reported in accordance with Articles 7, 8, 10 and 13 to 17;</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21.1.(б)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obligations set out in Article 3 of Decision No 406/ 2009/EC. Such assessment shall be based on the information reported in accordance with Articles 7, 8, 13 and 14.</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21.2.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The Commission shall biennially assess aviation’s overall impact on the global climate including through non-CO2 emissions or effects, based on the emission data provided by Member States pursuant to Article 7, and improve that assessment by reference to scientific advancements and air traffic data, as appropriate.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21.3.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3. By 31 October each year, the Commission shall submit a report summarising the conclusions of the assessments provided for in paragraphs 1 and 2 to the European Parliament and to the Council.</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Report on the additional period for fulfilling commitments under the Kyoto Protocol</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The Union and each Member State shall submit a report to the UNFCCC Secretariat on the additional period for fulfilling commitments referred to in paragraph 3 of Decision 13/CMP.1 upon the expiry of that period.</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9</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COOPERATION AND SUPPORT</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Cooperation between the Member States and the Union</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Member States and the Union shall cooperate and coordinate fully with each other in relation to obligations under this Regulation concerning:</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23..(а)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compiling the Union greenhouse gas inventory and preparing the Union greenhouse gas inventory report, pursuant to Article 7(5);</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23..(б)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preparing the Union national communication pursuant to Article 12 of the UNFCCC and the Union biennial report pursuant to Decision 2/CP.17 or subsequent relevant decisions adopted by the bodies of the UNFCCC;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23..(ц)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review and compliance procedures under the UNFCCC and the Kyoto Protocol in accordance with any applicable decision under the UNFCCC or the Kyoto Protocol as well as the Union’s procedure to review Member States greenhouse gas inventories referred to in Article 19 of this Regulation;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23..(д)</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 any adjustments pursuant to Article 5(2) of the Kyoto Protocol or following the Union review process referred to in Article 19 of this Regulation or other changes to inventories and inventory reports submitted, or to be submitted, to the UNFCCC Secretariat;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23..(е)</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 compiling the Union approximated greenhouse gas inventory, pursuant to Article 8;</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23..(ф)</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(f) reporting in relation to the retirement of AAUs, RMUs, ERUs, CERs, tCERs and lCERs, after the additional period referred to in paragraph 14 of Decision 13/CMP.1 for fulfilling commitments pursuant to Article 3(1) of the Kyoto Protocol.</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Role of the European Environment Agency</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The European Environment Agency shall assist the Commission in its work to comply with Articles 6 to 9, 12 to 19, 21 and 22 in accordance with its annual work programme. This shall include assistance with:</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24..(а)</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 compiling the Union greenhouse gas inventory and preparing the Union greenhouse gas inventory report;</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24..(б)</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(b) performing quality assurance and quality control procedures to prepare the Union greenhouse gas inventory;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24..(ц)</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 preparing estimates for data not reported in the national greenhouse gas inventories;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24..(д)</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 conducting the reviews;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24..(е)</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 compiling the Union approximated greenhouse gas inventory;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24..(ф)</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(f) compiling the information reported by Member States on policies and measures and projections;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24..(г)</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(g) performing quality assurance and quality control procedures on the information reported by Member States on projections and policies and measures;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24..(х)</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(h) preparing estimates for data on projections not reported by the Member States;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24..(и)</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(i) compiling data as required for the annual report to the European Parliament and the Council prepared by the Commission;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24..(ј)</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(j) disseminating information collected under this Regulation, including maintaining and updating a database on Member States’ mitigation policies and measures and the European Climate Adaptation Platform relating to impacts, vulnerabilities and adaptation to climate change.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10</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DELEGATION</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Exercise of the delegation</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25.1.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The power to adopt delegated acts is conferred on the Commission subject to the conditions laid down in this Article.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25.2.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The power to adopt delegated acts referred to in Articles 6, 7 and 10 shall be conferred on the Commission for a period of five years from 8 July 2013.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extension not later than three months before the end of each period.</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25.3.</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3.   The delegation of power referred to in Articles 6, 7 and 10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 or at a later date specified therein. It </w:t>
            </w:r>
            <w:r w:rsidRPr="002002A4">
              <w:rPr>
                <w:rFonts w:ascii="Times New Roman" w:hAnsi="Times New Roman" w:cs="Times New Roman"/>
                <w:sz w:val="18"/>
                <w:szCs w:val="18"/>
                <w:lang w:val="sr-Cyrl-RS"/>
              </w:rPr>
              <w:lastRenderedPageBreak/>
              <w:t>shall not affect the validity of any delegated acts already in force.</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25.4.</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4.   As soon as it adopts a delegated act, the Commission shall notify it simultaneously to the European Parliament and to the Council.</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25.5.</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5.   A delegated act adopted pursuant to Articles 6, 7 and 10 shall enter into force only if no objection has been expressed either by the European Parliament or the Council within a period of three months of notification of that act to the European Parliament and the Council or if, before the expiry of that period, the European Parliament and the Council have both informed the Commission that they will not object. That period shall be extended by three months at the initiative of the European Parliament or of the Council.</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CHAPTER 11</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FINAL PROVISIONS</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26</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Committee procedure</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5"/>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26.1.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The Commission shall be assisted by a Climate Change Committee. That Committee shall be a committee within the meaning of Regulation (EU) No 182/2011.</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26.2.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   Where reference is made to this paragraph, Article 5 of Regulation (EU) No 182/2011 shall apply.</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27</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Review</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5"/>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27.1.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1.   The Commission shall regularly review the conformity of the monitoring and reporting provisions under this Regulation with future decisions relating to the UNFCCC and the Kyoto Protocol or other Union legislation. The Commission shall also regularly assess whether developments within the framework of the UNFCCC give rise to a situation where the obligations pursuant to this Regulation are no longer necessary, not proportionate to the corresponding benefits, need adjusting or are not consistent with, or are duplicative of, reporting requirements under the UNFCCC, and shall submit, if appropriate, a legislative proposal to the European Parliament and to the Council.</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27.2.</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2.   By December 2016, the Commission shall examine if </w:t>
            </w:r>
            <w:r w:rsidRPr="002002A4">
              <w:rPr>
                <w:rFonts w:ascii="Times New Roman" w:hAnsi="Times New Roman" w:cs="Times New Roman"/>
                <w:sz w:val="18"/>
                <w:szCs w:val="18"/>
                <w:lang w:val="sr-Cyrl-RS"/>
              </w:rPr>
              <w:lastRenderedPageBreak/>
              <w:t>the impact of the use of the 2006 IPCC guidelines for National Greenhouse Gas Inventories, or a significant change to UNFCCC methodologies used, in determining the greenhouse gas inventories leads to a difference of more than 1 % in a Member State’s total greenhouse gas emissions relevant for Article 3 of Decision No 406/2009/EC and may revise Member States’ annual emissions allocations as provided in the fourth subparagraph of Article 3(2) of Decision No 406/2009/EC.</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lastRenderedPageBreak/>
              <w:t>Арт. 28</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Repeal</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5"/>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28</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Decision No 280/2004/EC is hereby repealed. References to the repealed Decision shall be construed as references to this Regulation and shall be read in accordance with the correlation table in Annex IV.</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Арт. 29</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Entry into force</w:t>
            </w:r>
          </w:p>
        </w:tc>
        <w:tc>
          <w:tcPr>
            <w:tcW w:w="332"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ind w:firstLine="5"/>
              <w:jc w:val="center"/>
              <w:rPr>
                <w:rFonts w:ascii="Times New Roman" w:hAnsi="Times New Roman" w:cs="Times New Roman"/>
                <w:sz w:val="18"/>
                <w:szCs w:val="18"/>
                <w:lang w:val="sr-Cyrl-RS"/>
              </w:rPr>
            </w:pPr>
          </w:p>
        </w:tc>
        <w:tc>
          <w:tcPr>
            <w:tcW w:w="857"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p>
        </w:tc>
        <w:tc>
          <w:tcPr>
            <w:tcW w:w="421" w:type="pct"/>
            <w:tcBorders>
              <w:top w:val="single" w:sz="4" w:space="0" w:color="auto"/>
              <w:left w:val="single" w:sz="4" w:space="0" w:color="auto"/>
              <w:bottom w:val="single" w:sz="4" w:space="0" w:color="auto"/>
              <w:right w:val="single" w:sz="4" w:space="0" w:color="auto"/>
            </w:tcBorders>
            <w:shd w:val="clear" w:color="000000"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29.1.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This Regulation shall enter into force on the twentieth day following that of its publication in the Official Journal of the European Union.</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29.1.1.</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This Regulation shall be binding in its entirety and directly applicable in all Member States.</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5"/>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АННЕX И</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ANNEX I</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Потпуна усклађеност биће постигнута објављивањем Правилника о извештавању о емисијама гасова са ефектом стаклене баште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03. </w:t>
            </w:r>
          </w:p>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Прилог I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АННЕX II</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ANNEX II</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АННЕX IIИ</w:t>
            </w:r>
          </w:p>
        </w:tc>
        <w:tc>
          <w:tcPr>
            <w:tcW w:w="1425" w:type="pct"/>
            <w:tcBorders>
              <w:top w:val="single" w:sz="4" w:space="0" w:color="auto"/>
              <w:left w:val="single" w:sz="4" w:space="0" w:color="auto"/>
              <w:bottom w:val="single" w:sz="4" w:space="0" w:color="auto"/>
              <w:right w:val="single" w:sz="4" w:space="0" w:color="auto"/>
            </w:tcBorders>
            <w:shd w:val="clear" w:color="auto" w:fill="D9D9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ANNEX III: LIST OF ANNUAL INDICATORS </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НУ</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 Потпуна усклађеност биће постигнута објављивањем Правилника о извештавању о емисијама гасова са ефектом стаклене баште </w:t>
            </w:r>
          </w:p>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03. </w:t>
            </w:r>
          </w:p>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Прилог II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r w:rsidR="00B3642C" w:rsidRPr="002002A4" w:rsidTr="00655855">
        <w:trPr>
          <w:jc w:val="center"/>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АННЕX ИВ </w:t>
            </w:r>
          </w:p>
        </w:tc>
        <w:tc>
          <w:tcPr>
            <w:tcW w:w="14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xml:space="preserve">ANNEX IV: CORRELATION TABLE </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НП</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ind w:firstLine="21"/>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Није прменљиво за Србију </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B3642C" w:rsidRPr="002002A4" w:rsidRDefault="00B3642C" w:rsidP="00B3642C">
            <w:pPr>
              <w:jc w:val="center"/>
              <w:rPr>
                <w:rFonts w:ascii="Times New Roman" w:hAnsi="Times New Roman" w:cs="Times New Roman"/>
                <w:sz w:val="18"/>
                <w:szCs w:val="18"/>
                <w:lang w:val="sr-Cyrl-RS"/>
              </w:rPr>
            </w:pPr>
            <w:r w:rsidRPr="002002A4">
              <w:rPr>
                <w:rFonts w:ascii="Times New Roman" w:hAnsi="Times New Roman" w:cs="Times New Roman"/>
                <w:sz w:val="18"/>
                <w:szCs w:val="18"/>
                <w:lang w:val="sr-Cyrl-RS"/>
              </w:rPr>
              <w:t> </w:t>
            </w:r>
          </w:p>
        </w:tc>
      </w:tr>
    </w:tbl>
    <w:p w:rsidR="00215A1A" w:rsidRPr="002002A4" w:rsidRDefault="00215A1A">
      <w:pPr>
        <w:rPr>
          <w:lang w:val="sr-Cyrl-RS"/>
        </w:rPr>
      </w:pPr>
    </w:p>
    <w:p w:rsidR="00CC6EB1" w:rsidRPr="002002A4" w:rsidRDefault="00CC6EB1">
      <w:pPr>
        <w:rPr>
          <w:lang w:val="sr-Cyrl-RS"/>
        </w:rPr>
      </w:pPr>
    </w:p>
    <w:p w:rsidR="00ED14C4" w:rsidRPr="002002A4" w:rsidRDefault="00ED14C4">
      <w:pPr>
        <w:rPr>
          <w:lang w:val="sr-Cyrl-RS"/>
        </w:rPr>
      </w:pPr>
    </w:p>
    <w:sectPr w:rsidR="00ED14C4" w:rsidRPr="002002A4" w:rsidSect="00842B30">
      <w:footerReference w:type="default" r:id="rId8"/>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2D6" w:rsidRDefault="002D52D6">
      <w:r>
        <w:separator/>
      </w:r>
    </w:p>
  </w:endnote>
  <w:endnote w:type="continuationSeparator" w:id="0">
    <w:p w:rsidR="002D52D6" w:rsidRDefault="002D5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818438"/>
      <w:docPartObj>
        <w:docPartGallery w:val="Page Numbers (Bottom of Page)"/>
        <w:docPartUnique/>
      </w:docPartObj>
    </w:sdtPr>
    <w:sdtEndPr>
      <w:rPr>
        <w:noProof/>
      </w:rPr>
    </w:sdtEndPr>
    <w:sdtContent>
      <w:p w:rsidR="001B3A6B" w:rsidRDefault="001B3A6B">
        <w:pPr>
          <w:pStyle w:val="Footer"/>
          <w:jc w:val="right"/>
        </w:pPr>
        <w:r>
          <w:fldChar w:fldCharType="begin"/>
        </w:r>
        <w:r>
          <w:instrText xml:space="preserve"> PAGE   \* MERGEFORMAT </w:instrText>
        </w:r>
        <w:r>
          <w:fldChar w:fldCharType="separate"/>
        </w:r>
        <w:r w:rsidR="001F4CDB">
          <w:rPr>
            <w:noProof/>
          </w:rPr>
          <w:t>29</w:t>
        </w:r>
        <w:r>
          <w:rPr>
            <w:noProof/>
          </w:rPr>
          <w:fldChar w:fldCharType="end"/>
        </w:r>
      </w:p>
    </w:sdtContent>
  </w:sdt>
  <w:p w:rsidR="001B3A6B" w:rsidRDefault="001B3A6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2D6" w:rsidRDefault="002D52D6">
      <w:r>
        <w:separator/>
      </w:r>
    </w:p>
  </w:footnote>
  <w:footnote w:type="continuationSeparator" w:id="0">
    <w:p w:rsidR="002D52D6" w:rsidRDefault="002D52D6">
      <w:r>
        <w:continuationSeparator/>
      </w:r>
    </w:p>
  </w:footnote>
  <w:footnote w:id="1">
    <w:p w:rsidR="001B3A6B" w:rsidRPr="003025F1" w:rsidRDefault="001B3A6B">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A6A51"/>
    <w:multiLevelType w:val="hybridMultilevel"/>
    <w:tmpl w:val="5950B626"/>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1CCD1FF7"/>
    <w:multiLevelType w:val="hybridMultilevel"/>
    <w:tmpl w:val="3C46AC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7A3818"/>
    <w:multiLevelType w:val="multilevel"/>
    <w:tmpl w:val="51B64AF4"/>
    <w:lvl w:ilvl="0">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 w15:restartNumberingAfterBreak="0">
    <w:nsid w:val="5F476F77"/>
    <w:multiLevelType w:val="hybridMultilevel"/>
    <w:tmpl w:val="C8FE644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6BA14CD5"/>
    <w:multiLevelType w:val="hybridMultilevel"/>
    <w:tmpl w:val="B50AF0F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7E166A8E"/>
    <w:multiLevelType w:val="hybridMultilevel"/>
    <w:tmpl w:val="26F63948"/>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3843"/>
    <w:rsid w:val="00004545"/>
    <w:rsid w:val="00005C94"/>
    <w:rsid w:val="0001005F"/>
    <w:rsid w:val="00010E11"/>
    <w:rsid w:val="00014749"/>
    <w:rsid w:val="000165CF"/>
    <w:rsid w:val="000337D3"/>
    <w:rsid w:val="000525B8"/>
    <w:rsid w:val="000549F4"/>
    <w:rsid w:val="00056838"/>
    <w:rsid w:val="00077DD3"/>
    <w:rsid w:val="000811FE"/>
    <w:rsid w:val="000A4C82"/>
    <w:rsid w:val="000B298B"/>
    <w:rsid w:val="000C0332"/>
    <w:rsid w:val="000C5E5B"/>
    <w:rsid w:val="000D464A"/>
    <w:rsid w:val="000D6398"/>
    <w:rsid w:val="000F2D8E"/>
    <w:rsid w:val="00106671"/>
    <w:rsid w:val="001237EF"/>
    <w:rsid w:val="00124908"/>
    <w:rsid w:val="0013707F"/>
    <w:rsid w:val="0014175D"/>
    <w:rsid w:val="00153F67"/>
    <w:rsid w:val="00156CC5"/>
    <w:rsid w:val="00162AEE"/>
    <w:rsid w:val="001632E8"/>
    <w:rsid w:val="00170DD4"/>
    <w:rsid w:val="00193EFF"/>
    <w:rsid w:val="001B3A6B"/>
    <w:rsid w:val="001B680C"/>
    <w:rsid w:val="001C5E8D"/>
    <w:rsid w:val="001D0B2A"/>
    <w:rsid w:val="001D6AC4"/>
    <w:rsid w:val="001F4CDB"/>
    <w:rsid w:val="001F7341"/>
    <w:rsid w:val="002002A4"/>
    <w:rsid w:val="00206023"/>
    <w:rsid w:val="00206BD4"/>
    <w:rsid w:val="002136CF"/>
    <w:rsid w:val="00215A1A"/>
    <w:rsid w:val="00224768"/>
    <w:rsid w:val="00225C0A"/>
    <w:rsid w:val="00244C80"/>
    <w:rsid w:val="00245C16"/>
    <w:rsid w:val="0025042A"/>
    <w:rsid w:val="00267231"/>
    <w:rsid w:val="002C19FD"/>
    <w:rsid w:val="002D1B06"/>
    <w:rsid w:val="002D3D70"/>
    <w:rsid w:val="002D52D6"/>
    <w:rsid w:val="002E4B72"/>
    <w:rsid w:val="00300BB6"/>
    <w:rsid w:val="003025F1"/>
    <w:rsid w:val="003155C8"/>
    <w:rsid w:val="00316F74"/>
    <w:rsid w:val="00340B14"/>
    <w:rsid w:val="00362E9B"/>
    <w:rsid w:val="00381C30"/>
    <w:rsid w:val="003A5774"/>
    <w:rsid w:val="003B066A"/>
    <w:rsid w:val="003B7050"/>
    <w:rsid w:val="003D3C6D"/>
    <w:rsid w:val="003E1138"/>
    <w:rsid w:val="003E69B2"/>
    <w:rsid w:val="00404EDF"/>
    <w:rsid w:val="0042255D"/>
    <w:rsid w:val="00443370"/>
    <w:rsid w:val="0044371E"/>
    <w:rsid w:val="004635F6"/>
    <w:rsid w:val="00470036"/>
    <w:rsid w:val="004926DE"/>
    <w:rsid w:val="004A7F8E"/>
    <w:rsid w:val="004C7E31"/>
    <w:rsid w:val="004D47A5"/>
    <w:rsid w:val="004D4AD2"/>
    <w:rsid w:val="004E460E"/>
    <w:rsid w:val="004F4A3D"/>
    <w:rsid w:val="00500907"/>
    <w:rsid w:val="00504753"/>
    <w:rsid w:val="00504E33"/>
    <w:rsid w:val="005057F3"/>
    <w:rsid w:val="00530B7B"/>
    <w:rsid w:val="005800BE"/>
    <w:rsid w:val="00583EDF"/>
    <w:rsid w:val="005A0423"/>
    <w:rsid w:val="005A6DBD"/>
    <w:rsid w:val="005A7A2D"/>
    <w:rsid w:val="005B0C41"/>
    <w:rsid w:val="005B3611"/>
    <w:rsid w:val="005C25B8"/>
    <w:rsid w:val="005D3875"/>
    <w:rsid w:val="005E2013"/>
    <w:rsid w:val="00602FA1"/>
    <w:rsid w:val="0062197C"/>
    <w:rsid w:val="006259D0"/>
    <w:rsid w:val="0064043A"/>
    <w:rsid w:val="00643CA0"/>
    <w:rsid w:val="006454F2"/>
    <w:rsid w:val="00645CC2"/>
    <w:rsid w:val="00655855"/>
    <w:rsid w:val="00655E03"/>
    <w:rsid w:val="006D2D07"/>
    <w:rsid w:val="006E29D9"/>
    <w:rsid w:val="0072109B"/>
    <w:rsid w:val="007235F1"/>
    <w:rsid w:val="00725D32"/>
    <w:rsid w:val="00730E8E"/>
    <w:rsid w:val="007525F7"/>
    <w:rsid w:val="007765EF"/>
    <w:rsid w:val="007A2084"/>
    <w:rsid w:val="007A224F"/>
    <w:rsid w:val="007C6BFD"/>
    <w:rsid w:val="007E0C03"/>
    <w:rsid w:val="007E1FB8"/>
    <w:rsid w:val="0081430F"/>
    <w:rsid w:val="008222F4"/>
    <w:rsid w:val="00826441"/>
    <w:rsid w:val="00842B30"/>
    <w:rsid w:val="00850BDD"/>
    <w:rsid w:val="00852906"/>
    <w:rsid w:val="00863087"/>
    <w:rsid w:val="008972E0"/>
    <w:rsid w:val="008C0191"/>
    <w:rsid w:val="008E2987"/>
    <w:rsid w:val="008E314D"/>
    <w:rsid w:val="008F053C"/>
    <w:rsid w:val="008F1CF4"/>
    <w:rsid w:val="008F3A2B"/>
    <w:rsid w:val="00900F91"/>
    <w:rsid w:val="00913DF6"/>
    <w:rsid w:val="00920577"/>
    <w:rsid w:val="00921FE6"/>
    <w:rsid w:val="00926BCF"/>
    <w:rsid w:val="00931344"/>
    <w:rsid w:val="00936C46"/>
    <w:rsid w:val="0094331C"/>
    <w:rsid w:val="00945661"/>
    <w:rsid w:val="0094618F"/>
    <w:rsid w:val="00954AAC"/>
    <w:rsid w:val="00962798"/>
    <w:rsid w:val="0096286D"/>
    <w:rsid w:val="00987869"/>
    <w:rsid w:val="009A4B0D"/>
    <w:rsid w:val="009B2679"/>
    <w:rsid w:val="009C55CF"/>
    <w:rsid w:val="009E0B9D"/>
    <w:rsid w:val="009E28D0"/>
    <w:rsid w:val="009E3CD5"/>
    <w:rsid w:val="009E48F9"/>
    <w:rsid w:val="009F6A11"/>
    <w:rsid w:val="009F6A2E"/>
    <w:rsid w:val="00A003A8"/>
    <w:rsid w:val="00A00B57"/>
    <w:rsid w:val="00A04E26"/>
    <w:rsid w:val="00A31869"/>
    <w:rsid w:val="00A43A6D"/>
    <w:rsid w:val="00A513E9"/>
    <w:rsid w:val="00A6053E"/>
    <w:rsid w:val="00A612B2"/>
    <w:rsid w:val="00A70F74"/>
    <w:rsid w:val="00A76505"/>
    <w:rsid w:val="00A77C1F"/>
    <w:rsid w:val="00A90F52"/>
    <w:rsid w:val="00A91F7A"/>
    <w:rsid w:val="00AD0B0A"/>
    <w:rsid w:val="00B050C9"/>
    <w:rsid w:val="00B10DC6"/>
    <w:rsid w:val="00B14AF6"/>
    <w:rsid w:val="00B2437D"/>
    <w:rsid w:val="00B27473"/>
    <w:rsid w:val="00B3642C"/>
    <w:rsid w:val="00B42911"/>
    <w:rsid w:val="00B56C36"/>
    <w:rsid w:val="00B80959"/>
    <w:rsid w:val="00BA2732"/>
    <w:rsid w:val="00BD6C5D"/>
    <w:rsid w:val="00BF4D4C"/>
    <w:rsid w:val="00C10708"/>
    <w:rsid w:val="00C134FB"/>
    <w:rsid w:val="00C15AC8"/>
    <w:rsid w:val="00C472C6"/>
    <w:rsid w:val="00C526B9"/>
    <w:rsid w:val="00C6644D"/>
    <w:rsid w:val="00C723DB"/>
    <w:rsid w:val="00C8052B"/>
    <w:rsid w:val="00CC3297"/>
    <w:rsid w:val="00CC6EB1"/>
    <w:rsid w:val="00CD0BD2"/>
    <w:rsid w:val="00CD21C8"/>
    <w:rsid w:val="00CE077E"/>
    <w:rsid w:val="00CF0723"/>
    <w:rsid w:val="00CF75B2"/>
    <w:rsid w:val="00D156E7"/>
    <w:rsid w:val="00D16416"/>
    <w:rsid w:val="00D2173B"/>
    <w:rsid w:val="00D336DF"/>
    <w:rsid w:val="00D40ADD"/>
    <w:rsid w:val="00D64DBD"/>
    <w:rsid w:val="00D665FB"/>
    <w:rsid w:val="00D75C7E"/>
    <w:rsid w:val="00D96BF4"/>
    <w:rsid w:val="00DB0E17"/>
    <w:rsid w:val="00DB2DA8"/>
    <w:rsid w:val="00DC1521"/>
    <w:rsid w:val="00DC6F0B"/>
    <w:rsid w:val="00DD0505"/>
    <w:rsid w:val="00DD4EEE"/>
    <w:rsid w:val="00DE05CB"/>
    <w:rsid w:val="00DF3654"/>
    <w:rsid w:val="00E61E06"/>
    <w:rsid w:val="00E6705D"/>
    <w:rsid w:val="00E8693E"/>
    <w:rsid w:val="00E978E7"/>
    <w:rsid w:val="00EB685C"/>
    <w:rsid w:val="00EC394A"/>
    <w:rsid w:val="00ED14C4"/>
    <w:rsid w:val="00ED72A7"/>
    <w:rsid w:val="00EE0AE4"/>
    <w:rsid w:val="00F103FA"/>
    <w:rsid w:val="00F237F2"/>
    <w:rsid w:val="00F273B5"/>
    <w:rsid w:val="00F3767C"/>
    <w:rsid w:val="00F54319"/>
    <w:rsid w:val="00F57C7F"/>
    <w:rsid w:val="00F643E5"/>
    <w:rsid w:val="00F853E6"/>
    <w:rsid w:val="00F86F70"/>
    <w:rsid w:val="00F93349"/>
    <w:rsid w:val="00FA0199"/>
    <w:rsid w:val="00FA590C"/>
    <w:rsid w:val="00FC7DFF"/>
    <w:rsid w:val="00FD1842"/>
    <w:rsid w:val="00FD7263"/>
    <w:rsid w:val="00FE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8F58D0"/>
  <w15:docId w15:val="{A8FE7F90-ADA0-4BAB-92B0-A3798220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42A"/>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styleId="CommentReference">
    <w:name w:val="annotation reference"/>
    <w:basedOn w:val="DefaultParagraphFont"/>
    <w:uiPriority w:val="99"/>
    <w:rsid w:val="000D6398"/>
    <w:rPr>
      <w:sz w:val="16"/>
      <w:szCs w:val="16"/>
    </w:rPr>
  </w:style>
  <w:style w:type="paragraph" w:styleId="CommentText">
    <w:name w:val="annotation text"/>
    <w:basedOn w:val="Normal"/>
    <w:link w:val="CommentTextChar"/>
    <w:uiPriority w:val="99"/>
    <w:rsid w:val="000D6398"/>
    <w:rPr>
      <w:sz w:val="20"/>
      <w:szCs w:val="20"/>
    </w:rPr>
  </w:style>
  <w:style w:type="character" w:customStyle="1" w:styleId="CommentTextChar">
    <w:name w:val="Comment Text Char"/>
    <w:basedOn w:val="DefaultParagraphFont"/>
    <w:link w:val="CommentText"/>
    <w:uiPriority w:val="99"/>
    <w:rsid w:val="000D6398"/>
    <w:rPr>
      <w:rFonts w:ascii="Arial" w:eastAsia="Calibri" w:hAnsi="Arial" w:cs="Arial"/>
    </w:rPr>
  </w:style>
  <w:style w:type="paragraph" w:styleId="CommentSubject">
    <w:name w:val="annotation subject"/>
    <w:basedOn w:val="CommentText"/>
    <w:next w:val="CommentText"/>
    <w:link w:val="CommentSubjectChar"/>
    <w:rsid w:val="000D6398"/>
    <w:rPr>
      <w:b/>
      <w:bCs/>
    </w:rPr>
  </w:style>
  <w:style w:type="character" w:customStyle="1" w:styleId="CommentSubjectChar">
    <w:name w:val="Comment Subject Char"/>
    <w:basedOn w:val="CommentTextChar"/>
    <w:link w:val="CommentSubject"/>
    <w:rsid w:val="000D6398"/>
    <w:rPr>
      <w:rFonts w:ascii="Arial" w:eastAsia="Calibri" w:hAnsi="Arial" w:cs="Arial"/>
      <w:b/>
      <w:bCs/>
    </w:rPr>
  </w:style>
  <w:style w:type="paragraph" w:customStyle="1" w:styleId="doc-ti">
    <w:name w:val="doc-ti"/>
    <w:basedOn w:val="Normal"/>
    <w:rsid w:val="00962798"/>
    <w:pPr>
      <w:spacing w:before="100" w:beforeAutospacing="1" w:after="100" w:afterAutospacing="1"/>
    </w:pPr>
    <w:rPr>
      <w:rFonts w:ascii="Times New Roman" w:eastAsia="Times New Roman" w:hAnsi="Times New Roman" w:cs="Times New Roman"/>
      <w:sz w:val="24"/>
      <w:szCs w:val="24"/>
      <w:lang w:val="sr-Latn-RS" w:eastAsia="sr-Latn-RS"/>
    </w:rPr>
  </w:style>
  <w:style w:type="paragraph" w:styleId="ListParagraph">
    <w:name w:val="List Paragraph"/>
    <w:basedOn w:val="Normal"/>
    <w:uiPriority w:val="34"/>
    <w:qFormat/>
    <w:rsid w:val="00504753"/>
    <w:pPr>
      <w:ind w:left="720"/>
      <w:contextualSpacing/>
    </w:pPr>
  </w:style>
  <w:style w:type="paragraph" w:styleId="Header">
    <w:name w:val="header"/>
    <w:basedOn w:val="Normal"/>
    <w:link w:val="HeaderChar"/>
    <w:unhideWhenUsed/>
    <w:rsid w:val="00842B30"/>
    <w:pPr>
      <w:tabs>
        <w:tab w:val="center" w:pos="4680"/>
        <w:tab w:val="right" w:pos="9360"/>
      </w:tabs>
    </w:pPr>
  </w:style>
  <w:style w:type="character" w:customStyle="1" w:styleId="HeaderChar">
    <w:name w:val="Header Char"/>
    <w:basedOn w:val="DefaultParagraphFont"/>
    <w:link w:val="Header"/>
    <w:rsid w:val="00842B30"/>
    <w:rPr>
      <w:rFonts w:ascii="Arial" w:eastAsia="Calibri" w:hAnsi="Arial" w:cs="Arial"/>
      <w:sz w:val="22"/>
      <w:szCs w:val="22"/>
    </w:rPr>
  </w:style>
  <w:style w:type="paragraph" w:styleId="Footer">
    <w:name w:val="footer"/>
    <w:basedOn w:val="Normal"/>
    <w:link w:val="FooterChar"/>
    <w:uiPriority w:val="99"/>
    <w:unhideWhenUsed/>
    <w:rsid w:val="00842B30"/>
    <w:pPr>
      <w:tabs>
        <w:tab w:val="center" w:pos="4680"/>
        <w:tab w:val="right" w:pos="9360"/>
      </w:tabs>
    </w:pPr>
  </w:style>
  <w:style w:type="character" w:customStyle="1" w:styleId="FooterChar">
    <w:name w:val="Footer Char"/>
    <w:basedOn w:val="DefaultParagraphFont"/>
    <w:link w:val="Footer"/>
    <w:uiPriority w:val="99"/>
    <w:rsid w:val="00842B30"/>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226155">
      <w:bodyDiv w:val="1"/>
      <w:marLeft w:val="0"/>
      <w:marRight w:val="0"/>
      <w:marTop w:val="0"/>
      <w:marBottom w:val="0"/>
      <w:divBdr>
        <w:top w:val="none" w:sz="0" w:space="0" w:color="auto"/>
        <w:left w:val="none" w:sz="0" w:space="0" w:color="auto"/>
        <w:bottom w:val="none" w:sz="0" w:space="0" w:color="auto"/>
        <w:right w:val="none" w:sz="0" w:space="0" w:color="auto"/>
      </w:divBdr>
    </w:div>
    <w:div w:id="584917728">
      <w:bodyDiv w:val="1"/>
      <w:marLeft w:val="0"/>
      <w:marRight w:val="0"/>
      <w:marTop w:val="0"/>
      <w:marBottom w:val="0"/>
      <w:divBdr>
        <w:top w:val="none" w:sz="0" w:space="0" w:color="auto"/>
        <w:left w:val="none" w:sz="0" w:space="0" w:color="auto"/>
        <w:bottom w:val="none" w:sz="0" w:space="0" w:color="auto"/>
        <w:right w:val="none" w:sz="0" w:space="0" w:color="auto"/>
      </w:divBdr>
    </w:div>
    <w:div w:id="1375305389">
      <w:bodyDiv w:val="1"/>
      <w:marLeft w:val="0"/>
      <w:marRight w:val="0"/>
      <w:marTop w:val="0"/>
      <w:marBottom w:val="0"/>
      <w:divBdr>
        <w:top w:val="none" w:sz="0" w:space="0" w:color="auto"/>
        <w:left w:val="none" w:sz="0" w:space="0" w:color="auto"/>
        <w:bottom w:val="none" w:sz="0" w:space="0" w:color="auto"/>
        <w:right w:val="none" w:sz="0" w:space="0" w:color="auto"/>
      </w:divBdr>
    </w:div>
    <w:div w:id="211486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F0C84-E68A-4312-9016-8EB3838BA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33</Pages>
  <Words>10805</Words>
  <Characters>61595</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72256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Andjelka Opacic</cp:lastModifiedBy>
  <cp:revision>13</cp:revision>
  <dcterms:created xsi:type="dcterms:W3CDTF">2020-01-15T08:04:00Z</dcterms:created>
  <dcterms:modified xsi:type="dcterms:W3CDTF">2021-02-26T11:38:00Z</dcterms:modified>
</cp:coreProperties>
</file>