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1280"/>
        <w:gridCol w:w="3404"/>
      </w:tblGrid>
      <w:tr w:rsidR="0025042A" w:rsidRPr="00CC383D" w:rsidTr="00745E26">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rsidR="003F4EC8" w:rsidRPr="00CC383D" w:rsidRDefault="0025042A" w:rsidP="0059341B">
            <w:pPr>
              <w:spacing w:before="120" w:after="120"/>
              <w:jc w:val="both"/>
              <w:rPr>
                <w:rStyle w:val="Strong"/>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1. Назив прописа </w:t>
            </w:r>
            <w:r w:rsidR="00E15DBD" w:rsidRPr="00CC383D">
              <w:rPr>
                <w:rFonts w:ascii="Times New Roman" w:hAnsi="Times New Roman" w:cs="Times New Roman"/>
                <w:sz w:val="18"/>
                <w:szCs w:val="18"/>
                <w:lang w:val="sr-Cyrl-RS"/>
              </w:rPr>
              <w:t>Е</w:t>
            </w:r>
            <w:r w:rsidRPr="00CC383D">
              <w:rPr>
                <w:rFonts w:ascii="Times New Roman" w:hAnsi="Times New Roman" w:cs="Times New Roman"/>
                <w:sz w:val="18"/>
                <w:szCs w:val="18"/>
                <w:lang w:val="sr-Cyrl-RS"/>
              </w:rPr>
              <w:t xml:space="preserve">вропске уније: </w:t>
            </w:r>
            <w:r w:rsidR="00EA659E" w:rsidRPr="00CC383D">
              <w:rPr>
                <w:rStyle w:val="Strong"/>
                <w:rFonts w:ascii="Times New Roman" w:hAnsi="Times New Roman" w:cs="Times New Roman"/>
                <w:sz w:val="18"/>
                <w:szCs w:val="18"/>
                <w:lang w:val="sr-Cyrl-RS"/>
              </w:rPr>
              <w:t>ДЕЛЕГИРАНА</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УРЕДБА</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КОМИСИЈЕ</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ЕУ</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бр</w:t>
            </w:r>
            <w:r w:rsidR="003F4EC8" w:rsidRPr="00CC383D">
              <w:rPr>
                <w:rStyle w:val="Strong"/>
                <w:rFonts w:ascii="Times New Roman" w:hAnsi="Times New Roman" w:cs="Times New Roman"/>
                <w:sz w:val="18"/>
                <w:szCs w:val="18"/>
                <w:lang w:val="sr-Cyrl-RS"/>
              </w:rPr>
              <w:t>. 666/2014 о</w:t>
            </w:r>
            <w:r w:rsidR="00EA659E" w:rsidRPr="00CC383D">
              <w:rPr>
                <w:rStyle w:val="Strong"/>
                <w:rFonts w:ascii="Times New Roman" w:hAnsi="Times New Roman" w:cs="Times New Roman"/>
                <w:sz w:val="18"/>
                <w:szCs w:val="18"/>
                <w:lang w:val="sr-Cyrl-RS"/>
              </w:rPr>
              <w:t>д</w:t>
            </w:r>
            <w:r w:rsidR="003F4EC8" w:rsidRPr="00CC383D">
              <w:rPr>
                <w:rStyle w:val="Strong"/>
                <w:rFonts w:ascii="Times New Roman" w:hAnsi="Times New Roman" w:cs="Times New Roman"/>
                <w:sz w:val="18"/>
                <w:szCs w:val="18"/>
                <w:lang w:val="sr-Cyrl-RS"/>
              </w:rPr>
              <w:t xml:space="preserve"> 12. </w:t>
            </w:r>
            <w:r w:rsidR="00EA659E" w:rsidRPr="00CC383D">
              <w:rPr>
                <w:rStyle w:val="Strong"/>
                <w:rFonts w:ascii="Times New Roman" w:hAnsi="Times New Roman" w:cs="Times New Roman"/>
                <w:sz w:val="18"/>
                <w:szCs w:val="18"/>
                <w:lang w:val="sr-Cyrl-RS"/>
              </w:rPr>
              <w:t>марта</w:t>
            </w:r>
            <w:r w:rsidR="003F4EC8" w:rsidRPr="00CC383D">
              <w:rPr>
                <w:rStyle w:val="Strong"/>
                <w:rFonts w:ascii="Times New Roman" w:hAnsi="Times New Roman" w:cs="Times New Roman"/>
                <w:sz w:val="18"/>
                <w:szCs w:val="18"/>
                <w:lang w:val="sr-Cyrl-RS"/>
              </w:rPr>
              <w:t xml:space="preserve"> 2014. </w:t>
            </w:r>
            <w:r w:rsidR="00EA659E" w:rsidRPr="00CC383D">
              <w:rPr>
                <w:rStyle w:val="Strong"/>
                <w:rFonts w:ascii="Times New Roman" w:hAnsi="Times New Roman" w:cs="Times New Roman"/>
                <w:sz w:val="18"/>
                <w:szCs w:val="18"/>
                <w:lang w:val="sr-Cyrl-RS"/>
              </w:rPr>
              <w:t>о</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успостављању</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суштинских</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захтева</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за</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систем</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инвентара</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Европске</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уније</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и</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узимања</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у</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обзир</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промене</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потенцијала</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глобалног</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загревања</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и</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међународно</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договорених</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смерница</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за</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инвентаре</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у</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складу</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са</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Уредбом</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ЕУ</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бр</w:t>
            </w:r>
            <w:r w:rsidR="003F4EC8" w:rsidRPr="00CC383D">
              <w:rPr>
                <w:rStyle w:val="Strong"/>
                <w:rFonts w:ascii="Times New Roman" w:hAnsi="Times New Roman" w:cs="Times New Roman"/>
                <w:sz w:val="18"/>
                <w:szCs w:val="18"/>
                <w:lang w:val="sr-Cyrl-RS"/>
              </w:rPr>
              <w:t xml:space="preserve">. 525/2013 </w:t>
            </w:r>
            <w:r w:rsidR="00EA659E" w:rsidRPr="00CC383D">
              <w:rPr>
                <w:rStyle w:val="Strong"/>
                <w:rFonts w:ascii="Times New Roman" w:hAnsi="Times New Roman" w:cs="Times New Roman"/>
                <w:sz w:val="18"/>
                <w:szCs w:val="18"/>
                <w:lang w:val="sr-Cyrl-RS"/>
              </w:rPr>
              <w:t>Европског</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парламента</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и</w:t>
            </w:r>
            <w:r w:rsidR="003F4EC8" w:rsidRPr="00CC383D">
              <w:rPr>
                <w:rStyle w:val="Strong"/>
                <w:rFonts w:ascii="Times New Roman" w:hAnsi="Times New Roman" w:cs="Times New Roman"/>
                <w:sz w:val="18"/>
                <w:szCs w:val="18"/>
                <w:lang w:val="sr-Cyrl-RS"/>
              </w:rPr>
              <w:t xml:space="preserve"> </w:t>
            </w:r>
            <w:r w:rsidR="00EA659E" w:rsidRPr="00CC383D">
              <w:rPr>
                <w:rStyle w:val="Strong"/>
                <w:rFonts w:ascii="Times New Roman" w:hAnsi="Times New Roman" w:cs="Times New Roman"/>
                <w:sz w:val="18"/>
                <w:szCs w:val="18"/>
                <w:lang w:val="sr-Cyrl-RS"/>
              </w:rPr>
              <w:t>Савета (текст од значаја за ЕЕП)</w:t>
            </w:r>
          </w:p>
          <w:p w:rsidR="0059341B" w:rsidRPr="00CC383D" w:rsidRDefault="0059341B" w:rsidP="0059341B">
            <w:pPr>
              <w:spacing w:before="120" w:after="120"/>
              <w:jc w:val="both"/>
              <w:rPr>
                <w:rFonts w:ascii="Times New Roman" w:hAnsi="Times New Roman" w:cs="Times New Roman"/>
                <w:sz w:val="18"/>
                <w:szCs w:val="18"/>
                <w:lang w:val="sr-Cyrl-RS"/>
              </w:rPr>
            </w:pPr>
            <w:r w:rsidRPr="00CC383D">
              <w:rPr>
                <w:rStyle w:val="Strong"/>
                <w:rFonts w:ascii="Times New Roman" w:hAnsi="Times New Roman" w:cs="Times New Roman"/>
                <w:sz w:val="18"/>
                <w:szCs w:val="18"/>
                <w:lang w:val="sr-Cyrl-RS"/>
              </w:rPr>
              <w:t>Commission Delegated Regulation (EU) No 666/2014 of 12 March 2014 establishing substantive requirements for a Union inventory system and taking into account changes in the global warming potentials and internationally agreed inventory guidelines pursuant to Regulation (EU) No 525/2013 of the European Parliament and of the Council Text with EEA relevance</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rsidR="0025042A" w:rsidRPr="00CC383D" w:rsidRDefault="0025042A" w:rsidP="004E460E">
            <w:pPr>
              <w:spacing w:before="120" w:after="120"/>
              <w:jc w:val="both"/>
              <w:rPr>
                <w:rFonts w:ascii="Times New Roman" w:hAnsi="Times New Roman" w:cs="Times New Roman"/>
                <w:iCs/>
                <w:sz w:val="18"/>
                <w:szCs w:val="18"/>
                <w:lang w:val="sr-Cyrl-RS"/>
              </w:rPr>
            </w:pPr>
            <w:r w:rsidRPr="00CC383D">
              <w:rPr>
                <w:rFonts w:ascii="Times New Roman" w:hAnsi="Times New Roman" w:cs="Times New Roman"/>
                <w:iCs/>
                <w:sz w:val="18"/>
                <w:szCs w:val="18"/>
                <w:lang w:val="sr-Cyrl-RS"/>
              </w:rPr>
              <w:t>2. „</w:t>
            </w:r>
            <w:r w:rsidR="0059341B" w:rsidRPr="00CC383D">
              <w:rPr>
                <w:rFonts w:ascii="Times New Roman" w:hAnsi="Times New Roman" w:cs="Times New Roman"/>
                <w:iCs/>
                <w:sz w:val="18"/>
                <w:szCs w:val="18"/>
                <w:lang w:val="sr-Cyrl-RS"/>
              </w:rPr>
              <w:t>CЕL</w:t>
            </w:r>
            <w:r w:rsidR="00E15DBD" w:rsidRPr="00CC383D">
              <w:rPr>
                <w:rFonts w:ascii="Times New Roman" w:hAnsi="Times New Roman" w:cs="Times New Roman"/>
                <w:iCs/>
                <w:sz w:val="18"/>
                <w:szCs w:val="18"/>
                <w:lang w:val="sr-Cyrl-RS"/>
              </w:rPr>
              <w:t>Е</w:t>
            </w:r>
            <w:r w:rsidRPr="00CC383D">
              <w:rPr>
                <w:rFonts w:ascii="Times New Roman" w:hAnsi="Times New Roman" w:cs="Times New Roman"/>
                <w:iCs/>
                <w:sz w:val="18"/>
                <w:szCs w:val="18"/>
                <w:lang w:val="sr-Cyrl-RS"/>
              </w:rPr>
              <w:t>X” ознака ЕУ прописа</w:t>
            </w:r>
          </w:p>
          <w:p w:rsidR="0025042A" w:rsidRPr="00CC383D" w:rsidRDefault="00857A88" w:rsidP="004E460E">
            <w:pPr>
              <w:spacing w:before="120" w:after="120"/>
              <w:jc w:val="both"/>
              <w:rPr>
                <w:rFonts w:ascii="Times New Roman" w:hAnsi="Times New Roman" w:cs="Times New Roman"/>
                <w:b/>
                <w:iCs/>
                <w:sz w:val="18"/>
                <w:szCs w:val="18"/>
                <w:lang w:val="sr-Cyrl-RS"/>
              </w:rPr>
            </w:pPr>
            <w:r w:rsidRPr="00CC383D">
              <w:rPr>
                <w:rFonts w:ascii="Times New Roman" w:hAnsi="Times New Roman" w:cs="Times New Roman"/>
                <w:b/>
                <w:iCs/>
                <w:sz w:val="18"/>
                <w:szCs w:val="18"/>
                <w:lang w:val="sr-Cyrl-RS"/>
              </w:rPr>
              <w:t>32014</w:t>
            </w:r>
            <w:r w:rsidR="00E15DBD" w:rsidRPr="00CC383D">
              <w:rPr>
                <w:rFonts w:ascii="Times New Roman" w:hAnsi="Times New Roman" w:cs="Times New Roman"/>
                <w:b/>
                <w:iCs/>
                <w:sz w:val="18"/>
                <w:szCs w:val="18"/>
                <w:lang w:val="sr-Cyrl-RS"/>
              </w:rPr>
              <w:t>Р</w:t>
            </w:r>
            <w:r w:rsidRPr="00CC383D">
              <w:rPr>
                <w:rFonts w:ascii="Times New Roman" w:hAnsi="Times New Roman" w:cs="Times New Roman"/>
                <w:b/>
                <w:iCs/>
                <w:sz w:val="18"/>
                <w:szCs w:val="18"/>
                <w:lang w:val="sr-Cyrl-RS"/>
              </w:rPr>
              <w:t>0666</w:t>
            </w:r>
          </w:p>
        </w:tc>
      </w:tr>
      <w:tr w:rsidR="0025042A" w:rsidRPr="00CC383D" w:rsidTr="00745E26">
        <w:trPr>
          <w:jc w:val="center"/>
        </w:trPr>
        <w:tc>
          <w:tcPr>
            <w:tcW w:w="3841" w:type="pct"/>
            <w:tcBorders>
              <w:top w:val="single" w:sz="4" w:space="0" w:color="auto"/>
              <w:left w:val="single" w:sz="4" w:space="0" w:color="auto"/>
              <w:bottom w:val="single" w:sz="4" w:space="0" w:color="auto"/>
              <w:right w:val="single" w:sz="4" w:space="0" w:color="auto"/>
            </w:tcBorders>
          </w:tcPr>
          <w:p w:rsidR="0025042A" w:rsidRPr="00CC383D" w:rsidRDefault="0025042A" w:rsidP="0003309B">
            <w:pP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3. </w:t>
            </w:r>
            <w:r w:rsidR="0003309B" w:rsidRPr="00CC383D">
              <w:rPr>
                <w:rFonts w:ascii="Times New Roman" w:hAnsi="Times New Roman" w:cs="Times New Roman"/>
                <w:sz w:val="18"/>
                <w:szCs w:val="18"/>
                <w:lang w:val="sr-Cyrl-RS"/>
              </w:rPr>
              <w:t xml:space="preserve">Овлашћени </w:t>
            </w:r>
            <w:r w:rsidRPr="00CC383D">
              <w:rPr>
                <w:rFonts w:ascii="Times New Roman" w:hAnsi="Times New Roman" w:cs="Times New Roman"/>
                <w:sz w:val="18"/>
                <w:szCs w:val="18"/>
                <w:lang w:val="sr-Cyrl-RS"/>
              </w:rPr>
              <w:t>предлагач прописа</w:t>
            </w:r>
            <w:r w:rsidR="0003309B" w:rsidRPr="00CC383D">
              <w:rPr>
                <w:rFonts w:ascii="Times New Roman" w:hAnsi="Times New Roman" w:cs="Times New Roman"/>
                <w:sz w:val="18"/>
                <w:szCs w:val="18"/>
                <w:lang w:val="sr-Cyrl-RS"/>
              </w:rPr>
              <w:t xml:space="preserve"> – Влада</w:t>
            </w:r>
          </w:p>
        </w:tc>
        <w:tc>
          <w:tcPr>
            <w:tcW w:w="1159" w:type="pct"/>
            <w:tcBorders>
              <w:top w:val="single" w:sz="4" w:space="0" w:color="auto"/>
              <w:left w:val="single" w:sz="4" w:space="0" w:color="auto"/>
              <w:bottom w:val="single" w:sz="4" w:space="0" w:color="auto"/>
              <w:right w:val="single" w:sz="4" w:space="0" w:color="auto"/>
            </w:tcBorders>
          </w:tcPr>
          <w:p w:rsidR="0025042A" w:rsidRPr="00CC383D" w:rsidRDefault="0025042A" w:rsidP="004E460E">
            <w:pPr>
              <w:jc w:val="both"/>
              <w:rPr>
                <w:rFonts w:ascii="Times New Roman" w:hAnsi="Times New Roman" w:cs="Times New Roman"/>
                <w:iCs/>
                <w:sz w:val="18"/>
                <w:szCs w:val="18"/>
                <w:lang w:val="sr-Cyrl-RS"/>
              </w:rPr>
            </w:pPr>
            <w:r w:rsidRPr="00CC383D">
              <w:rPr>
                <w:rFonts w:ascii="Times New Roman" w:hAnsi="Times New Roman" w:cs="Times New Roman"/>
                <w:iCs/>
                <w:sz w:val="18"/>
                <w:szCs w:val="18"/>
                <w:lang w:val="sr-Cyrl-RS"/>
              </w:rPr>
              <w:t xml:space="preserve">4. Датум израде табеле: </w:t>
            </w:r>
          </w:p>
          <w:p w:rsidR="00EE4BA9" w:rsidRPr="00CC383D" w:rsidRDefault="00EE4BA9" w:rsidP="004E460E">
            <w:pPr>
              <w:jc w:val="both"/>
              <w:rPr>
                <w:rFonts w:ascii="Times New Roman" w:hAnsi="Times New Roman" w:cs="Times New Roman"/>
                <w:iCs/>
                <w:sz w:val="18"/>
                <w:szCs w:val="18"/>
                <w:lang w:val="sr-Cyrl-RS"/>
              </w:rPr>
            </w:pPr>
          </w:p>
        </w:tc>
      </w:tr>
      <w:tr w:rsidR="0025042A" w:rsidRPr="00CC383D" w:rsidTr="00745E26">
        <w:trPr>
          <w:jc w:val="center"/>
        </w:trPr>
        <w:tc>
          <w:tcPr>
            <w:tcW w:w="3841" w:type="pct"/>
            <w:tcBorders>
              <w:top w:val="single" w:sz="4" w:space="0" w:color="auto"/>
              <w:left w:val="single" w:sz="4" w:space="0" w:color="auto"/>
              <w:bottom w:val="single" w:sz="4" w:space="0" w:color="auto"/>
              <w:right w:val="single" w:sz="4" w:space="0" w:color="auto"/>
            </w:tcBorders>
          </w:tcPr>
          <w:p w:rsidR="0025042A" w:rsidRPr="00CC383D" w:rsidRDefault="0003309B" w:rsidP="00857A88">
            <w:pPr>
              <w:jc w:val="both"/>
              <w:rPr>
                <w:rFonts w:ascii="Times New Roman" w:hAnsi="Times New Roman" w:cs="Times New Roman"/>
                <w:b/>
                <w:sz w:val="18"/>
                <w:szCs w:val="18"/>
                <w:lang w:val="sr-Cyrl-RS"/>
              </w:rPr>
            </w:pPr>
            <w:r w:rsidRPr="00CC383D">
              <w:rPr>
                <w:rFonts w:ascii="Times New Roman" w:hAnsi="Times New Roman" w:cs="Times New Roman"/>
                <w:sz w:val="18"/>
                <w:szCs w:val="18"/>
                <w:lang w:val="sr-Cyrl-RS"/>
              </w:rPr>
              <w:t>Обрађивач – Министарство заштите животне средине</w:t>
            </w:r>
          </w:p>
        </w:tc>
        <w:tc>
          <w:tcPr>
            <w:tcW w:w="1159" w:type="pct"/>
            <w:tcBorders>
              <w:top w:val="single" w:sz="4" w:space="0" w:color="auto"/>
              <w:left w:val="single" w:sz="4" w:space="0" w:color="auto"/>
              <w:bottom w:val="single" w:sz="4" w:space="0" w:color="auto"/>
              <w:right w:val="single" w:sz="4" w:space="0" w:color="auto"/>
            </w:tcBorders>
          </w:tcPr>
          <w:p w:rsidR="001F6490" w:rsidRPr="00CC383D" w:rsidRDefault="001F6490" w:rsidP="001F6490">
            <w:pPr>
              <w:jc w:val="both"/>
              <w:rPr>
                <w:rFonts w:ascii="Times New Roman" w:hAnsi="Times New Roman" w:cs="Times New Roman"/>
                <w:iCs/>
                <w:sz w:val="18"/>
                <w:szCs w:val="18"/>
                <w:lang w:val="sr-Cyrl-RS"/>
              </w:rPr>
            </w:pPr>
            <w:r w:rsidRPr="00CC383D">
              <w:rPr>
                <w:rFonts w:ascii="Times New Roman" w:hAnsi="Times New Roman" w:cs="Times New Roman"/>
                <w:iCs/>
                <w:sz w:val="18"/>
                <w:szCs w:val="18"/>
                <w:lang w:val="sr-Cyrl-RS"/>
              </w:rPr>
              <w:t>29.10.2017</w:t>
            </w:r>
          </w:p>
          <w:p w:rsidR="001F6490" w:rsidRPr="00CC383D" w:rsidRDefault="001F6490" w:rsidP="001F6490">
            <w:pPr>
              <w:jc w:val="both"/>
              <w:rPr>
                <w:rFonts w:ascii="Times New Roman" w:hAnsi="Times New Roman" w:cs="Times New Roman"/>
                <w:iCs/>
                <w:sz w:val="18"/>
                <w:szCs w:val="18"/>
                <w:lang w:val="sr-Cyrl-RS"/>
              </w:rPr>
            </w:pPr>
            <w:r w:rsidRPr="00CC383D">
              <w:rPr>
                <w:rFonts w:ascii="Times New Roman" w:hAnsi="Times New Roman" w:cs="Times New Roman"/>
                <w:iCs/>
                <w:sz w:val="18"/>
                <w:szCs w:val="18"/>
                <w:lang w:val="sr-Cyrl-RS"/>
              </w:rPr>
              <w:t>Ревизија: 08.06.2018.</w:t>
            </w:r>
          </w:p>
          <w:p w:rsidR="0025042A" w:rsidRPr="00CC383D" w:rsidRDefault="001F6490" w:rsidP="001F6490">
            <w:pPr>
              <w:jc w:val="both"/>
              <w:rPr>
                <w:rFonts w:ascii="Times New Roman" w:hAnsi="Times New Roman" w:cs="Times New Roman"/>
                <w:iCs/>
                <w:sz w:val="18"/>
                <w:szCs w:val="18"/>
                <w:lang w:val="sr-Cyrl-RS"/>
              </w:rPr>
            </w:pPr>
            <w:r w:rsidRPr="00CC383D">
              <w:rPr>
                <w:rFonts w:ascii="Times New Roman" w:hAnsi="Times New Roman" w:cs="Times New Roman"/>
                <w:iCs/>
                <w:sz w:val="18"/>
                <w:szCs w:val="18"/>
                <w:lang w:val="sr-Cyrl-RS"/>
              </w:rPr>
              <w:t>Ревизија:14.2020.</w:t>
            </w:r>
          </w:p>
        </w:tc>
      </w:tr>
      <w:tr w:rsidR="00EE4BA9" w:rsidRPr="00CC383D" w:rsidTr="00A878DF">
        <w:trPr>
          <w:trHeight w:val="917"/>
          <w:jc w:val="center"/>
        </w:trPr>
        <w:tc>
          <w:tcPr>
            <w:tcW w:w="3841" w:type="pct"/>
            <w:tcBorders>
              <w:top w:val="single" w:sz="4" w:space="0" w:color="auto"/>
              <w:left w:val="single" w:sz="4" w:space="0" w:color="auto"/>
              <w:right w:val="single" w:sz="4" w:space="0" w:color="auto"/>
            </w:tcBorders>
          </w:tcPr>
          <w:p w:rsidR="00451FEC" w:rsidRPr="00CC383D" w:rsidRDefault="00451FEC" w:rsidP="00667F4D">
            <w:pPr>
              <w:spacing w:before="120" w:after="120"/>
              <w:jc w:val="both"/>
              <w:rPr>
                <w:rStyle w:val="hps"/>
                <w:rFonts w:ascii="Times New Roman" w:hAnsi="Times New Roman" w:cs="Times New Roman"/>
                <w:b/>
                <w:sz w:val="18"/>
                <w:szCs w:val="18"/>
                <w:lang w:val="sr-Cyrl-RS"/>
              </w:rPr>
            </w:pPr>
            <w:r w:rsidRPr="00CC383D">
              <w:rPr>
                <w:rFonts w:ascii="Times New Roman" w:hAnsi="Times New Roman" w:cs="Times New Roman"/>
                <w:sz w:val="18"/>
                <w:szCs w:val="18"/>
                <w:lang w:val="sr-Cyrl-RS"/>
              </w:rPr>
              <w:t>5. Назив (нацрта, предлога) прописа чије одредбе су предмет анализе усклађености са прописом Европске уније:</w:t>
            </w:r>
          </w:p>
          <w:p w:rsidR="00EE4BA9" w:rsidRPr="00CC383D" w:rsidRDefault="00EE4BA9" w:rsidP="00451FEC">
            <w:pPr>
              <w:spacing w:before="120" w:after="120"/>
              <w:jc w:val="both"/>
              <w:rPr>
                <w:rFonts w:ascii="Times New Roman" w:hAnsi="Times New Roman" w:cs="Times New Roman"/>
                <w:sz w:val="18"/>
                <w:szCs w:val="18"/>
                <w:lang w:val="sr-Cyrl-RS"/>
              </w:rPr>
            </w:pPr>
          </w:p>
        </w:tc>
        <w:tc>
          <w:tcPr>
            <w:tcW w:w="1159" w:type="pct"/>
            <w:tcBorders>
              <w:top w:val="single" w:sz="4" w:space="0" w:color="auto"/>
              <w:left w:val="single" w:sz="4" w:space="0" w:color="auto"/>
              <w:bottom w:val="single" w:sz="4" w:space="0" w:color="auto"/>
              <w:right w:val="single" w:sz="4" w:space="0" w:color="auto"/>
            </w:tcBorders>
          </w:tcPr>
          <w:p w:rsidR="00EE4BA9" w:rsidRPr="00CC383D" w:rsidRDefault="00EE4BA9" w:rsidP="0025042A">
            <w:pPr>
              <w:spacing w:before="120" w:after="120"/>
              <w:jc w:val="both"/>
              <w:rPr>
                <w:rFonts w:ascii="Times New Roman" w:hAnsi="Times New Roman" w:cs="Times New Roman"/>
                <w:iCs/>
                <w:sz w:val="18"/>
                <w:szCs w:val="18"/>
                <w:lang w:val="sr-Cyrl-RS"/>
              </w:rPr>
            </w:pPr>
            <w:r w:rsidRPr="00CC383D">
              <w:rPr>
                <w:rFonts w:ascii="Times New Roman" w:hAnsi="Times New Roman" w:cs="Times New Roman"/>
                <w:iCs/>
                <w:sz w:val="18"/>
                <w:szCs w:val="18"/>
                <w:lang w:val="sr-Cyrl-RS"/>
              </w:rPr>
              <w:t xml:space="preserve">6. </w:t>
            </w:r>
            <w:r w:rsidR="00451FEC" w:rsidRPr="00CC383D">
              <w:rPr>
                <w:rFonts w:ascii="Times New Roman" w:hAnsi="Times New Roman" w:cs="Times New Roman"/>
                <w:iCs/>
                <w:sz w:val="18"/>
                <w:szCs w:val="18"/>
                <w:lang w:val="sr-Cyrl-RS"/>
              </w:rPr>
              <w:t>Бројчане ознаке (шифре) планираних прописа из базе НПАА</w:t>
            </w:r>
            <w:r w:rsidR="00451FEC" w:rsidRPr="00CC383D">
              <w:rPr>
                <w:rStyle w:val="hps"/>
                <w:rFonts w:ascii="Times New Roman" w:hAnsi="Times New Roman" w:cs="Times New Roman"/>
                <w:iCs/>
                <w:sz w:val="18"/>
                <w:szCs w:val="18"/>
                <w:lang w:val="sr-Cyrl-RS"/>
              </w:rPr>
              <w:t>:</w:t>
            </w:r>
          </w:p>
          <w:p w:rsidR="00EE4BA9" w:rsidRPr="00CC383D" w:rsidRDefault="00EE4BA9" w:rsidP="0025042A">
            <w:pPr>
              <w:spacing w:before="120" w:after="120"/>
              <w:jc w:val="both"/>
              <w:rPr>
                <w:rFonts w:ascii="Times New Roman" w:hAnsi="Times New Roman" w:cs="Times New Roman"/>
                <w:iCs/>
                <w:sz w:val="18"/>
                <w:szCs w:val="18"/>
                <w:lang w:val="sr-Cyrl-RS"/>
              </w:rPr>
            </w:pPr>
          </w:p>
        </w:tc>
      </w:tr>
      <w:tr w:rsidR="00EE4BA9" w:rsidRPr="00CC383D" w:rsidTr="00A878DF">
        <w:trPr>
          <w:jc w:val="center"/>
        </w:trPr>
        <w:tc>
          <w:tcPr>
            <w:tcW w:w="3841" w:type="pct"/>
            <w:tcBorders>
              <w:left w:val="single" w:sz="4" w:space="0" w:color="auto"/>
              <w:bottom w:val="single" w:sz="4" w:space="0" w:color="auto"/>
              <w:right w:val="single" w:sz="4" w:space="0" w:color="auto"/>
            </w:tcBorders>
          </w:tcPr>
          <w:p w:rsidR="00EE4BA9" w:rsidRPr="00CC383D" w:rsidRDefault="00396643" w:rsidP="00BB34EE">
            <w:pPr>
              <w:spacing w:before="120" w:after="120"/>
              <w:jc w:val="both"/>
              <w:rPr>
                <w:rFonts w:ascii="Times New Roman" w:hAnsi="Times New Roman" w:cs="Times New Roman"/>
                <w:b/>
                <w:sz w:val="18"/>
                <w:szCs w:val="18"/>
                <w:lang w:val="sr-Cyrl-RS"/>
              </w:rPr>
            </w:pPr>
            <w:r w:rsidRPr="00CC383D">
              <w:rPr>
                <w:rStyle w:val="hps"/>
                <w:rFonts w:ascii="Times New Roman" w:hAnsi="Times New Roman" w:cs="Times New Roman"/>
                <w:b/>
                <w:sz w:val="18"/>
                <w:szCs w:val="18"/>
                <w:lang w:val="sr-Cyrl-RS"/>
              </w:rPr>
              <w:t xml:space="preserve">Предлог </w:t>
            </w:r>
            <w:r w:rsidR="00451FEC" w:rsidRPr="00CC383D">
              <w:rPr>
                <w:rStyle w:val="hps"/>
                <w:rFonts w:ascii="Times New Roman" w:hAnsi="Times New Roman" w:cs="Times New Roman"/>
                <w:b/>
                <w:sz w:val="18"/>
                <w:szCs w:val="18"/>
                <w:lang w:val="sr-Cyrl-RS"/>
              </w:rPr>
              <w:t>закона о климатским променама</w:t>
            </w:r>
          </w:p>
        </w:tc>
        <w:tc>
          <w:tcPr>
            <w:tcW w:w="1159" w:type="pct"/>
            <w:tcBorders>
              <w:top w:val="single" w:sz="4" w:space="0" w:color="auto"/>
              <w:left w:val="single" w:sz="4" w:space="0" w:color="auto"/>
              <w:bottom w:val="single" w:sz="4" w:space="0" w:color="auto"/>
              <w:right w:val="single" w:sz="4" w:space="0" w:color="auto"/>
            </w:tcBorders>
          </w:tcPr>
          <w:p w:rsidR="00EE4BA9" w:rsidRPr="00CC383D" w:rsidRDefault="001F6490" w:rsidP="00125968">
            <w:pPr>
              <w:jc w:val="both"/>
              <w:rPr>
                <w:rFonts w:ascii="Times New Roman" w:hAnsi="Times New Roman" w:cs="Times New Roman"/>
                <w:iCs/>
                <w:sz w:val="18"/>
                <w:szCs w:val="18"/>
                <w:lang w:val="sr-Cyrl-RS"/>
              </w:rPr>
            </w:pPr>
            <w:r w:rsidRPr="00CC383D">
              <w:rPr>
                <w:rFonts w:ascii="Times New Roman" w:hAnsi="Times New Roman" w:cs="Times New Roman"/>
                <w:color w:val="000000"/>
                <w:sz w:val="18"/>
                <w:szCs w:val="18"/>
                <w:lang w:val="sr-Cyrl-RS"/>
              </w:rPr>
              <w:t>2017-34</w:t>
            </w:r>
            <w:r w:rsidR="00125968" w:rsidRPr="00CC383D">
              <w:rPr>
                <w:rFonts w:ascii="Times New Roman" w:hAnsi="Times New Roman" w:cs="Times New Roman"/>
                <w:color w:val="000000"/>
                <w:sz w:val="18"/>
                <w:szCs w:val="18"/>
                <w:lang w:val="sr-Cyrl-RS"/>
              </w:rPr>
              <w:t>4</w:t>
            </w:r>
          </w:p>
        </w:tc>
      </w:tr>
      <w:tr w:rsidR="0025042A" w:rsidRPr="00CC383D" w:rsidTr="00745E26">
        <w:trPr>
          <w:jc w:val="center"/>
        </w:trPr>
        <w:tc>
          <w:tcPr>
            <w:tcW w:w="5000" w:type="pct"/>
            <w:gridSpan w:val="2"/>
          </w:tcPr>
          <w:p w:rsidR="0025042A" w:rsidRPr="00CC383D" w:rsidRDefault="0025042A" w:rsidP="004E460E">
            <w:pPr>
              <w:spacing w:before="120" w:after="120"/>
              <w:jc w:val="both"/>
              <w:rPr>
                <w:rFonts w:ascii="Times New Roman" w:hAnsi="Times New Roman" w:cs="Times New Roman"/>
                <w:sz w:val="18"/>
                <w:szCs w:val="18"/>
                <w:lang w:val="sr-Cyrl-RS"/>
              </w:rPr>
            </w:pPr>
            <w:r w:rsidRPr="00CC383D">
              <w:rPr>
                <w:rFonts w:ascii="Times New Roman" w:hAnsi="Times New Roman" w:cs="Times New Roman"/>
                <w:sz w:val="18"/>
                <w:szCs w:val="18"/>
                <w:lang w:val="sr-Cyrl-RS"/>
              </w:rPr>
              <w:t>7. Усклађеност одредби прописа са одредбама прописа ЕУ:</w:t>
            </w:r>
          </w:p>
        </w:tc>
      </w:tr>
    </w:tbl>
    <w:p w:rsidR="0025042A" w:rsidRPr="00CC383D" w:rsidRDefault="0025042A">
      <w:pPr>
        <w:rPr>
          <w:rFonts w:ascii="Times New Roman" w:hAnsi="Times New Roman" w:cs="Times New Roman"/>
          <w:sz w:val="18"/>
          <w:szCs w:val="18"/>
          <w:lang w:val="sr-Cyrl-RS"/>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0"/>
        <w:gridCol w:w="4669"/>
        <w:gridCol w:w="1130"/>
        <w:gridCol w:w="2821"/>
        <w:gridCol w:w="844"/>
        <w:gridCol w:w="2809"/>
        <w:gridCol w:w="1077"/>
      </w:tblGrid>
      <w:tr w:rsidR="00AA7987" w:rsidRPr="00CC383D" w:rsidTr="00AA7987">
        <w:trPr>
          <w:trHeight w:val="290"/>
        </w:trPr>
        <w:tc>
          <w:tcPr>
            <w:tcW w:w="428" w:type="pct"/>
            <w:shd w:val="clear" w:color="000000" w:fill="D9D9D9"/>
            <w:noWrap/>
            <w:vAlign w:val="center"/>
            <w:hideMark/>
          </w:tcPr>
          <w:p w:rsidR="00745E26" w:rsidRPr="00CC383D" w:rsidRDefault="00745E26" w:rsidP="00745E26">
            <w:pPr>
              <w:spacing w:before="120" w:after="120"/>
              <w:ind w:firstLine="5"/>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а)</w:t>
            </w:r>
          </w:p>
        </w:tc>
        <w:tc>
          <w:tcPr>
            <w:tcW w:w="1599" w:type="pct"/>
            <w:shd w:val="clear" w:color="000000" w:fill="D9D9D9"/>
            <w:noWrap/>
            <w:vAlign w:val="center"/>
            <w:hideMark/>
          </w:tcPr>
          <w:p w:rsidR="00745E26" w:rsidRPr="00CC383D" w:rsidRDefault="00745E26"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а1)</w:t>
            </w:r>
          </w:p>
        </w:tc>
        <w:tc>
          <w:tcPr>
            <w:tcW w:w="387" w:type="pct"/>
            <w:shd w:val="clear" w:color="000000" w:fill="D9D9D9"/>
            <w:noWrap/>
            <w:vAlign w:val="center"/>
            <w:hideMark/>
          </w:tcPr>
          <w:p w:rsidR="00745E26" w:rsidRPr="00CC383D" w:rsidRDefault="00745E26"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б)</w:t>
            </w:r>
          </w:p>
        </w:tc>
        <w:tc>
          <w:tcPr>
            <w:tcW w:w="966" w:type="pct"/>
            <w:shd w:val="clear" w:color="000000" w:fill="D9D9D9"/>
            <w:noWrap/>
            <w:vAlign w:val="center"/>
            <w:hideMark/>
          </w:tcPr>
          <w:p w:rsidR="00745E26" w:rsidRPr="00CC383D" w:rsidRDefault="00745E26"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б1)</w:t>
            </w:r>
          </w:p>
        </w:tc>
        <w:tc>
          <w:tcPr>
            <w:tcW w:w="289" w:type="pct"/>
            <w:shd w:val="clear" w:color="000000" w:fill="D9D9D9"/>
            <w:vAlign w:val="center"/>
            <w:hideMark/>
          </w:tcPr>
          <w:p w:rsidR="00745E26" w:rsidRPr="00CC383D" w:rsidRDefault="00745E26"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в)</w:t>
            </w:r>
          </w:p>
        </w:tc>
        <w:tc>
          <w:tcPr>
            <w:tcW w:w="962" w:type="pct"/>
            <w:shd w:val="clear" w:color="000000" w:fill="D9D9D9"/>
            <w:noWrap/>
            <w:vAlign w:val="center"/>
            <w:hideMark/>
          </w:tcPr>
          <w:p w:rsidR="00745E26" w:rsidRPr="00CC383D" w:rsidRDefault="00745E26"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г)</w:t>
            </w:r>
          </w:p>
        </w:tc>
        <w:tc>
          <w:tcPr>
            <w:tcW w:w="369" w:type="pct"/>
            <w:shd w:val="clear" w:color="000000" w:fill="D9D9D9"/>
            <w:noWrap/>
            <w:vAlign w:val="center"/>
            <w:hideMark/>
          </w:tcPr>
          <w:p w:rsidR="00745E26" w:rsidRPr="00CC383D" w:rsidRDefault="00745E26"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д)</w:t>
            </w:r>
          </w:p>
        </w:tc>
      </w:tr>
      <w:tr w:rsidR="00AA7987" w:rsidRPr="00CC383D" w:rsidTr="00AA7987">
        <w:trPr>
          <w:trHeight w:val="290"/>
        </w:trPr>
        <w:tc>
          <w:tcPr>
            <w:tcW w:w="428" w:type="pct"/>
            <w:shd w:val="clear" w:color="000000" w:fill="D9D9D9"/>
            <w:noWrap/>
            <w:vAlign w:val="center"/>
          </w:tcPr>
          <w:p w:rsidR="00745E26" w:rsidRPr="00CC383D" w:rsidRDefault="00745E26" w:rsidP="00745E26">
            <w:pPr>
              <w:spacing w:before="120" w:after="120"/>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Одредба прописа ЕУ</w:t>
            </w:r>
          </w:p>
          <w:p w:rsidR="00745E26" w:rsidRPr="00CC383D" w:rsidRDefault="00CC383D" w:rsidP="00745E26">
            <w:pPr>
              <w:spacing w:before="120" w:after="120"/>
              <w:jc w:val="center"/>
              <w:rPr>
                <w:rFonts w:ascii="Times New Roman" w:hAnsi="Times New Roman" w:cs="Times New Roman"/>
                <w:sz w:val="18"/>
                <w:szCs w:val="18"/>
                <w:lang w:val="sr-Cyrl-RS"/>
              </w:rPr>
            </w:pPr>
            <w:r>
              <w:rPr>
                <w:rFonts w:ascii="Times New Roman" w:hAnsi="Times New Roman" w:cs="Times New Roman"/>
                <w:sz w:val="18"/>
                <w:szCs w:val="18"/>
                <w:lang w:val="sr-Cyrl-RS"/>
              </w:rPr>
              <w:t>Article</w:t>
            </w:r>
          </w:p>
        </w:tc>
        <w:tc>
          <w:tcPr>
            <w:tcW w:w="1599" w:type="pct"/>
            <w:shd w:val="clear" w:color="000000" w:fill="D9D9D9"/>
            <w:noWrap/>
            <w:vAlign w:val="center"/>
          </w:tcPr>
          <w:p w:rsidR="00745E26" w:rsidRPr="00CC383D" w:rsidRDefault="00745E26"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Садржина одредбе</w:t>
            </w:r>
          </w:p>
        </w:tc>
        <w:tc>
          <w:tcPr>
            <w:tcW w:w="387" w:type="pct"/>
            <w:shd w:val="clear" w:color="000000" w:fill="D9D9D9"/>
            <w:noWrap/>
            <w:vAlign w:val="center"/>
          </w:tcPr>
          <w:p w:rsidR="00745E26" w:rsidRPr="00CC383D" w:rsidRDefault="00745E26" w:rsidP="00745E26">
            <w:pPr>
              <w:spacing w:before="120" w:after="120"/>
              <w:ind w:firstLine="5"/>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Одредбе прописа Р. Србије</w:t>
            </w:r>
          </w:p>
        </w:tc>
        <w:tc>
          <w:tcPr>
            <w:tcW w:w="966" w:type="pct"/>
            <w:shd w:val="clear" w:color="000000" w:fill="D9D9D9"/>
            <w:noWrap/>
            <w:vAlign w:val="center"/>
          </w:tcPr>
          <w:p w:rsidR="00745E26" w:rsidRPr="00CC383D" w:rsidRDefault="00745E26"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Садржина одредбе</w:t>
            </w:r>
          </w:p>
        </w:tc>
        <w:tc>
          <w:tcPr>
            <w:tcW w:w="289" w:type="pct"/>
            <w:shd w:val="clear" w:color="000000" w:fill="D9D9D9"/>
            <w:vAlign w:val="center"/>
          </w:tcPr>
          <w:p w:rsidR="00745E26" w:rsidRPr="00CC383D" w:rsidRDefault="00745E26" w:rsidP="00745E26">
            <w:pPr>
              <w:spacing w:before="120" w:after="120"/>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Усклађеност</w:t>
            </w:r>
            <w:r w:rsidRPr="00CC383D">
              <w:rPr>
                <w:rStyle w:val="FootnoteReference"/>
                <w:rFonts w:ascii="Times New Roman" w:hAnsi="Times New Roman" w:cs="Times New Roman"/>
                <w:sz w:val="18"/>
                <w:szCs w:val="18"/>
                <w:lang w:val="sr-Cyrl-RS"/>
              </w:rPr>
              <w:footnoteReference w:id="1"/>
            </w:r>
            <w:r w:rsidRPr="00CC383D">
              <w:rPr>
                <w:rFonts w:ascii="Times New Roman" w:hAnsi="Times New Roman" w:cs="Times New Roman"/>
                <w:sz w:val="18"/>
                <w:szCs w:val="18"/>
                <w:lang w:val="sr-Cyrl-RS"/>
              </w:rPr>
              <w:t xml:space="preserve"> </w:t>
            </w:r>
          </w:p>
        </w:tc>
        <w:tc>
          <w:tcPr>
            <w:tcW w:w="962" w:type="pct"/>
            <w:shd w:val="clear" w:color="000000" w:fill="D9D9D9"/>
            <w:noWrap/>
            <w:vAlign w:val="center"/>
          </w:tcPr>
          <w:p w:rsidR="00745E26" w:rsidRPr="00CC383D" w:rsidRDefault="00745E26" w:rsidP="00745E26">
            <w:pPr>
              <w:spacing w:before="120" w:after="120"/>
              <w:ind w:firstLine="21"/>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Разлози за делимичну усклађеност, неусклађеност или непреносивост</w:t>
            </w:r>
          </w:p>
        </w:tc>
        <w:tc>
          <w:tcPr>
            <w:tcW w:w="369" w:type="pct"/>
            <w:shd w:val="clear" w:color="000000" w:fill="D9D9D9"/>
            <w:noWrap/>
            <w:vAlign w:val="center"/>
          </w:tcPr>
          <w:p w:rsidR="00745E26" w:rsidRPr="00CC383D" w:rsidRDefault="00745E26" w:rsidP="00745E26">
            <w:pPr>
              <w:spacing w:before="120" w:after="120"/>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Напомена о усклађености</w:t>
            </w:r>
          </w:p>
        </w:tc>
      </w:tr>
      <w:tr w:rsidR="002B0DFD" w:rsidRPr="00CC383D" w:rsidTr="00AA7987">
        <w:trPr>
          <w:trHeight w:val="290"/>
        </w:trPr>
        <w:tc>
          <w:tcPr>
            <w:tcW w:w="428" w:type="pct"/>
            <w:shd w:val="clear" w:color="000000" w:fill="D9D9D9"/>
            <w:noWrap/>
            <w:vAlign w:val="center"/>
          </w:tcPr>
          <w:p w:rsidR="002B0DFD" w:rsidRPr="00CC383D" w:rsidRDefault="002B0DFD" w:rsidP="00AA7987">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1</w:t>
            </w:r>
          </w:p>
        </w:tc>
        <w:tc>
          <w:tcPr>
            <w:tcW w:w="1599" w:type="pct"/>
            <w:shd w:val="clear" w:color="000000" w:fill="D9D9D9"/>
            <w:noWrap/>
            <w:vAlign w:val="center"/>
          </w:tcPr>
          <w:p w:rsidR="002B0DFD" w:rsidRPr="00CC383D" w:rsidRDefault="002B0DFD" w:rsidP="00C96B1B">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Subject matter</w:t>
            </w:r>
          </w:p>
        </w:tc>
        <w:tc>
          <w:tcPr>
            <w:tcW w:w="387" w:type="pct"/>
            <w:shd w:val="clear" w:color="000000" w:fill="D9D9D9"/>
            <w:noWrap/>
            <w:vAlign w:val="center"/>
          </w:tcPr>
          <w:p w:rsidR="002B0DFD" w:rsidRPr="00CC383D" w:rsidRDefault="002B0DFD" w:rsidP="00745E26">
            <w:pPr>
              <w:rPr>
                <w:rFonts w:ascii="Times New Roman" w:eastAsia="Times New Roman" w:hAnsi="Times New Roman" w:cs="Times New Roman"/>
                <w:color w:val="000000"/>
                <w:sz w:val="18"/>
                <w:szCs w:val="18"/>
                <w:lang w:val="sr-Cyrl-RS" w:eastAsia="sr-Latn-RS"/>
              </w:rPr>
            </w:pPr>
          </w:p>
        </w:tc>
        <w:tc>
          <w:tcPr>
            <w:tcW w:w="966" w:type="pct"/>
            <w:shd w:val="clear" w:color="000000" w:fill="D9D9D9"/>
            <w:noWrap/>
            <w:vAlign w:val="center"/>
          </w:tcPr>
          <w:p w:rsidR="002B0DFD" w:rsidRPr="00CC383D" w:rsidRDefault="002B0DFD" w:rsidP="00745E26">
            <w:pPr>
              <w:rPr>
                <w:rFonts w:ascii="Times New Roman" w:eastAsia="Times New Roman" w:hAnsi="Times New Roman" w:cs="Times New Roman"/>
                <w:color w:val="000000"/>
                <w:sz w:val="18"/>
                <w:szCs w:val="18"/>
                <w:lang w:val="sr-Cyrl-RS" w:eastAsia="sr-Latn-RS"/>
              </w:rPr>
            </w:pPr>
          </w:p>
        </w:tc>
        <w:tc>
          <w:tcPr>
            <w:tcW w:w="289" w:type="pct"/>
            <w:shd w:val="clear" w:color="000000" w:fill="D9D9D9"/>
            <w:vAlign w:val="center"/>
          </w:tcPr>
          <w:p w:rsidR="002B0DFD" w:rsidRPr="00CC383D" w:rsidRDefault="002B0DFD" w:rsidP="00745E26">
            <w:pPr>
              <w:jc w:val="center"/>
              <w:rPr>
                <w:rFonts w:ascii="Times New Roman" w:eastAsia="Times New Roman" w:hAnsi="Times New Roman" w:cs="Times New Roman"/>
                <w:color w:val="000000"/>
                <w:sz w:val="18"/>
                <w:szCs w:val="18"/>
                <w:lang w:val="sr-Cyrl-RS" w:eastAsia="sr-Latn-RS"/>
              </w:rPr>
            </w:pPr>
          </w:p>
        </w:tc>
        <w:tc>
          <w:tcPr>
            <w:tcW w:w="962" w:type="pct"/>
            <w:shd w:val="clear" w:color="000000" w:fill="D9D9D9"/>
            <w:noWrap/>
            <w:vAlign w:val="center"/>
          </w:tcPr>
          <w:p w:rsidR="002B0DFD" w:rsidRPr="00CC383D" w:rsidRDefault="002B0DFD" w:rsidP="00745E26">
            <w:pPr>
              <w:rPr>
                <w:rFonts w:ascii="Times New Roman" w:eastAsia="Times New Roman" w:hAnsi="Times New Roman" w:cs="Times New Roman"/>
                <w:color w:val="000000"/>
                <w:sz w:val="18"/>
                <w:szCs w:val="18"/>
                <w:lang w:val="sr-Cyrl-RS" w:eastAsia="sr-Latn-RS"/>
              </w:rPr>
            </w:pPr>
          </w:p>
        </w:tc>
        <w:tc>
          <w:tcPr>
            <w:tcW w:w="369" w:type="pct"/>
            <w:shd w:val="clear" w:color="000000" w:fill="D9D9D9"/>
            <w:noWrap/>
            <w:vAlign w:val="center"/>
          </w:tcPr>
          <w:p w:rsidR="002B0DFD" w:rsidRPr="00CC383D" w:rsidRDefault="002B0DFD" w:rsidP="00745E26">
            <w:pPr>
              <w:rPr>
                <w:rFonts w:ascii="Times New Roman" w:eastAsia="Times New Roman" w:hAnsi="Times New Roman" w:cs="Times New Roman"/>
                <w:color w:val="000000"/>
                <w:sz w:val="18"/>
                <w:szCs w:val="18"/>
                <w:lang w:val="sr-Cyrl-RS" w:eastAsia="sr-Latn-RS"/>
              </w:rPr>
            </w:pP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1.1</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1.   The Union greenhouse gas inventory is the sum of Member States' greenhouse gas emissions from sources and removals by sinks for the territory of the European Union in accordance with Article 52 of the Treaty on European Union and is established on the basis of the Member States' greenhouse gas inventories, as reported pursuant to Article 7 of Regulation (EU) No 525/2013, for the complete time series of inventory years.</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lastRenderedPageBreak/>
              <w:t>1.2</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2.   This Regulation lays down rules on the requirements for a Union inventory system, further specifying rules on the preparation and administration of the Union greenhouse gas inventory including rules on cooperation</w:t>
            </w:r>
            <w:bookmarkStart w:id="0" w:name="_GoBack"/>
            <w:bookmarkEnd w:id="0"/>
            <w:r w:rsidRPr="00CC383D">
              <w:rPr>
                <w:rFonts w:ascii="Times New Roman" w:eastAsia="Times New Roman" w:hAnsi="Times New Roman" w:cs="Times New Roman"/>
                <w:sz w:val="18"/>
                <w:szCs w:val="18"/>
                <w:lang w:val="sr-Cyrl-RS" w:eastAsia="sr-Latn-RS"/>
              </w:rPr>
              <w:t xml:space="preserve"> with the Member States during the annual reporting process and the United Nations Framework Convention on Climate Change (UNFCCC) inventory review.</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1.3</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3.   This Regulation also lays down rules with regard to the global warming potential values and the internationally agreed inventory guidelines to be used by the Member States and the Commission in the determination and reporting of the greenhouse gas inventory.</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290"/>
        </w:trPr>
        <w:tc>
          <w:tcPr>
            <w:tcW w:w="428" w:type="pct"/>
            <w:shd w:val="clear" w:color="auto" w:fill="D9D9D9" w:themeFill="background1" w:themeFillShade="D9"/>
            <w:noWrap/>
            <w:vAlign w:val="center"/>
            <w:hideMark/>
          </w:tcPr>
          <w:p w:rsidR="002B0DFD" w:rsidRPr="00CC383D" w:rsidRDefault="002B0DFD" w:rsidP="00AA7987">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2</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Union greenhouse gas inventory</w:t>
            </w:r>
          </w:p>
        </w:tc>
        <w:tc>
          <w:tcPr>
            <w:tcW w:w="387" w:type="pct"/>
            <w:shd w:val="clear" w:color="000000" w:fill="D9D9D9"/>
            <w:noWrap/>
            <w:vAlign w:val="center"/>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966" w:type="pct"/>
            <w:shd w:val="clear" w:color="000000" w:fill="D9D9D9"/>
            <w:noWrap/>
            <w:vAlign w:val="center"/>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289" w:type="pct"/>
            <w:shd w:val="clear" w:color="000000" w:fill="D9D9D9"/>
            <w:vAlign w:val="center"/>
            <w:hideMark/>
          </w:tcPr>
          <w:p w:rsidR="002B0DFD" w:rsidRPr="00CC383D" w:rsidRDefault="002B0DFD" w:rsidP="00745E26">
            <w:pPr>
              <w:jc w:val="cente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962" w:type="pct"/>
            <w:shd w:val="clear" w:color="000000" w:fill="D9D9D9"/>
            <w:noWrap/>
            <w:vAlign w:val="center"/>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369" w:type="pct"/>
            <w:shd w:val="clear" w:color="000000" w:fill="D9D9D9"/>
            <w:noWrap/>
            <w:vAlign w:val="center"/>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2.1</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1.   In preparing and administering the Union greenhouse gas inventory, the Commission shall strive to ensure:</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2.1.(а)</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(a) the completeness of the Union greenhouse gas inventory by applying the procedure set out in Article 9(2) of Regulation (EU) No 525/2013;</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A15341" w:rsidP="00745E26">
            <w:pPr>
              <w:rPr>
                <w:rFonts w:ascii="Times New Roman" w:eastAsia="Times New Roman" w:hAnsi="Times New Roman" w:cs="Times New Roman"/>
                <w:color w:val="000000"/>
                <w:sz w:val="18"/>
                <w:szCs w:val="18"/>
                <w:lang w:val="sr-Cyrl-RS" w:eastAsia="sr-Latn-RS"/>
              </w:rPr>
            </w:pPr>
            <w:hyperlink r:id="rId9" w:anchor="RANGE!_ftnref1" w:history="1">
              <w:r w:rsidR="002B0DFD" w:rsidRPr="00CC383D">
                <w:rPr>
                  <w:rFonts w:ascii="Times New Roman" w:eastAsia="Times New Roman" w:hAnsi="Times New Roman" w:cs="Times New Roman"/>
                  <w:color w:val="000000"/>
                  <w:sz w:val="18"/>
                  <w:szCs w:val="18"/>
                  <w:lang w:val="sr-Cyrl-RS" w:eastAsia="sr-Latn-RS"/>
                </w:rPr>
                <w:t>2.1.</w:t>
              </w:r>
              <w:r w:rsidR="00E71BAF" w:rsidRPr="00CC383D">
                <w:rPr>
                  <w:rFonts w:ascii="Times New Roman" w:eastAsia="Times New Roman" w:hAnsi="Times New Roman" w:cs="Times New Roman"/>
                  <w:color w:val="000000"/>
                  <w:sz w:val="18"/>
                  <w:szCs w:val="18"/>
                  <w:lang w:val="sr-Cyrl-RS" w:eastAsia="sr-Latn-RS"/>
                </w:rPr>
                <w:t>(b)</w:t>
              </w:r>
            </w:hyperlink>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(b) that the Union greenhouse gas inventory provides a transparent aggregation of Member States' greenhouse gas emissions and removals by sinks and reflects in a transparent manner the contribution of Member States' emissions and removals by sinks to the Union greenhouse gas inventory;</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2.1.</w:t>
            </w:r>
            <w:r w:rsidR="00E71BAF" w:rsidRPr="00CC383D">
              <w:rPr>
                <w:rFonts w:ascii="Times New Roman" w:eastAsia="Times New Roman" w:hAnsi="Times New Roman" w:cs="Times New Roman"/>
                <w:color w:val="000000"/>
                <w:sz w:val="18"/>
                <w:szCs w:val="18"/>
                <w:lang w:val="sr-Cyrl-RS" w:eastAsia="sr-Latn-RS"/>
              </w:rPr>
              <w:t>(c)</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(c) that the total of the Union's greenhouse gas emissions and removals by sinks for a reporting year is equal to the sum of Member States' greenhouse gas emissions and removals by sinks reported pursuant to paragraphs 1 to 5 of Article 7 of Regulation (EU) No 525/2013 for that same year;</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2.1.</w:t>
            </w:r>
            <w:r w:rsidR="00E71BAF" w:rsidRPr="00CC383D">
              <w:rPr>
                <w:rFonts w:ascii="Times New Roman" w:eastAsia="Times New Roman" w:hAnsi="Times New Roman" w:cs="Times New Roman"/>
                <w:color w:val="000000"/>
                <w:sz w:val="18"/>
                <w:szCs w:val="18"/>
                <w:lang w:val="sr-Cyrl-RS" w:eastAsia="sr-Latn-RS"/>
              </w:rPr>
              <w:t>(d)</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(d) that the Union greenhouse gas inventory includes a consistent time series of emissions and removals by sinks for all reported years.</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2.2</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2.   The Commission and the Member States shall strive to increase the comparability of Member States' greenhouse gas inventories.</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290"/>
        </w:trPr>
        <w:tc>
          <w:tcPr>
            <w:tcW w:w="428" w:type="pct"/>
            <w:shd w:val="clear" w:color="auto" w:fill="D9D9D9" w:themeFill="background1" w:themeFillShade="D9"/>
            <w:noWrap/>
            <w:vAlign w:val="center"/>
            <w:hideMark/>
          </w:tcPr>
          <w:p w:rsidR="002B0DFD" w:rsidRPr="00CC383D" w:rsidRDefault="002B0DFD" w:rsidP="00AA7987">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3</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Union greenhouse gas inventory quality assurance and quality control programme</w:t>
            </w:r>
          </w:p>
        </w:tc>
        <w:tc>
          <w:tcPr>
            <w:tcW w:w="387" w:type="pct"/>
            <w:shd w:val="clear" w:color="000000" w:fill="D9D9D9"/>
            <w:noWrap/>
            <w:vAlign w:val="center"/>
          </w:tcPr>
          <w:p w:rsidR="002B0DFD" w:rsidRPr="00CC383D" w:rsidRDefault="002B0DFD" w:rsidP="00745E26">
            <w:pPr>
              <w:rPr>
                <w:rFonts w:ascii="Times New Roman" w:eastAsia="Times New Roman" w:hAnsi="Times New Roman" w:cs="Times New Roman"/>
                <w:color w:val="000000"/>
                <w:sz w:val="18"/>
                <w:szCs w:val="18"/>
                <w:lang w:val="sr-Cyrl-RS" w:eastAsia="sr-Latn-RS"/>
              </w:rPr>
            </w:pPr>
          </w:p>
        </w:tc>
        <w:tc>
          <w:tcPr>
            <w:tcW w:w="966" w:type="pct"/>
            <w:shd w:val="clear" w:color="000000" w:fill="D9D9D9"/>
            <w:noWrap/>
            <w:vAlign w:val="center"/>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289" w:type="pct"/>
            <w:shd w:val="clear" w:color="000000" w:fill="D9D9D9"/>
            <w:vAlign w:val="center"/>
            <w:hideMark/>
          </w:tcPr>
          <w:p w:rsidR="002B0DFD" w:rsidRPr="00CC383D" w:rsidRDefault="002B0DFD" w:rsidP="00745E26">
            <w:pPr>
              <w:jc w:val="cente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962" w:type="pct"/>
            <w:shd w:val="clear" w:color="000000" w:fill="D9D9D9"/>
            <w:noWrap/>
            <w:vAlign w:val="center"/>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369" w:type="pct"/>
            <w:shd w:val="clear" w:color="000000" w:fill="D9D9D9"/>
            <w:noWrap/>
            <w:vAlign w:val="center"/>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3.1</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1.   The Union quality assurance and quality control programme referred to in Article 6(1)(a) of Regulation (EU) No 525/2013 shall complement the quality assurance and quality control programmes implemented by the Member States.</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84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lastRenderedPageBreak/>
              <w:t>3.2</w:t>
            </w:r>
          </w:p>
        </w:tc>
        <w:tc>
          <w:tcPr>
            <w:tcW w:w="1599" w:type="pct"/>
            <w:shd w:val="clear" w:color="auto" w:fill="D9D9D9" w:themeFill="background1" w:themeFillShade="D9"/>
            <w:vAlign w:val="center"/>
            <w:hideMark/>
          </w:tcPr>
          <w:p w:rsidR="002B0DFD" w:rsidRPr="00CC383D" w:rsidRDefault="002B0DFD" w:rsidP="00C96B1B">
            <w:pPr>
              <w:rPr>
                <w:rFonts w:ascii="Times New Roman" w:eastAsia="Times New Roman" w:hAnsi="Times New Roman" w:cs="Times New Roman"/>
                <w:bCs/>
                <w:sz w:val="18"/>
                <w:szCs w:val="18"/>
                <w:lang w:val="sr-Cyrl-RS" w:eastAsia="sr-Latn-RS"/>
              </w:rPr>
            </w:pPr>
            <w:r w:rsidRPr="00CC383D">
              <w:rPr>
                <w:rFonts w:ascii="Times New Roman" w:eastAsia="Times New Roman" w:hAnsi="Times New Roman" w:cs="Times New Roman"/>
                <w:bCs/>
                <w:sz w:val="18"/>
                <w:szCs w:val="18"/>
                <w:lang w:val="sr-Cyrl-RS" w:eastAsia="sr-Latn-RS"/>
              </w:rPr>
              <w:t>2.   Member States shall ensure the quality of activity data, emission factors and other parameters used for their national greenhouse gas inventory including by applying Articles 6 and 7.</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000000"/>
                <w:sz w:val="18"/>
                <w:szCs w:val="18"/>
                <w:lang w:val="sr-Cyrl-RS" w:eastAsia="sr-Latn-RS"/>
              </w:rPr>
            </w:pPr>
          </w:p>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61.1</w:t>
            </w:r>
          </w:p>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61.2</w:t>
            </w:r>
          </w:p>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61.3</w:t>
            </w:r>
          </w:p>
        </w:tc>
        <w:tc>
          <w:tcPr>
            <w:tcW w:w="966" w:type="pct"/>
            <w:shd w:val="clear" w:color="auto" w:fill="auto"/>
            <w:noWrap/>
            <w:vAlign w:val="center"/>
            <w:hideMark/>
          </w:tcPr>
          <w:p w:rsidR="00F961CD" w:rsidRPr="00CC383D" w:rsidRDefault="002B0DFD" w:rsidP="00F961CD">
            <w:pPr>
              <w:autoSpaceDE w:val="0"/>
              <w:autoSpaceDN w:val="0"/>
              <w:jc w:val="both"/>
              <w:rPr>
                <w:rFonts w:ascii="Times New Roman" w:eastAsia="Times New Roman" w:hAnsi="Times New Roman" w:cs="Times New Roman"/>
                <w:sz w:val="18"/>
                <w:szCs w:val="18"/>
                <w:lang w:val="sr-Cyrl-RS"/>
              </w:rPr>
            </w:pPr>
            <w:r w:rsidRPr="00CC383D">
              <w:rPr>
                <w:rFonts w:ascii="Times New Roman" w:eastAsia="Times New Roman" w:hAnsi="Times New Roman" w:cs="Times New Roman"/>
                <w:color w:val="000000"/>
                <w:sz w:val="18"/>
                <w:szCs w:val="18"/>
                <w:lang w:val="sr-Cyrl-RS" w:eastAsia="sr-Latn-RS"/>
              </w:rPr>
              <w:t> </w:t>
            </w:r>
            <w:r w:rsidR="00F961CD" w:rsidRPr="00CC383D">
              <w:rPr>
                <w:rFonts w:ascii="Times New Roman" w:eastAsia="Times New Roman" w:hAnsi="Times New Roman" w:cs="Times New Roman"/>
                <w:sz w:val="18"/>
                <w:szCs w:val="18"/>
                <w:lang w:val="sr-Cyrl-RS"/>
              </w:rPr>
              <w:t>Агенција израђује и спроводи План осигурања квалитета и контроле квалитета података за потребе израде и унапређења квалитета Инвентара GHG.</w:t>
            </w:r>
          </w:p>
          <w:p w:rsidR="009446D0" w:rsidRPr="00CC383D" w:rsidRDefault="009446D0" w:rsidP="00F961CD">
            <w:pPr>
              <w:autoSpaceDE w:val="0"/>
              <w:autoSpaceDN w:val="0"/>
              <w:jc w:val="both"/>
              <w:rPr>
                <w:rFonts w:ascii="Times New Roman" w:eastAsia="Times New Roman" w:hAnsi="Times New Roman" w:cs="Times New Roman"/>
                <w:sz w:val="18"/>
                <w:szCs w:val="18"/>
                <w:lang w:val="sr-Cyrl-RS"/>
              </w:rPr>
            </w:pPr>
          </w:p>
          <w:p w:rsidR="00F961CD" w:rsidRPr="00CC383D" w:rsidRDefault="00F961CD" w:rsidP="00F961CD">
            <w:pPr>
              <w:autoSpaceDE w:val="0"/>
              <w:autoSpaceDN w:val="0"/>
              <w:jc w:val="both"/>
              <w:rPr>
                <w:rFonts w:ascii="Times New Roman" w:eastAsia="Times New Roman" w:hAnsi="Times New Roman" w:cs="Times New Roman"/>
                <w:sz w:val="18"/>
                <w:szCs w:val="18"/>
                <w:lang w:val="sr-Cyrl-RS"/>
              </w:rPr>
            </w:pPr>
            <w:r w:rsidRPr="00CC383D">
              <w:rPr>
                <w:rFonts w:ascii="Times New Roman" w:eastAsia="Times New Roman" w:hAnsi="Times New Roman" w:cs="Times New Roman"/>
                <w:sz w:val="18"/>
                <w:szCs w:val="18"/>
                <w:lang w:val="sr-Cyrl-RS"/>
              </w:rPr>
              <w:t xml:space="preserve">Агенција координира активности са органима и организацијама из члана 59. овог закона, како би осигурала квалитет и обезбедила контролу квалитета података у складу са планом из става 1. </w:t>
            </w:r>
          </w:p>
          <w:p w:rsidR="009446D0" w:rsidRPr="00CC383D" w:rsidRDefault="009446D0" w:rsidP="00F961CD">
            <w:pPr>
              <w:autoSpaceDE w:val="0"/>
              <w:autoSpaceDN w:val="0"/>
              <w:jc w:val="both"/>
              <w:rPr>
                <w:rFonts w:ascii="Times New Roman" w:eastAsia="Times New Roman" w:hAnsi="Times New Roman" w:cs="Times New Roman"/>
                <w:sz w:val="18"/>
                <w:szCs w:val="18"/>
                <w:lang w:val="sr-Cyrl-RS"/>
              </w:rPr>
            </w:pPr>
          </w:p>
          <w:p w:rsidR="009446D0" w:rsidRPr="00CC383D" w:rsidRDefault="00F961CD" w:rsidP="00F961CD">
            <w:pPr>
              <w:autoSpaceDE w:val="0"/>
              <w:autoSpaceDN w:val="0"/>
              <w:jc w:val="both"/>
              <w:rPr>
                <w:rFonts w:ascii="Times New Roman" w:eastAsia="Times New Roman" w:hAnsi="Times New Roman" w:cs="Times New Roman"/>
                <w:sz w:val="18"/>
                <w:szCs w:val="18"/>
                <w:lang w:val="sr-Cyrl-RS"/>
              </w:rPr>
            </w:pPr>
            <w:r w:rsidRPr="00CC383D">
              <w:rPr>
                <w:rFonts w:ascii="Times New Roman" w:eastAsia="Times New Roman" w:hAnsi="Times New Roman" w:cs="Times New Roman"/>
                <w:sz w:val="18"/>
                <w:szCs w:val="18"/>
                <w:lang w:val="sr-Cyrl-RS"/>
              </w:rPr>
              <w:t>Органи и организације из члана 59. поступају по процедурама из плана из става 1 овог члана и о свим реализованим и планираним изменама обавештавају Агенцију уз које достављају и образложење.</w:t>
            </w:r>
          </w:p>
          <w:p w:rsidR="002B0DFD" w:rsidRPr="00CC383D" w:rsidRDefault="002B0DFD" w:rsidP="00745E26">
            <w:pPr>
              <w:rPr>
                <w:rFonts w:ascii="Times New Roman" w:eastAsia="Times New Roman" w:hAnsi="Times New Roman" w:cs="Times New Roman"/>
                <w:color w:val="000000"/>
                <w:sz w:val="18"/>
                <w:szCs w:val="18"/>
                <w:lang w:val="sr-Cyrl-RS" w:eastAsia="sr-Latn-RS"/>
              </w:rPr>
            </w:pPr>
          </w:p>
        </w:tc>
        <w:tc>
          <w:tcPr>
            <w:tcW w:w="289" w:type="pct"/>
            <w:shd w:val="clear" w:color="auto" w:fill="auto"/>
            <w:vAlign w:val="center"/>
            <w:hideMark/>
          </w:tcPr>
          <w:p w:rsidR="002B0DFD" w:rsidRPr="00CC383D" w:rsidRDefault="002B0DFD" w:rsidP="00745E26">
            <w:pPr>
              <w:jc w:val="center"/>
              <w:rPr>
                <w:rFonts w:ascii="Times New Roman" w:eastAsia="Times New Roman" w:hAnsi="Times New Roman" w:cs="Times New Roman"/>
                <w:color w:val="000000"/>
                <w:sz w:val="18"/>
                <w:szCs w:val="18"/>
                <w:lang w:val="sr-Cyrl-RS" w:eastAsia="sr-Latn-RS"/>
              </w:rPr>
            </w:pPr>
            <w:r w:rsidRPr="00CC383D">
              <w:rPr>
                <w:rFonts w:ascii="Times New Roman" w:hAnsi="Times New Roman" w:cs="Times New Roman"/>
                <w:sz w:val="18"/>
                <w:szCs w:val="18"/>
                <w:lang w:val="sr-Cyrl-RS"/>
              </w:rPr>
              <w:t>ПУ</w:t>
            </w:r>
          </w:p>
        </w:tc>
        <w:tc>
          <w:tcPr>
            <w:tcW w:w="962" w:type="pct"/>
            <w:shd w:val="clear" w:color="auto" w:fill="auto"/>
            <w:noWrap/>
            <w:vAlign w:val="center"/>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3.3</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3.   Member States shall provide to the Commission and to the European Environment Agency all relevant information from their archives set up and managed in accordance with paragraph 16(a) of Annex to Decision 19/CMP.1 of the Conference of the Parties to the UNFCCC serving as the meeting of the Parties to the Kyoto Protocol, if required during the UNFCCC review of the Union greenhouse gas inventory.</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290"/>
        </w:trPr>
        <w:tc>
          <w:tcPr>
            <w:tcW w:w="428" w:type="pct"/>
            <w:shd w:val="clear" w:color="auto" w:fill="D9D9D9" w:themeFill="background1" w:themeFillShade="D9"/>
            <w:noWrap/>
            <w:vAlign w:val="center"/>
            <w:hideMark/>
          </w:tcPr>
          <w:p w:rsidR="002B0DFD" w:rsidRPr="00CC383D" w:rsidRDefault="002B0DFD" w:rsidP="00AA7987">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4</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Gap filling</w:t>
            </w:r>
          </w:p>
        </w:tc>
        <w:tc>
          <w:tcPr>
            <w:tcW w:w="387" w:type="pct"/>
            <w:shd w:val="clear" w:color="000000" w:fill="D9D9D9"/>
            <w:noWrap/>
            <w:vAlign w:val="center"/>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966" w:type="pct"/>
            <w:shd w:val="clear" w:color="000000" w:fill="D9D9D9"/>
            <w:noWrap/>
            <w:vAlign w:val="center"/>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289" w:type="pct"/>
            <w:shd w:val="clear" w:color="000000" w:fill="D9D9D9"/>
            <w:vAlign w:val="center"/>
            <w:hideMark/>
          </w:tcPr>
          <w:p w:rsidR="002B0DFD" w:rsidRPr="00CC383D" w:rsidRDefault="002B0DFD" w:rsidP="00745E26">
            <w:pPr>
              <w:jc w:val="cente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962" w:type="pct"/>
            <w:shd w:val="clear" w:color="000000" w:fill="D9D9D9"/>
            <w:noWrap/>
            <w:vAlign w:val="center"/>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369" w:type="pct"/>
            <w:shd w:val="clear" w:color="000000" w:fill="D9D9D9"/>
            <w:noWrap/>
            <w:vAlign w:val="center"/>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4.1</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1.   The Commission estimates for data missing from a Member State's greenhouse gas inventory as referred to in Article 9(2) of Regulation (EU) No 525/2013 shall be based on the following methodologies and data:</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4.1.(а)</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(a) where a Member State has submitted in the previous reporting year a consistent time series of estimates for the relevant source category that has not been subject to adjustments under Article 5(2) of the Kyoto Protocol and any of the following occurs:</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4.1.(а).</w:t>
            </w:r>
            <w:r w:rsidR="00E71BAF" w:rsidRPr="00CC383D">
              <w:rPr>
                <w:rFonts w:ascii="Times New Roman" w:eastAsia="Times New Roman" w:hAnsi="Times New Roman" w:cs="Times New Roman"/>
                <w:color w:val="000000"/>
                <w:sz w:val="18"/>
                <w:szCs w:val="18"/>
                <w:lang w:val="sr-Cyrl-RS" w:eastAsia="sr-Latn-RS"/>
              </w:rPr>
              <w:t>(i)</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(i) that Member State has submitted an approximated greenhouse gas inventory for the year X – 1 pursuant to Article 8(1) of Regulation (EU) No 525/2013 that includes the missing estimate, on the data from that approximated greenhouse gas inventory;</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lastRenderedPageBreak/>
              <w:t>4.1.(а).</w:t>
            </w:r>
            <w:r w:rsidR="00E71BAF" w:rsidRPr="00CC383D">
              <w:rPr>
                <w:rFonts w:ascii="Times New Roman" w:eastAsia="Times New Roman" w:hAnsi="Times New Roman" w:cs="Times New Roman"/>
                <w:color w:val="000000"/>
                <w:sz w:val="18"/>
                <w:szCs w:val="18"/>
                <w:lang w:val="sr-Cyrl-RS" w:eastAsia="sr-Latn-RS"/>
              </w:rPr>
              <w:t>(ii)</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(ii) that Member State has not submitted an approximated greenhouse gas inventory for the year X – 1 under Article 8(1) of Regulation (EU) No 525/2013, but the Union has estimated approximated greenhouse gas emissions for the year X – 1 for the Member States in accordance with Article 8(1) of Regulation (EU) No 525/2013, on the data from that Union approximated greenhouse gas inventory;</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4.1.(а).</w:t>
            </w:r>
            <w:r w:rsidR="00E71BAF" w:rsidRPr="00CC383D">
              <w:rPr>
                <w:rFonts w:ascii="Times New Roman" w:eastAsia="Times New Roman" w:hAnsi="Times New Roman" w:cs="Times New Roman"/>
                <w:color w:val="000000"/>
                <w:sz w:val="18"/>
                <w:szCs w:val="18"/>
                <w:lang w:val="sr-Cyrl-RS" w:eastAsia="sr-Latn-RS"/>
              </w:rPr>
              <w:t>(iii)</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(iii) the use of the data from the approximated greenhouse gas inventory is not possible or may lead to a highly inaccurate estimation, for missing estimates in the energy sector, on the data obtained in accordance with Regulation (EC) No 1099/2008 of the European Parliament and of the Council (4);</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4.1.(а).</w:t>
            </w:r>
            <w:r w:rsidR="00E71BAF" w:rsidRPr="00CC383D">
              <w:rPr>
                <w:rFonts w:ascii="Times New Roman" w:eastAsia="Times New Roman" w:hAnsi="Times New Roman" w:cs="Times New Roman"/>
                <w:color w:val="000000"/>
                <w:sz w:val="18"/>
                <w:szCs w:val="18"/>
                <w:lang w:val="sr-Cyrl-RS" w:eastAsia="sr-Latn-RS"/>
              </w:rPr>
              <w:t>(iv)</w:t>
            </w:r>
            <w:r w:rsidRPr="00CC383D">
              <w:rPr>
                <w:rFonts w:ascii="Times New Roman" w:eastAsia="Times New Roman" w:hAnsi="Times New Roman" w:cs="Times New Roman"/>
                <w:color w:val="000000"/>
                <w:sz w:val="18"/>
                <w:szCs w:val="18"/>
                <w:lang w:val="sr-Cyrl-RS" w:eastAsia="sr-Latn-RS"/>
              </w:rPr>
              <w:t xml:space="preserve"> </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(iv) the use of the data from the approximated greenhouse gas inventory is not possible or may lead to a highly inaccurate estimation, for missing estimates in non-energy sectors, on estimation based on the technical guidance on methodologies for adjustments under Article 5(2) of the Kyoto Protocol without application of the conservativeness factor defined in that guidance.</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4.1.</w:t>
            </w:r>
            <w:r w:rsidR="00E71BAF" w:rsidRPr="00CC383D">
              <w:rPr>
                <w:rFonts w:ascii="Times New Roman" w:eastAsia="Times New Roman" w:hAnsi="Times New Roman" w:cs="Times New Roman"/>
                <w:color w:val="000000"/>
                <w:sz w:val="18"/>
                <w:szCs w:val="18"/>
                <w:lang w:val="sr-Cyrl-RS" w:eastAsia="sr-Latn-RS"/>
              </w:rPr>
              <w:t>(b)</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(b) where an estimate for the relevant source category was subject to adjustments under Article 5(2) of the Kyoto Protocol in previous years and the Member State concerned has not submitted a revised estimate, on the basic adjustment method used by the expert review team as set out in the technical guidance on methodologies for adjustments under Article 5(2) of the Kyoto Protocol without application of the conservativeness factor defined in that guidance;</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4.1.</w:t>
            </w:r>
            <w:r w:rsidR="00E71BAF" w:rsidRPr="00CC383D">
              <w:rPr>
                <w:rFonts w:ascii="Times New Roman" w:eastAsia="Times New Roman" w:hAnsi="Times New Roman" w:cs="Times New Roman"/>
                <w:color w:val="000000"/>
                <w:sz w:val="18"/>
                <w:szCs w:val="18"/>
                <w:lang w:val="sr-Cyrl-RS" w:eastAsia="sr-Latn-RS"/>
              </w:rPr>
              <w:t>(c)</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(c) where an estimate for the relevant category was subject to technical corrections under point (c) of Article 19(3) of Regulation (EU) No 525/2013 in previous years and the Member State concerned has not submitted a revised estimate, on the method used by the technical expert review team to calculate the technical correction;</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4.1.</w:t>
            </w:r>
            <w:r w:rsidR="00E71BAF" w:rsidRPr="00CC383D">
              <w:rPr>
                <w:rFonts w:ascii="Times New Roman" w:eastAsia="Times New Roman" w:hAnsi="Times New Roman" w:cs="Times New Roman"/>
                <w:color w:val="000000"/>
                <w:sz w:val="18"/>
                <w:szCs w:val="18"/>
                <w:lang w:val="sr-Cyrl-RS" w:eastAsia="sr-Latn-RS"/>
              </w:rPr>
              <w:t>(d)</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(d) where a consistent time series of reported estimates for the relevant source category is not available and the estimate of the source category has not been subject to adjustments under Article 5(2) of the Kyoto Protocol, on the technical guidance for adjustments, without application of the conservativeness factor defined in that guidance.</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4.2</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2.   The Commission shall prepare the estimates referred to in paragraph 1 by 31 March of the reporting year in consultation with the Member State concerned.</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lastRenderedPageBreak/>
              <w:t>4.3</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3.   The Member State concerned shall use the estimates referred to in paragraph 1 for its national submission to the UNFCCC Secretariat of 15 April to ensure consistency between the Union greenhouse gas inventory and the Member States' greenhouse gas inventories.</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290"/>
        </w:trPr>
        <w:tc>
          <w:tcPr>
            <w:tcW w:w="428" w:type="pct"/>
            <w:shd w:val="clear" w:color="auto" w:fill="D9D9D9" w:themeFill="background1" w:themeFillShade="D9"/>
            <w:noWrap/>
            <w:vAlign w:val="center"/>
            <w:hideMark/>
          </w:tcPr>
          <w:p w:rsidR="002B0DFD" w:rsidRPr="00CC383D" w:rsidRDefault="002B0DFD" w:rsidP="00AA7987">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5</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Timescales for cooperation and coordination during the annual reporting process and the UNFCCC review</w:t>
            </w:r>
          </w:p>
        </w:tc>
        <w:tc>
          <w:tcPr>
            <w:tcW w:w="387" w:type="pct"/>
            <w:shd w:val="clear" w:color="000000" w:fill="D9D9D9"/>
            <w:noWrap/>
            <w:vAlign w:val="center"/>
          </w:tcPr>
          <w:p w:rsidR="002B0DFD" w:rsidRPr="00CC383D" w:rsidRDefault="002B0DFD" w:rsidP="00745E26">
            <w:pPr>
              <w:rPr>
                <w:rFonts w:ascii="Times New Roman" w:eastAsia="Times New Roman" w:hAnsi="Times New Roman" w:cs="Times New Roman"/>
                <w:color w:val="000000"/>
                <w:sz w:val="18"/>
                <w:szCs w:val="18"/>
                <w:lang w:val="sr-Cyrl-RS" w:eastAsia="sr-Latn-RS"/>
              </w:rPr>
            </w:pPr>
          </w:p>
        </w:tc>
        <w:tc>
          <w:tcPr>
            <w:tcW w:w="966" w:type="pct"/>
            <w:shd w:val="clear" w:color="000000" w:fill="D9D9D9"/>
            <w:noWrap/>
            <w:vAlign w:val="center"/>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289" w:type="pct"/>
            <w:shd w:val="clear" w:color="000000" w:fill="D9D9D9"/>
            <w:vAlign w:val="center"/>
            <w:hideMark/>
          </w:tcPr>
          <w:p w:rsidR="002B0DFD" w:rsidRPr="00CC383D" w:rsidRDefault="002B0DFD" w:rsidP="00745E26">
            <w:pPr>
              <w:jc w:val="cente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962" w:type="pct"/>
            <w:shd w:val="clear" w:color="000000" w:fill="D9D9D9"/>
            <w:noWrap/>
            <w:vAlign w:val="center"/>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369" w:type="pct"/>
            <w:shd w:val="clear" w:color="000000" w:fill="D9D9D9"/>
            <w:noWrap/>
            <w:vAlign w:val="center"/>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5.1</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1.   When a Member State intends to re-submit its inventory to the UNFCCC Secretariat by 27 May, that Member State shall report the same inventory in advance to the Commission by 8 May. The information as reported to the Commission shall not differ from the submission to the UNFCCC Secretariat.</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5.2</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2.   When a Member State intends to make any other re-submission of its inventory to the UNFCCC Secretariat after 27 May that contains information different from that already reported to the Commission, that Member State shall report such information to the Commission no later than within one week of re-submitting it to the UNFCCC Secretariat.</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5.3</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3.   A Member State shall report the following information to the Commission:</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5.3.(а)</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(a) indications from an expert review team of any potential problem with the Member State's greenhouse gas inventory related to requirements of a mandatory nature and which could lead to an adjustment or a potential question of implementation (the ‘Saturday paper’), within one week of receiving the information from the UNFCCC Secretariat;</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5.3.</w:t>
            </w:r>
            <w:r w:rsidR="00E71BAF" w:rsidRPr="00CC383D">
              <w:rPr>
                <w:rFonts w:ascii="Times New Roman" w:eastAsia="Times New Roman" w:hAnsi="Times New Roman" w:cs="Times New Roman"/>
                <w:color w:val="000000"/>
                <w:sz w:val="18"/>
                <w:szCs w:val="18"/>
                <w:lang w:val="sr-Cyrl-RS" w:eastAsia="sr-Latn-RS"/>
              </w:rPr>
              <w:t>(b)</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(b) corrections to the estimates of greenhouse gas emissions applied in agreement between the Member State and the expert review team to the greenhouse gas inventory submission concerned during the review process as contained in the response to the indications referred to under point (a), within one week of submitting it to the UNFCCC Secretariat;</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5.3.</w:t>
            </w:r>
            <w:r w:rsidR="00E71BAF" w:rsidRPr="00CC383D">
              <w:rPr>
                <w:rFonts w:ascii="Times New Roman" w:eastAsia="Times New Roman" w:hAnsi="Times New Roman" w:cs="Times New Roman"/>
                <w:color w:val="000000"/>
                <w:sz w:val="18"/>
                <w:szCs w:val="18"/>
                <w:lang w:val="sr-Cyrl-RS" w:eastAsia="sr-Latn-RS"/>
              </w:rPr>
              <w:t>(c)</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(c) the draft individual inventory review report that contains the adjusted estimates of greenhouse gas emissions or a question of implementation where the Member State has not resolved the problem raised by the expert review team, within one week of receiving that report from the UNFCCC Secretariat;</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5.3.</w:t>
            </w:r>
            <w:r w:rsidR="00E71BAF" w:rsidRPr="00CC383D">
              <w:rPr>
                <w:rFonts w:ascii="Times New Roman" w:eastAsia="Times New Roman" w:hAnsi="Times New Roman" w:cs="Times New Roman"/>
                <w:color w:val="000000"/>
                <w:sz w:val="18"/>
                <w:szCs w:val="18"/>
                <w:lang w:val="sr-Cyrl-RS" w:eastAsia="sr-Latn-RS"/>
              </w:rPr>
              <w:t>(d)</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 xml:space="preserve">(d) the response by the Member State to the draft individual inventory review report in case where a proposed adjustment is not accepted accompanied by a summary in which the Member State indicates whether it accepts or rejects any of the proposed adjustments, within one week of submitting the </w:t>
            </w:r>
            <w:r w:rsidRPr="00CC383D">
              <w:rPr>
                <w:rFonts w:ascii="Times New Roman" w:eastAsia="Times New Roman" w:hAnsi="Times New Roman" w:cs="Times New Roman"/>
                <w:sz w:val="18"/>
                <w:szCs w:val="18"/>
                <w:lang w:val="sr-Cyrl-RS" w:eastAsia="sr-Latn-RS"/>
              </w:rPr>
              <w:lastRenderedPageBreak/>
              <w:t>response to the UNFCCC Secretariat;</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lastRenderedPageBreak/>
              <w:t>5.3.</w:t>
            </w:r>
            <w:r w:rsidR="00E71BAF" w:rsidRPr="00CC383D">
              <w:rPr>
                <w:rFonts w:ascii="Times New Roman" w:eastAsia="Times New Roman" w:hAnsi="Times New Roman" w:cs="Times New Roman"/>
                <w:color w:val="000000"/>
                <w:sz w:val="18"/>
                <w:szCs w:val="18"/>
                <w:lang w:val="sr-Cyrl-RS" w:eastAsia="sr-Latn-RS"/>
              </w:rPr>
              <w:t>(e)</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(e) the final individual inventory review report, within one week of receiving it from the UNFCCC Secretariat;</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5.3.</w:t>
            </w:r>
            <w:r w:rsidR="00E71BAF" w:rsidRPr="00CC383D">
              <w:rPr>
                <w:rFonts w:ascii="Times New Roman" w:eastAsia="Times New Roman" w:hAnsi="Times New Roman" w:cs="Times New Roman"/>
                <w:color w:val="000000"/>
                <w:sz w:val="18"/>
                <w:szCs w:val="18"/>
                <w:lang w:val="sr-Cyrl-RS" w:eastAsia="sr-Latn-RS"/>
              </w:rPr>
              <w:t>(f)</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(f) any question of implementation that has been submitted to the Compliance Committee of the Kyoto Protocol, the notification by the Compliance Committee to proceed with a question of implementation, and all preliminary findings and decisions of the Compliance Committee and its branches concerning the Member State, within one week of receiving it from the UNFCCC Secretariat.</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5.4</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4.   The services of the Commission shall provide a summary of the information referred to in paragraph 3 to all Member States.</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5.5</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5.   The services of the Commission shall provide the Member States with the information referred to in paragraph 3 applying that paragraph mutatis mutandis to the Union greenhouse gas inventory.</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5.6</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6.   Any corrections referred to in point (b) of paragraph 3 as regards the Union greenhouse gas inventory submission shall be made in cooperation with the relevant Member State.</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5.7</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7.   Where adjustments are applied to a Member State's greenhouse gas inventory under the compliance mechanism of the Kyoto Protocol, that Member State shall coordinate with the Commission its response to the review process in relation to obligations under Regulation (EU) No 525/2013 within the following timeframes:</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5.7.(а)</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(a) within the timeframes provided under the Kyoto Protocol, if the adjusted estimates in a single year or the cumulative adjustments in subsequent years of the commitment period for one or more Member States would imply adjustments to the Union greenhouse gas inventory in a quantity leading to a failure to meet the methodological and reporting requirements under Article 7(1) of the Kyoto Protocol for the purpose of the eligibility requirements as set out in the guidelines adopted under Article 7 of the Kyoto Protocol;</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5.7.</w:t>
            </w:r>
            <w:r w:rsidR="00E71BAF" w:rsidRPr="00CC383D">
              <w:rPr>
                <w:rFonts w:ascii="Times New Roman" w:eastAsia="Times New Roman" w:hAnsi="Times New Roman" w:cs="Times New Roman"/>
                <w:color w:val="000000"/>
                <w:sz w:val="18"/>
                <w:szCs w:val="18"/>
                <w:lang w:val="sr-Cyrl-RS" w:eastAsia="sr-Latn-RS"/>
              </w:rPr>
              <w:t>(b)</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(b) within two weeks prior to the submission of:</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5.7.</w:t>
            </w:r>
            <w:r w:rsidR="00E71BAF" w:rsidRPr="00CC383D">
              <w:rPr>
                <w:rFonts w:ascii="Times New Roman" w:eastAsia="Times New Roman" w:hAnsi="Times New Roman" w:cs="Times New Roman"/>
                <w:color w:val="000000"/>
                <w:sz w:val="18"/>
                <w:szCs w:val="18"/>
                <w:lang w:val="sr-Cyrl-RS" w:eastAsia="sr-Latn-RS"/>
              </w:rPr>
              <w:t>(b)</w:t>
            </w:r>
            <w:r w:rsidRPr="00CC383D">
              <w:rPr>
                <w:rFonts w:ascii="Times New Roman" w:eastAsia="Times New Roman" w:hAnsi="Times New Roman" w:cs="Times New Roman"/>
                <w:color w:val="000000"/>
                <w:sz w:val="18"/>
                <w:szCs w:val="18"/>
                <w:lang w:val="sr-Cyrl-RS" w:eastAsia="sr-Latn-RS"/>
              </w:rPr>
              <w:t>.</w:t>
            </w:r>
            <w:r w:rsidR="00E71BAF" w:rsidRPr="00CC383D">
              <w:rPr>
                <w:rFonts w:ascii="Times New Roman" w:eastAsia="Times New Roman" w:hAnsi="Times New Roman" w:cs="Times New Roman"/>
                <w:color w:val="000000"/>
                <w:sz w:val="18"/>
                <w:szCs w:val="18"/>
                <w:lang w:val="sr-Cyrl-RS" w:eastAsia="sr-Latn-RS"/>
              </w:rPr>
              <w:t>(i)</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(i) a request for reinstatement of eligibility to the relevant bodies under the Kyoto Protocol;</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lastRenderedPageBreak/>
              <w:t>5.7.</w:t>
            </w:r>
            <w:r w:rsidR="00E71BAF" w:rsidRPr="00CC383D">
              <w:rPr>
                <w:rFonts w:ascii="Times New Roman" w:eastAsia="Times New Roman" w:hAnsi="Times New Roman" w:cs="Times New Roman"/>
                <w:color w:val="000000"/>
                <w:sz w:val="18"/>
                <w:szCs w:val="18"/>
                <w:lang w:val="sr-Cyrl-RS" w:eastAsia="sr-Latn-RS"/>
              </w:rPr>
              <w:t>(b)</w:t>
            </w:r>
            <w:r w:rsidRPr="00CC383D">
              <w:rPr>
                <w:rFonts w:ascii="Times New Roman" w:eastAsia="Times New Roman" w:hAnsi="Times New Roman" w:cs="Times New Roman"/>
                <w:color w:val="000000"/>
                <w:sz w:val="18"/>
                <w:szCs w:val="18"/>
                <w:lang w:val="sr-Cyrl-RS" w:eastAsia="sr-Latn-RS"/>
              </w:rPr>
              <w:t>.</w:t>
            </w:r>
            <w:r w:rsidR="00E71BAF" w:rsidRPr="00CC383D">
              <w:rPr>
                <w:rFonts w:ascii="Times New Roman" w:eastAsia="Times New Roman" w:hAnsi="Times New Roman" w:cs="Times New Roman"/>
                <w:color w:val="000000"/>
                <w:sz w:val="18"/>
                <w:szCs w:val="18"/>
                <w:lang w:val="sr-Cyrl-RS" w:eastAsia="sr-Latn-RS"/>
              </w:rPr>
              <w:t>(ii)</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(ii) a response to a decision to proceed with a question of implementation or to preliminary findings of the Compliance Committee.</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5.8.</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8.   During the UNFCCC review week of the Union inventory, Member States shall provide as soon as possible answers relating to the issues under their responsibility pursuant to Article 4(2) and (3) of this Regulation to the questions raised by the UNFCCC reviewers.</w:t>
            </w:r>
          </w:p>
        </w:tc>
        <w:tc>
          <w:tcPr>
            <w:tcW w:w="387" w:type="pct"/>
            <w:shd w:val="clear" w:color="auto" w:fill="auto"/>
            <w:noWrap/>
            <w:vAlign w:val="center"/>
          </w:tcPr>
          <w:p w:rsidR="002B0DFD" w:rsidRPr="00CC383D" w:rsidRDefault="002B0DFD" w:rsidP="00745E26">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45E26">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45E26">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290"/>
        </w:trPr>
        <w:tc>
          <w:tcPr>
            <w:tcW w:w="428" w:type="pct"/>
            <w:shd w:val="clear" w:color="auto" w:fill="D9D9D9" w:themeFill="background1" w:themeFillShade="D9"/>
            <w:noWrap/>
            <w:vAlign w:val="center"/>
            <w:hideMark/>
          </w:tcPr>
          <w:p w:rsidR="002B0DFD" w:rsidRPr="00CC383D" w:rsidRDefault="002B0DFD" w:rsidP="00AA7987">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6</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Greenhouse Gas Inventory Guidelines</w:t>
            </w:r>
          </w:p>
        </w:tc>
        <w:tc>
          <w:tcPr>
            <w:tcW w:w="387" w:type="pct"/>
            <w:shd w:val="clear" w:color="000000" w:fill="D9D9D9"/>
            <w:noWrap/>
            <w:vAlign w:val="center"/>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966" w:type="pct"/>
            <w:shd w:val="clear" w:color="000000" w:fill="D9D9D9"/>
            <w:noWrap/>
            <w:vAlign w:val="center"/>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289" w:type="pct"/>
            <w:shd w:val="clear" w:color="000000" w:fill="D9D9D9"/>
            <w:vAlign w:val="center"/>
            <w:hideMark/>
          </w:tcPr>
          <w:p w:rsidR="002B0DFD" w:rsidRPr="00CC383D" w:rsidRDefault="002B0DFD" w:rsidP="00745E26">
            <w:pPr>
              <w:jc w:val="cente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962" w:type="pct"/>
            <w:shd w:val="clear" w:color="000000" w:fill="D9D9D9"/>
            <w:noWrap/>
            <w:vAlign w:val="center"/>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369" w:type="pct"/>
            <w:shd w:val="clear" w:color="000000" w:fill="D9D9D9"/>
            <w:noWrap/>
            <w:vAlign w:val="center"/>
            <w:hideMark/>
          </w:tcPr>
          <w:p w:rsidR="002B0DFD" w:rsidRPr="00CC383D" w:rsidRDefault="002B0DFD" w:rsidP="00745E26">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r>
      <w:tr w:rsidR="002B0DFD" w:rsidRPr="00CC383D" w:rsidTr="00667F4D">
        <w:trPr>
          <w:trHeight w:val="840"/>
        </w:trPr>
        <w:tc>
          <w:tcPr>
            <w:tcW w:w="428" w:type="pct"/>
            <w:shd w:val="clear" w:color="auto" w:fill="D9D9D9" w:themeFill="background1" w:themeFillShade="D9"/>
            <w:noWrap/>
            <w:vAlign w:val="bottom"/>
            <w:hideMark/>
          </w:tcPr>
          <w:p w:rsidR="002B0DFD" w:rsidRPr="00CC383D" w:rsidRDefault="002B0DFD" w:rsidP="00781D00">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6..</w:t>
            </w:r>
          </w:p>
        </w:tc>
        <w:tc>
          <w:tcPr>
            <w:tcW w:w="1599" w:type="pct"/>
            <w:shd w:val="clear" w:color="auto" w:fill="D9D9D9" w:themeFill="background1" w:themeFillShade="D9"/>
            <w:vAlign w:val="center"/>
            <w:hideMark/>
          </w:tcPr>
          <w:p w:rsidR="002B0DFD" w:rsidRPr="00CC383D" w:rsidRDefault="002B0DFD" w:rsidP="00C96B1B">
            <w:pPr>
              <w:rPr>
                <w:rFonts w:ascii="Times New Roman" w:eastAsia="Times New Roman" w:hAnsi="Times New Roman" w:cs="Times New Roman"/>
                <w:bCs/>
                <w:sz w:val="18"/>
                <w:szCs w:val="18"/>
                <w:lang w:val="sr-Cyrl-RS" w:eastAsia="sr-Latn-RS"/>
              </w:rPr>
            </w:pPr>
            <w:r w:rsidRPr="00CC383D">
              <w:rPr>
                <w:rFonts w:ascii="Times New Roman" w:eastAsia="Times New Roman" w:hAnsi="Times New Roman" w:cs="Times New Roman"/>
                <w:bCs/>
                <w:sz w:val="18"/>
                <w:szCs w:val="18"/>
                <w:lang w:val="sr-Cyrl-RS" w:eastAsia="sr-Latn-RS"/>
              </w:rPr>
              <w:t>Member States and the Commission shall determine greenhouse gas inventories referred to in paragraphs 1 to 5 of Article 7 of Regulation (EU) No 525/2013 in accordance with:</w:t>
            </w:r>
          </w:p>
        </w:tc>
        <w:tc>
          <w:tcPr>
            <w:tcW w:w="387" w:type="pct"/>
            <w:shd w:val="clear" w:color="auto" w:fill="auto"/>
            <w:noWrap/>
            <w:vAlign w:val="center"/>
            <w:hideMark/>
          </w:tcPr>
          <w:p w:rsidR="002B0DFD" w:rsidRPr="00CC383D" w:rsidRDefault="002B0DFD" w:rsidP="00781D00">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966" w:type="pct"/>
            <w:shd w:val="clear" w:color="auto" w:fill="auto"/>
            <w:noWrap/>
            <w:vAlign w:val="center"/>
            <w:hideMark/>
          </w:tcPr>
          <w:p w:rsidR="002B0DFD" w:rsidRPr="00CC383D" w:rsidRDefault="002B0DFD" w:rsidP="00AA7987">
            <w:pPr>
              <w:spacing w:line="240" w:lineRule="atLeast"/>
              <w:jc w:val="cente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289" w:type="pct"/>
            <w:shd w:val="clear" w:color="auto" w:fill="auto"/>
            <w:vAlign w:val="center"/>
          </w:tcPr>
          <w:p w:rsidR="002B0DFD" w:rsidRPr="00CC383D" w:rsidRDefault="002B0DFD" w:rsidP="00781D00">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НУ</w:t>
            </w:r>
          </w:p>
        </w:tc>
        <w:tc>
          <w:tcPr>
            <w:tcW w:w="962" w:type="pct"/>
            <w:shd w:val="clear" w:color="auto" w:fill="auto"/>
            <w:noWrap/>
            <w:vAlign w:val="center"/>
            <w:hideMark/>
          </w:tcPr>
          <w:p w:rsidR="00EE4BA9" w:rsidRPr="00CC383D" w:rsidRDefault="002B0DFD" w:rsidP="00781D00">
            <w:pPr>
              <w:jc w:val="center"/>
              <w:rPr>
                <w:rFonts w:ascii="Times New Roman" w:hAnsi="Times New Roman" w:cs="Times New Roman"/>
                <w:sz w:val="18"/>
                <w:szCs w:val="18"/>
                <w:lang w:val="sr-Cyrl-RS"/>
              </w:rPr>
            </w:pPr>
            <w:r w:rsidRPr="00CC383D">
              <w:rPr>
                <w:rFonts w:ascii="Times New Roman" w:eastAsia="Times New Roman" w:hAnsi="Times New Roman" w:cs="Times New Roman"/>
                <w:color w:val="000000"/>
                <w:sz w:val="18"/>
                <w:szCs w:val="18"/>
                <w:lang w:val="sr-Cyrl-RS" w:eastAsia="sr-Latn-RS"/>
              </w:rPr>
              <w:t> </w:t>
            </w:r>
            <w:r w:rsidR="00EE4BA9" w:rsidRPr="00CC383D">
              <w:rPr>
                <w:rFonts w:ascii="Times New Roman" w:hAnsi="Times New Roman" w:cs="Times New Roman"/>
                <w:sz w:val="18"/>
                <w:szCs w:val="18"/>
                <w:lang w:val="sr-Cyrl-RS"/>
              </w:rPr>
              <w:t xml:space="preserve">Потпуна усклађеност биће постигнута усвајањем подзаконског акта </w:t>
            </w:r>
          </w:p>
          <w:p w:rsidR="002B0DFD" w:rsidRPr="00CC383D" w:rsidRDefault="002B0DFD" w:rsidP="00781D00">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5</w:t>
            </w:r>
            <w:r w:rsidR="00F90AE2" w:rsidRPr="00CC383D">
              <w:rPr>
                <w:rFonts w:ascii="Times New Roman" w:hAnsi="Times New Roman" w:cs="Times New Roman"/>
                <w:sz w:val="18"/>
                <w:szCs w:val="18"/>
                <w:lang w:val="sr-Cyrl-RS"/>
              </w:rPr>
              <w:t>9</w:t>
            </w:r>
            <w:r w:rsidRPr="00CC383D">
              <w:rPr>
                <w:rFonts w:ascii="Times New Roman" w:hAnsi="Times New Roman" w:cs="Times New Roman"/>
                <w:sz w:val="18"/>
                <w:szCs w:val="18"/>
                <w:lang w:val="sr-Cyrl-RS"/>
              </w:rPr>
              <w:t>.</w:t>
            </w:r>
            <w:r w:rsidR="00F90AE2" w:rsidRPr="00CC383D">
              <w:rPr>
                <w:rFonts w:ascii="Times New Roman" w:hAnsi="Times New Roman" w:cs="Times New Roman"/>
                <w:sz w:val="18"/>
                <w:szCs w:val="18"/>
                <w:lang w:val="sr-Cyrl-RS"/>
              </w:rPr>
              <w:t>3</w:t>
            </w:r>
          </w:p>
          <w:p w:rsidR="002B0DFD" w:rsidRPr="00CC383D" w:rsidRDefault="002B0DFD" w:rsidP="00781D00">
            <w:pPr>
              <w:jc w:val="center"/>
              <w:rPr>
                <w:rFonts w:ascii="Times New Roman" w:eastAsia="Times New Roman" w:hAnsi="Times New Roman" w:cs="Times New Roman"/>
                <w:color w:val="000000"/>
                <w:sz w:val="18"/>
                <w:szCs w:val="18"/>
                <w:lang w:val="sr-Cyrl-RS" w:eastAsia="sr-Latn-RS"/>
              </w:rPr>
            </w:pPr>
          </w:p>
        </w:tc>
        <w:tc>
          <w:tcPr>
            <w:tcW w:w="369" w:type="pct"/>
            <w:shd w:val="clear" w:color="auto" w:fill="auto"/>
            <w:noWrap/>
            <w:vAlign w:val="center"/>
          </w:tcPr>
          <w:p w:rsidR="002B0DFD" w:rsidRPr="00CC383D" w:rsidRDefault="002B0DFD" w:rsidP="00781D00">
            <w:pPr>
              <w:jc w:val="center"/>
              <w:rPr>
                <w:rFonts w:ascii="Times New Roman" w:eastAsia="Times New Roman" w:hAnsi="Times New Roman" w:cs="Times New Roman"/>
                <w:color w:val="000000"/>
                <w:sz w:val="18"/>
                <w:szCs w:val="18"/>
                <w:lang w:val="sr-Cyrl-RS" w:eastAsia="sr-Latn-RS"/>
              </w:rPr>
            </w:pPr>
          </w:p>
        </w:tc>
      </w:tr>
      <w:tr w:rsidR="002B0DFD" w:rsidRPr="00CC383D" w:rsidTr="00667F4D">
        <w:trPr>
          <w:trHeight w:val="630"/>
        </w:trPr>
        <w:tc>
          <w:tcPr>
            <w:tcW w:w="428" w:type="pct"/>
            <w:shd w:val="clear" w:color="auto" w:fill="D9D9D9" w:themeFill="background1" w:themeFillShade="D9"/>
            <w:noWrap/>
            <w:vAlign w:val="bottom"/>
            <w:hideMark/>
          </w:tcPr>
          <w:p w:rsidR="002B0DFD" w:rsidRPr="00CC383D" w:rsidRDefault="002B0DFD" w:rsidP="00AA7987">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6..(а)</w:t>
            </w:r>
          </w:p>
        </w:tc>
        <w:tc>
          <w:tcPr>
            <w:tcW w:w="1599" w:type="pct"/>
            <w:shd w:val="clear" w:color="auto" w:fill="D9D9D9" w:themeFill="background1" w:themeFillShade="D9"/>
            <w:vAlign w:val="center"/>
            <w:hideMark/>
          </w:tcPr>
          <w:p w:rsidR="002B0DFD" w:rsidRPr="00CC383D" w:rsidRDefault="002B0DFD" w:rsidP="00C96B1B">
            <w:pPr>
              <w:rPr>
                <w:rFonts w:ascii="Times New Roman" w:eastAsia="Times New Roman" w:hAnsi="Times New Roman" w:cs="Times New Roman"/>
                <w:bCs/>
                <w:sz w:val="18"/>
                <w:szCs w:val="18"/>
                <w:lang w:val="sr-Cyrl-RS" w:eastAsia="sr-Latn-RS"/>
              </w:rPr>
            </w:pPr>
            <w:r w:rsidRPr="00CC383D">
              <w:rPr>
                <w:rFonts w:ascii="Times New Roman" w:eastAsia="Times New Roman" w:hAnsi="Times New Roman" w:cs="Times New Roman"/>
                <w:bCs/>
                <w:sz w:val="18"/>
                <w:szCs w:val="18"/>
                <w:lang w:val="sr-Cyrl-RS" w:eastAsia="sr-Latn-RS"/>
              </w:rPr>
              <w:t>(a) the 2006 Intergovernmental Panel on Climate Change (IPCC) Guidelines for National Greenhouse Gas Inventories;</w:t>
            </w:r>
          </w:p>
        </w:tc>
        <w:tc>
          <w:tcPr>
            <w:tcW w:w="387" w:type="pct"/>
            <w:shd w:val="clear" w:color="auto" w:fill="auto"/>
            <w:noWrap/>
            <w:vAlign w:val="center"/>
            <w:hideMark/>
          </w:tcPr>
          <w:p w:rsidR="002B0DFD" w:rsidRPr="00CC383D" w:rsidRDefault="002B0DFD" w:rsidP="00AA7987">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966" w:type="pct"/>
            <w:shd w:val="clear" w:color="auto" w:fill="auto"/>
            <w:noWrap/>
            <w:vAlign w:val="center"/>
            <w:hideMark/>
          </w:tcPr>
          <w:p w:rsidR="002B0DFD" w:rsidRPr="00CC383D" w:rsidRDefault="002B0DFD" w:rsidP="00AA7987">
            <w:pPr>
              <w:spacing w:line="240" w:lineRule="atLeast"/>
              <w:jc w:val="center"/>
              <w:rPr>
                <w:rFonts w:ascii="Times New Roman" w:eastAsia="Times New Roman" w:hAnsi="Times New Roman" w:cs="Times New Roman"/>
                <w:color w:val="000000"/>
                <w:sz w:val="18"/>
                <w:szCs w:val="18"/>
                <w:lang w:val="sr-Cyrl-RS" w:eastAsia="sr-Latn-RS"/>
              </w:rPr>
            </w:pPr>
          </w:p>
        </w:tc>
        <w:tc>
          <w:tcPr>
            <w:tcW w:w="289" w:type="pct"/>
            <w:shd w:val="clear" w:color="auto" w:fill="auto"/>
            <w:vAlign w:val="center"/>
          </w:tcPr>
          <w:p w:rsidR="002B0DFD" w:rsidRPr="00CC383D" w:rsidRDefault="002B0DFD" w:rsidP="00AA7987">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НУ</w:t>
            </w:r>
          </w:p>
        </w:tc>
        <w:tc>
          <w:tcPr>
            <w:tcW w:w="962" w:type="pct"/>
            <w:shd w:val="clear" w:color="auto" w:fill="auto"/>
            <w:noWrap/>
            <w:vAlign w:val="center"/>
            <w:hideMark/>
          </w:tcPr>
          <w:p w:rsidR="002B0DFD" w:rsidRPr="00CC383D" w:rsidRDefault="002B0DFD" w:rsidP="00EE4BA9">
            <w:pPr>
              <w:jc w:val="center"/>
              <w:rPr>
                <w:rFonts w:ascii="Times New Roman" w:hAnsi="Times New Roman" w:cs="Times New Roman"/>
                <w:sz w:val="18"/>
                <w:szCs w:val="18"/>
                <w:lang w:val="sr-Cyrl-RS"/>
              </w:rPr>
            </w:pPr>
            <w:r w:rsidRPr="00CC383D">
              <w:rPr>
                <w:rFonts w:ascii="Times New Roman" w:eastAsia="Times New Roman" w:hAnsi="Times New Roman" w:cs="Times New Roman"/>
                <w:color w:val="000000"/>
                <w:sz w:val="18"/>
                <w:szCs w:val="18"/>
                <w:lang w:val="sr-Cyrl-RS" w:eastAsia="sr-Latn-RS"/>
              </w:rPr>
              <w:t> </w:t>
            </w:r>
            <w:r w:rsidR="00EE4BA9" w:rsidRPr="00CC383D">
              <w:rPr>
                <w:rFonts w:ascii="Times New Roman" w:eastAsia="Times New Roman" w:hAnsi="Times New Roman" w:cs="Times New Roman"/>
                <w:color w:val="000000"/>
                <w:sz w:val="18"/>
                <w:szCs w:val="18"/>
                <w:lang w:val="sr-Cyrl-RS" w:eastAsia="sr-Latn-RS"/>
              </w:rPr>
              <w:t> </w:t>
            </w:r>
            <w:r w:rsidR="00EE4BA9" w:rsidRPr="00CC383D">
              <w:rPr>
                <w:rFonts w:ascii="Times New Roman" w:hAnsi="Times New Roman" w:cs="Times New Roman"/>
                <w:sz w:val="18"/>
                <w:szCs w:val="18"/>
                <w:lang w:val="sr-Cyrl-RS"/>
              </w:rPr>
              <w:t xml:space="preserve">Потпуна усклађеност биће постигнута усвајањем подзаконског акта </w:t>
            </w:r>
          </w:p>
          <w:p w:rsidR="00F90AE2" w:rsidRPr="00CC383D" w:rsidRDefault="00F90AE2" w:rsidP="00F90AE2">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59.3</w:t>
            </w:r>
          </w:p>
          <w:p w:rsidR="002B0DFD" w:rsidRPr="00CC383D" w:rsidRDefault="002B0DFD" w:rsidP="00AA7987">
            <w:pPr>
              <w:jc w:val="center"/>
              <w:rPr>
                <w:rFonts w:ascii="Times New Roman" w:eastAsia="Times New Roman" w:hAnsi="Times New Roman" w:cs="Times New Roman"/>
                <w:color w:val="000000"/>
                <w:sz w:val="18"/>
                <w:szCs w:val="18"/>
                <w:lang w:val="sr-Cyrl-RS" w:eastAsia="sr-Latn-RS"/>
              </w:rPr>
            </w:pPr>
          </w:p>
        </w:tc>
        <w:tc>
          <w:tcPr>
            <w:tcW w:w="369" w:type="pct"/>
            <w:shd w:val="clear" w:color="auto" w:fill="auto"/>
            <w:noWrap/>
            <w:vAlign w:val="center"/>
          </w:tcPr>
          <w:p w:rsidR="002B0DFD" w:rsidRPr="00CC383D" w:rsidRDefault="002B0DFD" w:rsidP="00AA7987">
            <w:pPr>
              <w:jc w:val="center"/>
              <w:rPr>
                <w:rFonts w:ascii="Times New Roman" w:eastAsia="Times New Roman" w:hAnsi="Times New Roman" w:cs="Times New Roman"/>
                <w:color w:val="000000"/>
                <w:sz w:val="18"/>
                <w:szCs w:val="18"/>
                <w:lang w:val="sr-Cyrl-RS" w:eastAsia="sr-Latn-RS"/>
              </w:rPr>
            </w:pP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AA7987">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6..</w:t>
            </w:r>
            <w:r w:rsidR="00E71BAF" w:rsidRPr="00CC383D">
              <w:rPr>
                <w:rFonts w:ascii="Times New Roman" w:eastAsia="Times New Roman" w:hAnsi="Times New Roman" w:cs="Times New Roman"/>
                <w:color w:val="000000"/>
                <w:sz w:val="18"/>
                <w:szCs w:val="18"/>
                <w:lang w:val="sr-Cyrl-RS" w:eastAsia="sr-Latn-RS"/>
              </w:rPr>
              <w:t>(b)</w:t>
            </w:r>
          </w:p>
        </w:tc>
        <w:tc>
          <w:tcPr>
            <w:tcW w:w="1599" w:type="pct"/>
            <w:shd w:val="clear" w:color="auto" w:fill="D9D9D9" w:themeFill="background1" w:themeFillShade="D9"/>
            <w:vAlign w:val="center"/>
            <w:hideMark/>
          </w:tcPr>
          <w:p w:rsidR="002B0DFD" w:rsidRPr="00CC383D" w:rsidRDefault="002B0DFD" w:rsidP="00C96B1B">
            <w:pPr>
              <w:rPr>
                <w:rFonts w:ascii="Times New Roman" w:eastAsia="Times New Roman" w:hAnsi="Times New Roman" w:cs="Times New Roman"/>
                <w:bCs/>
                <w:sz w:val="18"/>
                <w:szCs w:val="18"/>
                <w:lang w:val="sr-Cyrl-RS" w:eastAsia="sr-Latn-RS"/>
              </w:rPr>
            </w:pPr>
            <w:r w:rsidRPr="00CC383D">
              <w:rPr>
                <w:rFonts w:ascii="Times New Roman" w:eastAsia="Times New Roman" w:hAnsi="Times New Roman" w:cs="Times New Roman"/>
                <w:bCs/>
                <w:sz w:val="18"/>
                <w:szCs w:val="18"/>
                <w:lang w:val="sr-Cyrl-RS" w:eastAsia="sr-Latn-RS"/>
              </w:rPr>
              <w:t>(b) the IPCC 2013 Revised Supplementary Methods and Good Practice Guidance Arising from the Kyoto Protocol;</w:t>
            </w:r>
          </w:p>
        </w:tc>
        <w:tc>
          <w:tcPr>
            <w:tcW w:w="387" w:type="pct"/>
            <w:shd w:val="clear" w:color="auto" w:fill="auto"/>
            <w:noWrap/>
            <w:vAlign w:val="center"/>
            <w:hideMark/>
          </w:tcPr>
          <w:p w:rsidR="002B0DFD" w:rsidRPr="00CC383D" w:rsidRDefault="002B0DFD" w:rsidP="00AA7987">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966" w:type="pct"/>
            <w:shd w:val="clear" w:color="auto" w:fill="auto"/>
            <w:noWrap/>
            <w:vAlign w:val="center"/>
            <w:hideMark/>
          </w:tcPr>
          <w:p w:rsidR="002B0DFD" w:rsidRPr="00CC383D" w:rsidRDefault="002B0DFD" w:rsidP="00AA7987">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289" w:type="pct"/>
            <w:shd w:val="clear" w:color="auto" w:fill="auto"/>
            <w:vAlign w:val="center"/>
          </w:tcPr>
          <w:p w:rsidR="002B0DFD" w:rsidRPr="00CC383D" w:rsidRDefault="002B0DFD" w:rsidP="00AA7987">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НУ</w:t>
            </w:r>
          </w:p>
        </w:tc>
        <w:tc>
          <w:tcPr>
            <w:tcW w:w="962" w:type="pct"/>
            <w:shd w:val="clear" w:color="auto" w:fill="auto"/>
            <w:noWrap/>
            <w:vAlign w:val="center"/>
            <w:hideMark/>
          </w:tcPr>
          <w:p w:rsidR="00EE4BA9" w:rsidRPr="00CC383D" w:rsidRDefault="002B0DFD" w:rsidP="00EE4BA9">
            <w:pPr>
              <w:jc w:val="center"/>
              <w:rPr>
                <w:rFonts w:ascii="Times New Roman" w:hAnsi="Times New Roman" w:cs="Times New Roman"/>
                <w:sz w:val="18"/>
                <w:szCs w:val="18"/>
                <w:lang w:val="sr-Cyrl-RS"/>
              </w:rPr>
            </w:pPr>
            <w:r w:rsidRPr="00CC383D">
              <w:rPr>
                <w:rFonts w:ascii="Times New Roman" w:eastAsia="Times New Roman" w:hAnsi="Times New Roman" w:cs="Times New Roman"/>
                <w:color w:val="000000"/>
                <w:sz w:val="18"/>
                <w:szCs w:val="18"/>
                <w:lang w:val="sr-Cyrl-RS" w:eastAsia="sr-Latn-RS"/>
              </w:rPr>
              <w:t> </w:t>
            </w:r>
            <w:r w:rsidR="00EE4BA9" w:rsidRPr="00CC383D">
              <w:rPr>
                <w:rFonts w:ascii="Times New Roman" w:eastAsia="Times New Roman" w:hAnsi="Times New Roman" w:cs="Times New Roman"/>
                <w:color w:val="000000"/>
                <w:sz w:val="18"/>
                <w:szCs w:val="18"/>
                <w:lang w:val="sr-Cyrl-RS" w:eastAsia="sr-Latn-RS"/>
              </w:rPr>
              <w:t> </w:t>
            </w:r>
            <w:r w:rsidR="00EE4BA9" w:rsidRPr="00CC383D">
              <w:rPr>
                <w:rFonts w:ascii="Times New Roman" w:hAnsi="Times New Roman" w:cs="Times New Roman"/>
                <w:sz w:val="18"/>
                <w:szCs w:val="18"/>
                <w:lang w:val="sr-Cyrl-RS"/>
              </w:rPr>
              <w:t xml:space="preserve">Потпуна усклађеност биће постигнута усвајањем подзаконског акта </w:t>
            </w:r>
          </w:p>
          <w:p w:rsidR="00F90AE2" w:rsidRPr="00CC383D" w:rsidRDefault="00F90AE2" w:rsidP="00F90AE2">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59.3</w:t>
            </w:r>
          </w:p>
          <w:p w:rsidR="002B0DFD" w:rsidRPr="00CC383D" w:rsidRDefault="002B0DFD" w:rsidP="00AA7987">
            <w:pPr>
              <w:jc w:val="center"/>
              <w:rPr>
                <w:rFonts w:ascii="Times New Roman" w:eastAsia="Times New Roman" w:hAnsi="Times New Roman" w:cs="Times New Roman"/>
                <w:color w:val="000000"/>
                <w:sz w:val="18"/>
                <w:szCs w:val="18"/>
                <w:lang w:val="sr-Cyrl-RS" w:eastAsia="sr-Latn-RS"/>
              </w:rPr>
            </w:pPr>
          </w:p>
        </w:tc>
        <w:tc>
          <w:tcPr>
            <w:tcW w:w="369" w:type="pct"/>
            <w:shd w:val="clear" w:color="auto" w:fill="auto"/>
            <w:noWrap/>
            <w:vAlign w:val="center"/>
          </w:tcPr>
          <w:p w:rsidR="002B0DFD" w:rsidRPr="00CC383D" w:rsidRDefault="002B0DFD" w:rsidP="00AA7987">
            <w:pPr>
              <w:jc w:val="center"/>
              <w:rPr>
                <w:rFonts w:ascii="Times New Roman" w:eastAsia="Times New Roman" w:hAnsi="Times New Roman" w:cs="Times New Roman"/>
                <w:color w:val="000000"/>
                <w:sz w:val="18"/>
                <w:szCs w:val="18"/>
                <w:lang w:val="sr-Cyrl-RS" w:eastAsia="sr-Latn-RS"/>
              </w:rPr>
            </w:pPr>
          </w:p>
        </w:tc>
      </w:tr>
      <w:tr w:rsidR="002B0DFD" w:rsidRPr="00CC383D" w:rsidTr="00667F4D">
        <w:trPr>
          <w:trHeight w:val="840"/>
        </w:trPr>
        <w:tc>
          <w:tcPr>
            <w:tcW w:w="428" w:type="pct"/>
            <w:shd w:val="clear" w:color="auto" w:fill="D9D9D9" w:themeFill="background1" w:themeFillShade="D9"/>
            <w:noWrap/>
            <w:vAlign w:val="bottom"/>
            <w:hideMark/>
          </w:tcPr>
          <w:p w:rsidR="002B0DFD" w:rsidRPr="00CC383D" w:rsidRDefault="002B0DFD" w:rsidP="00AA7987">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6..</w:t>
            </w:r>
            <w:r w:rsidR="00E71BAF" w:rsidRPr="00CC383D">
              <w:rPr>
                <w:rFonts w:ascii="Times New Roman" w:eastAsia="Times New Roman" w:hAnsi="Times New Roman" w:cs="Times New Roman"/>
                <w:color w:val="000000"/>
                <w:sz w:val="18"/>
                <w:szCs w:val="18"/>
                <w:lang w:val="sr-Cyrl-RS" w:eastAsia="sr-Latn-RS"/>
              </w:rPr>
              <w:t>(c)</w:t>
            </w:r>
          </w:p>
        </w:tc>
        <w:tc>
          <w:tcPr>
            <w:tcW w:w="1599" w:type="pct"/>
            <w:shd w:val="clear" w:color="auto" w:fill="D9D9D9" w:themeFill="background1" w:themeFillShade="D9"/>
            <w:vAlign w:val="center"/>
            <w:hideMark/>
          </w:tcPr>
          <w:p w:rsidR="002B0DFD" w:rsidRPr="00CC383D" w:rsidRDefault="002B0DFD" w:rsidP="00C96B1B">
            <w:pPr>
              <w:rPr>
                <w:rFonts w:ascii="Times New Roman" w:eastAsia="Times New Roman" w:hAnsi="Times New Roman" w:cs="Times New Roman"/>
                <w:bCs/>
                <w:sz w:val="18"/>
                <w:szCs w:val="18"/>
                <w:lang w:val="sr-Cyrl-RS" w:eastAsia="sr-Latn-RS"/>
              </w:rPr>
            </w:pPr>
            <w:r w:rsidRPr="00CC383D">
              <w:rPr>
                <w:rFonts w:ascii="Times New Roman" w:eastAsia="Times New Roman" w:hAnsi="Times New Roman" w:cs="Times New Roman"/>
                <w:bCs/>
                <w:sz w:val="18"/>
                <w:szCs w:val="18"/>
                <w:lang w:val="sr-Cyrl-RS" w:eastAsia="sr-Latn-RS"/>
              </w:rPr>
              <w:t>(c) the 2013 Supplement to the 2006 IPCC Guidelines for National Greenhouse Gas inventories: Wetlands for wetland drainage and rewetting listed in Article 7(1)(d) of Regulation (EU) No 525/2013;</w:t>
            </w:r>
          </w:p>
        </w:tc>
        <w:tc>
          <w:tcPr>
            <w:tcW w:w="387" w:type="pct"/>
            <w:shd w:val="clear" w:color="auto" w:fill="auto"/>
            <w:noWrap/>
            <w:vAlign w:val="center"/>
            <w:hideMark/>
          </w:tcPr>
          <w:p w:rsidR="002B0DFD" w:rsidRPr="00CC383D" w:rsidRDefault="002B0DFD" w:rsidP="00AA7987">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966" w:type="pct"/>
            <w:shd w:val="clear" w:color="auto" w:fill="auto"/>
            <w:noWrap/>
            <w:vAlign w:val="center"/>
            <w:hideMark/>
          </w:tcPr>
          <w:p w:rsidR="002B0DFD" w:rsidRPr="00CC383D" w:rsidRDefault="002B0DFD" w:rsidP="00AA7987">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289" w:type="pct"/>
            <w:shd w:val="clear" w:color="auto" w:fill="auto"/>
            <w:vAlign w:val="center"/>
          </w:tcPr>
          <w:p w:rsidR="002B0DFD" w:rsidRPr="00CC383D" w:rsidRDefault="002B0DFD" w:rsidP="00AA7987">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НУ</w:t>
            </w:r>
          </w:p>
        </w:tc>
        <w:tc>
          <w:tcPr>
            <w:tcW w:w="962" w:type="pct"/>
            <w:shd w:val="clear" w:color="auto" w:fill="auto"/>
            <w:noWrap/>
            <w:vAlign w:val="center"/>
            <w:hideMark/>
          </w:tcPr>
          <w:p w:rsidR="00EE4BA9" w:rsidRPr="00CC383D" w:rsidRDefault="00EE4BA9" w:rsidP="00EE4BA9">
            <w:pPr>
              <w:jc w:val="center"/>
              <w:rPr>
                <w:rFonts w:ascii="Times New Roman" w:hAnsi="Times New Roman" w:cs="Times New Roman"/>
                <w:sz w:val="18"/>
                <w:szCs w:val="18"/>
                <w:lang w:val="sr-Cyrl-RS"/>
              </w:rPr>
            </w:pPr>
            <w:r w:rsidRPr="00CC383D">
              <w:rPr>
                <w:rFonts w:ascii="Times New Roman" w:eastAsia="Times New Roman" w:hAnsi="Times New Roman" w:cs="Times New Roman"/>
                <w:color w:val="000000"/>
                <w:sz w:val="18"/>
                <w:szCs w:val="18"/>
                <w:lang w:val="sr-Cyrl-RS" w:eastAsia="sr-Latn-RS"/>
              </w:rPr>
              <w:t> </w:t>
            </w:r>
            <w:r w:rsidRPr="00CC383D">
              <w:rPr>
                <w:rFonts w:ascii="Times New Roman" w:hAnsi="Times New Roman" w:cs="Times New Roman"/>
                <w:sz w:val="18"/>
                <w:szCs w:val="18"/>
                <w:lang w:val="sr-Cyrl-RS"/>
              </w:rPr>
              <w:t xml:space="preserve">Потпуна усклађеност биће постигнута усвајањем подзаконског акта </w:t>
            </w:r>
          </w:p>
          <w:p w:rsidR="00F90AE2" w:rsidRPr="00CC383D" w:rsidRDefault="00F90AE2" w:rsidP="00F90AE2">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59.3</w:t>
            </w:r>
          </w:p>
          <w:p w:rsidR="002B0DFD" w:rsidRPr="00CC383D" w:rsidRDefault="002B0DFD" w:rsidP="00AA7987">
            <w:pPr>
              <w:jc w:val="center"/>
              <w:rPr>
                <w:rFonts w:ascii="Times New Roman" w:eastAsia="Times New Roman" w:hAnsi="Times New Roman" w:cs="Times New Roman"/>
                <w:color w:val="000000"/>
                <w:sz w:val="18"/>
                <w:szCs w:val="18"/>
                <w:lang w:val="sr-Cyrl-RS" w:eastAsia="sr-Latn-RS"/>
              </w:rPr>
            </w:pPr>
          </w:p>
        </w:tc>
        <w:tc>
          <w:tcPr>
            <w:tcW w:w="369" w:type="pct"/>
            <w:shd w:val="clear" w:color="auto" w:fill="auto"/>
            <w:noWrap/>
            <w:vAlign w:val="center"/>
          </w:tcPr>
          <w:p w:rsidR="002B0DFD" w:rsidRPr="00CC383D" w:rsidRDefault="002B0DFD" w:rsidP="00AA7987">
            <w:pPr>
              <w:jc w:val="center"/>
              <w:rPr>
                <w:rFonts w:ascii="Times New Roman" w:eastAsia="Times New Roman" w:hAnsi="Times New Roman" w:cs="Times New Roman"/>
                <w:color w:val="000000"/>
                <w:sz w:val="18"/>
                <w:szCs w:val="18"/>
                <w:lang w:val="sr-Cyrl-RS" w:eastAsia="sr-Latn-RS"/>
              </w:rPr>
            </w:pPr>
          </w:p>
        </w:tc>
      </w:tr>
      <w:tr w:rsidR="002B0DFD" w:rsidRPr="00CC383D" w:rsidTr="00667F4D">
        <w:trPr>
          <w:trHeight w:val="1050"/>
        </w:trPr>
        <w:tc>
          <w:tcPr>
            <w:tcW w:w="428" w:type="pct"/>
            <w:shd w:val="clear" w:color="auto" w:fill="D9D9D9" w:themeFill="background1" w:themeFillShade="D9"/>
            <w:noWrap/>
            <w:vAlign w:val="bottom"/>
            <w:hideMark/>
          </w:tcPr>
          <w:p w:rsidR="002B0DFD" w:rsidRPr="00CC383D" w:rsidRDefault="002B0DFD" w:rsidP="00AA7987">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6..</w:t>
            </w:r>
            <w:r w:rsidR="00E71BAF" w:rsidRPr="00CC383D">
              <w:rPr>
                <w:rFonts w:ascii="Times New Roman" w:eastAsia="Times New Roman" w:hAnsi="Times New Roman" w:cs="Times New Roman"/>
                <w:color w:val="000000"/>
                <w:sz w:val="18"/>
                <w:szCs w:val="18"/>
                <w:lang w:val="sr-Cyrl-RS" w:eastAsia="sr-Latn-RS"/>
              </w:rPr>
              <w:t>(d)</w:t>
            </w:r>
          </w:p>
        </w:tc>
        <w:tc>
          <w:tcPr>
            <w:tcW w:w="1599" w:type="pct"/>
            <w:shd w:val="clear" w:color="auto" w:fill="D9D9D9" w:themeFill="background1" w:themeFillShade="D9"/>
            <w:vAlign w:val="center"/>
            <w:hideMark/>
          </w:tcPr>
          <w:p w:rsidR="002B0DFD" w:rsidRPr="00CC383D" w:rsidRDefault="002B0DFD" w:rsidP="00C96B1B">
            <w:pPr>
              <w:rPr>
                <w:rFonts w:ascii="Times New Roman" w:eastAsia="Times New Roman" w:hAnsi="Times New Roman" w:cs="Times New Roman"/>
                <w:bCs/>
                <w:sz w:val="18"/>
                <w:szCs w:val="18"/>
                <w:lang w:val="sr-Cyrl-RS" w:eastAsia="sr-Latn-RS"/>
              </w:rPr>
            </w:pPr>
            <w:r w:rsidRPr="00CC383D">
              <w:rPr>
                <w:rFonts w:ascii="Times New Roman" w:eastAsia="Times New Roman" w:hAnsi="Times New Roman" w:cs="Times New Roman"/>
                <w:bCs/>
                <w:sz w:val="18"/>
                <w:szCs w:val="18"/>
                <w:lang w:val="sr-Cyrl-RS" w:eastAsia="sr-Latn-RS"/>
              </w:rPr>
              <w:t>(d) the UNFCCC guidelines for the preparation of national communications by Parties included in Annex I to the Convention, part I: UNFCCC reporting guidelines on annual inventories as set out in Decision 24/CP.19 of the Conference of the Parties to the UNFCCC;</w:t>
            </w:r>
          </w:p>
        </w:tc>
        <w:tc>
          <w:tcPr>
            <w:tcW w:w="387" w:type="pct"/>
            <w:shd w:val="clear" w:color="auto" w:fill="auto"/>
            <w:noWrap/>
            <w:vAlign w:val="center"/>
          </w:tcPr>
          <w:p w:rsidR="002B0DFD" w:rsidRPr="00CC383D" w:rsidRDefault="002B0DFD" w:rsidP="00AA7987">
            <w:pPr>
              <w:rPr>
                <w:rFonts w:ascii="Times New Roman" w:eastAsia="Times New Roman" w:hAnsi="Times New Roman" w:cs="Times New Roman"/>
                <w:color w:val="000000"/>
                <w:sz w:val="18"/>
                <w:szCs w:val="18"/>
                <w:lang w:val="sr-Cyrl-RS" w:eastAsia="sr-Latn-RS"/>
              </w:rPr>
            </w:pPr>
          </w:p>
        </w:tc>
        <w:tc>
          <w:tcPr>
            <w:tcW w:w="966" w:type="pct"/>
            <w:shd w:val="clear" w:color="auto" w:fill="auto"/>
            <w:noWrap/>
            <w:vAlign w:val="center"/>
            <w:hideMark/>
          </w:tcPr>
          <w:p w:rsidR="002B0DFD" w:rsidRPr="00CC383D" w:rsidRDefault="002B0DFD" w:rsidP="00AA7987">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289" w:type="pct"/>
            <w:shd w:val="clear" w:color="auto" w:fill="auto"/>
            <w:vAlign w:val="center"/>
          </w:tcPr>
          <w:p w:rsidR="002B0DFD" w:rsidRPr="00CC383D" w:rsidRDefault="002B0DFD" w:rsidP="00AA7987">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НУ</w:t>
            </w:r>
          </w:p>
        </w:tc>
        <w:tc>
          <w:tcPr>
            <w:tcW w:w="962" w:type="pct"/>
            <w:shd w:val="clear" w:color="auto" w:fill="auto"/>
            <w:noWrap/>
            <w:vAlign w:val="center"/>
            <w:hideMark/>
          </w:tcPr>
          <w:p w:rsidR="002B0DFD" w:rsidRPr="00CC383D" w:rsidRDefault="002B0DFD" w:rsidP="00EE4BA9">
            <w:pPr>
              <w:jc w:val="center"/>
              <w:rPr>
                <w:rFonts w:ascii="Times New Roman" w:hAnsi="Times New Roman" w:cs="Times New Roman"/>
                <w:sz w:val="18"/>
                <w:szCs w:val="18"/>
                <w:lang w:val="sr-Cyrl-RS"/>
              </w:rPr>
            </w:pPr>
            <w:r w:rsidRPr="00CC383D">
              <w:rPr>
                <w:rFonts w:ascii="Times New Roman" w:eastAsia="Times New Roman" w:hAnsi="Times New Roman" w:cs="Times New Roman"/>
                <w:color w:val="000000"/>
                <w:sz w:val="18"/>
                <w:szCs w:val="18"/>
                <w:lang w:val="sr-Cyrl-RS" w:eastAsia="sr-Latn-RS"/>
              </w:rPr>
              <w:t> </w:t>
            </w:r>
            <w:r w:rsidR="00EE4BA9" w:rsidRPr="00CC383D">
              <w:rPr>
                <w:rFonts w:ascii="Times New Roman" w:eastAsia="Times New Roman" w:hAnsi="Times New Roman" w:cs="Times New Roman"/>
                <w:color w:val="000000"/>
                <w:sz w:val="18"/>
                <w:szCs w:val="18"/>
                <w:lang w:val="sr-Cyrl-RS" w:eastAsia="sr-Latn-RS"/>
              </w:rPr>
              <w:t> </w:t>
            </w:r>
            <w:r w:rsidR="00EE4BA9" w:rsidRPr="00CC383D">
              <w:rPr>
                <w:rFonts w:ascii="Times New Roman" w:hAnsi="Times New Roman" w:cs="Times New Roman"/>
                <w:sz w:val="18"/>
                <w:szCs w:val="18"/>
                <w:lang w:val="sr-Cyrl-RS"/>
              </w:rPr>
              <w:t xml:space="preserve">Потпуна усклађеност биће постигнута усвајањем подзаконског акта </w:t>
            </w:r>
          </w:p>
          <w:p w:rsidR="00F90AE2" w:rsidRPr="00CC383D" w:rsidRDefault="00F90AE2" w:rsidP="00F90AE2">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59.3</w:t>
            </w:r>
          </w:p>
          <w:p w:rsidR="002B0DFD" w:rsidRPr="00CC383D" w:rsidRDefault="002B0DFD" w:rsidP="00AA7987">
            <w:pPr>
              <w:jc w:val="center"/>
              <w:rPr>
                <w:rFonts w:ascii="Times New Roman" w:eastAsia="Times New Roman" w:hAnsi="Times New Roman" w:cs="Times New Roman"/>
                <w:color w:val="000000"/>
                <w:sz w:val="18"/>
                <w:szCs w:val="18"/>
                <w:lang w:val="sr-Cyrl-RS" w:eastAsia="sr-Latn-RS"/>
              </w:rPr>
            </w:pPr>
          </w:p>
        </w:tc>
        <w:tc>
          <w:tcPr>
            <w:tcW w:w="369" w:type="pct"/>
            <w:shd w:val="clear" w:color="auto" w:fill="auto"/>
            <w:noWrap/>
            <w:vAlign w:val="center"/>
          </w:tcPr>
          <w:p w:rsidR="002B0DFD" w:rsidRPr="00CC383D" w:rsidRDefault="002B0DFD" w:rsidP="00AA7987">
            <w:pPr>
              <w:jc w:val="center"/>
              <w:rPr>
                <w:rFonts w:ascii="Times New Roman" w:eastAsia="Times New Roman" w:hAnsi="Times New Roman" w:cs="Times New Roman"/>
                <w:color w:val="000000"/>
                <w:sz w:val="18"/>
                <w:szCs w:val="18"/>
                <w:lang w:val="sr-Cyrl-RS" w:eastAsia="sr-Latn-RS"/>
              </w:rPr>
            </w:pPr>
          </w:p>
        </w:tc>
      </w:tr>
      <w:tr w:rsidR="002B0DFD" w:rsidRPr="00CC383D" w:rsidTr="00667F4D">
        <w:trPr>
          <w:trHeight w:val="2200"/>
        </w:trPr>
        <w:tc>
          <w:tcPr>
            <w:tcW w:w="428" w:type="pct"/>
            <w:shd w:val="clear" w:color="auto" w:fill="D9D9D9" w:themeFill="background1" w:themeFillShade="D9"/>
            <w:noWrap/>
            <w:vAlign w:val="bottom"/>
            <w:hideMark/>
          </w:tcPr>
          <w:p w:rsidR="002B0DFD" w:rsidRPr="00CC383D" w:rsidRDefault="002B0DFD" w:rsidP="00781D00">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6..</w:t>
            </w:r>
            <w:r w:rsidR="00E71BAF" w:rsidRPr="00CC383D">
              <w:rPr>
                <w:rFonts w:ascii="Times New Roman" w:eastAsia="Times New Roman" w:hAnsi="Times New Roman" w:cs="Times New Roman"/>
                <w:color w:val="000000"/>
                <w:sz w:val="18"/>
                <w:szCs w:val="18"/>
                <w:lang w:val="sr-Cyrl-RS" w:eastAsia="sr-Latn-RS"/>
              </w:rPr>
              <w:t>(e)</w:t>
            </w:r>
          </w:p>
        </w:tc>
        <w:tc>
          <w:tcPr>
            <w:tcW w:w="1599" w:type="pct"/>
            <w:shd w:val="clear" w:color="auto" w:fill="D9D9D9" w:themeFill="background1" w:themeFillShade="D9"/>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(e) the guidelines for the preparation of the information required under Article 7 of the Kyoto Protocol as adopted by Conference of the Parties to the UNFCCC serving as the meeting of the Parties to the Kyoto Protocol.</w:t>
            </w:r>
          </w:p>
        </w:tc>
        <w:tc>
          <w:tcPr>
            <w:tcW w:w="387" w:type="pct"/>
            <w:shd w:val="clear" w:color="auto" w:fill="auto"/>
            <w:noWrap/>
            <w:vAlign w:val="center"/>
          </w:tcPr>
          <w:p w:rsidR="002B0DFD" w:rsidRPr="00CC383D" w:rsidRDefault="002B0DFD" w:rsidP="00781D00">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81D00">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289" w:type="pct"/>
            <w:shd w:val="clear" w:color="auto" w:fill="auto"/>
            <w:vAlign w:val="center"/>
          </w:tcPr>
          <w:p w:rsidR="002B0DFD" w:rsidRPr="00CC383D" w:rsidRDefault="002B0DFD" w:rsidP="00781D00">
            <w:pPr>
              <w:jc w:val="center"/>
              <w:rPr>
                <w:rFonts w:ascii="Times New Roman" w:eastAsia="Times New Roman" w:hAnsi="Times New Roman" w:cs="Times New Roman"/>
                <w:color w:val="D9D9D9"/>
                <w:sz w:val="18"/>
                <w:szCs w:val="18"/>
                <w:lang w:val="sr-Cyrl-RS" w:eastAsia="sr-Latn-RS"/>
              </w:rPr>
            </w:pPr>
            <w:r w:rsidRPr="00CC383D">
              <w:rPr>
                <w:rFonts w:ascii="Times New Roman" w:eastAsia="Times New Roman" w:hAnsi="Times New Roman" w:cs="Times New Roman"/>
                <w:sz w:val="18"/>
                <w:szCs w:val="18"/>
                <w:lang w:val="sr-Cyrl-RS" w:eastAsia="sr-Latn-RS"/>
              </w:rPr>
              <w:t>НП</w:t>
            </w:r>
          </w:p>
        </w:tc>
        <w:tc>
          <w:tcPr>
            <w:tcW w:w="962" w:type="pct"/>
            <w:shd w:val="clear" w:color="auto" w:fill="auto"/>
            <w:noWrap/>
            <w:vAlign w:val="center"/>
            <w:hideMark/>
          </w:tcPr>
          <w:p w:rsidR="002B0DFD" w:rsidRPr="00CC383D" w:rsidRDefault="002B0DFD" w:rsidP="00781D00">
            <w:pPr>
              <w:rPr>
                <w:rFonts w:ascii="Times New Roman" w:eastAsia="Times New Roman" w:hAnsi="Times New Roman" w:cs="Times New Roman"/>
                <w:color w:val="000000"/>
                <w:sz w:val="18"/>
                <w:szCs w:val="18"/>
                <w:lang w:val="sr-Cyrl-RS" w:eastAsia="sr-Latn-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81D00">
            <w:pPr>
              <w:jc w:val="center"/>
              <w:rPr>
                <w:rFonts w:ascii="Times New Roman" w:eastAsia="Times New Roman" w:hAnsi="Times New Roman" w:cs="Times New Roman"/>
                <w:color w:val="D9D9D9"/>
                <w:sz w:val="18"/>
                <w:szCs w:val="18"/>
                <w:lang w:val="sr-Cyrl-RS" w:eastAsia="sr-Latn-RS"/>
              </w:rPr>
            </w:pPr>
          </w:p>
        </w:tc>
      </w:tr>
      <w:tr w:rsidR="002B0DFD" w:rsidRPr="00CC383D" w:rsidTr="00667F4D">
        <w:trPr>
          <w:trHeight w:val="290"/>
        </w:trPr>
        <w:tc>
          <w:tcPr>
            <w:tcW w:w="428" w:type="pct"/>
            <w:shd w:val="clear" w:color="auto" w:fill="D9D9D9" w:themeFill="background1" w:themeFillShade="D9"/>
            <w:noWrap/>
            <w:vAlign w:val="center"/>
            <w:hideMark/>
          </w:tcPr>
          <w:p w:rsidR="002B0DFD" w:rsidRPr="00CC383D" w:rsidRDefault="002B0DFD" w:rsidP="00AA7987">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lastRenderedPageBreak/>
              <w:t>7</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Global Warming Potentials</w:t>
            </w:r>
          </w:p>
        </w:tc>
        <w:tc>
          <w:tcPr>
            <w:tcW w:w="387" w:type="pct"/>
            <w:shd w:val="clear" w:color="000000" w:fill="D9D9D9"/>
            <w:noWrap/>
            <w:vAlign w:val="center"/>
            <w:hideMark/>
          </w:tcPr>
          <w:p w:rsidR="002B0DFD" w:rsidRPr="00CC383D" w:rsidRDefault="002B0DFD" w:rsidP="00781D00">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966" w:type="pct"/>
            <w:shd w:val="clear" w:color="000000" w:fill="D9D9D9"/>
            <w:noWrap/>
            <w:vAlign w:val="center"/>
            <w:hideMark/>
          </w:tcPr>
          <w:p w:rsidR="002B0DFD" w:rsidRPr="00CC383D" w:rsidRDefault="002B0DFD" w:rsidP="00781D00">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289" w:type="pct"/>
            <w:shd w:val="clear" w:color="000000" w:fill="D9D9D9"/>
            <w:vAlign w:val="center"/>
            <w:hideMark/>
          </w:tcPr>
          <w:p w:rsidR="002B0DFD" w:rsidRPr="00CC383D" w:rsidRDefault="002B0DFD" w:rsidP="00781D00">
            <w:pPr>
              <w:jc w:val="cente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962" w:type="pct"/>
            <w:shd w:val="clear" w:color="000000" w:fill="D9D9D9"/>
            <w:noWrap/>
            <w:vAlign w:val="center"/>
            <w:hideMark/>
          </w:tcPr>
          <w:p w:rsidR="002B0DFD" w:rsidRPr="00CC383D" w:rsidRDefault="002B0DFD" w:rsidP="00781D00">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369" w:type="pct"/>
            <w:shd w:val="clear" w:color="000000" w:fill="D9D9D9"/>
            <w:noWrap/>
            <w:vAlign w:val="center"/>
            <w:hideMark/>
          </w:tcPr>
          <w:p w:rsidR="002B0DFD" w:rsidRPr="00CC383D" w:rsidRDefault="002B0DFD" w:rsidP="00781D00">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r>
      <w:tr w:rsidR="002B0DFD" w:rsidRPr="00CC383D" w:rsidTr="00667F4D">
        <w:trPr>
          <w:trHeight w:val="1470"/>
        </w:trPr>
        <w:tc>
          <w:tcPr>
            <w:tcW w:w="428" w:type="pct"/>
            <w:shd w:val="clear" w:color="auto" w:fill="D9D9D9" w:themeFill="background1" w:themeFillShade="D9"/>
            <w:noWrap/>
            <w:vAlign w:val="center"/>
            <w:hideMark/>
          </w:tcPr>
          <w:p w:rsidR="002B0DFD" w:rsidRPr="00CC383D" w:rsidRDefault="002B0DFD" w:rsidP="00AA7987">
            <w:pPr>
              <w:jc w:val="right"/>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7</w:t>
            </w:r>
          </w:p>
        </w:tc>
        <w:tc>
          <w:tcPr>
            <w:tcW w:w="1599" w:type="pct"/>
            <w:shd w:val="clear" w:color="auto" w:fill="D9D9D9" w:themeFill="background1" w:themeFillShade="D9"/>
            <w:vAlign w:val="center"/>
            <w:hideMark/>
          </w:tcPr>
          <w:p w:rsidR="002B0DFD" w:rsidRPr="00CC383D" w:rsidRDefault="002B0DFD" w:rsidP="00C96B1B">
            <w:pPr>
              <w:rPr>
                <w:rFonts w:ascii="Times New Roman" w:eastAsia="Times New Roman" w:hAnsi="Times New Roman" w:cs="Times New Roman"/>
                <w:bCs/>
                <w:sz w:val="18"/>
                <w:szCs w:val="18"/>
                <w:lang w:val="sr-Cyrl-RS" w:eastAsia="sr-Latn-RS"/>
              </w:rPr>
            </w:pPr>
            <w:r w:rsidRPr="00CC383D">
              <w:rPr>
                <w:rFonts w:ascii="Times New Roman" w:eastAsia="Times New Roman" w:hAnsi="Times New Roman" w:cs="Times New Roman"/>
                <w:bCs/>
                <w:sz w:val="18"/>
                <w:szCs w:val="18"/>
                <w:lang w:val="sr-Cyrl-RS" w:eastAsia="sr-Latn-RS"/>
              </w:rPr>
              <w:t>Member States and the Commission shall use the global warming potentials listed in Annex III to Decision 24/CP.19 of the Conference of the Parties to the UNFCCC for the purpose of determining and reporting greenhouse gas inventories pursuant to paragraphs 1 to 5 of Article 7 of Regulation (EU) No 525/2013 and the Union greenhouse gas inventory.</w:t>
            </w:r>
          </w:p>
        </w:tc>
        <w:tc>
          <w:tcPr>
            <w:tcW w:w="387" w:type="pct"/>
            <w:shd w:val="clear" w:color="auto" w:fill="auto"/>
            <w:noWrap/>
            <w:vAlign w:val="center"/>
            <w:hideMark/>
          </w:tcPr>
          <w:p w:rsidR="002B0DFD" w:rsidRPr="00CC383D" w:rsidRDefault="002B0DFD" w:rsidP="00AA7987">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966" w:type="pct"/>
            <w:shd w:val="clear" w:color="auto" w:fill="auto"/>
            <w:noWrap/>
            <w:vAlign w:val="center"/>
            <w:hideMark/>
          </w:tcPr>
          <w:p w:rsidR="002B0DFD" w:rsidRPr="00CC383D" w:rsidRDefault="002B0DFD" w:rsidP="00AA7987">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289" w:type="pct"/>
            <w:shd w:val="clear" w:color="auto" w:fill="auto"/>
            <w:vAlign w:val="center"/>
            <w:hideMark/>
          </w:tcPr>
          <w:p w:rsidR="002B0DFD" w:rsidRPr="00CC383D" w:rsidRDefault="002B0DFD" w:rsidP="00AA7987">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НУ</w:t>
            </w:r>
          </w:p>
        </w:tc>
        <w:tc>
          <w:tcPr>
            <w:tcW w:w="962" w:type="pct"/>
            <w:shd w:val="clear" w:color="auto" w:fill="auto"/>
            <w:noWrap/>
            <w:vAlign w:val="center"/>
            <w:hideMark/>
          </w:tcPr>
          <w:p w:rsidR="002B0DFD" w:rsidRPr="00CC383D" w:rsidRDefault="002B0DFD" w:rsidP="00AA7987">
            <w:pPr>
              <w:jc w:val="center"/>
              <w:rPr>
                <w:rFonts w:ascii="Times New Roman" w:hAnsi="Times New Roman" w:cs="Times New Roman"/>
                <w:sz w:val="18"/>
                <w:szCs w:val="18"/>
                <w:lang w:val="sr-Cyrl-RS"/>
              </w:rPr>
            </w:pPr>
            <w:r w:rsidRPr="00CC383D">
              <w:rPr>
                <w:rFonts w:ascii="Times New Roman" w:eastAsia="Times New Roman" w:hAnsi="Times New Roman" w:cs="Times New Roman"/>
                <w:color w:val="000000"/>
                <w:sz w:val="18"/>
                <w:szCs w:val="18"/>
                <w:lang w:val="sr-Cyrl-RS" w:eastAsia="sr-Latn-RS"/>
              </w:rPr>
              <w:t> </w:t>
            </w:r>
            <w:r w:rsidRPr="00CC383D">
              <w:rPr>
                <w:rFonts w:ascii="Times New Roman" w:hAnsi="Times New Roman" w:cs="Times New Roman"/>
                <w:sz w:val="18"/>
                <w:szCs w:val="18"/>
                <w:lang w:val="sr-Cyrl-RS"/>
              </w:rPr>
              <w:t xml:space="preserve">Потпуна усклађеност биће постигнута </w:t>
            </w:r>
            <w:r w:rsidR="00EE4BA9" w:rsidRPr="00CC383D">
              <w:rPr>
                <w:rFonts w:ascii="Times New Roman" w:hAnsi="Times New Roman" w:cs="Times New Roman"/>
                <w:sz w:val="18"/>
                <w:szCs w:val="18"/>
                <w:lang w:val="sr-Cyrl-RS"/>
              </w:rPr>
              <w:t>усвајањем подзаконског акта</w:t>
            </w:r>
            <w:r w:rsidRPr="00CC383D">
              <w:rPr>
                <w:rFonts w:ascii="Times New Roman" w:hAnsi="Times New Roman" w:cs="Times New Roman"/>
                <w:sz w:val="18"/>
                <w:szCs w:val="18"/>
                <w:lang w:val="sr-Cyrl-RS"/>
              </w:rPr>
              <w:t xml:space="preserve"> </w:t>
            </w:r>
          </w:p>
          <w:p w:rsidR="00F90AE2" w:rsidRPr="00CC383D" w:rsidRDefault="00F90AE2" w:rsidP="00F90AE2">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59.3</w:t>
            </w:r>
          </w:p>
          <w:p w:rsidR="002B0DFD" w:rsidRPr="00CC383D" w:rsidRDefault="002B0DFD" w:rsidP="00AA7987">
            <w:pPr>
              <w:jc w:val="center"/>
              <w:rPr>
                <w:rFonts w:ascii="Times New Roman" w:eastAsia="Times New Roman" w:hAnsi="Times New Roman" w:cs="Times New Roman"/>
                <w:color w:val="000000"/>
                <w:sz w:val="18"/>
                <w:szCs w:val="18"/>
                <w:lang w:val="sr-Cyrl-RS" w:eastAsia="sr-Latn-RS"/>
              </w:rPr>
            </w:pPr>
          </w:p>
        </w:tc>
        <w:tc>
          <w:tcPr>
            <w:tcW w:w="369" w:type="pct"/>
            <w:shd w:val="clear" w:color="auto" w:fill="auto"/>
            <w:noWrap/>
            <w:vAlign w:val="center"/>
            <w:hideMark/>
          </w:tcPr>
          <w:p w:rsidR="002B0DFD" w:rsidRPr="00CC383D" w:rsidRDefault="002B0DFD" w:rsidP="00AA7987">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r>
      <w:tr w:rsidR="002B0DFD" w:rsidRPr="00CC383D" w:rsidTr="00667F4D">
        <w:trPr>
          <w:trHeight w:val="290"/>
        </w:trPr>
        <w:tc>
          <w:tcPr>
            <w:tcW w:w="428" w:type="pct"/>
            <w:shd w:val="clear" w:color="auto" w:fill="D9D9D9" w:themeFill="background1" w:themeFillShade="D9"/>
            <w:noWrap/>
            <w:vAlign w:val="center"/>
            <w:hideMark/>
          </w:tcPr>
          <w:p w:rsidR="002B0DFD" w:rsidRPr="00CC383D" w:rsidRDefault="002B0DFD" w:rsidP="00AA7987">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8</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Entry into force and application</w:t>
            </w:r>
          </w:p>
        </w:tc>
        <w:tc>
          <w:tcPr>
            <w:tcW w:w="387" w:type="pct"/>
            <w:shd w:val="clear" w:color="000000" w:fill="D9D9D9"/>
            <w:noWrap/>
            <w:vAlign w:val="center"/>
            <w:hideMark/>
          </w:tcPr>
          <w:p w:rsidR="002B0DFD" w:rsidRPr="00CC383D" w:rsidRDefault="002B0DFD" w:rsidP="00781D00">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966" w:type="pct"/>
            <w:shd w:val="clear" w:color="000000" w:fill="D9D9D9"/>
            <w:noWrap/>
            <w:vAlign w:val="center"/>
            <w:hideMark/>
          </w:tcPr>
          <w:p w:rsidR="002B0DFD" w:rsidRPr="00CC383D" w:rsidRDefault="002B0DFD" w:rsidP="00781D00">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289" w:type="pct"/>
            <w:shd w:val="clear" w:color="000000" w:fill="D9D9D9"/>
            <w:vAlign w:val="center"/>
            <w:hideMark/>
          </w:tcPr>
          <w:p w:rsidR="002B0DFD" w:rsidRPr="00CC383D" w:rsidRDefault="002B0DFD" w:rsidP="00781D00">
            <w:pPr>
              <w:jc w:val="cente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962" w:type="pct"/>
            <w:shd w:val="clear" w:color="000000" w:fill="D9D9D9"/>
            <w:noWrap/>
            <w:vAlign w:val="center"/>
            <w:hideMark/>
          </w:tcPr>
          <w:p w:rsidR="002B0DFD" w:rsidRPr="00CC383D" w:rsidRDefault="002B0DFD" w:rsidP="00781D00">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c>
          <w:tcPr>
            <w:tcW w:w="369" w:type="pct"/>
            <w:shd w:val="clear" w:color="000000" w:fill="D9D9D9"/>
            <w:noWrap/>
            <w:vAlign w:val="center"/>
            <w:hideMark/>
          </w:tcPr>
          <w:p w:rsidR="002B0DFD" w:rsidRPr="00CC383D" w:rsidRDefault="002B0DFD" w:rsidP="00781D00">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81D00">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8.1</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This Regulation shall enter into force on the twentieth day following that of its publication in the Official Journal of the European Union.</w:t>
            </w:r>
          </w:p>
        </w:tc>
        <w:tc>
          <w:tcPr>
            <w:tcW w:w="387" w:type="pct"/>
            <w:shd w:val="clear" w:color="auto" w:fill="auto"/>
            <w:noWrap/>
            <w:vAlign w:val="center"/>
          </w:tcPr>
          <w:p w:rsidR="002B0DFD" w:rsidRPr="00CC383D" w:rsidRDefault="002B0DFD" w:rsidP="00781D00">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81D00">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81D00">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81D00">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81D00">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00"/>
        </w:trPr>
        <w:tc>
          <w:tcPr>
            <w:tcW w:w="428" w:type="pct"/>
            <w:shd w:val="clear" w:color="auto" w:fill="D9D9D9" w:themeFill="background1" w:themeFillShade="D9"/>
            <w:noWrap/>
            <w:vAlign w:val="bottom"/>
            <w:hideMark/>
          </w:tcPr>
          <w:p w:rsidR="002B0DFD" w:rsidRPr="00CC383D" w:rsidRDefault="002B0DFD" w:rsidP="00781D00">
            <w:pPr>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8.2</w:t>
            </w:r>
          </w:p>
        </w:tc>
        <w:tc>
          <w:tcPr>
            <w:tcW w:w="1599" w:type="pct"/>
            <w:shd w:val="clear" w:color="auto" w:fill="D9D9D9" w:themeFill="background1" w:themeFillShade="D9"/>
            <w:noWrap/>
            <w:vAlign w:val="center"/>
            <w:hideMark/>
          </w:tcPr>
          <w:p w:rsidR="002B0DFD" w:rsidRPr="00CC383D" w:rsidRDefault="002B0DFD" w:rsidP="00C96B1B">
            <w:pPr>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It shall apply from 1 January 2015.</w:t>
            </w:r>
          </w:p>
        </w:tc>
        <w:tc>
          <w:tcPr>
            <w:tcW w:w="387" w:type="pct"/>
            <w:shd w:val="clear" w:color="auto" w:fill="auto"/>
            <w:noWrap/>
            <w:vAlign w:val="center"/>
          </w:tcPr>
          <w:p w:rsidR="002B0DFD" w:rsidRPr="00CC383D" w:rsidRDefault="002B0DFD" w:rsidP="00781D00">
            <w:pPr>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81D00">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81D00">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81D00">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81D00">
            <w:pPr>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r w:rsidR="002B0DFD" w:rsidRPr="00CC383D" w:rsidTr="00667F4D">
        <w:trPr>
          <w:trHeight w:val="610"/>
        </w:trPr>
        <w:tc>
          <w:tcPr>
            <w:tcW w:w="428" w:type="pct"/>
            <w:shd w:val="clear" w:color="auto" w:fill="D9D9D9" w:themeFill="background1" w:themeFillShade="D9"/>
            <w:noWrap/>
            <w:vAlign w:val="bottom"/>
            <w:hideMark/>
          </w:tcPr>
          <w:p w:rsidR="002B0DFD" w:rsidRPr="00CC383D" w:rsidRDefault="002B0DFD" w:rsidP="00781D00">
            <w:pPr>
              <w:jc w:val="both"/>
              <w:rPr>
                <w:rFonts w:ascii="Times New Roman" w:eastAsia="Times New Roman" w:hAnsi="Times New Roman" w:cs="Times New Roman"/>
                <w:color w:val="000000"/>
                <w:sz w:val="18"/>
                <w:szCs w:val="18"/>
                <w:lang w:val="sr-Cyrl-RS" w:eastAsia="sr-Latn-RS"/>
              </w:rPr>
            </w:pPr>
            <w:r w:rsidRPr="00CC383D">
              <w:rPr>
                <w:rFonts w:ascii="Times New Roman" w:eastAsia="Times New Roman" w:hAnsi="Times New Roman" w:cs="Times New Roman"/>
                <w:color w:val="000000"/>
                <w:sz w:val="18"/>
                <w:szCs w:val="18"/>
                <w:lang w:val="sr-Cyrl-RS" w:eastAsia="sr-Latn-RS"/>
              </w:rPr>
              <w:t>8.3</w:t>
            </w:r>
          </w:p>
        </w:tc>
        <w:tc>
          <w:tcPr>
            <w:tcW w:w="1599" w:type="pct"/>
            <w:shd w:val="clear" w:color="auto" w:fill="D9D9D9" w:themeFill="background1" w:themeFillShade="D9"/>
            <w:noWrap/>
            <w:vAlign w:val="center"/>
            <w:hideMark/>
          </w:tcPr>
          <w:p w:rsidR="002B0DFD" w:rsidRPr="00CC383D" w:rsidRDefault="002B0DFD" w:rsidP="00C96B1B">
            <w:pPr>
              <w:jc w:val="both"/>
              <w:rPr>
                <w:rFonts w:ascii="Times New Roman" w:eastAsia="Times New Roman" w:hAnsi="Times New Roman" w:cs="Times New Roman"/>
                <w:sz w:val="18"/>
                <w:szCs w:val="18"/>
                <w:lang w:val="sr-Cyrl-RS" w:eastAsia="sr-Latn-RS"/>
              </w:rPr>
            </w:pPr>
            <w:r w:rsidRPr="00CC383D">
              <w:rPr>
                <w:rFonts w:ascii="Times New Roman" w:eastAsia="Times New Roman" w:hAnsi="Times New Roman" w:cs="Times New Roman"/>
                <w:sz w:val="18"/>
                <w:szCs w:val="18"/>
                <w:lang w:val="sr-Cyrl-RS" w:eastAsia="sr-Latn-RS"/>
              </w:rPr>
              <w:t>This Regulation shall be binding in its entirety and directly applicable in all Member States.</w:t>
            </w:r>
          </w:p>
        </w:tc>
        <w:tc>
          <w:tcPr>
            <w:tcW w:w="387" w:type="pct"/>
            <w:shd w:val="clear" w:color="auto" w:fill="auto"/>
            <w:noWrap/>
            <w:vAlign w:val="center"/>
          </w:tcPr>
          <w:p w:rsidR="002B0DFD" w:rsidRPr="00CC383D" w:rsidRDefault="002B0DFD" w:rsidP="00781D00">
            <w:pPr>
              <w:jc w:val="both"/>
              <w:rPr>
                <w:rFonts w:ascii="Times New Roman" w:eastAsia="Times New Roman" w:hAnsi="Times New Roman" w:cs="Times New Roman"/>
                <w:color w:val="BFBFBF"/>
                <w:sz w:val="18"/>
                <w:szCs w:val="18"/>
                <w:lang w:val="sr-Cyrl-RS" w:eastAsia="sr-Latn-RS"/>
              </w:rPr>
            </w:pPr>
          </w:p>
        </w:tc>
        <w:tc>
          <w:tcPr>
            <w:tcW w:w="966" w:type="pct"/>
            <w:shd w:val="clear" w:color="auto" w:fill="auto"/>
            <w:noWrap/>
            <w:vAlign w:val="center"/>
            <w:hideMark/>
          </w:tcPr>
          <w:p w:rsidR="002B0DFD" w:rsidRPr="00CC383D" w:rsidRDefault="002B0DFD" w:rsidP="00781D00">
            <w:pPr>
              <w:jc w:val="both"/>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c>
          <w:tcPr>
            <w:tcW w:w="289" w:type="pct"/>
            <w:shd w:val="clear" w:color="auto" w:fill="auto"/>
            <w:vAlign w:val="center"/>
            <w:hideMark/>
          </w:tcPr>
          <w:p w:rsidR="002B0DFD" w:rsidRPr="00CC383D" w:rsidRDefault="002B0DFD" w:rsidP="00781D00">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НП</w:t>
            </w:r>
          </w:p>
        </w:tc>
        <w:tc>
          <w:tcPr>
            <w:tcW w:w="962" w:type="pct"/>
            <w:shd w:val="clear" w:color="auto" w:fill="auto"/>
            <w:noWrap/>
            <w:vAlign w:val="center"/>
            <w:hideMark/>
          </w:tcPr>
          <w:p w:rsidR="002B0DFD" w:rsidRPr="00CC383D" w:rsidRDefault="002B0DFD" w:rsidP="00781D00">
            <w:pPr>
              <w:jc w:val="center"/>
              <w:rPr>
                <w:rFonts w:ascii="Times New Roman" w:hAnsi="Times New Roman" w:cs="Times New Roman"/>
                <w:sz w:val="18"/>
                <w:szCs w:val="18"/>
                <w:lang w:val="sr-Cyrl-RS"/>
              </w:rPr>
            </w:pPr>
            <w:r w:rsidRPr="00CC383D">
              <w:rPr>
                <w:rFonts w:ascii="Times New Roman" w:hAnsi="Times New Roman" w:cs="Times New Roman"/>
                <w:sz w:val="18"/>
                <w:szCs w:val="18"/>
                <w:lang w:val="sr-Cyrl-RS"/>
              </w:rPr>
              <w:t xml:space="preserve">Није </w:t>
            </w:r>
            <w:r w:rsidR="00F12A09" w:rsidRPr="00CC383D">
              <w:rPr>
                <w:rFonts w:ascii="Times New Roman" w:hAnsi="Times New Roman" w:cs="Times New Roman"/>
                <w:sz w:val="18"/>
                <w:szCs w:val="18"/>
                <w:lang w:val="sr-Cyrl-RS"/>
              </w:rPr>
              <w:t xml:space="preserve">примењиво </w:t>
            </w:r>
            <w:r w:rsidRPr="00CC383D">
              <w:rPr>
                <w:rFonts w:ascii="Times New Roman" w:hAnsi="Times New Roman" w:cs="Times New Roman"/>
                <w:sz w:val="18"/>
                <w:szCs w:val="18"/>
                <w:lang w:val="sr-Cyrl-RS"/>
              </w:rPr>
              <w:t xml:space="preserve"> за Србију</w:t>
            </w:r>
          </w:p>
        </w:tc>
        <w:tc>
          <w:tcPr>
            <w:tcW w:w="369" w:type="pct"/>
            <w:shd w:val="clear" w:color="auto" w:fill="auto"/>
            <w:noWrap/>
            <w:vAlign w:val="center"/>
            <w:hideMark/>
          </w:tcPr>
          <w:p w:rsidR="002B0DFD" w:rsidRPr="00CC383D" w:rsidRDefault="002B0DFD" w:rsidP="00781D00">
            <w:pPr>
              <w:jc w:val="both"/>
              <w:rPr>
                <w:rFonts w:ascii="Times New Roman" w:eastAsia="Times New Roman" w:hAnsi="Times New Roman" w:cs="Times New Roman"/>
                <w:color w:val="BFBFBF"/>
                <w:sz w:val="18"/>
                <w:szCs w:val="18"/>
                <w:lang w:val="sr-Cyrl-RS" w:eastAsia="sr-Latn-RS"/>
              </w:rPr>
            </w:pPr>
            <w:r w:rsidRPr="00CC383D">
              <w:rPr>
                <w:rFonts w:ascii="Times New Roman" w:eastAsia="Times New Roman" w:hAnsi="Times New Roman" w:cs="Times New Roman"/>
                <w:color w:val="BFBFBF"/>
                <w:sz w:val="18"/>
                <w:szCs w:val="18"/>
                <w:lang w:val="sr-Cyrl-RS" w:eastAsia="sr-Latn-RS"/>
              </w:rPr>
              <w:t> </w:t>
            </w:r>
          </w:p>
        </w:tc>
      </w:tr>
    </w:tbl>
    <w:p w:rsidR="00CC6EB1" w:rsidRPr="00CC383D" w:rsidRDefault="00CC6EB1">
      <w:pPr>
        <w:rPr>
          <w:rFonts w:ascii="Times New Roman" w:hAnsi="Times New Roman" w:cs="Times New Roman"/>
          <w:sz w:val="18"/>
          <w:szCs w:val="18"/>
          <w:lang w:val="sr-Cyrl-RS"/>
        </w:rPr>
      </w:pPr>
    </w:p>
    <w:p w:rsidR="00ED14C4" w:rsidRPr="00CC383D" w:rsidRDefault="00ED14C4">
      <w:pPr>
        <w:rPr>
          <w:rFonts w:ascii="Times New Roman" w:hAnsi="Times New Roman" w:cs="Times New Roman"/>
          <w:sz w:val="18"/>
          <w:szCs w:val="18"/>
          <w:lang w:val="sr-Cyrl-RS"/>
        </w:rPr>
      </w:pPr>
    </w:p>
    <w:sectPr w:rsidR="00ED14C4" w:rsidRPr="00CC383D" w:rsidSect="00F533FE">
      <w:footerReference w:type="default" r:id="rId10"/>
      <w:pgSz w:w="16838" w:h="11906" w:orient="landscape"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341" w:rsidRDefault="00A15341">
      <w:r>
        <w:separator/>
      </w:r>
    </w:p>
  </w:endnote>
  <w:endnote w:type="continuationSeparator" w:id="0">
    <w:p w:rsidR="00A15341" w:rsidRDefault="00A1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7215176"/>
      <w:docPartObj>
        <w:docPartGallery w:val="Page Numbers (Bottom of Page)"/>
        <w:docPartUnique/>
      </w:docPartObj>
    </w:sdtPr>
    <w:sdtEndPr>
      <w:rPr>
        <w:noProof/>
      </w:rPr>
    </w:sdtEndPr>
    <w:sdtContent>
      <w:p w:rsidR="00F533FE" w:rsidRDefault="00F533FE">
        <w:pPr>
          <w:pStyle w:val="Footer"/>
          <w:jc w:val="right"/>
        </w:pPr>
        <w:r>
          <w:fldChar w:fldCharType="begin"/>
        </w:r>
        <w:r>
          <w:instrText xml:space="preserve"> PAGE   \* MERGEFORMAT </w:instrText>
        </w:r>
        <w:r>
          <w:fldChar w:fldCharType="separate"/>
        </w:r>
        <w:r w:rsidR="00925E96">
          <w:rPr>
            <w:noProof/>
          </w:rPr>
          <w:t>2</w:t>
        </w:r>
        <w:r>
          <w:rPr>
            <w:noProof/>
          </w:rPr>
          <w:fldChar w:fldCharType="end"/>
        </w:r>
      </w:p>
    </w:sdtContent>
  </w:sdt>
  <w:p w:rsidR="00F533FE" w:rsidRDefault="00F533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341" w:rsidRDefault="00A15341">
      <w:r>
        <w:separator/>
      </w:r>
    </w:p>
  </w:footnote>
  <w:footnote w:type="continuationSeparator" w:id="0">
    <w:p w:rsidR="00A15341" w:rsidRDefault="00A15341">
      <w:r>
        <w:continuationSeparator/>
      </w:r>
    </w:p>
  </w:footnote>
  <w:footnote w:id="1">
    <w:p w:rsidR="003F4EC8" w:rsidRPr="003025F1" w:rsidRDefault="003F4EC8">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A6A51"/>
    <w:multiLevelType w:val="hybridMultilevel"/>
    <w:tmpl w:val="5950B626"/>
    <w:lvl w:ilvl="0" w:tplc="0A30223C">
      <w:start w:val="1"/>
      <w:numFmt w:val="decimal"/>
      <w:lvlText w:val="%1)"/>
      <w:lvlJc w:val="left"/>
      <w:pPr>
        <w:ind w:left="2269" w:hanging="15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
    <w:nsid w:val="1CCD1FF7"/>
    <w:multiLevelType w:val="hybridMultilevel"/>
    <w:tmpl w:val="3C46AC1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7A3818"/>
    <w:multiLevelType w:val="multilevel"/>
    <w:tmpl w:val="51B64AF4"/>
    <w:lvl w:ilvl="0">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3">
    <w:nsid w:val="5F476F77"/>
    <w:multiLevelType w:val="hybridMultilevel"/>
    <w:tmpl w:val="C8FE644E"/>
    <w:lvl w:ilvl="0" w:tplc="0A30223C">
      <w:start w:val="1"/>
      <w:numFmt w:val="decimal"/>
      <w:lvlText w:val="%1)"/>
      <w:lvlJc w:val="left"/>
      <w:pPr>
        <w:ind w:left="2269" w:hanging="15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
    <w:nsid w:val="6BA14CD5"/>
    <w:multiLevelType w:val="hybridMultilevel"/>
    <w:tmpl w:val="B50AF0FE"/>
    <w:lvl w:ilvl="0" w:tplc="0A30223C">
      <w:start w:val="1"/>
      <w:numFmt w:val="decimal"/>
      <w:lvlText w:val="%1)"/>
      <w:lvlJc w:val="left"/>
      <w:pPr>
        <w:ind w:left="2269" w:hanging="15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
    <w:nsid w:val="7E166A8E"/>
    <w:multiLevelType w:val="hybridMultilevel"/>
    <w:tmpl w:val="26F63948"/>
    <w:lvl w:ilvl="0" w:tplc="0A30223C">
      <w:start w:val="1"/>
      <w:numFmt w:val="decimal"/>
      <w:lvlText w:val="%1)"/>
      <w:lvlJc w:val="left"/>
      <w:pPr>
        <w:ind w:left="2269" w:hanging="15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num w:numId="1">
    <w:abstractNumId w:val="4"/>
  </w:num>
  <w:num w:numId="2">
    <w:abstractNumId w:val="1"/>
  </w:num>
  <w:num w:numId="3">
    <w:abstractNumId w:val="3"/>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42A"/>
    <w:rsid w:val="00003843"/>
    <w:rsid w:val="0001005F"/>
    <w:rsid w:val="000165CF"/>
    <w:rsid w:val="0003309B"/>
    <w:rsid w:val="000337D3"/>
    <w:rsid w:val="000525B8"/>
    <w:rsid w:val="000549F4"/>
    <w:rsid w:val="00056838"/>
    <w:rsid w:val="000811FE"/>
    <w:rsid w:val="000B298B"/>
    <w:rsid w:val="000C0332"/>
    <w:rsid w:val="000C5E5B"/>
    <w:rsid w:val="000D464A"/>
    <w:rsid w:val="000D6398"/>
    <w:rsid w:val="001237EF"/>
    <w:rsid w:val="00124908"/>
    <w:rsid w:val="00125968"/>
    <w:rsid w:val="00153F67"/>
    <w:rsid w:val="00156CC5"/>
    <w:rsid w:val="00170DD4"/>
    <w:rsid w:val="00184BF4"/>
    <w:rsid w:val="00193EFF"/>
    <w:rsid w:val="001B680C"/>
    <w:rsid w:val="001D0B2A"/>
    <w:rsid w:val="001D6AC4"/>
    <w:rsid w:val="001F6490"/>
    <w:rsid w:val="001F7341"/>
    <w:rsid w:val="00206BD4"/>
    <w:rsid w:val="00243CA1"/>
    <w:rsid w:val="00244C80"/>
    <w:rsid w:val="0025042A"/>
    <w:rsid w:val="00267231"/>
    <w:rsid w:val="002B0DFD"/>
    <w:rsid w:val="002D1B06"/>
    <w:rsid w:val="002D3D70"/>
    <w:rsid w:val="002E01E7"/>
    <w:rsid w:val="002E4B72"/>
    <w:rsid w:val="00300BB6"/>
    <w:rsid w:val="003025F1"/>
    <w:rsid w:val="00316F74"/>
    <w:rsid w:val="00340B14"/>
    <w:rsid w:val="00381C30"/>
    <w:rsid w:val="00395885"/>
    <w:rsid w:val="00396643"/>
    <w:rsid w:val="003A5774"/>
    <w:rsid w:val="003B7050"/>
    <w:rsid w:val="003E69B2"/>
    <w:rsid w:val="003F4EC8"/>
    <w:rsid w:val="00404EDF"/>
    <w:rsid w:val="0042255D"/>
    <w:rsid w:val="0044222F"/>
    <w:rsid w:val="00443370"/>
    <w:rsid w:val="0044371E"/>
    <w:rsid w:val="00451FEC"/>
    <w:rsid w:val="004926DE"/>
    <w:rsid w:val="004A7F8E"/>
    <w:rsid w:val="004C0BA8"/>
    <w:rsid w:val="004C7E31"/>
    <w:rsid w:val="004D47A5"/>
    <w:rsid w:val="004E460E"/>
    <w:rsid w:val="004F4A3D"/>
    <w:rsid w:val="00500907"/>
    <w:rsid w:val="00504E33"/>
    <w:rsid w:val="005057F3"/>
    <w:rsid w:val="00530B9D"/>
    <w:rsid w:val="0054038D"/>
    <w:rsid w:val="00544735"/>
    <w:rsid w:val="005800BE"/>
    <w:rsid w:val="00583EDF"/>
    <w:rsid w:val="0059045E"/>
    <w:rsid w:val="0059341B"/>
    <w:rsid w:val="005A0423"/>
    <w:rsid w:val="005A6DBD"/>
    <w:rsid w:val="005B0C41"/>
    <w:rsid w:val="005B3611"/>
    <w:rsid w:val="005C7C6B"/>
    <w:rsid w:val="005D3875"/>
    <w:rsid w:val="005E2013"/>
    <w:rsid w:val="00601B4A"/>
    <w:rsid w:val="00602FA1"/>
    <w:rsid w:val="00607D05"/>
    <w:rsid w:val="006259D0"/>
    <w:rsid w:val="00643CA0"/>
    <w:rsid w:val="006454F2"/>
    <w:rsid w:val="00655E03"/>
    <w:rsid w:val="00667F4D"/>
    <w:rsid w:val="006D2D07"/>
    <w:rsid w:val="006E29D9"/>
    <w:rsid w:val="0072109B"/>
    <w:rsid w:val="007235F1"/>
    <w:rsid w:val="00725D32"/>
    <w:rsid w:val="00730E8E"/>
    <w:rsid w:val="00745E26"/>
    <w:rsid w:val="007520CB"/>
    <w:rsid w:val="007525F7"/>
    <w:rsid w:val="007765EF"/>
    <w:rsid w:val="00781D00"/>
    <w:rsid w:val="00783C70"/>
    <w:rsid w:val="007A2084"/>
    <w:rsid w:val="007A224F"/>
    <w:rsid w:val="007E1FB8"/>
    <w:rsid w:val="0081430F"/>
    <w:rsid w:val="008222F4"/>
    <w:rsid w:val="00826441"/>
    <w:rsid w:val="00850BDD"/>
    <w:rsid w:val="008571FE"/>
    <w:rsid w:val="00857A88"/>
    <w:rsid w:val="00863087"/>
    <w:rsid w:val="00894654"/>
    <w:rsid w:val="008972E0"/>
    <w:rsid w:val="008E2987"/>
    <w:rsid w:val="008E314D"/>
    <w:rsid w:val="008F053C"/>
    <w:rsid w:val="00913DF6"/>
    <w:rsid w:val="00920577"/>
    <w:rsid w:val="00921FE6"/>
    <w:rsid w:val="00925E96"/>
    <w:rsid w:val="00926BCF"/>
    <w:rsid w:val="009270B6"/>
    <w:rsid w:val="00931344"/>
    <w:rsid w:val="00944154"/>
    <w:rsid w:val="009446D0"/>
    <w:rsid w:val="00945661"/>
    <w:rsid w:val="0094618F"/>
    <w:rsid w:val="00946A9C"/>
    <w:rsid w:val="00987869"/>
    <w:rsid w:val="009A4B0D"/>
    <w:rsid w:val="009E0B9D"/>
    <w:rsid w:val="009E28D0"/>
    <w:rsid w:val="009E3CD5"/>
    <w:rsid w:val="009E48F9"/>
    <w:rsid w:val="009E53C6"/>
    <w:rsid w:val="009F6A11"/>
    <w:rsid w:val="00A15341"/>
    <w:rsid w:val="00A31869"/>
    <w:rsid w:val="00A43A6D"/>
    <w:rsid w:val="00A513E9"/>
    <w:rsid w:val="00A6053E"/>
    <w:rsid w:val="00A612B2"/>
    <w:rsid w:val="00A70F74"/>
    <w:rsid w:val="00A76505"/>
    <w:rsid w:val="00A90F52"/>
    <w:rsid w:val="00A91F7A"/>
    <w:rsid w:val="00AA7987"/>
    <w:rsid w:val="00AD0B0A"/>
    <w:rsid w:val="00B050C9"/>
    <w:rsid w:val="00B10DC6"/>
    <w:rsid w:val="00B14AF6"/>
    <w:rsid w:val="00B2437D"/>
    <w:rsid w:val="00B27473"/>
    <w:rsid w:val="00B32E95"/>
    <w:rsid w:val="00B42911"/>
    <w:rsid w:val="00B56C36"/>
    <w:rsid w:val="00B80959"/>
    <w:rsid w:val="00B9056B"/>
    <w:rsid w:val="00BA2732"/>
    <w:rsid w:val="00BB34EE"/>
    <w:rsid w:val="00BD6C5D"/>
    <w:rsid w:val="00BF4D4C"/>
    <w:rsid w:val="00C10708"/>
    <w:rsid w:val="00C526B9"/>
    <w:rsid w:val="00C75B5D"/>
    <w:rsid w:val="00C8052B"/>
    <w:rsid w:val="00C96B1B"/>
    <w:rsid w:val="00CC383D"/>
    <w:rsid w:val="00CC6EB1"/>
    <w:rsid w:val="00CD0BD2"/>
    <w:rsid w:val="00CE077E"/>
    <w:rsid w:val="00CF75B2"/>
    <w:rsid w:val="00D053DB"/>
    <w:rsid w:val="00D156E7"/>
    <w:rsid w:val="00D16416"/>
    <w:rsid w:val="00D2173B"/>
    <w:rsid w:val="00D336DF"/>
    <w:rsid w:val="00D40ADD"/>
    <w:rsid w:val="00D64DBD"/>
    <w:rsid w:val="00D665FB"/>
    <w:rsid w:val="00D75C7E"/>
    <w:rsid w:val="00D84263"/>
    <w:rsid w:val="00D96BF4"/>
    <w:rsid w:val="00DB0E17"/>
    <w:rsid w:val="00DB2DA8"/>
    <w:rsid w:val="00DC1521"/>
    <w:rsid w:val="00DC46A3"/>
    <w:rsid w:val="00DD0505"/>
    <w:rsid w:val="00DE05CB"/>
    <w:rsid w:val="00DF3654"/>
    <w:rsid w:val="00E04020"/>
    <w:rsid w:val="00E15DBD"/>
    <w:rsid w:val="00E6705D"/>
    <w:rsid w:val="00E71BAF"/>
    <w:rsid w:val="00E82039"/>
    <w:rsid w:val="00E8693E"/>
    <w:rsid w:val="00E978E7"/>
    <w:rsid w:val="00EA659E"/>
    <w:rsid w:val="00EB685C"/>
    <w:rsid w:val="00ED14C4"/>
    <w:rsid w:val="00ED72A7"/>
    <w:rsid w:val="00EE0AE4"/>
    <w:rsid w:val="00EE4BA9"/>
    <w:rsid w:val="00EF0049"/>
    <w:rsid w:val="00F103FA"/>
    <w:rsid w:val="00F12A09"/>
    <w:rsid w:val="00F2047D"/>
    <w:rsid w:val="00F237F2"/>
    <w:rsid w:val="00F273B5"/>
    <w:rsid w:val="00F533FE"/>
    <w:rsid w:val="00F54319"/>
    <w:rsid w:val="00F643E5"/>
    <w:rsid w:val="00F8363E"/>
    <w:rsid w:val="00F853E6"/>
    <w:rsid w:val="00F90AE2"/>
    <w:rsid w:val="00F961CD"/>
    <w:rsid w:val="00FA590C"/>
    <w:rsid w:val="00FC7DFF"/>
    <w:rsid w:val="00FD1842"/>
    <w:rsid w:val="00FD72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42A"/>
    <w:rPr>
      <w:rFonts w:ascii="Arial" w:eastAsia="Calibri"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25042A"/>
  </w:style>
  <w:style w:type="paragraph" w:styleId="BalloonText">
    <w:name w:val="Balloon Text"/>
    <w:basedOn w:val="Normal"/>
    <w:link w:val="BalloonTextChar"/>
    <w:rsid w:val="0025042A"/>
    <w:rPr>
      <w:rFonts w:ascii="Tahoma" w:hAnsi="Tahoma" w:cs="Tahoma"/>
      <w:sz w:val="16"/>
      <w:szCs w:val="16"/>
    </w:rPr>
  </w:style>
  <w:style w:type="character" w:customStyle="1" w:styleId="BalloonTextChar">
    <w:name w:val="Balloon Text Char"/>
    <w:link w:val="BalloonText"/>
    <w:rsid w:val="0025042A"/>
    <w:rPr>
      <w:rFonts w:ascii="Tahoma" w:eastAsia="Calibri" w:hAnsi="Tahoma" w:cs="Tahoma"/>
      <w:sz w:val="16"/>
      <w:szCs w:val="16"/>
    </w:rPr>
  </w:style>
  <w:style w:type="paragraph" w:styleId="FootnoteText">
    <w:name w:val="footnote text"/>
    <w:basedOn w:val="Normal"/>
    <w:semiHidden/>
    <w:rsid w:val="003025F1"/>
    <w:rPr>
      <w:sz w:val="20"/>
      <w:szCs w:val="20"/>
    </w:rPr>
  </w:style>
  <w:style w:type="character" w:styleId="FootnoteReference">
    <w:name w:val="footnote reference"/>
    <w:semiHidden/>
    <w:rsid w:val="003025F1"/>
    <w:rPr>
      <w:vertAlign w:val="superscript"/>
    </w:rPr>
  </w:style>
  <w:style w:type="character" w:styleId="CommentReference">
    <w:name w:val="annotation reference"/>
    <w:basedOn w:val="DefaultParagraphFont"/>
    <w:uiPriority w:val="99"/>
    <w:rsid w:val="000D6398"/>
    <w:rPr>
      <w:sz w:val="16"/>
      <w:szCs w:val="16"/>
    </w:rPr>
  </w:style>
  <w:style w:type="paragraph" w:styleId="CommentText">
    <w:name w:val="annotation text"/>
    <w:basedOn w:val="Normal"/>
    <w:link w:val="CommentTextChar"/>
    <w:uiPriority w:val="99"/>
    <w:rsid w:val="000D6398"/>
    <w:rPr>
      <w:sz w:val="20"/>
      <w:szCs w:val="20"/>
    </w:rPr>
  </w:style>
  <w:style w:type="character" w:customStyle="1" w:styleId="CommentTextChar">
    <w:name w:val="Comment Text Char"/>
    <w:basedOn w:val="DefaultParagraphFont"/>
    <w:link w:val="CommentText"/>
    <w:uiPriority w:val="99"/>
    <w:rsid w:val="000D6398"/>
    <w:rPr>
      <w:rFonts w:ascii="Arial" w:eastAsia="Calibri" w:hAnsi="Arial" w:cs="Arial"/>
    </w:rPr>
  </w:style>
  <w:style w:type="paragraph" w:styleId="CommentSubject">
    <w:name w:val="annotation subject"/>
    <w:basedOn w:val="CommentText"/>
    <w:next w:val="CommentText"/>
    <w:link w:val="CommentSubjectChar"/>
    <w:rsid w:val="000D6398"/>
    <w:rPr>
      <w:b/>
      <w:bCs/>
    </w:rPr>
  </w:style>
  <w:style w:type="character" w:customStyle="1" w:styleId="CommentSubjectChar">
    <w:name w:val="Comment Subject Char"/>
    <w:basedOn w:val="CommentTextChar"/>
    <w:link w:val="CommentSubject"/>
    <w:rsid w:val="000D6398"/>
    <w:rPr>
      <w:rFonts w:ascii="Arial" w:eastAsia="Calibri" w:hAnsi="Arial" w:cs="Arial"/>
      <w:b/>
      <w:bCs/>
    </w:rPr>
  </w:style>
  <w:style w:type="character" w:styleId="Strong">
    <w:name w:val="Strong"/>
    <w:basedOn w:val="DefaultParagraphFont"/>
    <w:uiPriority w:val="22"/>
    <w:qFormat/>
    <w:rsid w:val="00857A88"/>
    <w:rPr>
      <w:b/>
      <w:bCs/>
    </w:rPr>
  </w:style>
  <w:style w:type="character" w:styleId="Hyperlink">
    <w:name w:val="Hyperlink"/>
    <w:basedOn w:val="DefaultParagraphFont"/>
    <w:uiPriority w:val="99"/>
    <w:semiHidden/>
    <w:unhideWhenUsed/>
    <w:rsid w:val="00745E26"/>
    <w:rPr>
      <w:color w:val="0563C1"/>
      <w:u w:val="single"/>
    </w:rPr>
  </w:style>
  <w:style w:type="paragraph" w:styleId="ListParagraph">
    <w:name w:val="List Paragraph"/>
    <w:basedOn w:val="Normal"/>
    <w:uiPriority w:val="34"/>
    <w:qFormat/>
    <w:rsid w:val="00AA7987"/>
    <w:pPr>
      <w:ind w:left="720"/>
      <w:contextualSpacing/>
    </w:pPr>
  </w:style>
  <w:style w:type="paragraph" w:styleId="Header">
    <w:name w:val="header"/>
    <w:basedOn w:val="Normal"/>
    <w:link w:val="HeaderChar"/>
    <w:unhideWhenUsed/>
    <w:rsid w:val="00F533FE"/>
    <w:pPr>
      <w:tabs>
        <w:tab w:val="center" w:pos="4680"/>
        <w:tab w:val="right" w:pos="9360"/>
      </w:tabs>
    </w:pPr>
  </w:style>
  <w:style w:type="character" w:customStyle="1" w:styleId="HeaderChar">
    <w:name w:val="Header Char"/>
    <w:basedOn w:val="DefaultParagraphFont"/>
    <w:link w:val="Header"/>
    <w:rsid w:val="00F533FE"/>
    <w:rPr>
      <w:rFonts w:ascii="Arial" w:eastAsia="Calibri" w:hAnsi="Arial" w:cs="Arial"/>
      <w:sz w:val="22"/>
      <w:szCs w:val="22"/>
    </w:rPr>
  </w:style>
  <w:style w:type="paragraph" w:styleId="Footer">
    <w:name w:val="footer"/>
    <w:basedOn w:val="Normal"/>
    <w:link w:val="FooterChar"/>
    <w:uiPriority w:val="99"/>
    <w:unhideWhenUsed/>
    <w:rsid w:val="00F533FE"/>
    <w:pPr>
      <w:tabs>
        <w:tab w:val="center" w:pos="4680"/>
        <w:tab w:val="right" w:pos="9360"/>
      </w:tabs>
    </w:pPr>
  </w:style>
  <w:style w:type="character" w:customStyle="1" w:styleId="FooterChar">
    <w:name w:val="Footer Char"/>
    <w:basedOn w:val="DefaultParagraphFont"/>
    <w:link w:val="Footer"/>
    <w:uiPriority w:val="99"/>
    <w:rsid w:val="00F533FE"/>
    <w:rPr>
      <w:rFonts w:ascii="Arial" w:eastAsia="Calibri"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42A"/>
    <w:rPr>
      <w:rFonts w:ascii="Arial" w:eastAsia="Calibri"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25042A"/>
  </w:style>
  <w:style w:type="paragraph" w:styleId="BalloonText">
    <w:name w:val="Balloon Text"/>
    <w:basedOn w:val="Normal"/>
    <w:link w:val="BalloonTextChar"/>
    <w:rsid w:val="0025042A"/>
    <w:rPr>
      <w:rFonts w:ascii="Tahoma" w:hAnsi="Tahoma" w:cs="Tahoma"/>
      <w:sz w:val="16"/>
      <w:szCs w:val="16"/>
    </w:rPr>
  </w:style>
  <w:style w:type="character" w:customStyle="1" w:styleId="BalloonTextChar">
    <w:name w:val="Balloon Text Char"/>
    <w:link w:val="BalloonText"/>
    <w:rsid w:val="0025042A"/>
    <w:rPr>
      <w:rFonts w:ascii="Tahoma" w:eastAsia="Calibri" w:hAnsi="Tahoma" w:cs="Tahoma"/>
      <w:sz w:val="16"/>
      <w:szCs w:val="16"/>
    </w:rPr>
  </w:style>
  <w:style w:type="paragraph" w:styleId="FootnoteText">
    <w:name w:val="footnote text"/>
    <w:basedOn w:val="Normal"/>
    <w:semiHidden/>
    <w:rsid w:val="003025F1"/>
    <w:rPr>
      <w:sz w:val="20"/>
      <w:szCs w:val="20"/>
    </w:rPr>
  </w:style>
  <w:style w:type="character" w:styleId="FootnoteReference">
    <w:name w:val="footnote reference"/>
    <w:semiHidden/>
    <w:rsid w:val="003025F1"/>
    <w:rPr>
      <w:vertAlign w:val="superscript"/>
    </w:rPr>
  </w:style>
  <w:style w:type="character" w:styleId="CommentReference">
    <w:name w:val="annotation reference"/>
    <w:basedOn w:val="DefaultParagraphFont"/>
    <w:uiPriority w:val="99"/>
    <w:rsid w:val="000D6398"/>
    <w:rPr>
      <w:sz w:val="16"/>
      <w:szCs w:val="16"/>
    </w:rPr>
  </w:style>
  <w:style w:type="paragraph" w:styleId="CommentText">
    <w:name w:val="annotation text"/>
    <w:basedOn w:val="Normal"/>
    <w:link w:val="CommentTextChar"/>
    <w:uiPriority w:val="99"/>
    <w:rsid w:val="000D6398"/>
    <w:rPr>
      <w:sz w:val="20"/>
      <w:szCs w:val="20"/>
    </w:rPr>
  </w:style>
  <w:style w:type="character" w:customStyle="1" w:styleId="CommentTextChar">
    <w:name w:val="Comment Text Char"/>
    <w:basedOn w:val="DefaultParagraphFont"/>
    <w:link w:val="CommentText"/>
    <w:uiPriority w:val="99"/>
    <w:rsid w:val="000D6398"/>
    <w:rPr>
      <w:rFonts w:ascii="Arial" w:eastAsia="Calibri" w:hAnsi="Arial" w:cs="Arial"/>
    </w:rPr>
  </w:style>
  <w:style w:type="paragraph" w:styleId="CommentSubject">
    <w:name w:val="annotation subject"/>
    <w:basedOn w:val="CommentText"/>
    <w:next w:val="CommentText"/>
    <w:link w:val="CommentSubjectChar"/>
    <w:rsid w:val="000D6398"/>
    <w:rPr>
      <w:b/>
      <w:bCs/>
    </w:rPr>
  </w:style>
  <w:style w:type="character" w:customStyle="1" w:styleId="CommentSubjectChar">
    <w:name w:val="Comment Subject Char"/>
    <w:basedOn w:val="CommentTextChar"/>
    <w:link w:val="CommentSubject"/>
    <w:rsid w:val="000D6398"/>
    <w:rPr>
      <w:rFonts w:ascii="Arial" w:eastAsia="Calibri" w:hAnsi="Arial" w:cs="Arial"/>
      <w:b/>
      <w:bCs/>
    </w:rPr>
  </w:style>
  <w:style w:type="character" w:styleId="Strong">
    <w:name w:val="Strong"/>
    <w:basedOn w:val="DefaultParagraphFont"/>
    <w:uiPriority w:val="22"/>
    <w:qFormat/>
    <w:rsid w:val="00857A88"/>
    <w:rPr>
      <w:b/>
      <w:bCs/>
    </w:rPr>
  </w:style>
  <w:style w:type="character" w:styleId="Hyperlink">
    <w:name w:val="Hyperlink"/>
    <w:basedOn w:val="DefaultParagraphFont"/>
    <w:uiPriority w:val="99"/>
    <w:semiHidden/>
    <w:unhideWhenUsed/>
    <w:rsid w:val="00745E26"/>
    <w:rPr>
      <w:color w:val="0563C1"/>
      <w:u w:val="single"/>
    </w:rPr>
  </w:style>
  <w:style w:type="paragraph" w:styleId="ListParagraph">
    <w:name w:val="List Paragraph"/>
    <w:basedOn w:val="Normal"/>
    <w:uiPriority w:val="34"/>
    <w:qFormat/>
    <w:rsid w:val="00AA7987"/>
    <w:pPr>
      <w:ind w:left="720"/>
      <w:contextualSpacing/>
    </w:pPr>
  </w:style>
  <w:style w:type="paragraph" w:styleId="Header">
    <w:name w:val="header"/>
    <w:basedOn w:val="Normal"/>
    <w:link w:val="HeaderChar"/>
    <w:unhideWhenUsed/>
    <w:rsid w:val="00F533FE"/>
    <w:pPr>
      <w:tabs>
        <w:tab w:val="center" w:pos="4680"/>
        <w:tab w:val="right" w:pos="9360"/>
      </w:tabs>
    </w:pPr>
  </w:style>
  <w:style w:type="character" w:customStyle="1" w:styleId="HeaderChar">
    <w:name w:val="Header Char"/>
    <w:basedOn w:val="DefaultParagraphFont"/>
    <w:link w:val="Header"/>
    <w:rsid w:val="00F533FE"/>
    <w:rPr>
      <w:rFonts w:ascii="Arial" w:eastAsia="Calibri" w:hAnsi="Arial" w:cs="Arial"/>
      <w:sz w:val="22"/>
      <w:szCs w:val="22"/>
    </w:rPr>
  </w:style>
  <w:style w:type="paragraph" w:styleId="Footer">
    <w:name w:val="footer"/>
    <w:basedOn w:val="Normal"/>
    <w:link w:val="FooterChar"/>
    <w:uiPriority w:val="99"/>
    <w:unhideWhenUsed/>
    <w:rsid w:val="00F533FE"/>
    <w:pPr>
      <w:tabs>
        <w:tab w:val="center" w:pos="4680"/>
        <w:tab w:val="right" w:pos="9360"/>
      </w:tabs>
    </w:pPr>
  </w:style>
  <w:style w:type="character" w:customStyle="1" w:styleId="FooterChar">
    <w:name w:val="Footer Char"/>
    <w:basedOn w:val="DefaultParagraphFont"/>
    <w:link w:val="Footer"/>
    <w:uiPriority w:val="99"/>
    <w:rsid w:val="00F533FE"/>
    <w:rPr>
      <w:rFonts w:ascii="Arial" w:eastAsia="Calibri"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45798">
      <w:bodyDiv w:val="1"/>
      <w:marLeft w:val="0"/>
      <w:marRight w:val="0"/>
      <w:marTop w:val="0"/>
      <w:marBottom w:val="0"/>
      <w:divBdr>
        <w:top w:val="none" w:sz="0" w:space="0" w:color="auto"/>
        <w:left w:val="none" w:sz="0" w:space="0" w:color="auto"/>
        <w:bottom w:val="none" w:sz="0" w:space="0" w:color="auto"/>
        <w:right w:val="none" w:sz="0" w:space="0" w:color="auto"/>
      </w:divBdr>
    </w:div>
    <w:div w:id="347559387">
      <w:bodyDiv w:val="1"/>
      <w:marLeft w:val="0"/>
      <w:marRight w:val="0"/>
      <w:marTop w:val="0"/>
      <w:marBottom w:val="0"/>
      <w:divBdr>
        <w:top w:val="none" w:sz="0" w:space="0" w:color="auto"/>
        <w:left w:val="none" w:sz="0" w:space="0" w:color="auto"/>
        <w:bottom w:val="none" w:sz="0" w:space="0" w:color="auto"/>
        <w:right w:val="none" w:sz="0" w:space="0" w:color="auto"/>
      </w:divBdr>
    </w:div>
    <w:div w:id="526263006">
      <w:bodyDiv w:val="1"/>
      <w:marLeft w:val="0"/>
      <w:marRight w:val="0"/>
      <w:marTop w:val="0"/>
      <w:marBottom w:val="0"/>
      <w:divBdr>
        <w:top w:val="none" w:sz="0" w:space="0" w:color="auto"/>
        <w:left w:val="none" w:sz="0" w:space="0" w:color="auto"/>
        <w:bottom w:val="none" w:sz="0" w:space="0" w:color="auto"/>
        <w:right w:val="none" w:sz="0" w:space="0" w:color="auto"/>
      </w:divBdr>
    </w:div>
    <w:div w:id="584917728">
      <w:bodyDiv w:val="1"/>
      <w:marLeft w:val="0"/>
      <w:marRight w:val="0"/>
      <w:marTop w:val="0"/>
      <w:marBottom w:val="0"/>
      <w:divBdr>
        <w:top w:val="none" w:sz="0" w:space="0" w:color="auto"/>
        <w:left w:val="none" w:sz="0" w:space="0" w:color="auto"/>
        <w:bottom w:val="none" w:sz="0" w:space="0" w:color="auto"/>
        <w:right w:val="none" w:sz="0" w:space="0" w:color="auto"/>
      </w:divBdr>
    </w:div>
    <w:div w:id="138714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file:///C:\Users\mua\Dropbox\MMR%20Twinning%20Serbia\Activities\Activity%202.2.%20Draft%20legal%20act\TOC\TOC-XLS-ALL%20V0.6.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5D934C-DE8F-4119-A07B-19C396069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2592</Words>
  <Characters>14778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1</vt:lpstr>
    </vt:vector>
  </TitlesOfParts>
  <Company>KEI</Company>
  <LinksUpToDate>false</LinksUpToDate>
  <CharactersWithSpaces>17336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Dragan Joksimovic</dc:creator>
  <cp:lastModifiedBy>Strahinja Vujicic</cp:lastModifiedBy>
  <cp:revision>14</cp:revision>
  <dcterms:created xsi:type="dcterms:W3CDTF">2020-01-14T10:49:00Z</dcterms:created>
  <dcterms:modified xsi:type="dcterms:W3CDTF">2021-02-01T16:34:00Z</dcterms:modified>
</cp:coreProperties>
</file>