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768E" w:rsidRPr="002D53EC" w:rsidRDefault="00FA768E" w:rsidP="00FA768E">
      <w:pPr>
        <w:shd w:val="clear" w:color="auto" w:fill="FFFFFF"/>
        <w:rPr>
          <w:sz w:val="22"/>
          <w:szCs w:val="22"/>
          <w:lang w:val="sr-Cyrl-RS"/>
        </w:rPr>
      </w:pPr>
      <w:r>
        <w:rPr>
          <w:sz w:val="22"/>
          <w:szCs w:val="22"/>
          <w:lang w:val="sr-Cyrl-RS"/>
        </w:rPr>
        <w:tab/>
      </w:r>
      <w:r w:rsidRPr="002D53EC">
        <w:rPr>
          <w:sz w:val="22"/>
          <w:szCs w:val="22"/>
          <w:lang w:val="sr-Cyrl-RS"/>
        </w:rPr>
        <w:t>На основу члана 33. став 1. Закона о приватном обезбеђењу („Службени гласник РС</w:t>
      </w:r>
      <w:r w:rsidRPr="002D53EC">
        <w:rPr>
          <w:bCs/>
          <w:color w:val="000000"/>
          <w:sz w:val="22"/>
          <w:szCs w:val="22"/>
          <w:lang w:val="sr-Cyrl-CS" w:eastAsia="sr-Latn-CS"/>
        </w:rPr>
        <w:t>”</w:t>
      </w:r>
      <w:r w:rsidRPr="002D53EC">
        <w:rPr>
          <w:sz w:val="22"/>
          <w:szCs w:val="22"/>
          <w:lang w:val="sr-Cyrl-RS"/>
        </w:rPr>
        <w:t xml:space="preserve">, бр. 104/13, 42/15 и 87/18) и члана 42. став 1. Закона о Влади </w:t>
      </w:r>
      <w:r w:rsidRPr="002D53EC">
        <w:rPr>
          <w:color w:val="000000"/>
          <w:sz w:val="22"/>
          <w:szCs w:val="22"/>
          <w:lang w:val="sr-Cyrl-CS" w:eastAsia="sr-Latn-CS"/>
        </w:rPr>
        <w:t>(„Службени гласник РС</w:t>
      </w:r>
      <w:r w:rsidRPr="002D53EC">
        <w:rPr>
          <w:bCs/>
          <w:color w:val="000000"/>
          <w:sz w:val="22"/>
          <w:szCs w:val="22"/>
          <w:lang w:val="sr-Cyrl-CS" w:eastAsia="sr-Latn-CS"/>
        </w:rPr>
        <w:t>”</w:t>
      </w:r>
      <w:r w:rsidRPr="002D53EC">
        <w:rPr>
          <w:color w:val="000000"/>
          <w:sz w:val="22"/>
          <w:szCs w:val="22"/>
          <w:lang w:val="sr-Cyrl-CS" w:eastAsia="sr-Latn-CS"/>
        </w:rPr>
        <w:t>, бр. 55/05, 71/05 – исправка, 101/07, 65/08, 16/11, 68/12 – УС, 72/12, 7/14 – УС, 44/14 и 30/18 – др. закон)</w:t>
      </w:r>
      <w:r w:rsidRPr="002D53EC">
        <w:rPr>
          <w:sz w:val="22"/>
          <w:szCs w:val="22"/>
          <w:lang w:val="sr-Cyrl-RS"/>
        </w:rPr>
        <w:t>,</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rPr>
          <w:sz w:val="22"/>
          <w:szCs w:val="22"/>
          <w:lang w:val="sr-Cyrl-RS"/>
        </w:rPr>
      </w:pPr>
      <w:r w:rsidRPr="002D53EC">
        <w:rPr>
          <w:sz w:val="22"/>
          <w:szCs w:val="22"/>
          <w:lang w:val="sr-Cyrl-RS"/>
        </w:rPr>
        <w:tab/>
        <w:t>Влада доноси</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УРЕДБУ</w:t>
      </w:r>
    </w:p>
    <w:p w:rsidR="00FA768E" w:rsidRPr="002D53EC" w:rsidRDefault="00FA768E" w:rsidP="00FA768E">
      <w:pPr>
        <w:shd w:val="clear" w:color="auto" w:fill="FFFFFF"/>
        <w:jc w:val="center"/>
        <w:rPr>
          <w:sz w:val="22"/>
          <w:szCs w:val="22"/>
          <w:lang w:val="sr-Cyrl-RS"/>
        </w:rPr>
      </w:pPr>
      <w:r w:rsidRPr="002D53EC">
        <w:rPr>
          <w:sz w:val="22"/>
          <w:szCs w:val="22"/>
          <w:lang w:val="sr-Cyrl-RS"/>
        </w:rPr>
        <w:t>о минималним техничким условима код обавезне уградње система техничке</w:t>
      </w:r>
    </w:p>
    <w:p w:rsidR="00FA768E" w:rsidRPr="002D53EC" w:rsidRDefault="00FA768E" w:rsidP="00FA768E">
      <w:pPr>
        <w:shd w:val="clear" w:color="auto" w:fill="FFFFFF"/>
        <w:jc w:val="center"/>
        <w:rPr>
          <w:sz w:val="22"/>
          <w:szCs w:val="22"/>
          <w:lang w:val="sr-Cyrl-RS"/>
        </w:rPr>
      </w:pPr>
      <w:r w:rsidRPr="002D53EC">
        <w:rPr>
          <w:sz w:val="22"/>
          <w:szCs w:val="22"/>
          <w:lang w:val="sr-Cyrl-RS"/>
        </w:rPr>
        <w:t>заштите у банкама и другим финансијским организацијама</w:t>
      </w:r>
    </w:p>
    <w:p w:rsidR="00FA768E" w:rsidRPr="002D53EC" w:rsidRDefault="00FA768E" w:rsidP="00FA768E">
      <w:pPr>
        <w:shd w:val="clear" w:color="auto" w:fill="FFFFFF"/>
        <w:jc w:val="center"/>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1.</w:t>
      </w:r>
    </w:p>
    <w:p w:rsidR="00FA768E" w:rsidRDefault="00FA768E" w:rsidP="00FA768E">
      <w:pPr>
        <w:shd w:val="clear" w:color="auto" w:fill="FFFFFF"/>
        <w:rPr>
          <w:sz w:val="22"/>
          <w:szCs w:val="22"/>
          <w:lang w:val="sr-Cyrl-RS"/>
        </w:rPr>
      </w:pPr>
      <w:r w:rsidRPr="002D53EC">
        <w:rPr>
          <w:sz w:val="22"/>
          <w:szCs w:val="22"/>
          <w:lang w:val="sr-Cyrl-RS"/>
        </w:rPr>
        <w:tab/>
        <w:t xml:space="preserve">Овом уредбом утврђују се минимални технички услови код обавезне уградње система техничке заштите у банкама, њиховим пословницама, платним институцијама, пословницама јавног поштанског оператора и другим финансијским организацијама. </w:t>
      </w:r>
    </w:p>
    <w:p w:rsidR="00FA768E" w:rsidRPr="002D53EC" w:rsidRDefault="00FA768E" w:rsidP="00FA768E">
      <w:pPr>
        <w:shd w:val="clear" w:color="auto" w:fill="FFFFFF"/>
        <w:rPr>
          <w:sz w:val="22"/>
          <w:szCs w:val="22"/>
          <w:lang w:val="sr-Cyrl-RS"/>
        </w:rPr>
      </w:pPr>
      <w:r>
        <w:rPr>
          <w:sz w:val="22"/>
          <w:szCs w:val="22"/>
          <w:lang w:val="sr-Cyrl-RS"/>
        </w:rPr>
        <w:tab/>
      </w:r>
      <w:r w:rsidRPr="002D53EC">
        <w:rPr>
          <w:sz w:val="22"/>
          <w:szCs w:val="22"/>
          <w:lang w:val="sr-Cyrl-RS"/>
        </w:rPr>
        <w:t>Одредбе ове уредбе не примењују се на пословнице банака и финансијских организација које се налазе у објектима које обезбеђују организационе јединице војске, полиције или правосудне страже или код којих су минимални услови за техничку заштиту уређени посебним законом или прописом донетим на основу закона.</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2.</w:t>
      </w:r>
    </w:p>
    <w:p w:rsidR="00FA768E" w:rsidRPr="002D53EC" w:rsidRDefault="00FA768E" w:rsidP="00FA768E">
      <w:pPr>
        <w:shd w:val="clear" w:color="auto" w:fill="FFFFFF"/>
        <w:rPr>
          <w:sz w:val="22"/>
          <w:szCs w:val="22"/>
          <w:lang w:val="sr-Cyrl-RS"/>
        </w:rPr>
      </w:pPr>
      <w:r w:rsidRPr="002D53EC">
        <w:rPr>
          <w:sz w:val="22"/>
          <w:szCs w:val="22"/>
          <w:lang w:val="sr-Cyrl-RS"/>
        </w:rPr>
        <w:tab/>
        <w:t>Техничка заштита, у смислу ове уредбе, спроводи се у складу са законом на основу акта о процени ризика у заштити лица, имовине и пословања, који се периодично ажурира у складу са потребама и новим околностима, а најмање на сваке три године.</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3.</w:t>
      </w:r>
    </w:p>
    <w:p w:rsidR="00FA768E" w:rsidRPr="002D53EC" w:rsidRDefault="00FA768E" w:rsidP="00FA768E">
      <w:pPr>
        <w:shd w:val="clear" w:color="auto" w:fill="FFFFFF"/>
        <w:rPr>
          <w:sz w:val="22"/>
          <w:szCs w:val="22"/>
          <w:lang w:val="sr-Cyrl-RS"/>
        </w:rPr>
      </w:pPr>
      <w:r w:rsidRPr="002D53EC">
        <w:rPr>
          <w:sz w:val="22"/>
          <w:szCs w:val="22"/>
          <w:lang w:val="sr-Cyrl-RS"/>
        </w:rPr>
        <w:tab/>
        <w:t>Банке и финансијске организације код којих на основу акта о процени ризика постоји изразито велики ниво ризика, дужни су да користе уређаје, опрему и системе техничке заштите, који минимално омогућавају:</w:t>
      </w:r>
    </w:p>
    <w:p w:rsidR="00FA768E" w:rsidRPr="002D53EC" w:rsidRDefault="00FA768E" w:rsidP="00FA768E">
      <w:pPr>
        <w:shd w:val="clear" w:color="auto" w:fill="FFFFFF"/>
        <w:rPr>
          <w:sz w:val="22"/>
          <w:szCs w:val="22"/>
          <w:lang w:val="sr-Cyrl-RS"/>
        </w:rPr>
      </w:pPr>
      <w:r w:rsidRPr="002D53EC">
        <w:rPr>
          <w:sz w:val="22"/>
          <w:szCs w:val="22"/>
          <w:lang w:val="sr-Cyrl-RS"/>
        </w:rPr>
        <w:tab/>
        <w:t>1) сигнализацију неовлашћеног уласка у штићени простор и дојаву контролном центру,</w:t>
      </w:r>
    </w:p>
    <w:p w:rsidR="00FA768E" w:rsidRPr="002D53EC" w:rsidRDefault="00FA768E" w:rsidP="00FA768E">
      <w:pPr>
        <w:shd w:val="clear" w:color="auto" w:fill="FFFFFF"/>
        <w:rPr>
          <w:sz w:val="22"/>
          <w:szCs w:val="22"/>
          <w:lang w:val="sr-Cyrl-RS"/>
        </w:rPr>
      </w:pPr>
      <w:r w:rsidRPr="002D53EC">
        <w:rPr>
          <w:sz w:val="22"/>
          <w:szCs w:val="22"/>
          <w:lang w:val="sr-Cyrl-RS"/>
        </w:rPr>
        <w:tab/>
        <w:t>2) праћење   кретања   у   штићеном    простору   и    појединачно    штићеним просторијама (контрола приступа и видео обезбеђење) уз видео запис, који се чува најмање 30 дана,</w:t>
      </w:r>
    </w:p>
    <w:p w:rsidR="00FA768E" w:rsidRPr="002D53EC" w:rsidRDefault="00FA768E" w:rsidP="00FA768E">
      <w:pPr>
        <w:shd w:val="clear" w:color="auto" w:fill="FFFFFF"/>
        <w:rPr>
          <w:sz w:val="22"/>
          <w:szCs w:val="22"/>
          <w:lang w:val="sr-Cyrl-RS"/>
        </w:rPr>
      </w:pPr>
      <w:r w:rsidRPr="002D53EC">
        <w:rPr>
          <w:sz w:val="22"/>
          <w:szCs w:val="22"/>
          <w:lang w:val="sr-Cyrl-RS"/>
        </w:rPr>
        <w:tab/>
        <w:t>3) заштиту појединачних вредности помоћу система електрохемијске заштите (кофери, контејнери, касе, трезори и др.),</w:t>
      </w:r>
    </w:p>
    <w:p w:rsidR="00FA768E" w:rsidRPr="002D53EC" w:rsidRDefault="00FA768E" w:rsidP="00FA768E">
      <w:pPr>
        <w:shd w:val="clear" w:color="auto" w:fill="FFFFFF"/>
        <w:rPr>
          <w:sz w:val="22"/>
          <w:szCs w:val="22"/>
          <w:lang w:val="sr-Cyrl-RS"/>
        </w:rPr>
      </w:pPr>
      <w:r w:rsidRPr="002D53EC">
        <w:rPr>
          <w:sz w:val="22"/>
          <w:szCs w:val="22"/>
          <w:lang w:val="sr-Cyrl-RS"/>
        </w:rPr>
        <w:tab/>
        <w:t>4) интегрисану   заштиту   с   најмање  једним   локалним   надзорним   местом (контролна соба) и системом везе са службеницима обезбеђења на штићеном објекту,</w:t>
      </w:r>
    </w:p>
    <w:p w:rsidR="00FA768E" w:rsidRPr="002D53EC" w:rsidRDefault="00FA768E" w:rsidP="00FA768E">
      <w:pPr>
        <w:shd w:val="clear" w:color="auto" w:fill="FFFFFF"/>
        <w:rPr>
          <w:sz w:val="22"/>
          <w:szCs w:val="22"/>
          <w:lang w:val="sr-Cyrl-RS"/>
        </w:rPr>
      </w:pPr>
      <w:r w:rsidRPr="002D53EC">
        <w:rPr>
          <w:sz w:val="22"/>
          <w:szCs w:val="22"/>
          <w:lang w:val="sr-Cyrl-RS"/>
        </w:rPr>
        <w:tab/>
        <w:t>5) писане процедуре за случајеве наступања ризика.</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4.</w:t>
      </w:r>
    </w:p>
    <w:p w:rsidR="00FA768E" w:rsidRPr="002D53EC" w:rsidRDefault="00FA768E" w:rsidP="00FA768E">
      <w:pPr>
        <w:shd w:val="clear" w:color="auto" w:fill="FFFFFF"/>
        <w:rPr>
          <w:sz w:val="22"/>
          <w:szCs w:val="22"/>
          <w:lang w:val="sr-Cyrl-RS"/>
        </w:rPr>
      </w:pPr>
      <w:r w:rsidRPr="002D53EC">
        <w:rPr>
          <w:sz w:val="22"/>
          <w:szCs w:val="22"/>
          <w:lang w:val="sr-Cyrl-RS"/>
        </w:rPr>
        <w:tab/>
        <w:t>Банке и финансијске организације код којих на основу акта о процени ризика постоји велики ниво ризика, дужни су да користе уређаје, опрему и системе техничке заштите, који минимално омогућавају:</w:t>
      </w:r>
    </w:p>
    <w:p w:rsidR="00FA768E" w:rsidRPr="002D53EC" w:rsidRDefault="00FA768E" w:rsidP="00FA768E">
      <w:pPr>
        <w:shd w:val="clear" w:color="auto" w:fill="FFFFFF"/>
        <w:rPr>
          <w:sz w:val="22"/>
          <w:szCs w:val="22"/>
          <w:lang w:val="sr-Cyrl-RS"/>
        </w:rPr>
      </w:pPr>
      <w:r w:rsidRPr="002D53EC">
        <w:rPr>
          <w:sz w:val="22"/>
          <w:szCs w:val="22"/>
          <w:lang w:val="sr-Cyrl-RS"/>
        </w:rPr>
        <w:tab/>
        <w:t>1) сигнализацију неовлашћеног уласка у штићени простор и дојаву контролном центру,</w:t>
      </w:r>
    </w:p>
    <w:p w:rsidR="00FA768E" w:rsidRPr="002D53EC" w:rsidRDefault="00FA768E" w:rsidP="00FA768E">
      <w:pPr>
        <w:shd w:val="clear" w:color="auto" w:fill="FFFFFF"/>
        <w:rPr>
          <w:sz w:val="22"/>
          <w:szCs w:val="22"/>
          <w:lang w:val="sr-Cyrl-RS"/>
        </w:rPr>
      </w:pPr>
      <w:r w:rsidRPr="002D53EC">
        <w:rPr>
          <w:sz w:val="22"/>
          <w:szCs w:val="22"/>
          <w:lang w:val="sr-Cyrl-RS"/>
        </w:rPr>
        <w:tab/>
        <w:t>2) праћење   кретања   у   штићеном   простору   (контрола   пролаза   и   видео обезбеђење) уз видео запис, који се чува најмање 30 дана,</w:t>
      </w:r>
    </w:p>
    <w:p w:rsidR="00FA768E" w:rsidRDefault="00FA768E" w:rsidP="00FA768E">
      <w:pPr>
        <w:shd w:val="clear" w:color="auto" w:fill="FFFFFF"/>
        <w:rPr>
          <w:sz w:val="22"/>
          <w:szCs w:val="22"/>
          <w:lang w:val="sr-Cyrl-RS"/>
        </w:rPr>
      </w:pPr>
      <w:r w:rsidRPr="002D53EC">
        <w:rPr>
          <w:sz w:val="22"/>
          <w:szCs w:val="22"/>
          <w:lang w:val="sr-Cyrl-RS"/>
        </w:rPr>
        <w:t xml:space="preserve"> </w:t>
      </w:r>
      <w:r w:rsidRPr="002D53EC">
        <w:rPr>
          <w:sz w:val="22"/>
          <w:szCs w:val="22"/>
          <w:lang w:val="sr-Cyrl-RS"/>
        </w:rPr>
        <w:tab/>
        <w:t>3) интегралну заштиту с најмање једним локалним надзорним местом (контролна соба) и системом везе са контролним центром.</w:t>
      </w:r>
    </w:p>
    <w:p w:rsidR="00FA768E" w:rsidRDefault="00FA768E" w:rsidP="00FA768E">
      <w:pPr>
        <w:shd w:val="clear" w:color="auto" w:fill="FFFFFF"/>
        <w:rPr>
          <w:sz w:val="22"/>
          <w:szCs w:val="22"/>
          <w:lang w:val="sr-Cyrl-RS"/>
        </w:rPr>
      </w:pPr>
    </w:p>
    <w:p w:rsidR="00491609" w:rsidRPr="002D53EC" w:rsidRDefault="00491609"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lastRenderedPageBreak/>
        <w:t>Члан 5.</w:t>
      </w:r>
    </w:p>
    <w:p w:rsidR="00FA768E" w:rsidRPr="002D53EC" w:rsidRDefault="00FA768E" w:rsidP="00FA768E">
      <w:pPr>
        <w:shd w:val="clear" w:color="auto" w:fill="FFFFFF"/>
        <w:rPr>
          <w:sz w:val="22"/>
          <w:szCs w:val="22"/>
          <w:lang w:val="sr-Cyrl-RS"/>
        </w:rPr>
      </w:pPr>
      <w:r w:rsidRPr="002D53EC">
        <w:rPr>
          <w:sz w:val="22"/>
          <w:szCs w:val="22"/>
          <w:lang w:val="sr-Cyrl-RS"/>
        </w:rPr>
        <w:tab/>
        <w:t>Банке и финансијске организације код којих на основу акта о процени ризика постоји умерено велики ниво ризика, дужне су да користе уређаје, опрему и системе техничке заштите, који минимално омогућавају:</w:t>
      </w:r>
    </w:p>
    <w:p w:rsidR="00FA768E" w:rsidRPr="002D53EC" w:rsidRDefault="00FA768E" w:rsidP="00FA768E">
      <w:pPr>
        <w:shd w:val="clear" w:color="auto" w:fill="FFFFFF"/>
        <w:rPr>
          <w:sz w:val="22"/>
          <w:szCs w:val="22"/>
          <w:lang w:val="sr-Cyrl-RS"/>
        </w:rPr>
      </w:pPr>
      <w:r w:rsidRPr="002D53EC">
        <w:rPr>
          <w:sz w:val="22"/>
          <w:szCs w:val="22"/>
          <w:lang w:val="sr-Cyrl-RS"/>
        </w:rPr>
        <w:tab/>
        <w:t>1) праћење кретања око штићеног простора (видео обезбеђење) уз видео запис, који се чува најмање 30 дана,</w:t>
      </w:r>
    </w:p>
    <w:p w:rsidR="00FA768E" w:rsidRPr="002D53EC" w:rsidRDefault="00FA768E" w:rsidP="00FA768E">
      <w:pPr>
        <w:shd w:val="clear" w:color="auto" w:fill="FFFFFF"/>
        <w:rPr>
          <w:sz w:val="22"/>
          <w:szCs w:val="22"/>
          <w:lang w:val="sr-Cyrl-RS"/>
        </w:rPr>
      </w:pPr>
      <w:r w:rsidRPr="002D53EC">
        <w:rPr>
          <w:sz w:val="22"/>
          <w:szCs w:val="22"/>
          <w:lang w:val="sr-Cyrl-RS"/>
        </w:rPr>
        <w:tab/>
        <w:t>2) сигнализирање   неовлашћеног   приступа   у   штићени   простор   и   дојаву контролном центру.</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6.</w:t>
      </w:r>
    </w:p>
    <w:p w:rsidR="00FA768E" w:rsidRPr="002D53EC" w:rsidRDefault="00FA768E" w:rsidP="00FA768E">
      <w:pPr>
        <w:shd w:val="clear" w:color="auto" w:fill="FFFFFF"/>
        <w:rPr>
          <w:sz w:val="22"/>
          <w:szCs w:val="22"/>
          <w:lang w:val="sr-Cyrl-RS"/>
        </w:rPr>
      </w:pPr>
      <w:r w:rsidRPr="002D53EC">
        <w:rPr>
          <w:sz w:val="22"/>
          <w:szCs w:val="22"/>
          <w:lang w:val="sr-Cyrl-RS"/>
        </w:rPr>
        <w:tab/>
        <w:t>Банке и финансијске организације код којих на основу акта о процени ризика постоји мали или занемарљив ниво ризика, дужне су да користе системе техничке заштите, који минимално омогућавају:</w:t>
      </w:r>
    </w:p>
    <w:p w:rsidR="00FA768E" w:rsidRPr="002D53EC" w:rsidRDefault="00FA768E" w:rsidP="00FA768E">
      <w:pPr>
        <w:shd w:val="clear" w:color="auto" w:fill="FFFFFF"/>
        <w:rPr>
          <w:sz w:val="22"/>
          <w:szCs w:val="22"/>
          <w:lang w:val="sr-Cyrl-RS"/>
        </w:rPr>
      </w:pPr>
      <w:r w:rsidRPr="002D53EC">
        <w:rPr>
          <w:sz w:val="22"/>
          <w:szCs w:val="22"/>
          <w:lang w:val="sr-Cyrl-RS"/>
        </w:rPr>
        <w:tab/>
        <w:t>1) физичко спречавање недозвољеног уласка лица у штићени објекат и простор који му припада,</w:t>
      </w:r>
    </w:p>
    <w:p w:rsidR="00FA768E" w:rsidRPr="002D53EC" w:rsidRDefault="00FA768E" w:rsidP="00FA768E">
      <w:pPr>
        <w:shd w:val="clear" w:color="auto" w:fill="FFFFFF"/>
        <w:rPr>
          <w:sz w:val="22"/>
          <w:szCs w:val="22"/>
          <w:lang w:val="sr-Cyrl-RS"/>
        </w:rPr>
      </w:pPr>
      <w:r w:rsidRPr="002D53EC">
        <w:rPr>
          <w:sz w:val="22"/>
          <w:szCs w:val="22"/>
          <w:lang w:val="sr-Cyrl-RS"/>
        </w:rPr>
        <w:tab/>
        <w:t>2) сигнализирање   неовлашћеног   приступа   у   штићени   простор   и   дојаву контролном центру.</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7.</w:t>
      </w:r>
    </w:p>
    <w:p w:rsidR="00FA768E" w:rsidRPr="002D53EC" w:rsidRDefault="00FA768E" w:rsidP="00FA768E">
      <w:pPr>
        <w:shd w:val="clear" w:color="auto" w:fill="FFFFFF"/>
        <w:rPr>
          <w:sz w:val="22"/>
          <w:szCs w:val="22"/>
          <w:lang w:val="sr-Cyrl-RS"/>
        </w:rPr>
      </w:pPr>
      <w:r w:rsidRPr="002D53EC">
        <w:rPr>
          <w:sz w:val="22"/>
          <w:szCs w:val="22"/>
          <w:lang w:val="sr-Cyrl-RS"/>
        </w:rPr>
        <w:tab/>
        <w:t>Новчаном казном у износу од 500.000 динара до 2.000.000 динара казниће се за прекршај финансијска организација, која:</w:t>
      </w:r>
    </w:p>
    <w:p w:rsidR="00FA768E" w:rsidRPr="002D53EC" w:rsidRDefault="00FA768E" w:rsidP="00FA768E">
      <w:pPr>
        <w:shd w:val="clear" w:color="auto" w:fill="FFFFFF"/>
        <w:rPr>
          <w:sz w:val="22"/>
          <w:szCs w:val="22"/>
          <w:lang w:val="sr-Cyrl-RS"/>
        </w:rPr>
      </w:pPr>
      <w:r w:rsidRPr="002D53EC">
        <w:rPr>
          <w:sz w:val="22"/>
          <w:szCs w:val="22"/>
          <w:lang w:val="sr-Cyrl-RS"/>
        </w:rPr>
        <w:tab/>
        <w:t>1) не донесе акт о процени ризика или не изврши периодично ажурирање акта о процени ризика из члана 2. ове уредбе,</w:t>
      </w:r>
    </w:p>
    <w:p w:rsidR="00FA768E" w:rsidRPr="002D53EC" w:rsidRDefault="00FA768E" w:rsidP="00FA768E">
      <w:pPr>
        <w:shd w:val="clear" w:color="auto" w:fill="FFFFFF"/>
        <w:rPr>
          <w:sz w:val="22"/>
          <w:szCs w:val="22"/>
          <w:lang w:val="sr-Cyrl-RS"/>
        </w:rPr>
      </w:pPr>
      <w:r w:rsidRPr="002D53EC">
        <w:rPr>
          <w:sz w:val="22"/>
          <w:szCs w:val="22"/>
          <w:lang w:val="sr-Cyrl-RS"/>
        </w:rPr>
        <w:tab/>
        <w:t>2) не испуњава минималне техничке услове из чл. 3, 4, 5. и 6. ове уредбе.</w:t>
      </w:r>
    </w:p>
    <w:p w:rsidR="00FA768E" w:rsidRPr="002D53EC" w:rsidRDefault="00FA768E" w:rsidP="00FA768E">
      <w:pPr>
        <w:shd w:val="clear" w:color="auto" w:fill="FFFFFF"/>
        <w:rPr>
          <w:sz w:val="22"/>
          <w:szCs w:val="22"/>
          <w:lang w:val="sr-Cyrl-RS"/>
        </w:rPr>
      </w:pPr>
      <w:r w:rsidRPr="002D53EC">
        <w:rPr>
          <w:sz w:val="22"/>
          <w:szCs w:val="22"/>
          <w:lang w:val="sr-Cyrl-RS"/>
        </w:rPr>
        <w:tab/>
        <w:t>За прекршај из става 1. овог члана, новчаном казном у износу од 80.000 динара до 150.000 динара казниће се и одговорно лице у финансијској организацији.</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Члан 8.</w:t>
      </w:r>
    </w:p>
    <w:p w:rsidR="00FA768E" w:rsidRPr="002D53EC" w:rsidRDefault="00FA768E" w:rsidP="00FA768E">
      <w:pPr>
        <w:shd w:val="clear" w:color="auto" w:fill="FFFFFF"/>
        <w:rPr>
          <w:sz w:val="22"/>
          <w:szCs w:val="22"/>
          <w:lang w:val="sr-Cyrl-RS"/>
        </w:rPr>
      </w:pPr>
      <w:r w:rsidRPr="002D53EC">
        <w:rPr>
          <w:sz w:val="22"/>
          <w:szCs w:val="22"/>
          <w:lang w:val="sr-Cyrl-RS"/>
        </w:rPr>
        <w:tab/>
        <w:t>Даном ступања на снагу ове уредбе престаје да важи Уредба о минималним техничким условима код обавезне уградње система техничке заштите у банкама и другим финансијским организацијама („Службени гласник РС</w:t>
      </w:r>
      <w:r w:rsidRPr="002D53EC">
        <w:rPr>
          <w:bCs/>
          <w:color w:val="000000"/>
          <w:sz w:val="22"/>
          <w:szCs w:val="22"/>
          <w:lang w:val="sr-Cyrl-CS" w:eastAsia="sr-Latn-CS"/>
        </w:rPr>
        <w:t>”</w:t>
      </w:r>
      <w:r w:rsidRPr="002D53EC">
        <w:rPr>
          <w:sz w:val="22"/>
          <w:szCs w:val="22"/>
          <w:lang w:val="sr-Cyrl-RS"/>
        </w:rPr>
        <w:t>, број 98/16).</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jc w:val="center"/>
        <w:rPr>
          <w:sz w:val="22"/>
          <w:szCs w:val="22"/>
          <w:lang w:val="sr-Cyrl-RS"/>
        </w:rPr>
      </w:pPr>
      <w:r w:rsidRPr="002D53EC">
        <w:rPr>
          <w:sz w:val="22"/>
          <w:szCs w:val="22"/>
          <w:lang w:val="sr-Cyrl-RS"/>
        </w:rPr>
        <w:t xml:space="preserve">Члан 9. </w:t>
      </w:r>
    </w:p>
    <w:p w:rsidR="00FA768E" w:rsidRPr="002D53EC" w:rsidRDefault="00FA768E" w:rsidP="00FA768E">
      <w:pPr>
        <w:shd w:val="clear" w:color="auto" w:fill="FFFFFF"/>
        <w:rPr>
          <w:sz w:val="22"/>
          <w:szCs w:val="22"/>
          <w:lang w:val="sr-Cyrl-RS"/>
        </w:rPr>
      </w:pPr>
      <w:r w:rsidRPr="002D53EC">
        <w:rPr>
          <w:sz w:val="22"/>
          <w:szCs w:val="22"/>
          <w:lang w:val="sr-Cyrl-RS"/>
        </w:rPr>
        <w:tab/>
        <w:t>Ова уредба ступа на снагу осмог дана од дана објављивања у „Службеном гласнику Републике Србије</w:t>
      </w:r>
      <w:r w:rsidRPr="002D53EC">
        <w:rPr>
          <w:bCs/>
          <w:color w:val="000000"/>
          <w:sz w:val="22"/>
          <w:szCs w:val="22"/>
          <w:lang w:val="sr-Cyrl-CS" w:eastAsia="sr-Latn-CS"/>
        </w:rPr>
        <w:t>”</w:t>
      </w:r>
      <w:r w:rsidRPr="002D53EC">
        <w:rPr>
          <w:sz w:val="22"/>
          <w:szCs w:val="22"/>
          <w:lang w:val="sr-Cyrl-RS"/>
        </w:rPr>
        <w:t>.</w:t>
      </w:r>
    </w:p>
    <w:p w:rsidR="00FA768E" w:rsidRPr="002D53EC" w:rsidRDefault="00FA768E" w:rsidP="00FA768E">
      <w:pPr>
        <w:shd w:val="clear" w:color="auto" w:fill="FFFFFF"/>
        <w:rPr>
          <w:sz w:val="22"/>
          <w:szCs w:val="22"/>
          <w:lang w:val="sr-Cyrl-RS"/>
        </w:rPr>
      </w:pPr>
    </w:p>
    <w:p w:rsidR="00FA768E" w:rsidRPr="002D53EC" w:rsidRDefault="00FA768E" w:rsidP="00FA768E">
      <w:pPr>
        <w:shd w:val="clear" w:color="auto" w:fill="FFFFFF"/>
        <w:rPr>
          <w:sz w:val="22"/>
          <w:szCs w:val="22"/>
          <w:lang w:val="sr-Cyrl-CS"/>
        </w:rPr>
      </w:pPr>
      <w:r w:rsidRPr="002D53EC">
        <w:rPr>
          <w:sz w:val="22"/>
          <w:szCs w:val="22"/>
          <w:lang w:val="sr-Cyrl-CS"/>
        </w:rPr>
        <w:t>05 Број: 110-830/2021</w:t>
      </w:r>
      <w:bookmarkStart w:id="0" w:name="_GoBack"/>
      <w:bookmarkEnd w:id="0"/>
    </w:p>
    <w:p w:rsidR="00FA768E" w:rsidRPr="002D53EC" w:rsidRDefault="00FA768E" w:rsidP="00FA768E">
      <w:pPr>
        <w:pStyle w:val="Bodytext20"/>
        <w:spacing w:after="0"/>
        <w:ind w:left="360"/>
        <w:rPr>
          <w:rFonts w:ascii="Times New Roman" w:hAnsi="Times New Roman" w:cs="Times New Roman"/>
          <w:spacing w:val="0"/>
          <w:sz w:val="22"/>
          <w:szCs w:val="22"/>
          <w:lang w:val="sr-Cyrl-RS"/>
        </w:rPr>
      </w:pPr>
      <w:r w:rsidRPr="002D53EC">
        <w:rPr>
          <w:rFonts w:ascii="Times New Roman" w:hAnsi="Times New Roman" w:cs="Times New Roman"/>
          <w:spacing w:val="0"/>
          <w:sz w:val="22"/>
          <w:szCs w:val="22"/>
        </w:rPr>
        <w:t xml:space="preserve">У </w:t>
      </w:r>
      <w:proofErr w:type="spellStart"/>
      <w:r w:rsidRPr="002D53EC">
        <w:rPr>
          <w:rFonts w:ascii="Times New Roman" w:hAnsi="Times New Roman" w:cs="Times New Roman"/>
          <w:spacing w:val="0"/>
          <w:sz w:val="22"/>
          <w:szCs w:val="22"/>
        </w:rPr>
        <w:t>Београду</w:t>
      </w:r>
      <w:proofErr w:type="spellEnd"/>
      <w:r w:rsidRPr="002D53EC">
        <w:rPr>
          <w:rFonts w:ascii="Times New Roman" w:hAnsi="Times New Roman" w:cs="Times New Roman"/>
          <w:spacing w:val="0"/>
          <w:sz w:val="22"/>
          <w:szCs w:val="22"/>
        </w:rPr>
        <w:t>,</w:t>
      </w:r>
      <w:r w:rsidRPr="002D53EC">
        <w:rPr>
          <w:rFonts w:ascii="Times New Roman" w:hAnsi="Times New Roman" w:cs="Times New Roman"/>
          <w:spacing w:val="0"/>
          <w:sz w:val="22"/>
          <w:szCs w:val="22"/>
          <w:lang w:val="sr-Cyrl-RS"/>
        </w:rPr>
        <w:t xml:space="preserve"> 4. фебруара 2021. године</w:t>
      </w:r>
    </w:p>
    <w:p w:rsidR="00FA768E" w:rsidRPr="002D53EC" w:rsidRDefault="00FA768E" w:rsidP="00FA768E">
      <w:pPr>
        <w:rPr>
          <w:sz w:val="22"/>
          <w:szCs w:val="22"/>
          <w:lang w:val="sr-Latn-BA"/>
        </w:rPr>
      </w:pPr>
    </w:p>
    <w:p w:rsidR="00FA768E" w:rsidRPr="00E0357D" w:rsidRDefault="00FA768E" w:rsidP="00FA768E">
      <w:pPr>
        <w:jc w:val="center"/>
        <w:outlineLvl w:val="0"/>
        <w:rPr>
          <w:sz w:val="22"/>
          <w:szCs w:val="22"/>
          <w:lang w:val="sr-Cyrl-CS"/>
        </w:rPr>
      </w:pPr>
      <w:r w:rsidRPr="00E0357D">
        <w:rPr>
          <w:sz w:val="22"/>
          <w:szCs w:val="22"/>
          <w:lang w:val="sr-Cyrl-CS"/>
        </w:rPr>
        <w:t>В Л А Д А</w:t>
      </w:r>
    </w:p>
    <w:p w:rsidR="00FA768E" w:rsidRPr="00E0357D" w:rsidRDefault="00FA768E" w:rsidP="00FA768E">
      <w:pPr>
        <w:jc w:val="center"/>
        <w:outlineLvl w:val="0"/>
        <w:rPr>
          <w:sz w:val="22"/>
          <w:szCs w:val="22"/>
          <w:lang w:val="sr-Cyrl-CS"/>
        </w:rPr>
      </w:pPr>
    </w:p>
    <w:tbl>
      <w:tblPr>
        <w:tblW w:w="0" w:type="auto"/>
        <w:tblLayout w:type="fixed"/>
        <w:tblLook w:val="0000" w:firstRow="0" w:lastRow="0" w:firstColumn="0" w:lastColumn="0" w:noHBand="0" w:noVBand="0"/>
      </w:tblPr>
      <w:tblGrid>
        <w:gridCol w:w="4360"/>
        <w:gridCol w:w="4360"/>
      </w:tblGrid>
      <w:tr w:rsidR="00FA768E" w:rsidRPr="00E0357D" w:rsidTr="007F16B5">
        <w:tc>
          <w:tcPr>
            <w:tcW w:w="4360" w:type="dxa"/>
          </w:tcPr>
          <w:p w:rsidR="00FA768E" w:rsidRPr="00E0357D" w:rsidRDefault="00FA768E" w:rsidP="007F16B5">
            <w:pPr>
              <w:jc w:val="center"/>
              <w:rPr>
                <w:sz w:val="22"/>
                <w:szCs w:val="22"/>
                <w:lang w:val="ru-RU"/>
              </w:rPr>
            </w:pPr>
          </w:p>
        </w:tc>
        <w:tc>
          <w:tcPr>
            <w:tcW w:w="4360" w:type="dxa"/>
          </w:tcPr>
          <w:p w:rsidR="00FA768E" w:rsidRPr="00E0357D" w:rsidRDefault="00FA768E" w:rsidP="007F16B5">
            <w:pPr>
              <w:jc w:val="center"/>
              <w:rPr>
                <w:sz w:val="22"/>
                <w:szCs w:val="22"/>
                <w:lang w:val="ru-RU"/>
              </w:rPr>
            </w:pPr>
          </w:p>
          <w:p w:rsidR="00FA768E" w:rsidRPr="00E0357D" w:rsidRDefault="00FA768E" w:rsidP="007F16B5">
            <w:pPr>
              <w:jc w:val="center"/>
              <w:rPr>
                <w:sz w:val="22"/>
                <w:szCs w:val="22"/>
                <w:lang w:val="ru-RU"/>
              </w:rPr>
            </w:pPr>
            <w:r w:rsidRPr="00E0357D">
              <w:rPr>
                <w:sz w:val="22"/>
                <w:szCs w:val="22"/>
                <w:lang w:val="ru-RU"/>
              </w:rPr>
              <w:t>ПРЕДСЕДНИК</w:t>
            </w:r>
          </w:p>
          <w:p w:rsidR="00FA768E" w:rsidRPr="00E0357D" w:rsidRDefault="00FA768E" w:rsidP="007F16B5">
            <w:pPr>
              <w:rPr>
                <w:sz w:val="22"/>
                <w:szCs w:val="22"/>
                <w:lang w:val="sr-Cyrl-CS"/>
              </w:rPr>
            </w:pPr>
          </w:p>
          <w:p w:rsidR="00FA768E" w:rsidRPr="00E0357D" w:rsidRDefault="00FA768E" w:rsidP="007F16B5">
            <w:pPr>
              <w:rPr>
                <w:sz w:val="22"/>
                <w:szCs w:val="22"/>
                <w:lang w:val="sr-Cyrl-CS"/>
              </w:rPr>
            </w:pPr>
          </w:p>
          <w:p w:rsidR="00FA768E" w:rsidRPr="00E0357D" w:rsidRDefault="00FA768E" w:rsidP="00FA768E">
            <w:pPr>
              <w:pStyle w:val="Footer"/>
              <w:jc w:val="center"/>
              <w:rPr>
                <w:sz w:val="22"/>
                <w:szCs w:val="22"/>
                <w:lang w:val="ru-RU"/>
              </w:rPr>
            </w:pPr>
            <w:r w:rsidRPr="00E0357D">
              <w:rPr>
                <w:sz w:val="22"/>
                <w:szCs w:val="22"/>
                <w:lang w:val="ru-RU"/>
              </w:rPr>
              <w:t>Ана Брнабић</w:t>
            </w:r>
            <w:r>
              <w:rPr>
                <w:sz w:val="22"/>
                <w:szCs w:val="22"/>
                <w:lang w:val="ru-RU"/>
              </w:rPr>
              <w:t xml:space="preserve"> </w:t>
            </w:r>
          </w:p>
        </w:tc>
      </w:tr>
    </w:tbl>
    <w:p w:rsidR="00FA768E" w:rsidRPr="00E0357D" w:rsidRDefault="00FA768E" w:rsidP="00FA768E">
      <w:pPr>
        <w:shd w:val="clear" w:color="auto" w:fill="FFFFFF"/>
        <w:rPr>
          <w:sz w:val="22"/>
          <w:szCs w:val="22"/>
          <w:lang w:val="sr-Cyrl-RS"/>
        </w:rPr>
      </w:pPr>
    </w:p>
    <w:p w:rsidR="00136480" w:rsidRDefault="00136480"/>
    <w:sectPr w:rsidR="00136480" w:rsidSect="00FA768E">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68E" w:rsidRDefault="00FA768E" w:rsidP="00FA768E">
      <w:r>
        <w:separator/>
      </w:r>
    </w:p>
  </w:endnote>
  <w:endnote w:type="continuationSeparator" w:id="0">
    <w:p w:rsidR="00FA768E" w:rsidRDefault="00FA768E" w:rsidP="00FA7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8E" w:rsidRDefault="00FA7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8E" w:rsidRDefault="00FA76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8E" w:rsidRDefault="00FA76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68E" w:rsidRDefault="00FA768E" w:rsidP="00FA768E">
      <w:r>
        <w:separator/>
      </w:r>
    </w:p>
  </w:footnote>
  <w:footnote w:type="continuationSeparator" w:id="0">
    <w:p w:rsidR="00FA768E" w:rsidRDefault="00FA768E" w:rsidP="00FA7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8E" w:rsidRDefault="00FA768E" w:rsidP="00135B7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FA768E" w:rsidRDefault="00FA76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8E" w:rsidRDefault="00FA768E" w:rsidP="00135B7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91609">
      <w:rPr>
        <w:rStyle w:val="PageNumber"/>
        <w:noProof/>
      </w:rPr>
      <w:t>2</w:t>
    </w:r>
    <w:r>
      <w:rPr>
        <w:rStyle w:val="PageNumber"/>
      </w:rPr>
      <w:fldChar w:fldCharType="end"/>
    </w:r>
  </w:p>
  <w:p w:rsidR="00FA768E" w:rsidRDefault="00FA76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68E" w:rsidRDefault="00FA768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270"/>
    <w:rsid w:val="0000186F"/>
    <w:rsid w:val="00013AE0"/>
    <w:rsid w:val="000859A6"/>
    <w:rsid w:val="0010778F"/>
    <w:rsid w:val="00136480"/>
    <w:rsid w:val="0014527E"/>
    <w:rsid w:val="001B59D1"/>
    <w:rsid w:val="0027659C"/>
    <w:rsid w:val="002B1A12"/>
    <w:rsid w:val="002E6328"/>
    <w:rsid w:val="002E6E56"/>
    <w:rsid w:val="00307C93"/>
    <w:rsid w:val="0031529F"/>
    <w:rsid w:val="00315B74"/>
    <w:rsid w:val="00393270"/>
    <w:rsid w:val="003979B5"/>
    <w:rsid w:val="003D0A1B"/>
    <w:rsid w:val="00415F00"/>
    <w:rsid w:val="00436980"/>
    <w:rsid w:val="00491609"/>
    <w:rsid w:val="004C0FD2"/>
    <w:rsid w:val="004D09B4"/>
    <w:rsid w:val="00507CB9"/>
    <w:rsid w:val="005542ED"/>
    <w:rsid w:val="005A63A7"/>
    <w:rsid w:val="005B0ED9"/>
    <w:rsid w:val="005E53AB"/>
    <w:rsid w:val="005F6170"/>
    <w:rsid w:val="006142FF"/>
    <w:rsid w:val="00625A83"/>
    <w:rsid w:val="0065404E"/>
    <w:rsid w:val="006A6C33"/>
    <w:rsid w:val="006D3C40"/>
    <w:rsid w:val="006E0524"/>
    <w:rsid w:val="007175BA"/>
    <w:rsid w:val="0073785A"/>
    <w:rsid w:val="00745B33"/>
    <w:rsid w:val="007969CD"/>
    <w:rsid w:val="007A4CE3"/>
    <w:rsid w:val="007A70C8"/>
    <w:rsid w:val="008A6B15"/>
    <w:rsid w:val="00906FF4"/>
    <w:rsid w:val="00935687"/>
    <w:rsid w:val="00966ADC"/>
    <w:rsid w:val="009E01A4"/>
    <w:rsid w:val="009E0A38"/>
    <w:rsid w:val="00A30218"/>
    <w:rsid w:val="00A82B08"/>
    <w:rsid w:val="00AB2AD1"/>
    <w:rsid w:val="00AD4302"/>
    <w:rsid w:val="00B512CA"/>
    <w:rsid w:val="00B97864"/>
    <w:rsid w:val="00BA49A3"/>
    <w:rsid w:val="00C0127D"/>
    <w:rsid w:val="00C426A4"/>
    <w:rsid w:val="00C86F42"/>
    <w:rsid w:val="00CE0AAE"/>
    <w:rsid w:val="00D27DDB"/>
    <w:rsid w:val="00D44434"/>
    <w:rsid w:val="00EC6B9A"/>
    <w:rsid w:val="00F740A1"/>
    <w:rsid w:val="00F86079"/>
    <w:rsid w:val="00FA7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A4BE7E"/>
  <w15:chartTrackingRefBased/>
  <w15:docId w15:val="{A4361F06-9BC3-400E-8081-125CCEED4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68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A768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A768E"/>
    <w:rPr>
      <w:sz w:val="24"/>
      <w:szCs w:val="24"/>
    </w:rPr>
  </w:style>
  <w:style w:type="character" w:customStyle="1" w:styleId="Bodytext2">
    <w:name w:val="Body text (2)_"/>
    <w:link w:val="Bodytext20"/>
    <w:locked/>
    <w:rsid w:val="00FA768E"/>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FA768E"/>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 w:type="paragraph" w:styleId="Header">
    <w:name w:val="header"/>
    <w:basedOn w:val="Normal"/>
    <w:link w:val="HeaderChar"/>
    <w:rsid w:val="00FA768E"/>
    <w:pPr>
      <w:tabs>
        <w:tab w:val="clear" w:pos="1418"/>
        <w:tab w:val="center" w:pos="4680"/>
        <w:tab w:val="right" w:pos="9360"/>
      </w:tabs>
    </w:pPr>
  </w:style>
  <w:style w:type="character" w:customStyle="1" w:styleId="HeaderChar">
    <w:name w:val="Header Char"/>
    <w:basedOn w:val="DefaultParagraphFont"/>
    <w:link w:val="Header"/>
    <w:rsid w:val="00FA768E"/>
    <w:rPr>
      <w:sz w:val="24"/>
      <w:szCs w:val="24"/>
    </w:rPr>
  </w:style>
  <w:style w:type="character" w:styleId="PageNumber">
    <w:name w:val="page number"/>
    <w:basedOn w:val="DefaultParagraphFont"/>
    <w:rsid w:val="00FA7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630</Words>
  <Characters>3685</Characters>
  <Application>Microsoft Office Word</Application>
  <DocSecurity>0</DocSecurity>
  <Lines>30</Lines>
  <Paragraphs>8</Paragraphs>
  <ScaleCrop>false</ScaleCrop>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3</cp:revision>
  <dcterms:created xsi:type="dcterms:W3CDTF">2021-02-04T14:11:00Z</dcterms:created>
  <dcterms:modified xsi:type="dcterms:W3CDTF">2021-02-04T14:12:00Z</dcterms:modified>
</cp:coreProperties>
</file>