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bookmarkStart w:id="0" w:name="_GoBack"/>
      <w:bookmarkEnd w:id="0"/>
    </w:p>
    <w:p w:rsidR="00B226EE" w:rsidRPr="000D6175" w:rsidRDefault="000D6175" w:rsidP="00B226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PREDLOG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ZAKONA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POTVRĐIVANJU</w:t>
      </w:r>
    </w:p>
    <w:p w:rsidR="00B226EE" w:rsidRPr="000D6175" w:rsidRDefault="00B226EE" w:rsidP="00B226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 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O K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INEMATOGRAFSKOJ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 </w:t>
      </w: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B226EE" w:rsidRPr="000D6175" w:rsidRDefault="000D6175" w:rsidP="00B226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1.</w:t>
      </w:r>
    </w:p>
    <w:p w:rsidR="00B226EE" w:rsidRPr="000D6175" w:rsidRDefault="000D6175" w:rsidP="00B22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Potvrđuje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potpisan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jula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2019.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Beogradu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jeziku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. 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2.</w:t>
      </w:r>
    </w:p>
    <w:p w:rsidR="00B226EE" w:rsidRPr="000D6175" w:rsidRDefault="000D6175" w:rsidP="00B22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Tekst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između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srpskom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jeziku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glasi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:</w:t>
      </w:r>
    </w:p>
    <w:p w:rsidR="00763F3F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763F3F" w:rsidRPr="000D6175" w:rsidRDefault="00763F3F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763F3F" w:rsidRPr="000D6175" w:rsidRDefault="00763F3F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763F3F" w:rsidRPr="000D6175" w:rsidRDefault="00763F3F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763F3F" w:rsidRPr="000D6175" w:rsidRDefault="00763F3F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IZMEĐU</w:t>
      </w: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</w:p>
    <w:p w:rsidR="003C20C8" w:rsidRPr="000D6175" w:rsidRDefault="003C20C8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169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</w:p>
    <w:p w:rsidR="003C20C8" w:rsidRPr="000D6175" w:rsidRDefault="003C20C8">
      <w:pP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br w:type="page"/>
      </w:r>
    </w:p>
    <w:p w:rsidR="00B226EE" w:rsidRPr="000D6175" w:rsidRDefault="000D6175" w:rsidP="00B226EE">
      <w:pPr>
        <w:spacing w:after="169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lastRenderedPageBreak/>
        <w:t>Vlada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daljem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tekstu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označene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0D6175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vidu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Uneskovu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Konvenciju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zaštiti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unapređenju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raznolikosti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kulturnih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izraza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usvojenu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Parizu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20.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oktobra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2005.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vidu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konvenciju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usvojenu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Strazburu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oktobra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1992.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posebno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njen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sr-Latn-RS"/>
        </w:rPr>
        <w:t>2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lang w:val="sr-Latn-CS" w:eastAsia="sr-Latn-RS"/>
        </w:rPr>
        <w:t>;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236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vidu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nameru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jačaju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saradnju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polju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između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promovišu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zajedničku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baštinu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0D6175" w:rsidP="00B226EE">
      <w:pPr>
        <w:spacing w:after="268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vidu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potrebu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aktualizuje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pravni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okvir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saradnje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vodeći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računa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važećim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propisima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industrije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0D6175" w:rsidP="00B226EE">
      <w:pPr>
        <w:spacing w:after="488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Dogovoreno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sledeće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:</w:t>
      </w:r>
    </w:p>
    <w:p w:rsidR="00B226EE" w:rsidRPr="000D6175" w:rsidRDefault="00B226EE" w:rsidP="00B226EE">
      <w:pPr>
        <w:spacing w:after="728" w:line="240" w:lineRule="auto"/>
        <w:ind w:left="36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 xml:space="preserve">I. 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  <w:t>KOPRODUKCIJA</w:t>
      </w:r>
    </w:p>
    <w:p w:rsidR="00B226EE" w:rsidRPr="000D6175" w:rsidRDefault="000D6175" w:rsidP="00B226EE">
      <w:pPr>
        <w:spacing w:after="13" w:line="240" w:lineRule="auto"/>
        <w:ind w:left="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lang w:val="sr-Latn-CS" w:eastAsia="sr-Latn-RS"/>
        </w:rPr>
        <w:t xml:space="preserve"> 1.</w:t>
      </w:r>
    </w:p>
    <w:p w:rsidR="00B226EE" w:rsidRPr="000D6175" w:rsidRDefault="000D6175" w:rsidP="00B226EE">
      <w:pPr>
        <w:spacing w:after="166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potrebe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:</w:t>
      </w:r>
    </w:p>
    <w:p w:rsidR="00B226EE" w:rsidRPr="000D6175" w:rsidRDefault="000D6175" w:rsidP="00B226EE">
      <w:pPr>
        <w:numPr>
          <w:ilvl w:val="0"/>
          <w:numId w:val="1"/>
        </w:numPr>
        <w:spacing w:after="244" w:line="240" w:lineRule="auto"/>
        <w:ind w:left="80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Pojam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označava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dužine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podlozi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bez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obzira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žanr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fikcija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animacija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dokumentarac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skladu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zakonskim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propisnim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aktima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prvo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prikazivanje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bioskopima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"/>
        </w:numPr>
        <w:spacing w:after="240" w:line="240" w:lineRule="auto"/>
        <w:ind w:left="80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Pojam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označava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preduzimaju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cilju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realizacije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onako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definisano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tački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"/>
        </w:numPr>
        <w:spacing w:after="264" w:line="240" w:lineRule="auto"/>
        <w:ind w:left="80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Pojam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označava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produkcijsku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kuću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sedištem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odnosno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Smatraće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produkcijska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kuća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sedište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odnosno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ukoliko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efektivno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obavlja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poslovnu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delatnost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stalne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trajne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organizacione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jedinice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ugovornica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poslovno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sedište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ekonomskog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prostora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"/>
        </w:numPr>
        <w:spacing w:after="169" w:line="240" w:lineRule="auto"/>
        <w:ind w:left="80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Pojam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”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označava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:</w:t>
      </w:r>
    </w:p>
    <w:p w:rsidR="00B226EE" w:rsidRPr="000D6175" w:rsidRDefault="000D6175" w:rsidP="00B226EE">
      <w:pPr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Filmski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centar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ind w:left="80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Nacionalni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centar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film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pokretne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 </w:t>
      </w:r>
    </w:p>
    <w:p w:rsidR="00B226EE" w:rsidRPr="000D6175" w:rsidRDefault="00B226EE" w:rsidP="00B226EE">
      <w:pPr>
        <w:spacing w:after="0" w:line="240" w:lineRule="auto"/>
        <w:ind w:left="80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(Centre national du cinéma et de l’image animée);</w:t>
      </w: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3C20C8" w:rsidRPr="000D6175" w:rsidRDefault="003C20C8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3C20C8" w:rsidRPr="000D6175" w:rsidRDefault="003C20C8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230" w:line="240" w:lineRule="auto"/>
        <w:ind w:lef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2.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lastRenderedPageBreak/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osnovu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smatraju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 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nacionalnim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skladu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važećim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zakonodavstvom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nastalim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osnovu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punopravno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dostupne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povlastice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proističu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važećih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propisa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uređuje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industrija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ugovornice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dostavlja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spisak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tekstova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povlastice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dođe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kakvih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tekstovima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tiču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olakšica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obavezno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sadržini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obavesti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povlastice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dodeljuju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samo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koproducentu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sedište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povlastice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77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konkuriše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osnovu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dodelu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poštovati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procedure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predviđaju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ispunjavati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uslove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Aneksu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uslovima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odobravaju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razmenjuju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informacije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tiču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prihvatanja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odbacivanja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povlačenja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dobijanje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18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nego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što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odbace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prijavu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dodelu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konsultovati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2"/>
        </w:numPr>
        <w:spacing w:after="506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Ukoliko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odobrila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naknadno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oduzeti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izuzev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zajedničke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odluke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225" w:line="240" w:lineRule="auto"/>
        <w:ind w:lef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3.</w:t>
      </w:r>
    </w:p>
    <w:p w:rsidR="00B226EE" w:rsidRPr="000D6175" w:rsidRDefault="000D6175" w:rsidP="00B226EE">
      <w:pPr>
        <w:numPr>
          <w:ilvl w:val="0"/>
          <w:numId w:val="3"/>
        </w:numPr>
        <w:spacing w:after="18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dobila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dobru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finansijsku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organizaciju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profesionalno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iskustvo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Članovi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osoblja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učestvuju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srpsko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državljanstvo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državljani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potpisnice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konvencije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prekograničnoj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televiziji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konvencije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Saveta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treće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zemlje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zajednica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sklopila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audiovizuelni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sektor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 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nisu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državljani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imaju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srpsku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dozvolu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boravka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odgovarajući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dokument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izdala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treća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ekonomskom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prostoru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izjednačeni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pogledu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državljanima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odnosno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8C05E5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Izuzetno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zajednički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dozvoliti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saradnicima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ispunjavaju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uslove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nacionalnost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prebivalište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što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opisano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tački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8C05E5" w:rsidRPr="000D6175" w:rsidRDefault="008C05E5" w:rsidP="008C05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8C05E5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Snimanja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studiju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realizovana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8C05E5" w:rsidRPr="000D6175" w:rsidRDefault="008C05E5" w:rsidP="008C05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8C05E5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lastRenderedPageBreak/>
        <w:t>Izuzetno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zajednički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snimanja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prirodnom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dekoru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potpisnica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ukoliko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zahteva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scenario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8C05E5" w:rsidRPr="000D6175" w:rsidRDefault="008C05E5" w:rsidP="008C05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8C05E5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Stavovi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primenjuju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skladu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saopštenjem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državnoj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pomoći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audiovizuelnim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(2013/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C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332/01)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objavljenim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Službenom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listu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Evropske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novembra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2013.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4.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Udeo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varirati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dvadeset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(20)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osamdeset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(80)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odsto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ukupnog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budžeta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8C05E5" w:rsidRPr="000D6175" w:rsidRDefault="008C05E5" w:rsidP="008C05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B226EE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izuzetno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uzajamnu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saglasnost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iznos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bude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smanjen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deset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(10)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odsto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ukupnog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budžeta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 </w:t>
      </w:r>
    </w:p>
    <w:p w:rsidR="008C05E5" w:rsidRPr="000D6175" w:rsidRDefault="008C05E5" w:rsidP="008C05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B226EE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bude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proporcionalno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njihovom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finansijskom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doprinosu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Izuzetno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odstupanja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dozvoljena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obostranu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saglasnost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3C20C8" w:rsidRPr="000D6175" w:rsidRDefault="003C20C8" w:rsidP="003C20C8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5.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sudržalac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3C20C8" w:rsidRPr="000D6175" w:rsidRDefault="003C20C8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6.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poštovanje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nacionalnih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propisa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međunarodnih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olakšavaju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uvoz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izvoz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materijala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neophodnog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realizaciju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osnovu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nastoji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teritoriji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zemlje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poštovanje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propisa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olakša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kretanje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boravak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osoblju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sarađuje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E36F4F" w:rsidRPr="000D6175" w:rsidRDefault="00E36F4F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E36F4F" w:rsidRPr="000D6175" w:rsidRDefault="00E36F4F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E36F4F" w:rsidRPr="000D6175" w:rsidRDefault="00E36F4F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3C20C8" w:rsidRPr="000D6175" w:rsidRDefault="003C20C8">
      <w:pP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br w:type="page"/>
      </w:r>
    </w:p>
    <w:p w:rsidR="00B226EE" w:rsidRPr="000D6175" w:rsidRDefault="000D6175" w:rsidP="00B226EE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lastRenderedPageBreak/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7.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numPr>
          <w:ilvl w:val="0"/>
          <w:numId w:val="9"/>
        </w:numPr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utvrđuju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obezbeđena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ravnoteža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doprinosima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9"/>
        </w:numPr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Ravnoteža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pogledu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pogledu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finansijskih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doprinosa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ravnotežu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procenjuje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Mešovita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predviđena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9"/>
        </w:numPr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proverilo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ravnoteža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obezbeđena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sastavljaju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izveštaj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ukupnim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sredstvima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podrške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finansiranja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9"/>
        </w:numPr>
        <w:spacing w:after="266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dođe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neravnoteže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Mešovita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ispituje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sredstva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potrebna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ponovo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uspostavila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ravnoteža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preduzima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smatra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svrhu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neophodne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spacing w:after="225" w:line="240" w:lineRule="auto"/>
        <w:ind w:lef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8.</w:t>
      </w:r>
    </w:p>
    <w:p w:rsidR="00B226EE" w:rsidRPr="000D6175" w:rsidRDefault="000D6175" w:rsidP="00B226EE">
      <w:pPr>
        <w:spacing w:after="269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špicama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trejlerima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publikacijama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reklamnom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materijalu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jasno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radi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srpsko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srpskoj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spacing w:after="221" w:line="240" w:lineRule="auto"/>
        <w:ind w:lef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9.</w:t>
      </w:r>
    </w:p>
    <w:p w:rsidR="00B226EE" w:rsidRPr="000D6175" w:rsidRDefault="000D6175" w:rsidP="00B226EE">
      <w:pPr>
        <w:spacing w:after="509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Raspodela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prihoda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nastalog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određuju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producenti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proporcionalna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njihovim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finansijskim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doprinosima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spacing w:after="227" w:line="240" w:lineRule="auto"/>
        <w:ind w:left="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10.</w:t>
      </w:r>
    </w:p>
    <w:p w:rsidR="00B226EE" w:rsidRPr="000D6175" w:rsidRDefault="000D6175" w:rsidP="00B226EE">
      <w:pPr>
        <w:numPr>
          <w:ilvl w:val="0"/>
          <w:numId w:val="10"/>
        </w:numPr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saglasno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prihvatiti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nastala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osnovu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budu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ostvarena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više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država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druga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0"/>
        </w:numPr>
        <w:spacing w:after="51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odlučuju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dodeljivanju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delima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opisanim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tački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ind w:right="35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  <w:t xml:space="preserve">II.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  <w:t>MEŠOVITA</w:t>
      </w:r>
      <w:r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  <w:t xml:space="preserve">  </w:t>
      </w:r>
      <w:r w:rsid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CS" w:eastAsia="sr-Latn-RS"/>
        </w:rPr>
        <w:t>KOMISIJA</w:t>
      </w:r>
    </w:p>
    <w:p w:rsidR="008C05E5" w:rsidRPr="000D6175" w:rsidRDefault="008C05E5" w:rsidP="00B226EE">
      <w:pPr>
        <w:spacing w:after="0" w:line="240" w:lineRule="auto"/>
        <w:ind w:right="3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8C0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11.</w:t>
      </w:r>
    </w:p>
    <w:p w:rsidR="008C05E5" w:rsidRPr="000D6175" w:rsidRDefault="008C05E5" w:rsidP="00B226EE">
      <w:pPr>
        <w:spacing w:after="0" w:line="240" w:lineRule="auto"/>
        <w:ind w:left="4420" w:right="334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numPr>
          <w:ilvl w:val="0"/>
          <w:numId w:val="11"/>
        </w:numPr>
        <w:spacing w:after="237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olakšala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primena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uspostavljena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Mešovita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sastavljena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jednakog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broja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predstavnika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eksperata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određuje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rok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mogućnošću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produženja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1"/>
        </w:numPr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Mešovita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principu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sastaje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naizmenično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Mešovita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komisija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sazvana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zahtev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jednog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naročito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nacionalnom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zakonodavstvu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kinematografiju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funkcionisanje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primeni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naiđe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ozbiljne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teškoće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posebno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neravnoteže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navedenom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E36F4F" w:rsidRPr="000D6175" w:rsidRDefault="00E36F4F" w:rsidP="00E36F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E36F4F" w:rsidRPr="000D6175" w:rsidRDefault="00E36F4F" w:rsidP="00E36F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B226EE" w:rsidP="00B226EE">
      <w:pPr>
        <w:spacing w:after="242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 xml:space="preserve">III. </w:t>
      </w:r>
      <w:r w:rsid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>ZAVRŠNE</w:t>
      </w:r>
      <w:r w:rsidRP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 xml:space="preserve"> </w:t>
      </w:r>
      <w:r w:rsid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>ODREDBE</w:t>
      </w:r>
    </w:p>
    <w:p w:rsidR="00B226EE" w:rsidRPr="000D6175" w:rsidRDefault="000D6175" w:rsidP="00B226EE">
      <w:pPr>
        <w:spacing w:after="170" w:line="240" w:lineRule="auto"/>
        <w:ind w:right="3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lastRenderedPageBreak/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12.</w:t>
      </w:r>
    </w:p>
    <w:p w:rsidR="00B226EE" w:rsidRPr="000D6175" w:rsidRDefault="000D6175" w:rsidP="00B226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stupanja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snagu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prestaje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važi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odnosima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oblasti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filma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između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Socijalističke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Federativne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Jugoslavije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potpisan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Beogradu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27.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oktobra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1975.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godine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 </w:t>
      </w: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170" w:line="240" w:lineRule="auto"/>
        <w:ind w:right="3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13.</w:t>
      </w:r>
    </w:p>
    <w:p w:rsidR="00B226EE" w:rsidRPr="000D6175" w:rsidRDefault="000D6175" w:rsidP="00B226EE">
      <w:pPr>
        <w:spacing w:after="506" w:line="240" w:lineRule="auto"/>
        <w:ind w:left="3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tumačenja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primene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rešavaće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mirnim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putem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kroz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konsultacije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direktne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pregovore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između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0D6175" w:rsidP="00B226EE">
      <w:pPr>
        <w:spacing w:after="170" w:line="240" w:lineRule="auto"/>
        <w:ind w:right="3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14.</w:t>
      </w:r>
    </w:p>
    <w:p w:rsidR="00B226EE" w:rsidRPr="000D6175" w:rsidRDefault="000D6175" w:rsidP="00B226EE">
      <w:pPr>
        <w:numPr>
          <w:ilvl w:val="0"/>
          <w:numId w:val="1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stupa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snagu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trideset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prijema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poslednjeg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obaveštenja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diplomatskim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putem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uzajamno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obaveštavaju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ispunjenju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unutrašnjih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procedura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neophodnih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stupanje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snagu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376E1D">
      <w:pPr>
        <w:numPr>
          <w:ilvl w:val="0"/>
          <w:numId w:val="1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izmenjen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dopunjen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trenutku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pisanoj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formi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uz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obostranu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saglasnost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Izmene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dopune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stupaju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snagu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skladu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stavom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člana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376E1D">
      <w:pPr>
        <w:numPr>
          <w:ilvl w:val="0"/>
          <w:numId w:val="1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zaključuje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neodređeno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vreme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može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raskine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trenutku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pismenim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obaveštenjem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prenosi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diplomatskim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putem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slučaju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prestaje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važi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šest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(6)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meseci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datuma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prijema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obaveštenja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Raskid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dovodi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pitanje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obaveze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sporazumnih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vezane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projekte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započete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okviru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ovog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sporazuma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osim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odluče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suprotno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376E1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Sačinjeno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>Beogradu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dana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u w:val="single"/>
          <w:lang w:val="sr-Latn-CS" w:eastAsia="sr-Latn-RS"/>
        </w:rPr>
        <w:t>15.7.2019.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originalna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primerka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srpskom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jeziku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čemu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teksta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podjednako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merodavna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A6DCC" w:rsidRPr="000D6175" w:rsidRDefault="000D6175" w:rsidP="00B226E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Vladu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Srbije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Za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Vladu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Republike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Francuske</w:t>
      </w:r>
    </w:p>
    <w:p w:rsidR="001A6DCC" w:rsidRPr="000D6175" w:rsidRDefault="001A6DCC" w:rsidP="00B226E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                                                  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___________________________</w:t>
      </w: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ab/>
      </w: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ab/>
      </w: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ab/>
        <w:t>        ________________________</w:t>
      </w:r>
      <w:r w:rsidR="001A6DCC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____</w:t>
      </w:r>
    </w:p>
    <w:p w:rsidR="00B226EE" w:rsidRPr="000D6175" w:rsidRDefault="000D6175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Vladan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Vukosavljević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                                          </w:t>
      </w:r>
      <w:r w:rsidR="003F10C4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Frederik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Mondoloni</w:t>
      </w:r>
    </w:p>
    <w:p w:rsidR="003E6F45" w:rsidRPr="000D6175" w:rsidRDefault="000D6175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kulture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                                                          </w:t>
      </w:r>
      <w:r w:rsidR="003F10C4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Ambasador</w:t>
      </w:r>
    </w:p>
    <w:p w:rsidR="003E6F45" w:rsidRPr="000D6175" w:rsidRDefault="000D6175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3E6F45"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informisanja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                                                    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br/>
      </w:r>
    </w:p>
    <w:p w:rsidR="00E36F4F" w:rsidRPr="000D6175" w:rsidRDefault="00E36F4F" w:rsidP="00B226EE">
      <w:pPr>
        <w:spacing w:after="488" w:line="240" w:lineRule="auto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E36F4F" w:rsidRPr="000D6175" w:rsidRDefault="00E36F4F" w:rsidP="00B226EE">
      <w:pPr>
        <w:spacing w:after="488" w:line="240" w:lineRule="auto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</w:p>
    <w:p w:rsidR="00B226EE" w:rsidRPr="000D6175" w:rsidRDefault="000D6175" w:rsidP="00B226EE">
      <w:pPr>
        <w:spacing w:after="488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ANEKS</w:t>
      </w:r>
    </w:p>
    <w:p w:rsidR="00B226EE" w:rsidRPr="000D6175" w:rsidRDefault="000D6175" w:rsidP="00B226EE">
      <w:pPr>
        <w:spacing w:after="226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lastRenderedPageBreak/>
        <w:t>Procedura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za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podnošenje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>prijava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bi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dobili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statut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svojoj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prijavi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moraju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najmanje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meseca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početka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snimanja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priložiti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podneti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dosije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sadrži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: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ugovora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potvrđuju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autorska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prava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;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definitivnu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verziju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scenarija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 ;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obaveštenje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tehničkim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umetničkim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doprinosima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koproducenata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 ;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detaljan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plan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rada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 ;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proračun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detaljan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plan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finansiranja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 ;</w:t>
      </w:r>
    </w:p>
    <w:p w:rsidR="00B226EE" w:rsidRPr="000D6175" w:rsidRDefault="000D6175" w:rsidP="00B226EE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potpisan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ugovor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koprodukciji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B226EE" w:rsidRPr="000D6175" w:rsidRDefault="00B226EE" w:rsidP="00B226E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čije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manjinsko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daje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svoje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odobrenje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tek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pošto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dobije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mišljenje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nadležnog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tela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strane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sa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većinskim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učešćem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lang w:val="sr-Latn-CS" w:eastAsia="sr-Latn-RS"/>
        </w:rPr>
        <w:t>.</w:t>
      </w:r>
    </w:p>
    <w:p w:rsidR="00234795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234795" w:rsidRPr="000D6175" w:rsidRDefault="00234795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B226EE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3F10C4" w:rsidRPr="000D6175" w:rsidRDefault="003F10C4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3F10C4" w:rsidRPr="000D6175" w:rsidRDefault="003F10C4" w:rsidP="00B226E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B226EE" w:rsidRPr="000D6175" w:rsidRDefault="000D6175" w:rsidP="00B226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lastRenderedPageBreak/>
        <w:t>Član</w:t>
      </w:r>
      <w:r w:rsidR="00B226EE" w:rsidRPr="000D61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 w:eastAsia="sr-Latn-RS"/>
        </w:rPr>
        <w:t xml:space="preserve"> 3.</w:t>
      </w:r>
    </w:p>
    <w:p w:rsidR="00B226EE" w:rsidRPr="000D6175" w:rsidRDefault="000D6175" w:rsidP="00B226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Ovaj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zakon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stupa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snagu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osmog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od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dana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objavljivanja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Službenom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glasniku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Republike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Srbije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Međunarodni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ugovori</w:t>
      </w:r>
      <w:r w:rsidR="00B226EE" w:rsidRPr="000D61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RS"/>
        </w:rPr>
        <w:t>”.</w:t>
      </w:r>
    </w:p>
    <w:p w:rsidR="00B226EE" w:rsidRPr="000D6175" w:rsidRDefault="00B226EE" w:rsidP="00E36F4F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  <w:r w:rsidRPr="000D617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/>
      </w:r>
    </w:p>
    <w:p w:rsidR="005A79FB" w:rsidRPr="000D6175" w:rsidRDefault="005A79FB">
      <w:pPr>
        <w:rPr>
          <w:noProof/>
          <w:lang w:val="sr-Latn-CS"/>
        </w:rPr>
      </w:pPr>
    </w:p>
    <w:sectPr w:rsidR="005A79FB" w:rsidRPr="000D6175" w:rsidSect="00E36F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46" w:rsidRDefault="000D2246" w:rsidP="00E36F4F">
      <w:pPr>
        <w:spacing w:after="0" w:line="240" w:lineRule="auto"/>
      </w:pPr>
      <w:r>
        <w:separator/>
      </w:r>
    </w:p>
  </w:endnote>
  <w:endnote w:type="continuationSeparator" w:id="0">
    <w:p w:rsidR="000D2246" w:rsidRDefault="000D2246" w:rsidP="00E3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175" w:rsidRDefault="000D61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175" w:rsidRDefault="000D61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175" w:rsidRDefault="000D61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46" w:rsidRDefault="000D2246" w:rsidP="00E36F4F">
      <w:pPr>
        <w:spacing w:after="0" w:line="240" w:lineRule="auto"/>
      </w:pPr>
      <w:r>
        <w:separator/>
      </w:r>
    </w:p>
  </w:footnote>
  <w:footnote w:type="continuationSeparator" w:id="0">
    <w:p w:rsidR="000D2246" w:rsidRDefault="000D2246" w:rsidP="00E3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F4F" w:rsidRDefault="00E36F4F" w:rsidP="004B6A6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36F4F" w:rsidRDefault="00E36F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F4F" w:rsidRDefault="00E36F4F" w:rsidP="004B6A64">
    <w:pPr>
      <w:pStyle w:val="Header"/>
      <w:framePr w:wrap="around" w:vAnchor="text" w:hAnchor="margin" w:xAlign="center" w:y="1"/>
      <w:rPr>
        <w:rStyle w:val="PageNumber"/>
      </w:rPr>
    </w:pPr>
  </w:p>
  <w:p w:rsidR="00E36F4F" w:rsidRDefault="00E36F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175" w:rsidRDefault="000D61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39E0"/>
    <w:multiLevelType w:val="multilevel"/>
    <w:tmpl w:val="0B260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80665"/>
    <w:multiLevelType w:val="multilevel"/>
    <w:tmpl w:val="00EEF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11CE6"/>
    <w:multiLevelType w:val="multilevel"/>
    <w:tmpl w:val="AFFE5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6C21A8"/>
    <w:multiLevelType w:val="multilevel"/>
    <w:tmpl w:val="DD7434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9D5F71"/>
    <w:multiLevelType w:val="multilevel"/>
    <w:tmpl w:val="6DEC8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A358F3"/>
    <w:multiLevelType w:val="multilevel"/>
    <w:tmpl w:val="59FE0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F06010"/>
    <w:multiLevelType w:val="multilevel"/>
    <w:tmpl w:val="258A9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56798E"/>
    <w:multiLevelType w:val="multilevel"/>
    <w:tmpl w:val="22F68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43011A"/>
    <w:multiLevelType w:val="multilevel"/>
    <w:tmpl w:val="FEA24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E20055"/>
    <w:multiLevelType w:val="multilevel"/>
    <w:tmpl w:val="F7FAE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BE13A4"/>
    <w:multiLevelType w:val="multilevel"/>
    <w:tmpl w:val="6E9C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364F62"/>
    <w:multiLevelType w:val="multilevel"/>
    <w:tmpl w:val="4DCA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1"/>
  </w:num>
  <w:num w:numId="9">
    <w:abstractNumId w:val="7"/>
  </w:num>
  <w:num w:numId="10">
    <w:abstractNumId w:val="10"/>
  </w:num>
  <w:num w:numId="11">
    <w:abstractNumId w:val="8"/>
  </w:num>
  <w:num w:numId="12">
    <w:abstractNumId w:val="4"/>
  </w:num>
  <w:num w:numId="13">
    <w:abstractNumId w:val="11"/>
    <w:lvlOverride w:ilvl="0">
      <w:lvl w:ilvl="0">
        <w:numFmt w:val="decimal"/>
        <w:lvlText w:val="%1."/>
        <w:lvlJc w:val="left"/>
      </w:lvl>
    </w:lvlOverride>
  </w:num>
  <w:num w:numId="14">
    <w:abstractNumId w:val="3"/>
    <w:lvlOverride w:ilvl="0">
      <w:lvl w:ilvl="0">
        <w:numFmt w:val="decimal"/>
        <w:lvlText w:val="%1."/>
        <w:lvlJc w:val="left"/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EE"/>
    <w:rsid w:val="000D2246"/>
    <w:rsid w:val="000D6175"/>
    <w:rsid w:val="001A6DCC"/>
    <w:rsid w:val="00234795"/>
    <w:rsid w:val="00376E1D"/>
    <w:rsid w:val="003C20C8"/>
    <w:rsid w:val="003E6F45"/>
    <w:rsid w:val="003F10C4"/>
    <w:rsid w:val="0058585C"/>
    <w:rsid w:val="005A79FB"/>
    <w:rsid w:val="005C4FA7"/>
    <w:rsid w:val="00763F3F"/>
    <w:rsid w:val="008C05E5"/>
    <w:rsid w:val="00B226EE"/>
    <w:rsid w:val="00E3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9C1013-3B6F-45F7-9AE8-C8A19E6C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apple-tab-span">
    <w:name w:val="apple-tab-span"/>
    <w:basedOn w:val="DefaultParagraphFont"/>
    <w:rsid w:val="00B226EE"/>
  </w:style>
  <w:style w:type="paragraph" w:styleId="Header">
    <w:name w:val="header"/>
    <w:basedOn w:val="Normal"/>
    <w:link w:val="HeaderChar"/>
    <w:uiPriority w:val="99"/>
    <w:unhideWhenUsed/>
    <w:rsid w:val="00E36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F4F"/>
  </w:style>
  <w:style w:type="paragraph" w:styleId="Footer">
    <w:name w:val="footer"/>
    <w:basedOn w:val="Normal"/>
    <w:link w:val="FooterChar"/>
    <w:uiPriority w:val="99"/>
    <w:unhideWhenUsed/>
    <w:rsid w:val="00E36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F4F"/>
  </w:style>
  <w:style w:type="character" w:styleId="PageNumber">
    <w:name w:val="page number"/>
    <w:basedOn w:val="DefaultParagraphFont"/>
    <w:uiPriority w:val="99"/>
    <w:semiHidden/>
    <w:unhideWhenUsed/>
    <w:rsid w:val="00E36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1801</Words>
  <Characters>10272</Characters>
  <Application>Microsoft Office Word</Application>
  <DocSecurity>0</DocSecurity>
  <Lines>85</Lines>
  <Paragraphs>24</Paragraphs>
  <ScaleCrop>false</ScaleCrop>
  <Company/>
  <LinksUpToDate>false</LinksUpToDate>
  <CharactersWithSpaces>12049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velinka djukanovic</dc:creator>
  <cp:keywords/>
  <dc:description/>
  <cp:lastModifiedBy>Bojan Grgic</cp:lastModifiedBy>
  <cp:revision>2</cp:revision>
  <dcterms:created xsi:type="dcterms:W3CDTF">2020-12-11T15:15:00Z</dcterms:created>
  <dcterms:modified xsi:type="dcterms:W3CDTF">2020-12-11T15:15:00Z</dcterms:modified>
</cp:coreProperties>
</file>