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EB1" w:rsidRPr="00111049" w:rsidRDefault="00CF4EB1" w:rsidP="00CF4EB1">
      <w:pPr>
        <w:jc w:val="center"/>
        <w:outlineLvl w:val="0"/>
        <w:rPr>
          <w:rFonts w:ascii="Times New Roman" w:hAnsi="Times New Roman"/>
          <w:szCs w:val="24"/>
          <w:lang w:val="sr-Cyrl-CS"/>
        </w:rPr>
      </w:pPr>
      <w:r w:rsidRPr="00111049">
        <w:rPr>
          <w:rFonts w:ascii="Times New Roman" w:hAnsi="Times New Roman"/>
          <w:szCs w:val="24"/>
          <w:lang w:val="sr-Cyrl-CS"/>
        </w:rPr>
        <w:t>О Б Р А З Л О Ж Е Њ Е</w:t>
      </w:r>
    </w:p>
    <w:p w:rsidR="00CF4EB1" w:rsidRPr="00111049" w:rsidRDefault="00CF4EB1" w:rsidP="00CF4EB1">
      <w:pPr>
        <w:ind w:firstLine="720"/>
        <w:jc w:val="center"/>
        <w:rPr>
          <w:rFonts w:ascii="Times New Roman" w:hAnsi="Times New Roman"/>
          <w:szCs w:val="24"/>
          <w:lang w:val="sr-Cyrl-CS"/>
        </w:rPr>
      </w:pPr>
    </w:p>
    <w:p w:rsidR="00CF4EB1" w:rsidRPr="00111049" w:rsidRDefault="00CF4EB1" w:rsidP="00CF4EB1">
      <w:pPr>
        <w:ind w:firstLine="709"/>
        <w:rPr>
          <w:rFonts w:ascii="Times New Roman" w:hAnsi="Times New Roman"/>
          <w:bCs/>
          <w:szCs w:val="24"/>
          <w:lang w:val="sr-Cyrl-CS"/>
        </w:rPr>
      </w:pPr>
      <w:r w:rsidRPr="00111049">
        <w:rPr>
          <w:rFonts w:ascii="Times New Roman" w:hAnsi="Times New Roman"/>
          <w:bCs/>
          <w:szCs w:val="24"/>
          <w:lang w:val="sr-Cyrl-CS"/>
        </w:rPr>
        <w:t xml:space="preserve"> I. УСТАВНИ ОСНОВ ЗА ДОНОШЕЊЕ ЗАКОНА</w:t>
      </w:r>
    </w:p>
    <w:p w:rsidR="00CF4EB1" w:rsidRPr="00111049" w:rsidRDefault="00CF4EB1" w:rsidP="00CF4EB1">
      <w:pPr>
        <w:rPr>
          <w:rFonts w:ascii="Times New Roman" w:hAnsi="Times New Roman"/>
          <w:bCs/>
          <w:szCs w:val="24"/>
          <w:lang w:val="sr-Cyrl-CS"/>
        </w:rPr>
      </w:pPr>
    </w:p>
    <w:p w:rsidR="00CF4EB1" w:rsidRPr="00111049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111049">
        <w:rPr>
          <w:rFonts w:ascii="Times New Roman" w:hAnsi="Times New Roman"/>
          <w:szCs w:val="24"/>
          <w:lang w:val="sr-Cyrl-CS"/>
        </w:rPr>
        <w:t xml:space="preserve"> </w:t>
      </w:r>
      <w:r w:rsidRPr="00111049">
        <w:rPr>
          <w:rFonts w:ascii="Times New Roman" w:hAnsi="Times New Roman"/>
          <w:szCs w:val="24"/>
          <w:lang w:val="sr-Cyrl-CS"/>
        </w:rPr>
        <w:tab/>
        <w:t>Уставни основ за доношење овог закона садржан је у члану 99. став 1. тачка 4. Устава Републике Србије према коме Нар</w:t>
      </w:r>
      <w:r w:rsidR="0047643A" w:rsidRPr="00111049">
        <w:rPr>
          <w:rFonts w:ascii="Times New Roman" w:hAnsi="Times New Roman"/>
          <w:szCs w:val="24"/>
          <w:lang w:val="sr-Cyrl-CS"/>
        </w:rPr>
        <w:t xml:space="preserve">одна скупштина </w:t>
      </w:r>
      <w:r w:rsidRPr="00111049">
        <w:rPr>
          <w:rFonts w:ascii="Times New Roman" w:hAnsi="Times New Roman"/>
          <w:szCs w:val="24"/>
          <w:lang w:val="sr-Cyrl-CS"/>
        </w:rPr>
        <w:t>потврђује међународне уговоре када је законом предвиђена обавеза њиховог потврђивања.</w:t>
      </w:r>
    </w:p>
    <w:p w:rsidR="00CF4EB1" w:rsidRPr="00111049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111049">
        <w:rPr>
          <w:rFonts w:ascii="Times New Roman" w:hAnsi="Times New Roman"/>
          <w:szCs w:val="24"/>
          <w:highlight w:val="yellow"/>
          <w:lang w:val="sr-Cyrl-CS"/>
        </w:rPr>
        <w:t xml:space="preserve"> </w:t>
      </w:r>
    </w:p>
    <w:p w:rsidR="00187CCB" w:rsidRPr="00111049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bCs/>
          <w:szCs w:val="24"/>
          <w:lang w:val="sr-Cyrl-CS" w:eastAsia="en-US"/>
        </w:rPr>
        <w:t>II. РАЗЛОЗИ ЗА ПОТВРЂИВАЊЕ</w:t>
      </w:r>
      <w:r w:rsidR="00032215" w:rsidRPr="00111049">
        <w:rPr>
          <w:rFonts w:ascii="Times New Roman" w:hAnsi="Times New Roman"/>
          <w:szCs w:val="24"/>
          <w:lang w:val="sr-Cyrl-CS"/>
        </w:rPr>
        <w:t xml:space="preserve"> </w:t>
      </w:r>
      <w:r w:rsidR="004B2455" w:rsidRPr="00111049">
        <w:rPr>
          <w:rFonts w:ascii="Times New Roman" w:hAnsi="Times New Roman"/>
          <w:szCs w:val="24"/>
          <w:lang w:val="sr-Cyrl-CS"/>
        </w:rPr>
        <w:t>СПОРАЗУМА</w:t>
      </w:r>
    </w:p>
    <w:p w:rsidR="00CF4EB1" w:rsidRPr="00111049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87CCB" w:rsidRPr="00111049" w:rsidRDefault="00CF4EB1" w:rsidP="00187CCB">
      <w:pPr>
        <w:spacing w:line="240" w:lineRule="auto"/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11049">
        <w:rPr>
          <w:rFonts w:ascii="Times New Roman" w:hAnsi="Times New Roman"/>
          <w:szCs w:val="24"/>
          <w:lang w:val="sr-Cyrl-CS"/>
        </w:rPr>
        <w:t xml:space="preserve">Разлози за </w:t>
      </w:r>
      <w:r w:rsidR="00187CCB" w:rsidRPr="00111049">
        <w:rPr>
          <w:rFonts w:ascii="Times New Roman" w:hAnsi="Times New Roman"/>
          <w:szCs w:val="24"/>
          <w:lang w:val="sr-Cyrl-CS"/>
        </w:rPr>
        <w:t>потврђивање</w:t>
      </w:r>
      <w:r w:rsidRPr="00111049">
        <w:rPr>
          <w:rFonts w:ascii="Times New Roman" w:hAnsi="Times New Roman"/>
          <w:szCs w:val="24"/>
          <w:lang w:val="sr-Cyrl-CS"/>
        </w:rPr>
        <w:t xml:space="preserve"> </w:t>
      </w:r>
      <w:r w:rsidR="00AA755C" w:rsidRPr="00111049">
        <w:rPr>
          <w:rFonts w:ascii="Times New Roman" w:hAnsi="Times New Roman"/>
          <w:szCs w:val="24"/>
          <w:lang w:val="sr-Cyrl-CS"/>
        </w:rPr>
        <w:t xml:space="preserve">Споразума о зајму </w:t>
      </w:r>
      <w:r w:rsidR="003F3210" w:rsidRPr="00111049">
        <w:rPr>
          <w:rFonts w:ascii="Times New Roman" w:hAnsi="Times New Roman"/>
          <w:szCs w:val="24"/>
          <w:lang w:val="sr-Cyrl-CS"/>
        </w:rPr>
        <w:t>(Зајам за уговарање страног пројекта о изградњи) за Пројекат изградње топловода Обреновац - Нови Београд, између кинеске Export – Import банке, као зајмодавца и Републике Србије, коју заступа Влада Републике Србије поступајући преко Министарства финансија, као зајмопримца,</w:t>
      </w:r>
      <w:r w:rsidRPr="00111049">
        <w:rPr>
          <w:rFonts w:ascii="Times New Roman" w:hAnsi="Times New Roman"/>
          <w:szCs w:val="24"/>
          <w:lang w:val="sr-Cyrl-CS"/>
        </w:rPr>
        <w:t xml:space="preserve"> који је потписан </w:t>
      </w:r>
      <w:r w:rsidR="00AA755C" w:rsidRPr="00111049">
        <w:rPr>
          <w:rFonts w:ascii="Times New Roman" w:hAnsi="Times New Roman"/>
          <w:szCs w:val="24"/>
          <w:lang w:val="sr-Cyrl-CS"/>
        </w:rPr>
        <w:t>у Београду, 17</w:t>
      </w:r>
      <w:r w:rsidRPr="00111049">
        <w:rPr>
          <w:rFonts w:ascii="Times New Roman" w:hAnsi="Times New Roman"/>
          <w:szCs w:val="24"/>
          <w:lang w:val="sr-Cyrl-CS"/>
        </w:rPr>
        <w:t xml:space="preserve">. </w:t>
      </w:r>
      <w:r w:rsidR="00AA755C" w:rsidRPr="00111049">
        <w:rPr>
          <w:rFonts w:ascii="Times New Roman" w:hAnsi="Times New Roman"/>
          <w:szCs w:val="24"/>
          <w:lang w:val="sr-Cyrl-CS"/>
        </w:rPr>
        <w:t>јануара 2020</w:t>
      </w:r>
      <w:r w:rsidRPr="00111049">
        <w:rPr>
          <w:rFonts w:ascii="Times New Roman" w:hAnsi="Times New Roman"/>
          <w:szCs w:val="24"/>
          <w:lang w:val="sr-Cyrl-CS"/>
        </w:rPr>
        <w:t xml:space="preserve">. године, </w:t>
      </w:r>
      <w:r w:rsidR="00187CCB" w:rsidRPr="00111049">
        <w:rPr>
          <w:rFonts w:ascii="Times New Roman" w:hAnsi="Times New Roman"/>
          <w:szCs w:val="24"/>
          <w:lang w:val="sr-Cyrl-CS"/>
        </w:rPr>
        <w:t xml:space="preserve">садржани су у одредби члана 5. став 2. Закона о јавном дугу </w:t>
      </w:r>
      <w:r w:rsidR="00AA755C" w:rsidRPr="00111049">
        <w:rPr>
          <w:rFonts w:ascii="Times New Roman" w:hAnsi="Times New Roman"/>
          <w:szCs w:val="24"/>
          <w:lang w:val="sr-Cyrl-CS"/>
        </w:rPr>
        <w:t>(„Службени гласник РС”, бр. 61/05, 107/09, 78/11, 68/15, 95/18 и 91/19)</w:t>
      </w:r>
      <w:r w:rsidR="00187CCB" w:rsidRPr="00111049">
        <w:rPr>
          <w:rFonts w:ascii="Times New Roman" w:hAnsi="Times New Roman"/>
          <w:szCs w:val="24"/>
          <w:lang w:val="sr-Cyrl-CS"/>
        </w:rPr>
        <w:t xml:space="preserve"> према којој Народна скупштина одлучује о задуживању Републике Србије и одредби члана 14. став 1. Закона о закључивању и извршавању међународних уговора </w:t>
      </w:r>
      <w:r w:rsidR="00311F46" w:rsidRPr="00111049">
        <w:rPr>
          <w:rFonts w:ascii="Times New Roman" w:hAnsi="Times New Roman"/>
          <w:szCs w:val="24"/>
          <w:lang w:val="sr-Cyrl-CS"/>
        </w:rPr>
        <w:t>(„Службени гласник РС”, број 32/13</w:t>
      </w:r>
      <w:r w:rsidR="00187CCB" w:rsidRPr="00111049">
        <w:rPr>
          <w:rFonts w:ascii="Times New Roman" w:hAnsi="Times New Roman"/>
          <w:szCs w:val="24"/>
          <w:lang w:val="sr-Cyrl-CS"/>
        </w:rPr>
        <w:t>) према којој Народна скупштина, између осталог, потврђује уговоре којима се стварају финансијске обавезе за Републику Србију.</w:t>
      </w:r>
      <w:r w:rsidR="005540D5" w:rsidRPr="00111049">
        <w:rPr>
          <w:rFonts w:ascii="Times New Roman" w:hAnsi="Times New Roman"/>
          <w:szCs w:val="24"/>
          <w:lang w:val="sr-Cyrl-CS"/>
        </w:rPr>
        <w:t xml:space="preserve"> </w:t>
      </w:r>
      <w:r w:rsidR="00B16010" w:rsidRPr="00111049">
        <w:rPr>
          <w:rFonts w:ascii="Times New Roman" w:hAnsi="Times New Roman"/>
          <w:szCs w:val="24"/>
          <w:lang w:val="sr-Cyrl-CS"/>
        </w:rPr>
        <w:t xml:space="preserve"> </w:t>
      </w:r>
      <w:r w:rsidR="00E81738" w:rsidRPr="00111049">
        <w:rPr>
          <w:rFonts w:ascii="Times New Roman" w:hAnsi="Times New Roman"/>
          <w:szCs w:val="24"/>
          <w:lang w:val="sr-Cyrl-CS"/>
        </w:rPr>
        <w:t xml:space="preserve"> </w:t>
      </w:r>
      <w:r w:rsidR="00CB5B6B" w:rsidRPr="00111049">
        <w:rPr>
          <w:rFonts w:ascii="Times New Roman" w:hAnsi="Times New Roman"/>
          <w:szCs w:val="24"/>
          <w:lang w:val="sr-Cyrl-CS"/>
        </w:rPr>
        <w:t xml:space="preserve"> 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Законом о буџету Републике Србије за 2020. годину („Службени гласник РСˮ, број 84/19) у члану 3. одобрено је задуживање код кинеских банака, односно код кинеске Export – Import банке (у даљем тексту: Банка) за фина</w:t>
      </w:r>
      <w:r w:rsidR="00111049">
        <w:rPr>
          <w:rFonts w:ascii="Times New Roman" w:hAnsi="Times New Roman"/>
          <w:szCs w:val="24"/>
          <w:lang w:val="sr-Cyrl-CS" w:eastAsia="en-US"/>
        </w:rPr>
        <w:t>н</w:t>
      </w:r>
      <w:r w:rsidRPr="00111049">
        <w:rPr>
          <w:rFonts w:ascii="Times New Roman" w:hAnsi="Times New Roman"/>
          <w:szCs w:val="24"/>
          <w:lang w:val="sr-Cyrl-CS" w:eastAsia="en-US"/>
        </w:rPr>
        <w:t>сирање Пројекта изградње топловода Обреновац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Нови Београд, у износу до 165.000.000 евра (у даљем тексту: Пројекат) ради финансирања 85% вредности овог пројекта, док ће преосталих 15% обезбеђивати српска страна.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Споразум о економској и техничкој сарадњи у области инфраструктуре између Владе Републике Србије и Владе Народне Републике Кине (у даљем тексту: Споразум) потписан је у Пекингу, 20. августа 2009. године. Споразум је потврђен у Народној скупштини 2. новембра 2009. године доношењем Зако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>на о потврђивању Споразума („Службени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гласник РС - Међународни уговориˮ, број 90/09). Уследило је доношење Закона о потврђив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>ању Анекса бр. 1 Споразума („Службени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гласник РС - Међународни уговориˮ, број 9/13) и Закона о потврђив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>а</w:t>
      </w:r>
      <w:r w:rsidR="00C26ADF">
        <w:rPr>
          <w:rFonts w:ascii="Times New Roman" w:hAnsi="Times New Roman"/>
          <w:szCs w:val="24"/>
          <w:lang w:val="sr-Cyrl-CS" w:eastAsia="en-US"/>
        </w:rPr>
        <w:t>њу Анекса бр. 2 Споразума („Служ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>бени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гласник РС - Међународни уговориˮ, број 13/13). Циљ овог споразума је унапређење сарадње између две земље, на основу потписаних уговора са кинеским компанијама, као извођачима радова, у пројектима важних инфраструктурних пројеката у Републици Србији који се кредитно финансирају, пос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>редством Б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анке као овлашћене државне институције. 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Реализација пројекта изградње топловода од „Термоелектране Никола Тесла” у Обреновцу до топлане у Новом Београду, договорена је на основу Меморандума о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 xml:space="preserve"> разумевању који су, на основу Закључка Владе 05 Б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рој: 110-4863/2017 од 29. маја 2017. године, потписали Министарство рударства и енергетике, град Београд, ЈКП „Београдске електранеˮ и „Power Construction Corporation of China” 7. јуна 2017. године. 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Закључком Владе 05 Број: 312-11296/2017-2 од 20. новембра 2017. године, Влада је прихватила иницијативу града Београда да се у оквиру Споразума спроведе и пројекат изградње топлодалеко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>вода Обреновац -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Нови Београд, као пројекат из области енергетске инфраструктуре.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Одлуком Владе 05 Број</w:t>
      </w:r>
      <w:r w:rsidR="00113DD4" w:rsidRPr="00111049">
        <w:rPr>
          <w:rFonts w:ascii="Times New Roman" w:hAnsi="Times New Roman"/>
          <w:szCs w:val="24"/>
          <w:lang w:val="sr-Cyrl-CS" w:eastAsia="en-US"/>
        </w:rPr>
        <w:t>: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02-11295/2017 од 20. новембра 2017. године, 05 Број: 02-11422/2018-1 од 29. новембра 2018. године и 05 Број: 02-6709/2019 од 4. јула 2019. године образована је Радна група за праћење и реализацију пројекта изгр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>адње топлодалековода Обреновац -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Нови Београд (у даљем тексту: Радна група). 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lastRenderedPageBreak/>
        <w:t>Закључком Владе 05 Број: 337-11500/2017-2 од 24. новембра 2017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>. године, Влада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је прихватила текст Уговора о пројекту изградње топловода Обреновац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Нови Београд, између Јавног комуналног предузећа „Београдске електранеˮ, града Београда и „Power Construction Corporation of Chinаˮ, текст Белешке о појашњењу предлога извођача радова која је саставни део Уговора о пројекту изградње топловода Обреновац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Нови Београд, између Јавног комуналног предузећа „Београдске електранеˮ, града Београда и „Power Construction Corporation of Chinаˮ и текст Посебних услова Уговора (ПУУ) тачка (iii) кл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>аузуле 2. Уговорног споразума (</w:t>
      </w:r>
      <w:r w:rsidRPr="00111049">
        <w:rPr>
          <w:rFonts w:ascii="Times New Roman" w:hAnsi="Times New Roman"/>
          <w:szCs w:val="24"/>
          <w:lang w:val="sr-Cyrl-CS" w:eastAsia="en-US"/>
        </w:rPr>
        <w:t>у даљем тексту: Уговор), за пројекат изградње топловода Обреновац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="0047643A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Нови Београд, између Јавног комуналног предузећа „Београдске електранеˮ, града Београда и „Power Construction Corporation of Chinаˮ.  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Закључком Владе 05 Број: 48-1106/2019 од 7. фебруара 2019. године усвојен је Нацрт кредитне пријаве за купца код кинеске Export – Import банке за фина</w:t>
      </w:r>
      <w:r w:rsidR="00BF5EAE">
        <w:rPr>
          <w:rFonts w:ascii="Times New Roman" w:hAnsi="Times New Roman"/>
          <w:szCs w:val="24"/>
          <w:lang w:val="sr-Cyrl-CS" w:eastAsia="en-US"/>
        </w:rPr>
        <w:t>н</w:t>
      </w:r>
      <w:bookmarkStart w:id="0" w:name="_GoBack"/>
      <w:bookmarkEnd w:id="0"/>
      <w:r w:rsidRPr="00111049">
        <w:rPr>
          <w:rFonts w:ascii="Times New Roman" w:hAnsi="Times New Roman"/>
          <w:szCs w:val="24"/>
          <w:lang w:val="sr-Cyrl-CS" w:eastAsia="en-US"/>
        </w:rPr>
        <w:t xml:space="preserve">сирање наведеног пројекта, на основу чега је Министарство финансија – Управа за јавни дуг упутила Банци кредитну пријаву и пратећу документацију, у складу са којом је Банка проценила подобност овог пројекта за одобрење потребног зајма. У складу са политиком Банке, потребна кредитна средства су одобрена Републици Србији као зајам за уговарање страног пројекта о изградњи, уз полису осигурања кинеског Осигуравајућег друштва China Export &amp; Credit Insurance Corporation из Пекинга. 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Закључком Владе 05 Број: 337-6024/2019-2 од 21. јуна 2019. године прихваћен је Анекс I Уговора о пројекту изградње топловода Обреновац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 xml:space="preserve"> - </w:t>
      </w:r>
      <w:r w:rsidRPr="00111049">
        <w:rPr>
          <w:rFonts w:ascii="Times New Roman" w:hAnsi="Times New Roman"/>
          <w:szCs w:val="24"/>
          <w:lang w:val="sr-Cyrl-CS" w:eastAsia="en-US"/>
        </w:rPr>
        <w:t>Нови Београд, између Јавног комуналног предузећа „Бео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>градске електране”, г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рада Београда и „Power Construction Corporation of China” којим је извршена промена валутне клаузуле из УСД у ЕУР због повољнијих услова задуживања на финансијском тржишту, услед чега је измењена и цена из Уговора, првобитно изражена у валути УСД у износу 227.500.000,00 УСД </w:t>
      </w:r>
      <w:r w:rsidRPr="00111049">
        <w:rPr>
          <w:rFonts w:ascii="Times New Roman" w:hAnsi="Times New Roman"/>
          <w:iCs/>
          <w:szCs w:val="24"/>
          <w:lang w:val="sr-Cyrl-CS" w:eastAsia="en-US"/>
        </w:rPr>
        <w:t>(</w:t>
      </w:r>
      <w:r w:rsidR="00075802" w:rsidRPr="00111049">
        <w:rPr>
          <w:rFonts w:ascii="Times New Roman" w:hAnsi="Times New Roman"/>
          <w:iCs/>
          <w:szCs w:val="24"/>
          <w:lang w:val="sr-Cyrl-CS" w:eastAsia="en-US"/>
        </w:rPr>
        <w:t>словима: двестадвадесет</w:t>
      </w:r>
      <w:r w:rsidRPr="00111049">
        <w:rPr>
          <w:rFonts w:ascii="Times New Roman" w:hAnsi="Times New Roman"/>
          <w:iCs/>
          <w:szCs w:val="24"/>
          <w:lang w:val="sr-Cyrl-CS" w:eastAsia="en-US"/>
        </w:rPr>
        <w:t>седам</w:t>
      </w:r>
      <w:r w:rsidR="00075802" w:rsidRPr="00111049">
        <w:rPr>
          <w:rFonts w:ascii="Times New Roman" w:hAnsi="Times New Roman"/>
          <w:iCs/>
          <w:szCs w:val="24"/>
          <w:lang w:val="sr-Cyrl-CS" w:eastAsia="en-US"/>
        </w:rPr>
        <w:t>милионапетстотина</w:t>
      </w:r>
      <w:r w:rsidRPr="00111049">
        <w:rPr>
          <w:rFonts w:ascii="Times New Roman" w:hAnsi="Times New Roman"/>
          <w:iCs/>
          <w:szCs w:val="24"/>
          <w:lang w:val="sr-Cyrl-CS" w:eastAsia="en-US"/>
        </w:rPr>
        <w:t>хиљада америчких долара)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у валуту ЕУР и сада износи 193.748.000 ЕУР (</w:t>
      </w:r>
      <w:r w:rsidR="00075802" w:rsidRPr="00111049">
        <w:rPr>
          <w:rFonts w:ascii="Times New Roman" w:hAnsi="Times New Roman"/>
          <w:iCs/>
          <w:szCs w:val="24"/>
          <w:lang w:val="sr-Cyrl-CS" w:eastAsia="en-US"/>
        </w:rPr>
        <w:t>словима: сто деведесеттримилионаседамстотиначетрдесетосам</w:t>
      </w:r>
      <w:r w:rsidRPr="00111049">
        <w:rPr>
          <w:rFonts w:ascii="Times New Roman" w:hAnsi="Times New Roman"/>
          <w:iCs/>
          <w:szCs w:val="24"/>
          <w:lang w:val="sr-Cyrl-CS" w:eastAsia="en-US"/>
        </w:rPr>
        <w:t>хиљада евра).</w:t>
      </w:r>
      <w:r w:rsidRPr="00111049">
        <w:rPr>
          <w:rFonts w:ascii="Times New Roman" w:hAnsi="Times New Roman"/>
          <w:i/>
          <w:iCs/>
          <w:szCs w:val="24"/>
          <w:lang w:val="sr-Cyrl-CS" w:eastAsia="en-US"/>
        </w:rPr>
        <w:t xml:space="preserve"> 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 xml:space="preserve">Радна група је на састанку одржаном дана 24. децембра 2019. године, констатовала да је, с обзиром да планирана средства нису одобрена у року од 540 дана, Уговор аутоматски раскинут, те да је потребно започети поступак закључења новог уговора са истим одредбама и условима како је дефинисано и у претходном Уговору (уз уношење техничких измена).  </w:t>
      </w:r>
    </w:p>
    <w:p w:rsidR="005A723A" w:rsidRPr="00111049" w:rsidRDefault="005A723A" w:rsidP="005A723A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У складу са наведеним, било је неопходно приступити закључењу новог уговора са истим одредбама и условима као и претходни (уз уношење техничких измена), те је Влада Закључком 05 Број: 351-13173/2019-1 од 26. децембра 2019. године прихватила текст Уговора о пројекту изградње топловода Обреновац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Нови Београд, између Јавног комуналног предузећа „Београдске електранеˮ, града Београда и „Power Construction Corporation of Chinаˮ, текст Белешке о појашњењу предлога извођача радова која је саставни део Уговора о пројекту изградње топловода Обреновац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Нови Београд, између Јавног комуналног предузећа „Београдске електранеˮ, града Београда и „Power Construction Corporation of Chinаˮ и текст Посебних услова Уговора (ПУУ) тачка (iii) клаузуле 2. Уговорног споразума за пројекат изградње топловода Обреновац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Нови Београд, између Јавног комуналног предузећа „Београдске електранеˮ, града Београда и „Power Construction Corporation of Chinаˮ, односно Влада је прихватила нови уговор (са свим својим саставним деловима) за реализацију Пројекта чији услови битно не одступају од претх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>одног који је Влада прихватила З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акључком од 24. новембра 2017. године и 05 Број: 337-6024/2019-2 од 21. јуна 2019. године. </w:t>
      </w:r>
    </w:p>
    <w:p w:rsidR="005A723A" w:rsidRPr="00111049" w:rsidRDefault="005A723A" w:rsidP="00AF67A5">
      <w:pPr>
        <w:tabs>
          <w:tab w:val="left" w:pos="709"/>
        </w:tabs>
        <w:spacing w:line="240" w:lineRule="auto"/>
        <w:jc w:val="both"/>
        <w:rPr>
          <w:rFonts w:ascii="Times New Roman" w:hAnsi="Times New Roman"/>
          <w:szCs w:val="24"/>
          <w:lang w:val="sr-Cyrl-CS" w:eastAsia="en-US"/>
        </w:rPr>
      </w:pPr>
    </w:p>
    <w:p w:rsidR="00AA6051" w:rsidRPr="00111049" w:rsidRDefault="004C0812" w:rsidP="00AA6051">
      <w:pPr>
        <w:tabs>
          <w:tab w:val="left" w:pos="709"/>
        </w:tabs>
        <w:spacing w:line="240" w:lineRule="auto"/>
        <w:ind w:firstLine="72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lastRenderedPageBreak/>
        <w:t xml:space="preserve">Oснова за вођење преговора са 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>Б</w:t>
      </w:r>
      <w:r w:rsidRPr="00111049">
        <w:rPr>
          <w:rFonts w:ascii="Times New Roman" w:hAnsi="Times New Roman"/>
          <w:szCs w:val="24"/>
          <w:lang w:val="sr-Cyrl-CS" w:eastAsia="en-US"/>
        </w:rPr>
        <w:t>анком, у вези са одобравањем зајма за финансирање Пројекта изградње топловода Обреновац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 xml:space="preserve"> </w:t>
      </w:r>
      <w:r w:rsidRPr="00111049">
        <w:rPr>
          <w:rFonts w:ascii="Times New Roman" w:hAnsi="Times New Roman"/>
          <w:szCs w:val="24"/>
          <w:lang w:val="sr-Cyrl-CS" w:eastAsia="en-US"/>
        </w:rPr>
        <w:t>Нови Београд утврђена</w:t>
      </w:r>
      <w:r w:rsidR="00AA6051" w:rsidRPr="00111049">
        <w:rPr>
          <w:rFonts w:ascii="Times New Roman" w:hAnsi="Times New Roman"/>
          <w:szCs w:val="24"/>
          <w:lang w:val="sr-Cyrl-CS" w:eastAsia="en-US"/>
        </w:rPr>
        <w:t xml:space="preserve"> је Закључком  Владе 05 Број: 48-</w:t>
      </w:r>
      <w:r w:rsidRPr="00111049">
        <w:rPr>
          <w:rFonts w:ascii="Times New Roman" w:hAnsi="Times New Roman"/>
          <w:szCs w:val="24"/>
          <w:lang w:val="sr-Cyrl-CS" w:eastAsia="en-US"/>
        </w:rPr>
        <w:t>50</w:t>
      </w:r>
      <w:r w:rsidR="00C64833" w:rsidRPr="00111049">
        <w:rPr>
          <w:rFonts w:ascii="Times New Roman" w:hAnsi="Times New Roman"/>
          <w:szCs w:val="24"/>
          <w:lang w:val="sr-Cyrl-CS" w:eastAsia="en-US"/>
        </w:rPr>
        <w:t>/</w:t>
      </w:r>
      <w:r w:rsidR="00AA6051" w:rsidRPr="00111049">
        <w:rPr>
          <w:rFonts w:ascii="Times New Roman" w:hAnsi="Times New Roman"/>
          <w:szCs w:val="24"/>
          <w:lang w:val="sr-Cyrl-CS" w:eastAsia="en-US"/>
        </w:rPr>
        <w:t>20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20 </w:t>
      </w:r>
      <w:r w:rsidR="00C64833" w:rsidRPr="00111049">
        <w:rPr>
          <w:rFonts w:ascii="Times New Roman" w:hAnsi="Times New Roman"/>
          <w:szCs w:val="24"/>
          <w:lang w:val="sr-Cyrl-CS" w:eastAsia="en-US"/>
        </w:rPr>
        <w:t xml:space="preserve">од </w:t>
      </w:r>
      <w:r w:rsidRPr="00111049">
        <w:rPr>
          <w:rFonts w:ascii="Times New Roman" w:hAnsi="Times New Roman"/>
          <w:szCs w:val="24"/>
          <w:lang w:val="sr-Cyrl-CS" w:eastAsia="en-US"/>
        </w:rPr>
        <w:t>9</w:t>
      </w:r>
      <w:r w:rsidR="00C64833" w:rsidRPr="00111049">
        <w:rPr>
          <w:rFonts w:ascii="Times New Roman" w:hAnsi="Times New Roman"/>
          <w:szCs w:val="24"/>
          <w:lang w:val="sr-Cyrl-CS" w:eastAsia="en-US"/>
        </w:rPr>
        <w:t xml:space="preserve">. </w:t>
      </w:r>
      <w:r w:rsidRPr="00111049">
        <w:rPr>
          <w:rFonts w:ascii="Times New Roman" w:hAnsi="Times New Roman"/>
          <w:szCs w:val="24"/>
          <w:lang w:val="sr-Cyrl-CS" w:eastAsia="en-US"/>
        </w:rPr>
        <w:t>јануара</w:t>
      </w:r>
      <w:r w:rsidR="00A75CCC" w:rsidRPr="00111049">
        <w:rPr>
          <w:rFonts w:ascii="Times New Roman" w:hAnsi="Times New Roman"/>
          <w:szCs w:val="24"/>
          <w:lang w:val="sr-Cyrl-CS" w:eastAsia="en-US"/>
        </w:rPr>
        <w:t xml:space="preserve"> 20</w:t>
      </w:r>
      <w:r w:rsidRPr="00111049">
        <w:rPr>
          <w:rFonts w:ascii="Times New Roman" w:hAnsi="Times New Roman"/>
          <w:szCs w:val="24"/>
          <w:lang w:val="sr-Cyrl-CS" w:eastAsia="en-US"/>
        </w:rPr>
        <w:t>20</w:t>
      </w:r>
      <w:r w:rsidR="00AA6051" w:rsidRPr="00111049">
        <w:rPr>
          <w:rFonts w:ascii="Times New Roman" w:hAnsi="Times New Roman"/>
          <w:szCs w:val="24"/>
          <w:lang w:val="sr-Cyrl-CS" w:eastAsia="en-US"/>
        </w:rPr>
        <w:t>. године, којим је истовремено усвојен Нацрт споразума о зајму (</w:t>
      </w:r>
      <w:r w:rsidR="005A723A" w:rsidRPr="00111049">
        <w:rPr>
          <w:rFonts w:ascii="Times New Roman" w:hAnsi="Times New Roman"/>
          <w:szCs w:val="24"/>
          <w:lang w:val="sr-Cyrl-CS"/>
        </w:rPr>
        <w:t>Зајам за уговарање страног пројекта о изградњи) за Пројекат изградње топловода Обреновац - Нови Београд, између кинеске Export – Import банке, као зајмодавца и Републике Србије, коју заступа Влада Републике Србије поступајући преко Министарства финансија, као зајмопримца</w:t>
      </w:r>
      <w:r w:rsidR="00315E98" w:rsidRPr="00111049">
        <w:rPr>
          <w:rFonts w:ascii="Times New Roman" w:hAnsi="Times New Roman"/>
          <w:szCs w:val="24"/>
          <w:lang w:val="sr-Cyrl-CS" w:eastAsia="en-US"/>
        </w:rPr>
        <w:t xml:space="preserve">, </w:t>
      </w:r>
      <w:r w:rsidR="00AA6051" w:rsidRPr="00111049">
        <w:rPr>
          <w:rFonts w:ascii="Times New Roman" w:hAnsi="Times New Roman"/>
          <w:szCs w:val="24"/>
          <w:lang w:val="sr-Cyrl-CS" w:eastAsia="en-US"/>
        </w:rPr>
        <w:t xml:space="preserve">који је </w:t>
      </w:r>
      <w:r w:rsidR="00AA6051" w:rsidRPr="00111049">
        <w:rPr>
          <w:rFonts w:ascii="Times New Roman" w:hAnsi="Times New Roman"/>
          <w:szCs w:val="24"/>
          <w:lang w:val="sr-Cyrl-CS"/>
        </w:rPr>
        <w:t xml:space="preserve">потписан </w:t>
      </w:r>
      <w:r w:rsidR="005A723A" w:rsidRPr="00111049">
        <w:rPr>
          <w:rFonts w:ascii="Times New Roman" w:hAnsi="Times New Roman"/>
          <w:szCs w:val="24"/>
          <w:lang w:val="sr-Cyrl-CS"/>
        </w:rPr>
        <w:t>17</w:t>
      </w:r>
      <w:r w:rsidR="00AA6051" w:rsidRPr="00111049">
        <w:rPr>
          <w:rFonts w:ascii="Times New Roman" w:hAnsi="Times New Roman"/>
          <w:szCs w:val="24"/>
          <w:lang w:val="sr-Cyrl-CS"/>
        </w:rPr>
        <w:t xml:space="preserve">. </w:t>
      </w:r>
      <w:r w:rsidR="005A723A" w:rsidRPr="00111049">
        <w:rPr>
          <w:rFonts w:ascii="Times New Roman" w:hAnsi="Times New Roman"/>
          <w:szCs w:val="24"/>
          <w:lang w:val="sr-Cyrl-CS"/>
        </w:rPr>
        <w:t>јануара</w:t>
      </w:r>
      <w:r w:rsidR="00AA6051" w:rsidRPr="00111049">
        <w:rPr>
          <w:rFonts w:ascii="Times New Roman" w:hAnsi="Times New Roman"/>
          <w:szCs w:val="24"/>
          <w:lang w:val="sr-Cyrl-CS"/>
        </w:rPr>
        <w:t xml:space="preserve"> 20</w:t>
      </w:r>
      <w:r w:rsidR="005A723A" w:rsidRPr="00111049">
        <w:rPr>
          <w:rFonts w:ascii="Times New Roman" w:hAnsi="Times New Roman"/>
          <w:szCs w:val="24"/>
          <w:lang w:val="sr-Cyrl-CS"/>
        </w:rPr>
        <w:t>20</w:t>
      </w:r>
      <w:r w:rsidR="00AA6051" w:rsidRPr="00111049">
        <w:rPr>
          <w:rFonts w:ascii="Times New Roman" w:hAnsi="Times New Roman"/>
          <w:szCs w:val="24"/>
          <w:lang w:val="sr-Cyrl-CS"/>
        </w:rPr>
        <w:t xml:space="preserve">. године у Београду (потписник споразума у име Владе, као заступника Републике Србије, је </w:t>
      </w:r>
      <w:r w:rsidR="00A75CCC" w:rsidRPr="00111049">
        <w:rPr>
          <w:rFonts w:ascii="Times New Roman" w:hAnsi="Times New Roman"/>
          <w:szCs w:val="24"/>
          <w:lang w:val="sr-Cyrl-CS"/>
        </w:rPr>
        <w:t>Синиша Мали</w:t>
      </w:r>
      <w:r w:rsidR="00AA6051" w:rsidRPr="00111049">
        <w:rPr>
          <w:rFonts w:ascii="Times New Roman" w:hAnsi="Times New Roman"/>
          <w:szCs w:val="24"/>
          <w:lang w:val="sr-Cyrl-CS"/>
        </w:rPr>
        <w:t>, министар финансија).</w:t>
      </w:r>
      <w:r w:rsidR="00AA6051" w:rsidRPr="00111049">
        <w:rPr>
          <w:rFonts w:ascii="Times New Roman" w:hAnsi="Times New Roman"/>
          <w:szCs w:val="24"/>
          <w:lang w:val="sr-Cyrl-CS" w:eastAsia="en-US"/>
        </w:rPr>
        <w:t xml:space="preserve"> </w:t>
      </w:r>
    </w:p>
    <w:p w:rsidR="00254CC1" w:rsidRPr="00111049" w:rsidRDefault="00254CC1" w:rsidP="008E1154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 xml:space="preserve">У складу са </w:t>
      </w:r>
      <w:r w:rsidR="005A723A" w:rsidRPr="00111049">
        <w:rPr>
          <w:rFonts w:ascii="Times New Roman" w:hAnsi="Times New Roman"/>
          <w:szCs w:val="24"/>
          <w:lang w:val="sr-Cyrl-CS" w:eastAsia="en-US"/>
        </w:rPr>
        <w:t>напред наведеним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, </w:t>
      </w:r>
      <w:r w:rsidR="0092470E" w:rsidRPr="00111049">
        <w:rPr>
          <w:rFonts w:ascii="Times New Roman" w:hAnsi="Times New Roman"/>
          <w:szCs w:val="24"/>
          <w:lang w:val="sr-Cyrl-CS" w:eastAsia="en-US"/>
        </w:rPr>
        <w:t>договорени су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следећи финансијски услови: </w:t>
      </w:r>
    </w:p>
    <w:p w:rsidR="005A723A" w:rsidRPr="00111049" w:rsidRDefault="00075802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Pr="00111049">
        <w:rPr>
          <w:rFonts w:ascii="Times New Roman" w:hAnsi="Times New Roman"/>
          <w:szCs w:val="24"/>
          <w:lang w:val="sr-Cyrl-CS" w:eastAsia="en-US"/>
        </w:rPr>
        <w:tab/>
        <w:t>и</w:t>
      </w:r>
      <w:r w:rsidR="005A723A" w:rsidRPr="00111049">
        <w:rPr>
          <w:rFonts w:ascii="Times New Roman" w:hAnsi="Times New Roman"/>
          <w:szCs w:val="24"/>
          <w:lang w:val="sr-Cyrl-CS" w:eastAsia="en-US"/>
        </w:rPr>
        <w:t>знос крeдита:  164.685,800 ЕУР за финансирање 85% цене Уговора;</w:t>
      </w:r>
    </w:p>
    <w:p w:rsidR="005A723A" w:rsidRPr="00111049" w:rsidRDefault="005A723A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Pr="00111049">
        <w:rPr>
          <w:rFonts w:ascii="Times New Roman" w:hAnsi="Times New Roman"/>
          <w:szCs w:val="24"/>
          <w:lang w:val="sr-Cyrl-CS" w:eastAsia="en-US"/>
        </w:rPr>
        <w:tab/>
        <w:t>рок доспећа кредита: 15 година укључ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>ујући и период почека од три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године;</w:t>
      </w:r>
    </w:p>
    <w:p w:rsidR="005A723A" w:rsidRPr="00111049" w:rsidRDefault="005A723A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Pr="00111049">
        <w:rPr>
          <w:rFonts w:ascii="Times New Roman" w:hAnsi="Times New Roman"/>
          <w:szCs w:val="24"/>
          <w:lang w:val="sr-Cyrl-CS" w:eastAsia="en-US"/>
        </w:rPr>
        <w:tab/>
        <w:t>годишња каматна стопа: варијабилна 6M Euribor + фиксна маржа од 2,7% (Euribor ће се обрачунавати као 0 (нула), уколико је негативан);</w:t>
      </w:r>
    </w:p>
    <w:p w:rsidR="005A723A" w:rsidRPr="00111049" w:rsidRDefault="005A723A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Pr="00111049">
        <w:rPr>
          <w:rFonts w:ascii="Times New Roman" w:hAnsi="Times New Roman"/>
          <w:szCs w:val="24"/>
          <w:lang w:val="sr-Cyrl-CS" w:eastAsia="en-US"/>
        </w:rPr>
        <w:tab/>
        <w:t>зајмопримац: Република Србија, коју заступа Влада, поступајући преко Министарства финансија;</w:t>
      </w:r>
    </w:p>
    <w:p w:rsidR="005A723A" w:rsidRPr="00111049" w:rsidRDefault="00075802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Pr="00111049">
        <w:rPr>
          <w:rFonts w:ascii="Times New Roman" w:hAnsi="Times New Roman"/>
          <w:szCs w:val="24"/>
          <w:lang w:val="sr-Cyrl-CS" w:eastAsia="en-US"/>
        </w:rPr>
        <w:tab/>
        <w:t>п</w:t>
      </w:r>
      <w:r w:rsidR="005A723A" w:rsidRPr="00111049">
        <w:rPr>
          <w:rFonts w:ascii="Times New Roman" w:hAnsi="Times New Roman"/>
          <w:szCs w:val="24"/>
          <w:lang w:val="sr-Cyrl-CS" w:eastAsia="en-US"/>
        </w:rPr>
        <w:t>ровизија на неповучени део кредита: 0,5% годишње на неискоришћена кредитна средства;</w:t>
      </w:r>
    </w:p>
    <w:p w:rsidR="005A723A" w:rsidRPr="00111049" w:rsidRDefault="00075802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Pr="00111049">
        <w:rPr>
          <w:rFonts w:ascii="Times New Roman" w:hAnsi="Times New Roman"/>
          <w:szCs w:val="24"/>
          <w:lang w:val="sr-Cyrl-CS" w:eastAsia="en-US"/>
        </w:rPr>
        <w:tab/>
        <w:t>т</w:t>
      </w:r>
      <w:r w:rsidR="005A723A" w:rsidRPr="00111049">
        <w:rPr>
          <w:rFonts w:ascii="Times New Roman" w:hAnsi="Times New Roman"/>
          <w:szCs w:val="24"/>
          <w:lang w:val="sr-Cyrl-CS" w:eastAsia="en-US"/>
        </w:rPr>
        <w:t>рошкови обраде кредита: 0,5% од укупног износа кредита, што</w:t>
      </w:r>
      <w:r w:rsidRPr="00111049">
        <w:rPr>
          <w:rFonts w:ascii="Times New Roman" w:hAnsi="Times New Roman"/>
          <w:szCs w:val="24"/>
          <w:lang w:val="sr-Cyrl-CS" w:eastAsia="en-US"/>
        </w:rPr>
        <w:t xml:space="preserve"> износи 823.429 евра, која се Б</w:t>
      </w:r>
      <w:r w:rsidR="005A723A" w:rsidRPr="00111049">
        <w:rPr>
          <w:rFonts w:ascii="Times New Roman" w:hAnsi="Times New Roman"/>
          <w:szCs w:val="24"/>
          <w:lang w:val="sr-Cyrl-CS" w:eastAsia="en-US"/>
        </w:rPr>
        <w:t xml:space="preserve">анци плаћа </w:t>
      </w:r>
      <w:r w:rsidRPr="00111049">
        <w:rPr>
          <w:rFonts w:ascii="Times New Roman" w:hAnsi="Times New Roman"/>
          <w:szCs w:val="24"/>
          <w:lang w:val="sr-Cyrl-CS" w:eastAsia="en-US"/>
        </w:rPr>
        <w:t>једнократно, у року од 90 дана о</w:t>
      </w:r>
      <w:r w:rsidR="005A723A" w:rsidRPr="00111049">
        <w:rPr>
          <w:rFonts w:ascii="Times New Roman" w:hAnsi="Times New Roman"/>
          <w:szCs w:val="24"/>
          <w:lang w:val="sr-Cyrl-CS" w:eastAsia="en-US"/>
        </w:rPr>
        <w:t xml:space="preserve">д датума ступања на снагу споразума о зајму; </w:t>
      </w:r>
    </w:p>
    <w:p w:rsidR="005A723A" w:rsidRPr="00111049" w:rsidRDefault="005A723A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Pr="00111049">
        <w:rPr>
          <w:rFonts w:ascii="Times New Roman" w:hAnsi="Times New Roman"/>
          <w:szCs w:val="24"/>
          <w:lang w:val="sr-Cyrl-CS" w:eastAsia="en-US"/>
        </w:rPr>
        <w:tab/>
        <w:t xml:space="preserve">премија осигурања кредита у износу од 12.208.142,49 евра, која се плаћа у две једнаке годишње рате, од којих прва доспева након што споразум о зајму ступи на снагу, а друга након годину дана од датума плаћања прве рате; </w:t>
      </w:r>
    </w:p>
    <w:p w:rsidR="005A723A" w:rsidRPr="00111049" w:rsidRDefault="005A723A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Pr="00111049">
        <w:rPr>
          <w:rFonts w:ascii="Times New Roman" w:hAnsi="Times New Roman"/>
          <w:szCs w:val="24"/>
          <w:lang w:val="sr-Cyrl-CS" w:eastAsia="en-US"/>
        </w:rPr>
        <w:tab/>
        <w:t xml:space="preserve">власник/наручилац Пројекта: Јавно комунално предузеће „Београдске електранеˮ и/или град Београд, на које ће Република Србија у каснијој фази поступка, посебним уговором пренети одобрена средства на коришћење и прецизирати поделу права и обавеза 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>између свих учесника у Пројекту;</w:t>
      </w:r>
    </w:p>
    <w:p w:rsidR="005A723A" w:rsidRPr="00111049" w:rsidRDefault="005A723A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  <w:r w:rsidRPr="00111049">
        <w:rPr>
          <w:rFonts w:ascii="Times New Roman" w:hAnsi="Times New Roman"/>
          <w:szCs w:val="24"/>
          <w:lang w:val="sr-Cyrl-CS" w:eastAsia="en-US"/>
        </w:rPr>
        <w:t>-</w:t>
      </w:r>
      <w:r w:rsidRPr="00111049">
        <w:rPr>
          <w:rFonts w:ascii="Times New Roman" w:hAnsi="Times New Roman"/>
          <w:szCs w:val="24"/>
          <w:lang w:val="sr-Cyrl-CS" w:eastAsia="en-US"/>
        </w:rPr>
        <w:tab/>
        <w:t>извођач радова: „Power Con</w:t>
      </w:r>
      <w:r w:rsidR="00075802" w:rsidRPr="00111049">
        <w:rPr>
          <w:rFonts w:ascii="Times New Roman" w:hAnsi="Times New Roman"/>
          <w:szCs w:val="24"/>
          <w:lang w:val="sr-Cyrl-CS" w:eastAsia="en-US"/>
        </w:rPr>
        <w:t>struction Corporation of China”.</w:t>
      </w:r>
    </w:p>
    <w:p w:rsidR="005A723A" w:rsidRPr="00111049" w:rsidRDefault="005A723A" w:rsidP="005A723A">
      <w:pPr>
        <w:ind w:firstLine="630"/>
        <w:jc w:val="both"/>
        <w:rPr>
          <w:rFonts w:ascii="Times New Roman" w:hAnsi="Times New Roman"/>
          <w:szCs w:val="24"/>
          <w:lang w:val="sr-Cyrl-CS" w:eastAsia="en-US"/>
        </w:rPr>
      </w:pPr>
    </w:p>
    <w:p w:rsidR="00CF4EB1" w:rsidRPr="00111049" w:rsidRDefault="00CF4EB1" w:rsidP="00254CC1">
      <w:pPr>
        <w:ind w:firstLine="630"/>
        <w:jc w:val="both"/>
        <w:rPr>
          <w:rFonts w:ascii="Times New Roman" w:hAnsi="Times New Roman"/>
          <w:szCs w:val="24"/>
          <w:lang w:val="sr-Cyrl-CS"/>
        </w:rPr>
      </w:pPr>
      <w:r w:rsidRPr="00111049">
        <w:rPr>
          <w:rFonts w:ascii="Times New Roman" w:hAnsi="Times New Roman"/>
          <w:bCs/>
          <w:szCs w:val="24"/>
          <w:lang w:val="sr-Cyrl-CS"/>
        </w:rPr>
        <w:t>III. ОБЈАШЊЕЊЕ ОСНОВНИХ ПРАВНИХ ИНСТИТУТА И ПОЈЕДИНАЧНИХ РЕШЕЊА</w:t>
      </w:r>
    </w:p>
    <w:p w:rsidR="00CF4EB1" w:rsidRPr="00111049" w:rsidRDefault="00CF4EB1" w:rsidP="00CF4EB1">
      <w:pPr>
        <w:jc w:val="both"/>
        <w:rPr>
          <w:rFonts w:ascii="Times New Roman" w:hAnsi="Times New Roman"/>
          <w:szCs w:val="24"/>
          <w:highlight w:val="yellow"/>
          <w:lang w:val="sr-Cyrl-CS"/>
        </w:rPr>
      </w:pPr>
    </w:p>
    <w:p w:rsidR="00CF4EB1" w:rsidRPr="00111049" w:rsidRDefault="00CF4EB1" w:rsidP="00CF4EB1">
      <w:pPr>
        <w:ind w:firstLine="720"/>
        <w:jc w:val="both"/>
        <w:rPr>
          <w:rFonts w:ascii="Times New Roman" w:hAnsi="Times New Roman"/>
          <w:szCs w:val="24"/>
          <w:highlight w:val="yellow"/>
          <w:lang w:val="sr-Cyrl-CS"/>
        </w:rPr>
      </w:pPr>
      <w:r w:rsidRPr="00111049">
        <w:rPr>
          <w:rFonts w:ascii="Times New Roman" w:hAnsi="Times New Roman"/>
          <w:szCs w:val="24"/>
          <w:lang w:val="sr-Cyrl-CS"/>
        </w:rPr>
        <w:t xml:space="preserve">Одредбом члана 1. </w:t>
      </w:r>
      <w:r w:rsidR="00075802" w:rsidRPr="00111049">
        <w:rPr>
          <w:rFonts w:ascii="Times New Roman" w:hAnsi="Times New Roman"/>
          <w:szCs w:val="24"/>
          <w:lang w:val="sr-Cyrl-CS"/>
        </w:rPr>
        <w:t>Предлог</w:t>
      </w:r>
      <w:r w:rsidR="004E462B" w:rsidRPr="00111049">
        <w:rPr>
          <w:rFonts w:ascii="Times New Roman" w:hAnsi="Times New Roman"/>
          <w:szCs w:val="24"/>
          <w:lang w:val="sr-Cyrl-CS"/>
        </w:rPr>
        <w:t>а</w:t>
      </w:r>
      <w:r w:rsidRPr="00111049">
        <w:rPr>
          <w:rFonts w:ascii="Times New Roman" w:hAnsi="Times New Roman"/>
          <w:szCs w:val="24"/>
          <w:lang w:val="sr-Cyrl-CS"/>
        </w:rPr>
        <w:t xml:space="preserve"> закона предвиђа се потврђивање Споразума о зајму. </w:t>
      </w:r>
      <w:r w:rsidR="005B62C6" w:rsidRPr="00111049">
        <w:rPr>
          <w:rFonts w:ascii="Times New Roman" w:hAnsi="Times New Roman"/>
          <w:szCs w:val="24"/>
          <w:lang w:val="sr-Cyrl-CS"/>
        </w:rPr>
        <w:t xml:space="preserve"> </w:t>
      </w:r>
      <w:r w:rsidR="00825352" w:rsidRPr="00111049">
        <w:rPr>
          <w:rFonts w:ascii="Times New Roman" w:hAnsi="Times New Roman"/>
          <w:szCs w:val="24"/>
          <w:lang w:val="sr-Cyrl-CS"/>
        </w:rPr>
        <w:t xml:space="preserve"> </w:t>
      </w:r>
      <w:r w:rsidR="00505EC1" w:rsidRPr="00111049">
        <w:rPr>
          <w:rFonts w:ascii="Times New Roman" w:hAnsi="Times New Roman"/>
          <w:szCs w:val="24"/>
          <w:lang w:val="sr-Cyrl-CS"/>
        </w:rPr>
        <w:t xml:space="preserve"> </w:t>
      </w:r>
    </w:p>
    <w:p w:rsidR="00CF4EB1" w:rsidRPr="00111049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11049">
        <w:rPr>
          <w:rFonts w:ascii="Times New Roman" w:hAnsi="Times New Roman"/>
          <w:szCs w:val="24"/>
          <w:lang w:val="sr-Cyrl-CS"/>
        </w:rPr>
        <w:t xml:space="preserve">Одредба члана 2. </w:t>
      </w:r>
      <w:r w:rsidR="00075802" w:rsidRPr="00111049">
        <w:rPr>
          <w:rFonts w:ascii="Times New Roman" w:hAnsi="Times New Roman"/>
          <w:szCs w:val="24"/>
          <w:lang w:val="sr-Cyrl-CS"/>
        </w:rPr>
        <w:t>Предлог</w:t>
      </w:r>
      <w:r w:rsidR="004E462B" w:rsidRPr="00111049">
        <w:rPr>
          <w:rFonts w:ascii="Times New Roman" w:hAnsi="Times New Roman"/>
          <w:szCs w:val="24"/>
          <w:lang w:val="sr-Cyrl-CS"/>
        </w:rPr>
        <w:t>а</w:t>
      </w:r>
      <w:r w:rsidRPr="00111049">
        <w:rPr>
          <w:rFonts w:ascii="Times New Roman" w:hAnsi="Times New Roman"/>
          <w:szCs w:val="24"/>
          <w:lang w:val="sr-Cyrl-CS"/>
        </w:rPr>
        <w:t xml:space="preserve"> закона садржи текст Споразума о зајму у оригиналу на енглеском језику и у преводу на српски језик. </w:t>
      </w:r>
    </w:p>
    <w:p w:rsidR="00CF4EB1" w:rsidRPr="00111049" w:rsidRDefault="00CF4EB1" w:rsidP="00CF4EB1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111049">
        <w:rPr>
          <w:rFonts w:ascii="Times New Roman" w:hAnsi="Times New Roman"/>
          <w:szCs w:val="24"/>
          <w:lang w:val="sr-Cyrl-CS"/>
        </w:rPr>
        <w:t>Одредбом чла</w:t>
      </w:r>
      <w:r w:rsidR="00075802" w:rsidRPr="00111049">
        <w:rPr>
          <w:rFonts w:ascii="Times New Roman" w:hAnsi="Times New Roman"/>
          <w:szCs w:val="24"/>
          <w:lang w:val="sr-Cyrl-CS"/>
        </w:rPr>
        <w:t>на 3.</w:t>
      </w:r>
      <w:r w:rsidR="00AF67A5" w:rsidRPr="00111049">
        <w:rPr>
          <w:rFonts w:ascii="Times New Roman" w:hAnsi="Times New Roman"/>
          <w:szCs w:val="24"/>
          <w:lang w:val="sr-Cyrl-CS"/>
        </w:rPr>
        <w:t xml:space="preserve"> Предлога закона</w:t>
      </w:r>
      <w:r w:rsidRPr="00111049">
        <w:rPr>
          <w:rFonts w:ascii="Times New Roman" w:hAnsi="Times New Roman"/>
          <w:szCs w:val="24"/>
          <w:lang w:val="sr-Cyrl-CS"/>
        </w:rPr>
        <w:t xml:space="preserve"> уређује се ступање на снагу овог закона.  </w:t>
      </w:r>
    </w:p>
    <w:p w:rsidR="00CF4EB1" w:rsidRPr="00111049" w:rsidRDefault="00CF4EB1" w:rsidP="00CF4EB1">
      <w:pPr>
        <w:ind w:firstLine="708"/>
        <w:jc w:val="both"/>
        <w:rPr>
          <w:rFonts w:ascii="Times New Roman" w:hAnsi="Times New Roman"/>
          <w:szCs w:val="24"/>
          <w:lang w:val="sr-Cyrl-CS"/>
        </w:rPr>
      </w:pPr>
    </w:p>
    <w:p w:rsidR="00CF4EB1" w:rsidRPr="00111049" w:rsidRDefault="00CF4EB1" w:rsidP="00CF4EB1">
      <w:pPr>
        <w:pStyle w:val="BodyText"/>
        <w:tabs>
          <w:tab w:val="left" w:pos="0"/>
        </w:tabs>
        <w:rPr>
          <w:rFonts w:ascii="Times New Roman" w:hAnsi="Times New Roman"/>
          <w:color w:val="auto"/>
          <w:szCs w:val="24"/>
          <w:lang w:val="sr-Cyrl-CS"/>
        </w:rPr>
      </w:pPr>
      <w:r w:rsidRPr="00111049">
        <w:rPr>
          <w:rFonts w:ascii="Times New Roman" w:hAnsi="Times New Roman"/>
          <w:bCs/>
          <w:color w:val="auto"/>
          <w:szCs w:val="24"/>
          <w:lang w:val="sr-Cyrl-CS"/>
        </w:rPr>
        <w:tab/>
        <w:t xml:space="preserve">IV. </w:t>
      </w:r>
      <w:r w:rsidRPr="00111049">
        <w:rPr>
          <w:rFonts w:ascii="Times New Roman" w:hAnsi="Times New Roman"/>
          <w:color w:val="auto"/>
          <w:szCs w:val="24"/>
          <w:lang w:val="sr-Cyrl-CS"/>
        </w:rPr>
        <w:t xml:space="preserve">ФИНАНСИЈСКЕ ОБАВЕЗЕ И ПРОЦЕНА ФИНАНСИЈСКИХ СРЕДСТАВА КОЈА НАСТАЈУ ИЗВРШАВАЊЕМ ЗАКОНА    </w:t>
      </w:r>
      <w:r w:rsidRPr="00111049">
        <w:rPr>
          <w:rFonts w:ascii="Times New Roman" w:hAnsi="Times New Roman"/>
          <w:color w:val="auto"/>
          <w:szCs w:val="24"/>
          <w:lang w:val="sr-Cyrl-CS"/>
        </w:rPr>
        <w:tab/>
        <w:t xml:space="preserve"> </w:t>
      </w:r>
    </w:p>
    <w:p w:rsidR="00CF4EB1" w:rsidRPr="00111049" w:rsidRDefault="00CF4EB1" w:rsidP="00CF4EB1">
      <w:pPr>
        <w:ind w:firstLine="720"/>
        <w:jc w:val="both"/>
        <w:rPr>
          <w:rFonts w:ascii="Times New Roman" w:hAnsi="Times New Roman"/>
          <w:b/>
          <w:bCs/>
          <w:szCs w:val="24"/>
          <w:lang w:val="sr-Cyrl-CS"/>
        </w:rPr>
      </w:pPr>
    </w:p>
    <w:p w:rsidR="00CF4EB1" w:rsidRPr="00111049" w:rsidRDefault="00CF4EB1" w:rsidP="00CF4EB1">
      <w:pPr>
        <w:jc w:val="both"/>
        <w:rPr>
          <w:rFonts w:ascii="Times New Roman" w:hAnsi="Times New Roman"/>
          <w:szCs w:val="24"/>
          <w:lang w:val="sr-Cyrl-CS"/>
        </w:rPr>
      </w:pPr>
      <w:r w:rsidRPr="00111049">
        <w:rPr>
          <w:rFonts w:ascii="Times New Roman" w:hAnsi="Times New Roman"/>
          <w:szCs w:val="24"/>
          <w:lang w:val="sr-Cyrl-CS"/>
        </w:rPr>
        <w:t xml:space="preserve"> </w:t>
      </w:r>
      <w:r w:rsidRPr="00111049">
        <w:rPr>
          <w:rFonts w:ascii="Times New Roman" w:hAnsi="Times New Roman"/>
          <w:szCs w:val="24"/>
          <w:lang w:val="sr-Cyrl-CS"/>
        </w:rPr>
        <w:tab/>
        <w:t xml:space="preserve">За спровођење овог закона обезбеђиваће се средства у буџету Републике Србије. </w:t>
      </w:r>
    </w:p>
    <w:sectPr w:rsidR="00CF4EB1" w:rsidRPr="00111049" w:rsidSect="00D227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1913" w:h="16834" w:code="9"/>
      <w:pgMar w:top="426" w:right="1411" w:bottom="993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264" w:rsidRDefault="00A31264" w:rsidP="00E65142">
      <w:pPr>
        <w:spacing w:line="240" w:lineRule="auto"/>
      </w:pPr>
      <w:r>
        <w:separator/>
      </w:r>
    </w:p>
  </w:endnote>
  <w:endnote w:type="continuationSeparator" w:id="0">
    <w:p w:rsidR="00A31264" w:rsidRDefault="00A31264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E0" w:rsidRDefault="00B609E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E0" w:rsidRDefault="00B609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C3" w:rsidRDefault="00506D9D">
    <w:pPr>
      <w:pStyle w:val="Footer"/>
      <w:jc w:val="center"/>
    </w:pPr>
  </w:p>
  <w:p w:rsidR="00384EC3" w:rsidRDefault="00506D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264" w:rsidRDefault="00A31264" w:rsidP="00E65142">
      <w:pPr>
        <w:spacing w:line="240" w:lineRule="auto"/>
      </w:pPr>
      <w:r>
        <w:separator/>
      </w:r>
    </w:p>
  </w:footnote>
  <w:footnote w:type="continuationSeparator" w:id="0">
    <w:p w:rsidR="00A31264" w:rsidRDefault="00A31264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9E0" w:rsidRDefault="00B609E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977072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133D2F" w:rsidRPr="00B609E0" w:rsidRDefault="00AA4A42">
        <w:pPr>
          <w:pStyle w:val="Header"/>
          <w:jc w:val="center"/>
          <w:rPr>
            <w:rFonts w:ascii="Times New Roman" w:hAnsi="Times New Roman"/>
          </w:rPr>
        </w:pPr>
        <w:r w:rsidRPr="00B609E0">
          <w:rPr>
            <w:rFonts w:ascii="Times New Roman" w:hAnsi="Times New Roman"/>
          </w:rPr>
          <w:fldChar w:fldCharType="begin"/>
        </w:r>
        <w:r w:rsidR="002258F5" w:rsidRPr="00B609E0">
          <w:rPr>
            <w:rFonts w:ascii="Times New Roman" w:hAnsi="Times New Roman"/>
          </w:rPr>
          <w:instrText xml:space="preserve"> PAGE   \* MERGEFORMAT </w:instrText>
        </w:r>
        <w:r w:rsidRPr="00B609E0">
          <w:rPr>
            <w:rFonts w:ascii="Times New Roman" w:hAnsi="Times New Roman"/>
          </w:rPr>
          <w:fldChar w:fldCharType="separate"/>
        </w:r>
        <w:r w:rsidR="00506D9D">
          <w:rPr>
            <w:rFonts w:ascii="Times New Roman" w:hAnsi="Times New Roman"/>
            <w:noProof/>
          </w:rPr>
          <w:t>3</w:t>
        </w:r>
        <w:r w:rsidRPr="00B609E0">
          <w:rPr>
            <w:rFonts w:ascii="Times New Roman" w:hAnsi="Times New Roman"/>
            <w:noProof/>
          </w:rPr>
          <w:fldChar w:fldCharType="end"/>
        </w:r>
      </w:p>
    </w:sdtContent>
  </w:sdt>
  <w:p w:rsidR="00384EC3" w:rsidRPr="00E12214" w:rsidRDefault="00506D9D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C3" w:rsidRDefault="00506D9D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B1"/>
    <w:rsid w:val="00004F42"/>
    <w:rsid w:val="00032215"/>
    <w:rsid w:val="00032CCC"/>
    <w:rsid w:val="0004638A"/>
    <w:rsid w:val="00075802"/>
    <w:rsid w:val="0008575A"/>
    <w:rsid w:val="000B5708"/>
    <w:rsid w:val="000F5A42"/>
    <w:rsid w:val="000F6DD4"/>
    <w:rsid w:val="00105078"/>
    <w:rsid w:val="00111049"/>
    <w:rsid w:val="00113DD4"/>
    <w:rsid w:val="00114E85"/>
    <w:rsid w:val="00133D2F"/>
    <w:rsid w:val="00141403"/>
    <w:rsid w:val="0014452F"/>
    <w:rsid w:val="00170734"/>
    <w:rsid w:val="00187CCB"/>
    <w:rsid w:val="001E7341"/>
    <w:rsid w:val="001F4552"/>
    <w:rsid w:val="002258F5"/>
    <w:rsid w:val="002458EF"/>
    <w:rsid w:val="00254CC1"/>
    <w:rsid w:val="002A4CC3"/>
    <w:rsid w:val="002F3D61"/>
    <w:rsid w:val="002F4319"/>
    <w:rsid w:val="003043BF"/>
    <w:rsid w:val="00311F46"/>
    <w:rsid w:val="00315E98"/>
    <w:rsid w:val="003451B8"/>
    <w:rsid w:val="003612D3"/>
    <w:rsid w:val="003625EB"/>
    <w:rsid w:val="003C234D"/>
    <w:rsid w:val="003E1349"/>
    <w:rsid w:val="003E1D94"/>
    <w:rsid w:val="003F3210"/>
    <w:rsid w:val="00401255"/>
    <w:rsid w:val="004140B1"/>
    <w:rsid w:val="004562F9"/>
    <w:rsid w:val="004673B9"/>
    <w:rsid w:val="004734D9"/>
    <w:rsid w:val="0047643A"/>
    <w:rsid w:val="00492098"/>
    <w:rsid w:val="004969A5"/>
    <w:rsid w:val="004B0D47"/>
    <w:rsid w:val="004B2455"/>
    <w:rsid w:val="004C0812"/>
    <w:rsid w:val="004C67E8"/>
    <w:rsid w:val="004E462B"/>
    <w:rsid w:val="004F6F5B"/>
    <w:rsid w:val="00505EC1"/>
    <w:rsid w:val="00506D9D"/>
    <w:rsid w:val="00513EC9"/>
    <w:rsid w:val="00522267"/>
    <w:rsid w:val="00525C0E"/>
    <w:rsid w:val="00537F21"/>
    <w:rsid w:val="00540D90"/>
    <w:rsid w:val="0054220E"/>
    <w:rsid w:val="005540D5"/>
    <w:rsid w:val="005576B0"/>
    <w:rsid w:val="00561B4F"/>
    <w:rsid w:val="005A723A"/>
    <w:rsid w:val="005B62C6"/>
    <w:rsid w:val="005C022D"/>
    <w:rsid w:val="00600C7B"/>
    <w:rsid w:val="00631806"/>
    <w:rsid w:val="00633327"/>
    <w:rsid w:val="0063383A"/>
    <w:rsid w:val="00677955"/>
    <w:rsid w:val="006B7B1C"/>
    <w:rsid w:val="006C197E"/>
    <w:rsid w:val="006C6514"/>
    <w:rsid w:val="006E09A5"/>
    <w:rsid w:val="006F5E5A"/>
    <w:rsid w:val="007016DD"/>
    <w:rsid w:val="007068CE"/>
    <w:rsid w:val="0072685A"/>
    <w:rsid w:val="00740D5F"/>
    <w:rsid w:val="0074774E"/>
    <w:rsid w:val="007C3BC8"/>
    <w:rsid w:val="007C3CB4"/>
    <w:rsid w:val="00804F8A"/>
    <w:rsid w:val="00824A02"/>
    <w:rsid w:val="00825352"/>
    <w:rsid w:val="008366C0"/>
    <w:rsid w:val="00847B00"/>
    <w:rsid w:val="00877F65"/>
    <w:rsid w:val="00886370"/>
    <w:rsid w:val="008967A7"/>
    <w:rsid w:val="008B3155"/>
    <w:rsid w:val="008B7526"/>
    <w:rsid w:val="008C349A"/>
    <w:rsid w:val="008C534B"/>
    <w:rsid w:val="008D21B9"/>
    <w:rsid w:val="008D499B"/>
    <w:rsid w:val="008E1154"/>
    <w:rsid w:val="008E2417"/>
    <w:rsid w:val="008E7317"/>
    <w:rsid w:val="008F5D1A"/>
    <w:rsid w:val="0090120A"/>
    <w:rsid w:val="009056A1"/>
    <w:rsid w:val="0092470E"/>
    <w:rsid w:val="00933095"/>
    <w:rsid w:val="00945C29"/>
    <w:rsid w:val="009544E6"/>
    <w:rsid w:val="00963621"/>
    <w:rsid w:val="009A4FBA"/>
    <w:rsid w:val="00A112BA"/>
    <w:rsid w:val="00A31264"/>
    <w:rsid w:val="00A67625"/>
    <w:rsid w:val="00A75CCC"/>
    <w:rsid w:val="00AA4A42"/>
    <w:rsid w:val="00AA6051"/>
    <w:rsid w:val="00AA605A"/>
    <w:rsid w:val="00AA755C"/>
    <w:rsid w:val="00AE07BC"/>
    <w:rsid w:val="00AF67A5"/>
    <w:rsid w:val="00B0351F"/>
    <w:rsid w:val="00B06225"/>
    <w:rsid w:val="00B16010"/>
    <w:rsid w:val="00B17E1A"/>
    <w:rsid w:val="00B609E0"/>
    <w:rsid w:val="00B91557"/>
    <w:rsid w:val="00BF508C"/>
    <w:rsid w:val="00BF5EAE"/>
    <w:rsid w:val="00C03A02"/>
    <w:rsid w:val="00C13BBB"/>
    <w:rsid w:val="00C26ADF"/>
    <w:rsid w:val="00C26BE4"/>
    <w:rsid w:val="00C61643"/>
    <w:rsid w:val="00C64833"/>
    <w:rsid w:val="00C72384"/>
    <w:rsid w:val="00C82CE7"/>
    <w:rsid w:val="00C938F9"/>
    <w:rsid w:val="00CA038F"/>
    <w:rsid w:val="00CA1E6B"/>
    <w:rsid w:val="00CA3AA7"/>
    <w:rsid w:val="00CB5B6B"/>
    <w:rsid w:val="00CC3A26"/>
    <w:rsid w:val="00CF4EB1"/>
    <w:rsid w:val="00D15EA4"/>
    <w:rsid w:val="00D227ED"/>
    <w:rsid w:val="00D243BD"/>
    <w:rsid w:val="00D34928"/>
    <w:rsid w:val="00D60BC1"/>
    <w:rsid w:val="00D613BE"/>
    <w:rsid w:val="00D955B4"/>
    <w:rsid w:val="00DB2C5A"/>
    <w:rsid w:val="00DE1C18"/>
    <w:rsid w:val="00DF3578"/>
    <w:rsid w:val="00E012B8"/>
    <w:rsid w:val="00E52B2A"/>
    <w:rsid w:val="00E56329"/>
    <w:rsid w:val="00E64CF9"/>
    <w:rsid w:val="00E65142"/>
    <w:rsid w:val="00E739DA"/>
    <w:rsid w:val="00E7712E"/>
    <w:rsid w:val="00E81738"/>
    <w:rsid w:val="00E934B0"/>
    <w:rsid w:val="00E93A79"/>
    <w:rsid w:val="00EC02EF"/>
    <w:rsid w:val="00EE65A6"/>
    <w:rsid w:val="00F12FAA"/>
    <w:rsid w:val="00F228BF"/>
    <w:rsid w:val="00F25316"/>
    <w:rsid w:val="00F347E6"/>
    <w:rsid w:val="00F539F5"/>
    <w:rsid w:val="00F72DAA"/>
    <w:rsid w:val="00F7544C"/>
    <w:rsid w:val="00FC6B24"/>
    <w:rsid w:val="00FD154F"/>
    <w:rsid w:val="00FE4FF0"/>
    <w:rsid w:val="00FF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D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47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0D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0D47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Marija Gacanovic</cp:lastModifiedBy>
  <cp:revision>39</cp:revision>
  <cp:lastPrinted>2019-12-26T15:45:00Z</cp:lastPrinted>
  <dcterms:created xsi:type="dcterms:W3CDTF">2019-12-13T07:32:00Z</dcterms:created>
  <dcterms:modified xsi:type="dcterms:W3CDTF">2020-01-21T15:50:00Z</dcterms:modified>
</cp:coreProperties>
</file>