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EB1" w:rsidRPr="008B3155" w:rsidRDefault="00CF4EB1" w:rsidP="00CF4EB1">
      <w:pPr>
        <w:jc w:val="center"/>
        <w:outlineLvl w:val="0"/>
        <w:rPr>
          <w:rFonts w:ascii="Times New Roman" w:hAnsi="Times New Roman"/>
          <w:szCs w:val="24"/>
          <w:lang w:val="sr-Cyrl-CS"/>
        </w:rPr>
      </w:pPr>
      <w:r w:rsidRPr="008B3155">
        <w:rPr>
          <w:rFonts w:ascii="Times New Roman" w:hAnsi="Times New Roman"/>
          <w:szCs w:val="24"/>
          <w:lang w:val="sr-Cyrl-CS"/>
        </w:rPr>
        <w:t>О Б Р А З Л О Ж Е Њ Е</w:t>
      </w:r>
    </w:p>
    <w:p w:rsidR="00CF4EB1" w:rsidRPr="008B3155" w:rsidRDefault="00CF4EB1" w:rsidP="00CF4EB1">
      <w:pPr>
        <w:ind w:firstLine="720"/>
        <w:jc w:val="center"/>
        <w:rPr>
          <w:rFonts w:ascii="Times New Roman" w:hAnsi="Times New Roman"/>
          <w:szCs w:val="24"/>
          <w:lang w:val="sr-Cyrl-CS"/>
        </w:rPr>
      </w:pPr>
    </w:p>
    <w:p w:rsidR="00CF4EB1" w:rsidRPr="008B3155" w:rsidRDefault="00CF4EB1" w:rsidP="00517EA5">
      <w:pPr>
        <w:rPr>
          <w:rFonts w:ascii="Times New Roman" w:hAnsi="Times New Roman"/>
          <w:bCs/>
          <w:szCs w:val="24"/>
          <w:lang w:val="sr-Cyrl-CS"/>
        </w:rPr>
      </w:pPr>
      <w:r w:rsidRPr="008B3155">
        <w:rPr>
          <w:rFonts w:ascii="Times New Roman" w:hAnsi="Times New Roman"/>
          <w:bCs/>
          <w:szCs w:val="24"/>
          <w:lang w:val="sr-Cyrl-CS"/>
        </w:rPr>
        <w:t xml:space="preserve">I. </w:t>
      </w:r>
      <w:r w:rsidR="00517EA5">
        <w:rPr>
          <w:rFonts w:ascii="Times New Roman" w:hAnsi="Times New Roman"/>
          <w:bCs/>
          <w:szCs w:val="24"/>
          <w:lang w:val="sr-Cyrl-CS"/>
        </w:rPr>
        <w:tab/>
      </w:r>
      <w:r w:rsidRPr="008B3155">
        <w:rPr>
          <w:rFonts w:ascii="Times New Roman" w:hAnsi="Times New Roman"/>
          <w:bCs/>
          <w:szCs w:val="24"/>
          <w:lang w:val="sr-Cyrl-CS"/>
        </w:rPr>
        <w:t>УСТАВНИ ОСНОВ ЗА ДОНОШЕЊЕ ЗАКОНА</w:t>
      </w:r>
    </w:p>
    <w:p w:rsidR="00CF4EB1" w:rsidRPr="008B3155" w:rsidRDefault="00CF4EB1" w:rsidP="00CF4EB1">
      <w:pPr>
        <w:rPr>
          <w:rFonts w:ascii="Times New Roman" w:hAnsi="Times New Roman"/>
          <w:bCs/>
          <w:szCs w:val="24"/>
          <w:lang w:val="sr-Cyrl-CS"/>
        </w:rPr>
      </w:pPr>
    </w:p>
    <w:p w:rsidR="00CF4EB1" w:rsidRPr="008B3155" w:rsidRDefault="00CF4EB1" w:rsidP="00126B03">
      <w:pPr>
        <w:spacing w:line="240" w:lineRule="auto"/>
        <w:jc w:val="both"/>
        <w:rPr>
          <w:rFonts w:ascii="Times New Roman" w:hAnsi="Times New Roman"/>
          <w:szCs w:val="24"/>
          <w:lang w:val="sr-Cyrl-CS"/>
        </w:rPr>
      </w:pPr>
      <w:r w:rsidRPr="008B3155">
        <w:rPr>
          <w:rFonts w:ascii="Times New Roman" w:hAnsi="Times New Roman"/>
          <w:szCs w:val="24"/>
          <w:lang w:val="sr-Cyrl-CS"/>
        </w:rPr>
        <w:t xml:space="preserve"> </w:t>
      </w:r>
      <w:r w:rsidRPr="008B3155">
        <w:rPr>
          <w:rFonts w:ascii="Times New Roman" w:hAnsi="Times New Roman"/>
          <w:szCs w:val="24"/>
          <w:lang w:val="sr-Cyrl-CS"/>
        </w:rPr>
        <w:tab/>
        <w:t>Уставни основ за доношење овог закона садржан је у члану 99. став 1. тачка 4. Устава Републике Србије према коме Народна скупштина Републике Србије потврђује међународне уговоре када је законом предвиђена обавеза њиховог потврђивања.</w:t>
      </w:r>
    </w:p>
    <w:p w:rsidR="00CF4EB1" w:rsidRPr="008B3155" w:rsidRDefault="00CF4EB1" w:rsidP="00CF4EB1">
      <w:pPr>
        <w:jc w:val="both"/>
        <w:rPr>
          <w:rFonts w:ascii="Times New Roman" w:hAnsi="Times New Roman"/>
          <w:szCs w:val="24"/>
          <w:highlight w:val="yellow"/>
          <w:lang w:val="sr-Cyrl-CS"/>
        </w:rPr>
      </w:pPr>
      <w:r w:rsidRPr="008B3155">
        <w:rPr>
          <w:rFonts w:ascii="Times New Roman" w:hAnsi="Times New Roman"/>
          <w:szCs w:val="24"/>
          <w:highlight w:val="yellow"/>
          <w:lang w:val="sr-Cyrl-CS"/>
        </w:rPr>
        <w:t xml:space="preserve"> </w:t>
      </w:r>
    </w:p>
    <w:p w:rsidR="00187CCB" w:rsidRPr="008B3155" w:rsidRDefault="00187CCB" w:rsidP="00517EA5">
      <w:pPr>
        <w:spacing w:line="240" w:lineRule="auto"/>
        <w:jc w:val="both"/>
        <w:rPr>
          <w:rFonts w:ascii="Times New Roman" w:hAnsi="Times New Roman"/>
          <w:szCs w:val="24"/>
          <w:lang w:val="sr-Cyrl-CS" w:eastAsia="en-US"/>
        </w:rPr>
      </w:pPr>
      <w:r w:rsidRPr="008B3155">
        <w:rPr>
          <w:rFonts w:ascii="Times New Roman" w:hAnsi="Times New Roman"/>
          <w:bCs/>
          <w:szCs w:val="24"/>
          <w:lang w:val="sr-Cyrl-CS" w:eastAsia="en-US"/>
        </w:rPr>
        <w:t xml:space="preserve">II. </w:t>
      </w:r>
      <w:r w:rsidR="00517EA5">
        <w:rPr>
          <w:rFonts w:ascii="Times New Roman" w:hAnsi="Times New Roman"/>
          <w:bCs/>
          <w:szCs w:val="24"/>
          <w:lang w:val="sr-Cyrl-CS" w:eastAsia="en-US"/>
        </w:rPr>
        <w:tab/>
      </w:r>
      <w:r w:rsidRPr="008B3155">
        <w:rPr>
          <w:rFonts w:ascii="Times New Roman" w:hAnsi="Times New Roman"/>
          <w:bCs/>
          <w:szCs w:val="24"/>
          <w:lang w:val="sr-Cyrl-CS" w:eastAsia="en-US"/>
        </w:rPr>
        <w:t>РАЗЛОЗИ ЗА ПОТВРЂИВАЊЕ</w:t>
      </w:r>
      <w:r w:rsidR="00032215" w:rsidRPr="008B3155">
        <w:rPr>
          <w:rFonts w:ascii="Times New Roman" w:hAnsi="Times New Roman"/>
          <w:szCs w:val="24"/>
          <w:lang w:val="sr-Cyrl-CS"/>
        </w:rPr>
        <w:t xml:space="preserve"> </w:t>
      </w:r>
      <w:r w:rsidR="004B2455" w:rsidRPr="008B3155">
        <w:rPr>
          <w:rFonts w:ascii="Times New Roman" w:hAnsi="Times New Roman"/>
          <w:szCs w:val="24"/>
          <w:lang w:val="sr-Cyrl-CS"/>
        </w:rPr>
        <w:t>СПОРАЗУМА</w:t>
      </w:r>
    </w:p>
    <w:p w:rsidR="00CF4EB1" w:rsidRPr="008B3155" w:rsidRDefault="00CF4EB1" w:rsidP="00CF4EB1">
      <w:pPr>
        <w:ind w:firstLine="720"/>
        <w:jc w:val="both"/>
        <w:rPr>
          <w:rFonts w:ascii="Times New Roman" w:hAnsi="Times New Roman"/>
          <w:szCs w:val="24"/>
          <w:highlight w:val="yellow"/>
          <w:lang w:val="sr-Cyrl-CS"/>
        </w:rPr>
      </w:pPr>
    </w:p>
    <w:p w:rsidR="00187CCB" w:rsidRPr="00CB5B6B" w:rsidRDefault="00CF4EB1" w:rsidP="00126B03">
      <w:pPr>
        <w:spacing w:line="240" w:lineRule="auto"/>
        <w:ind w:firstLine="720"/>
        <w:jc w:val="both"/>
        <w:rPr>
          <w:rFonts w:ascii="Times New Roman" w:hAnsi="Times New Roman"/>
          <w:szCs w:val="24"/>
          <w:lang w:val="sr-Latn-RS"/>
        </w:rPr>
      </w:pPr>
      <w:r w:rsidRPr="008B3155">
        <w:rPr>
          <w:rFonts w:ascii="Times New Roman" w:hAnsi="Times New Roman"/>
          <w:szCs w:val="24"/>
          <w:lang w:val="sr-Cyrl-CS"/>
        </w:rPr>
        <w:t xml:space="preserve">Разлози за </w:t>
      </w:r>
      <w:r w:rsidR="00187CCB" w:rsidRPr="008B3155">
        <w:rPr>
          <w:rFonts w:ascii="Times New Roman" w:hAnsi="Times New Roman"/>
          <w:szCs w:val="24"/>
          <w:lang w:val="sr-Cyrl-CS"/>
        </w:rPr>
        <w:t>потврђивање</w:t>
      </w:r>
      <w:r w:rsidRPr="008B3155">
        <w:rPr>
          <w:rFonts w:ascii="Times New Roman" w:hAnsi="Times New Roman"/>
          <w:szCs w:val="24"/>
          <w:lang w:val="sr-Cyrl-CS"/>
        </w:rPr>
        <w:t xml:space="preserve"> Споразума о зајму (</w:t>
      </w:r>
      <w:r w:rsidR="00CB5B6B" w:rsidRPr="00CB5B6B">
        <w:rPr>
          <w:rFonts w:ascii="Times New Roman" w:hAnsi="Times New Roman"/>
          <w:szCs w:val="24"/>
          <w:lang w:val="sr-Cyrl-CS"/>
        </w:rPr>
        <w:t>Пројекат акцелерације иновација и подстицања раста предузетништва у Републици Србији</w:t>
      </w:r>
      <w:r w:rsidR="00537F21" w:rsidRPr="008B3155">
        <w:rPr>
          <w:rFonts w:ascii="Times New Roman" w:hAnsi="Times New Roman"/>
          <w:szCs w:val="24"/>
          <w:lang w:val="sr-Cyrl-CS"/>
        </w:rPr>
        <w:t>)</w:t>
      </w:r>
      <w:r w:rsidRPr="008B3155">
        <w:rPr>
          <w:rFonts w:ascii="Times New Roman" w:hAnsi="Times New Roman"/>
          <w:szCs w:val="24"/>
          <w:lang w:val="sr-Cyrl-CS"/>
        </w:rPr>
        <w:t xml:space="preserve"> између Републике Србије и Међународне банке за обнову и развој, који је потписан </w:t>
      </w:r>
      <w:r w:rsidR="00CB5B6B">
        <w:rPr>
          <w:rFonts w:ascii="Times New Roman" w:hAnsi="Times New Roman"/>
          <w:szCs w:val="24"/>
          <w:lang w:val="sr-Latn-RS"/>
        </w:rPr>
        <w:t>24</w:t>
      </w:r>
      <w:r w:rsidRPr="008B3155">
        <w:rPr>
          <w:rFonts w:ascii="Times New Roman" w:hAnsi="Times New Roman"/>
          <w:szCs w:val="24"/>
          <w:lang w:val="sr-Cyrl-CS"/>
        </w:rPr>
        <w:t xml:space="preserve">. </w:t>
      </w:r>
      <w:r w:rsidR="00E81738" w:rsidRPr="008B3155">
        <w:rPr>
          <w:rFonts w:ascii="Times New Roman" w:hAnsi="Times New Roman"/>
          <w:szCs w:val="24"/>
          <w:lang w:val="sr-Cyrl-CS"/>
        </w:rPr>
        <w:t>децембра</w:t>
      </w:r>
      <w:r w:rsidRPr="008B3155">
        <w:rPr>
          <w:rFonts w:ascii="Times New Roman" w:hAnsi="Times New Roman"/>
          <w:szCs w:val="24"/>
          <w:lang w:val="sr-Cyrl-CS"/>
        </w:rPr>
        <w:t xml:space="preserve"> 201</w:t>
      </w:r>
      <w:r w:rsidR="005540D5" w:rsidRPr="008B3155">
        <w:rPr>
          <w:rFonts w:ascii="Times New Roman" w:hAnsi="Times New Roman"/>
          <w:szCs w:val="24"/>
          <w:lang w:val="sr-Cyrl-CS"/>
        </w:rPr>
        <w:t>9</w:t>
      </w:r>
      <w:r w:rsidRPr="008B3155">
        <w:rPr>
          <w:rFonts w:ascii="Times New Roman" w:hAnsi="Times New Roman"/>
          <w:szCs w:val="24"/>
          <w:lang w:val="sr-Cyrl-CS"/>
        </w:rPr>
        <w:t xml:space="preserve">. године у Београду, </w:t>
      </w:r>
      <w:r w:rsidR="00187CCB" w:rsidRPr="008B3155">
        <w:rPr>
          <w:rFonts w:ascii="Times New Roman" w:hAnsi="Times New Roman"/>
          <w:szCs w:val="24"/>
          <w:lang w:val="sr-Cyrl-CS"/>
        </w:rPr>
        <w:t xml:space="preserve">садржани су у одредби члана 5. став 2. Закона о јавном дугу </w:t>
      </w:r>
      <w:r w:rsidR="00311F46" w:rsidRPr="008B3155">
        <w:rPr>
          <w:rFonts w:ascii="Times New Roman" w:hAnsi="Times New Roman"/>
          <w:szCs w:val="24"/>
          <w:lang w:val="sr-Cyrl-CS"/>
        </w:rPr>
        <w:t>(„Службени гласник РС”, бр</w:t>
      </w:r>
      <w:r w:rsidR="00352106">
        <w:rPr>
          <w:rFonts w:ascii="Times New Roman" w:hAnsi="Times New Roman"/>
          <w:szCs w:val="24"/>
          <w:lang w:val="sr-Cyrl-CS"/>
        </w:rPr>
        <w:t xml:space="preserve">. 61/05, 107/09, 78/11, 68/15, </w:t>
      </w:r>
      <w:r w:rsidR="00311F46" w:rsidRPr="008B3155">
        <w:rPr>
          <w:rFonts w:ascii="Times New Roman" w:hAnsi="Times New Roman"/>
          <w:szCs w:val="24"/>
          <w:lang w:val="sr-Cyrl-CS"/>
        </w:rPr>
        <w:t>95/18</w:t>
      </w:r>
      <w:r w:rsidR="00352106">
        <w:rPr>
          <w:rFonts w:ascii="Times New Roman" w:hAnsi="Times New Roman"/>
          <w:szCs w:val="24"/>
          <w:lang w:val="sr-Cyrl-RS"/>
        </w:rPr>
        <w:t xml:space="preserve"> и 91/19</w:t>
      </w:r>
      <w:r w:rsidR="00187CCB" w:rsidRPr="008B3155">
        <w:rPr>
          <w:rFonts w:ascii="Times New Roman" w:hAnsi="Times New Roman"/>
          <w:szCs w:val="24"/>
          <w:lang w:val="sr-Cyrl-CS"/>
        </w:rPr>
        <w:t xml:space="preserve">) према којој Народна скупштина одлучује о задуживању Републике Србије и одредби члана 14. став 1. Закона о закључивању и извршавању међународних уговора </w:t>
      </w:r>
      <w:r w:rsidR="00311F46" w:rsidRPr="008B3155">
        <w:rPr>
          <w:rFonts w:ascii="Times New Roman" w:hAnsi="Times New Roman"/>
          <w:szCs w:val="24"/>
          <w:lang w:val="sr-Cyrl-CS"/>
        </w:rPr>
        <w:t>(„Службени гласник РС”, број 32/13</w:t>
      </w:r>
      <w:r w:rsidR="00187CCB" w:rsidRPr="008B3155">
        <w:rPr>
          <w:rFonts w:ascii="Times New Roman" w:hAnsi="Times New Roman"/>
          <w:szCs w:val="24"/>
          <w:lang w:val="sr-Cyrl-CS"/>
        </w:rPr>
        <w:t>) према којој Народна скупштина, између осталог, потврђује уговоре којима се стварају финансијске обавезе за Републику Србију.</w:t>
      </w:r>
      <w:r w:rsidR="005540D5" w:rsidRPr="008B3155">
        <w:rPr>
          <w:rFonts w:ascii="Times New Roman" w:hAnsi="Times New Roman"/>
          <w:szCs w:val="24"/>
          <w:lang w:val="sr-Cyrl-CS"/>
        </w:rPr>
        <w:t xml:space="preserve"> </w:t>
      </w:r>
      <w:r w:rsidR="00B16010" w:rsidRPr="008B3155">
        <w:rPr>
          <w:rFonts w:ascii="Times New Roman" w:hAnsi="Times New Roman"/>
          <w:szCs w:val="24"/>
          <w:lang w:val="sr-Cyrl-CS"/>
        </w:rPr>
        <w:t xml:space="preserve"> </w:t>
      </w:r>
      <w:r w:rsidR="00E81738" w:rsidRPr="008B3155">
        <w:rPr>
          <w:rFonts w:ascii="Times New Roman" w:hAnsi="Times New Roman"/>
          <w:szCs w:val="24"/>
          <w:lang w:val="sr-Cyrl-CS"/>
        </w:rPr>
        <w:t xml:space="preserve"> </w:t>
      </w:r>
      <w:r w:rsidR="00CB5B6B">
        <w:rPr>
          <w:rFonts w:ascii="Times New Roman" w:hAnsi="Times New Roman"/>
          <w:szCs w:val="24"/>
          <w:lang w:val="sr-Latn-RS"/>
        </w:rPr>
        <w:t xml:space="preserve"> </w:t>
      </w:r>
    </w:p>
    <w:p w:rsidR="00537F21" w:rsidRPr="008B3155" w:rsidRDefault="005540D5" w:rsidP="00105078">
      <w:pPr>
        <w:tabs>
          <w:tab w:val="left" w:pos="709"/>
        </w:tabs>
        <w:spacing w:line="240" w:lineRule="auto"/>
        <w:ind w:firstLine="720"/>
        <w:jc w:val="both"/>
        <w:rPr>
          <w:rFonts w:ascii="Times New Roman" w:hAnsi="Times New Roman"/>
          <w:szCs w:val="24"/>
          <w:lang w:val="sr-Cyrl-CS" w:eastAsia="en-US"/>
        </w:rPr>
      </w:pPr>
      <w:r w:rsidRPr="008B3155">
        <w:rPr>
          <w:rFonts w:ascii="Times New Roman" w:hAnsi="Times New Roman"/>
          <w:szCs w:val="24"/>
          <w:lang w:val="sr-Cyrl-CS" w:eastAsia="en-US"/>
        </w:rPr>
        <w:t>Законом о буџету Републике Србије за 20</w:t>
      </w:r>
      <w:r w:rsidR="00E7712E" w:rsidRPr="008B3155">
        <w:rPr>
          <w:rFonts w:ascii="Times New Roman" w:hAnsi="Times New Roman"/>
          <w:szCs w:val="24"/>
          <w:lang w:val="sr-Cyrl-CS" w:eastAsia="en-US"/>
        </w:rPr>
        <w:t>19</w:t>
      </w:r>
      <w:r w:rsidRPr="008B3155">
        <w:rPr>
          <w:rFonts w:ascii="Times New Roman" w:hAnsi="Times New Roman"/>
          <w:szCs w:val="24"/>
          <w:lang w:val="sr-Cyrl-CS" w:eastAsia="en-US"/>
        </w:rPr>
        <w:t xml:space="preserve">. годину </w:t>
      </w:r>
      <w:r w:rsidR="00E7712E" w:rsidRPr="008B3155">
        <w:rPr>
          <w:rFonts w:ascii="Times New Roman" w:hAnsi="Times New Roman"/>
          <w:szCs w:val="24"/>
          <w:lang w:val="sr-Cyrl-CS" w:eastAsia="en-US"/>
        </w:rPr>
        <w:t>(„Службени гласник РС”, бр</w:t>
      </w:r>
      <w:r w:rsidR="00B609E0" w:rsidRPr="008B3155">
        <w:rPr>
          <w:rFonts w:ascii="Times New Roman" w:hAnsi="Times New Roman"/>
          <w:szCs w:val="24"/>
          <w:lang w:val="sr-Cyrl-CS" w:eastAsia="en-US"/>
        </w:rPr>
        <w:t>.</w:t>
      </w:r>
      <w:r w:rsidR="00E7712E" w:rsidRPr="008B3155">
        <w:rPr>
          <w:rFonts w:ascii="Times New Roman" w:hAnsi="Times New Roman"/>
          <w:szCs w:val="24"/>
          <w:lang w:val="sr-Cyrl-CS" w:eastAsia="en-US"/>
        </w:rPr>
        <w:t xml:space="preserve"> 95/18 и 72/19)</w:t>
      </w:r>
      <w:r w:rsidRPr="008B3155">
        <w:rPr>
          <w:rFonts w:ascii="Times New Roman" w:hAnsi="Times New Roman"/>
          <w:szCs w:val="24"/>
          <w:lang w:val="sr-Cyrl-CS" w:eastAsia="en-US"/>
        </w:rPr>
        <w:t xml:space="preserve"> у члану 3.Б. </w:t>
      </w:r>
      <w:r w:rsidR="00537F21" w:rsidRPr="008B3155">
        <w:rPr>
          <w:rFonts w:ascii="Times New Roman" w:hAnsi="Times New Roman"/>
          <w:szCs w:val="24"/>
          <w:lang w:val="sr-Cyrl-CS" w:eastAsia="en-US"/>
        </w:rPr>
        <w:t xml:space="preserve">предвиђено је задуживање код </w:t>
      </w:r>
      <w:r w:rsidR="00804F8A" w:rsidRPr="008B3155">
        <w:rPr>
          <w:rFonts w:ascii="Times New Roman" w:hAnsi="Times New Roman"/>
          <w:szCs w:val="24"/>
          <w:lang w:val="sr-Cyrl-CS" w:eastAsia="en-US"/>
        </w:rPr>
        <w:t xml:space="preserve">Међународне банке за обнову и развој за </w:t>
      </w:r>
      <w:r w:rsidR="00CB5B6B" w:rsidRPr="00CB5B6B">
        <w:rPr>
          <w:rFonts w:ascii="Times New Roman" w:hAnsi="Times New Roman"/>
          <w:szCs w:val="24"/>
          <w:lang w:val="sr-Cyrl-CS" w:eastAsia="en-US"/>
        </w:rPr>
        <w:t>Пројекат акцелерације иновација и подстицања раста предузетништва у Републици Србији</w:t>
      </w:r>
      <w:r w:rsidR="00804F8A" w:rsidRPr="008B3155">
        <w:rPr>
          <w:rFonts w:ascii="Times New Roman" w:hAnsi="Times New Roman"/>
          <w:szCs w:val="24"/>
          <w:lang w:val="sr-Cyrl-CS" w:eastAsia="en-US"/>
        </w:rPr>
        <w:t xml:space="preserve"> до </w:t>
      </w:r>
      <w:r w:rsidR="00CB5B6B">
        <w:rPr>
          <w:rFonts w:ascii="Times New Roman" w:hAnsi="Times New Roman"/>
          <w:szCs w:val="24"/>
          <w:lang w:val="sr-Latn-RS" w:eastAsia="en-US"/>
        </w:rPr>
        <w:t>48</w:t>
      </w:r>
      <w:r w:rsidR="00804F8A" w:rsidRPr="008B3155">
        <w:rPr>
          <w:rFonts w:ascii="Times New Roman" w:hAnsi="Times New Roman"/>
          <w:szCs w:val="24"/>
          <w:lang w:val="sr-Cyrl-CS" w:eastAsia="en-US"/>
        </w:rPr>
        <w:t xml:space="preserve">.000.000 </w:t>
      </w:r>
      <w:r w:rsidR="00B609E0" w:rsidRPr="008B3155">
        <w:rPr>
          <w:rFonts w:ascii="Times New Roman" w:hAnsi="Times New Roman"/>
          <w:szCs w:val="24"/>
          <w:lang w:val="sr-Cyrl-CS" w:eastAsia="en-US"/>
        </w:rPr>
        <w:t>USD</w:t>
      </w:r>
      <w:r w:rsidRPr="008B3155">
        <w:rPr>
          <w:rFonts w:ascii="Times New Roman" w:hAnsi="Times New Roman"/>
          <w:szCs w:val="24"/>
          <w:lang w:val="sr-Cyrl-CS" w:eastAsia="en-US"/>
        </w:rPr>
        <w:t xml:space="preserve">, што се односи на зајам који је био предмет преговора одржаних </w:t>
      </w:r>
      <w:r w:rsidR="00CB5B6B">
        <w:rPr>
          <w:rFonts w:ascii="Times New Roman" w:hAnsi="Times New Roman"/>
          <w:szCs w:val="24"/>
          <w:lang w:val="sr-Latn-RS" w:eastAsia="en-US"/>
        </w:rPr>
        <w:t>12</w:t>
      </w:r>
      <w:r w:rsidR="008E2417" w:rsidRPr="008B3155">
        <w:rPr>
          <w:rFonts w:ascii="Times New Roman" w:hAnsi="Times New Roman"/>
          <w:szCs w:val="24"/>
          <w:lang w:val="sr-Cyrl-CS" w:eastAsia="en-US"/>
        </w:rPr>
        <w:t xml:space="preserve">. </w:t>
      </w:r>
      <w:r w:rsidR="00CB5B6B">
        <w:rPr>
          <w:rFonts w:ascii="Times New Roman" w:hAnsi="Times New Roman"/>
          <w:szCs w:val="24"/>
          <w:lang w:val="sr-Cyrl-RS" w:eastAsia="en-US"/>
        </w:rPr>
        <w:t>новембра</w:t>
      </w:r>
      <w:r w:rsidR="00804F8A" w:rsidRPr="008B3155">
        <w:rPr>
          <w:rFonts w:ascii="Times New Roman" w:hAnsi="Times New Roman"/>
          <w:szCs w:val="24"/>
          <w:lang w:val="sr-Cyrl-CS" w:eastAsia="en-US"/>
        </w:rPr>
        <w:t xml:space="preserve"> 2019. године</w:t>
      </w:r>
      <w:r w:rsidRPr="008B3155">
        <w:rPr>
          <w:rFonts w:ascii="Times New Roman" w:hAnsi="Times New Roman"/>
          <w:szCs w:val="24"/>
          <w:lang w:val="sr-Cyrl-CS" w:eastAsia="en-US"/>
        </w:rPr>
        <w:t>, у Канцеларији Светске банке у Београду</w:t>
      </w:r>
      <w:r w:rsidR="00537F21" w:rsidRPr="008B3155">
        <w:rPr>
          <w:rFonts w:ascii="Times New Roman" w:hAnsi="Times New Roman"/>
          <w:szCs w:val="24"/>
          <w:lang w:val="sr-Cyrl-CS" w:eastAsia="en-US"/>
        </w:rPr>
        <w:t>.</w:t>
      </w:r>
      <w:r w:rsidRPr="008B3155">
        <w:rPr>
          <w:rFonts w:ascii="Times New Roman" w:hAnsi="Times New Roman"/>
          <w:szCs w:val="24"/>
          <w:lang w:val="sr-Cyrl-CS" w:eastAsia="en-US"/>
        </w:rPr>
        <w:t xml:space="preserve"> </w:t>
      </w:r>
    </w:p>
    <w:p w:rsidR="00C13BBB" w:rsidRPr="008B3155" w:rsidRDefault="00C13BBB" w:rsidP="00C13BBB">
      <w:pPr>
        <w:tabs>
          <w:tab w:val="left" w:pos="709"/>
        </w:tabs>
        <w:spacing w:line="240" w:lineRule="auto"/>
        <w:ind w:firstLine="720"/>
        <w:jc w:val="both"/>
        <w:rPr>
          <w:rFonts w:ascii="Times New Roman" w:hAnsi="Times New Roman"/>
          <w:szCs w:val="24"/>
          <w:lang w:val="sr-Cyrl-CS" w:eastAsia="en-US"/>
        </w:rPr>
      </w:pPr>
      <w:r w:rsidRPr="008B3155">
        <w:rPr>
          <w:rFonts w:ascii="Times New Roman" w:hAnsi="Times New Roman"/>
          <w:szCs w:val="24"/>
          <w:lang w:val="sr-Cyrl-CS" w:eastAsia="en-US"/>
        </w:rPr>
        <w:t>Закључком Владе 05 Број</w:t>
      </w:r>
      <w:r w:rsidRPr="00141403">
        <w:rPr>
          <w:rFonts w:ascii="Times New Roman" w:hAnsi="Times New Roman"/>
          <w:szCs w:val="24"/>
          <w:lang w:val="sr-Cyrl-CS" w:eastAsia="en-US"/>
        </w:rPr>
        <w:t>: 48-</w:t>
      </w:r>
      <w:r w:rsidR="00F25316" w:rsidRPr="00141403">
        <w:rPr>
          <w:rFonts w:ascii="Times New Roman" w:hAnsi="Times New Roman"/>
          <w:szCs w:val="24"/>
          <w:lang w:val="sr-Cyrl-CS" w:eastAsia="en-US"/>
        </w:rPr>
        <w:t>11054</w:t>
      </w:r>
      <w:r w:rsidR="008E2417" w:rsidRPr="00141403">
        <w:rPr>
          <w:rFonts w:ascii="Times New Roman" w:hAnsi="Times New Roman"/>
          <w:szCs w:val="24"/>
          <w:lang w:val="sr-Cyrl-CS" w:eastAsia="en-US"/>
        </w:rPr>
        <w:t>/2019</w:t>
      </w:r>
      <w:r w:rsidRPr="00141403">
        <w:rPr>
          <w:rFonts w:ascii="Times New Roman" w:hAnsi="Times New Roman"/>
          <w:szCs w:val="24"/>
          <w:lang w:val="sr-Cyrl-CS" w:eastAsia="en-US"/>
        </w:rPr>
        <w:t xml:space="preserve"> од </w:t>
      </w:r>
      <w:r w:rsidR="00F25316" w:rsidRPr="00141403">
        <w:rPr>
          <w:rFonts w:ascii="Times New Roman" w:hAnsi="Times New Roman"/>
          <w:szCs w:val="24"/>
          <w:lang w:val="sr-Cyrl-CS" w:eastAsia="en-US"/>
        </w:rPr>
        <w:t>7</w:t>
      </w:r>
      <w:r w:rsidRPr="00141403">
        <w:rPr>
          <w:rFonts w:ascii="Times New Roman" w:hAnsi="Times New Roman"/>
          <w:szCs w:val="24"/>
          <w:lang w:val="sr-Cyrl-CS" w:eastAsia="en-US"/>
        </w:rPr>
        <w:t xml:space="preserve">. </w:t>
      </w:r>
      <w:r w:rsidR="00F25316" w:rsidRPr="00141403">
        <w:rPr>
          <w:rFonts w:ascii="Times New Roman" w:hAnsi="Times New Roman"/>
          <w:szCs w:val="24"/>
          <w:lang w:val="sr-Cyrl-CS" w:eastAsia="en-US"/>
        </w:rPr>
        <w:t>новембра</w:t>
      </w:r>
      <w:r w:rsidRPr="00141403">
        <w:rPr>
          <w:rFonts w:ascii="Times New Roman" w:hAnsi="Times New Roman"/>
          <w:szCs w:val="24"/>
          <w:lang w:val="sr-Cyrl-CS" w:eastAsia="en-US"/>
        </w:rPr>
        <w:t xml:space="preserve"> 2019. године, утврђена је Oснова за преговоре са Међународном банком за обнову и развој и</w:t>
      </w:r>
      <w:r w:rsidRPr="008B3155">
        <w:rPr>
          <w:rFonts w:ascii="Times New Roman" w:hAnsi="Times New Roman"/>
          <w:szCs w:val="24"/>
          <w:lang w:val="sr-Cyrl-CS" w:eastAsia="en-US"/>
        </w:rPr>
        <w:t xml:space="preserve"> одређен преговарачки тим Републике Србије. </w:t>
      </w:r>
    </w:p>
    <w:p w:rsidR="00C13BBB" w:rsidRPr="008B3155" w:rsidRDefault="008E2417" w:rsidP="00C13BBB">
      <w:pPr>
        <w:tabs>
          <w:tab w:val="left" w:pos="709"/>
        </w:tabs>
        <w:spacing w:line="240" w:lineRule="auto"/>
        <w:ind w:firstLine="720"/>
        <w:jc w:val="both"/>
        <w:rPr>
          <w:rFonts w:ascii="Times New Roman" w:hAnsi="Times New Roman"/>
          <w:szCs w:val="24"/>
          <w:lang w:val="sr-Cyrl-CS" w:eastAsia="en-US"/>
        </w:rPr>
      </w:pPr>
      <w:r w:rsidRPr="008B3155">
        <w:rPr>
          <w:rFonts w:ascii="Times New Roman" w:hAnsi="Times New Roman"/>
          <w:szCs w:val="24"/>
          <w:lang w:val="sr-Cyrl-CS" w:eastAsia="en-US"/>
        </w:rPr>
        <w:t>На преговорима</w:t>
      </w:r>
      <w:r w:rsidR="00E934B0" w:rsidRPr="008B3155">
        <w:rPr>
          <w:rFonts w:ascii="Times New Roman" w:hAnsi="Times New Roman"/>
          <w:szCs w:val="24"/>
          <w:lang w:val="sr-Cyrl-CS" w:eastAsia="en-US"/>
        </w:rPr>
        <w:t xml:space="preserve"> утврђен</w:t>
      </w:r>
      <w:r w:rsidRPr="008B3155">
        <w:rPr>
          <w:rFonts w:ascii="Times New Roman" w:hAnsi="Times New Roman"/>
          <w:szCs w:val="24"/>
          <w:lang w:val="sr-Cyrl-CS" w:eastAsia="en-US"/>
        </w:rPr>
        <w:t xml:space="preserve"> је</w:t>
      </w:r>
      <w:r w:rsidR="00E934B0" w:rsidRPr="008B3155">
        <w:rPr>
          <w:rFonts w:ascii="Times New Roman" w:hAnsi="Times New Roman"/>
          <w:szCs w:val="24"/>
          <w:lang w:val="sr-Cyrl-CS" w:eastAsia="en-US"/>
        </w:rPr>
        <w:t xml:space="preserve"> коначан износ зајма изражен у </w:t>
      </w:r>
      <w:r w:rsidR="00CC3A26">
        <w:rPr>
          <w:rFonts w:ascii="Times New Roman" w:hAnsi="Times New Roman"/>
          <w:szCs w:val="24"/>
          <w:lang w:val="en-US" w:eastAsia="en-US"/>
        </w:rPr>
        <w:t xml:space="preserve">EUR </w:t>
      </w:r>
      <w:r w:rsidR="00E934B0" w:rsidRPr="008B3155">
        <w:rPr>
          <w:rFonts w:ascii="Times New Roman" w:hAnsi="Times New Roman"/>
          <w:szCs w:val="24"/>
          <w:lang w:val="sr-Cyrl-CS" w:eastAsia="en-US"/>
        </w:rPr>
        <w:t xml:space="preserve">противвредности, тако што је примењен курс </w:t>
      </w:r>
      <w:r w:rsidR="00CC3A26">
        <w:rPr>
          <w:rFonts w:ascii="Times New Roman" w:hAnsi="Times New Roman"/>
          <w:szCs w:val="24"/>
          <w:lang w:val="en-US" w:eastAsia="en-US"/>
        </w:rPr>
        <w:t xml:space="preserve">EUR </w:t>
      </w:r>
      <w:r w:rsidR="00E934B0" w:rsidRPr="008B3155">
        <w:rPr>
          <w:rFonts w:ascii="Times New Roman" w:hAnsi="Times New Roman"/>
          <w:szCs w:val="24"/>
          <w:lang w:val="sr-Cyrl-CS" w:eastAsia="en-US"/>
        </w:rPr>
        <w:t xml:space="preserve">према </w:t>
      </w:r>
      <w:r w:rsidR="008B7526">
        <w:rPr>
          <w:rFonts w:ascii="Times New Roman" w:hAnsi="Times New Roman"/>
          <w:szCs w:val="24"/>
          <w:lang w:val="en-US" w:eastAsia="en-US"/>
        </w:rPr>
        <w:t xml:space="preserve">USD </w:t>
      </w:r>
      <w:r w:rsidR="00E934B0" w:rsidRPr="008B3155">
        <w:rPr>
          <w:rFonts w:ascii="Times New Roman" w:hAnsi="Times New Roman"/>
          <w:szCs w:val="24"/>
          <w:lang w:val="sr-Cyrl-CS" w:eastAsia="en-US"/>
        </w:rPr>
        <w:t>(</w:t>
      </w:r>
      <w:r w:rsidR="00F25316" w:rsidRPr="00F25316">
        <w:rPr>
          <w:rFonts w:ascii="Times New Roman" w:hAnsi="Times New Roman"/>
          <w:szCs w:val="24"/>
          <w:lang w:val="sr-Cyrl-CS" w:eastAsia="en-US"/>
        </w:rPr>
        <w:t xml:space="preserve">0,8965 </w:t>
      </w:r>
      <w:r w:rsidR="00126B03">
        <w:rPr>
          <w:rFonts w:ascii="Times New Roman" w:hAnsi="Times New Roman"/>
          <w:szCs w:val="24"/>
          <w:lang w:val="sr-Latn-RS" w:eastAsia="en-US"/>
        </w:rPr>
        <w:t>USD</w:t>
      </w:r>
      <w:r w:rsidR="00804F8A" w:rsidRPr="008B3155">
        <w:rPr>
          <w:rFonts w:ascii="Times New Roman" w:hAnsi="Times New Roman"/>
          <w:szCs w:val="24"/>
          <w:lang w:val="sr-Cyrl-CS" w:eastAsia="en-US"/>
        </w:rPr>
        <w:t xml:space="preserve">:1 </w:t>
      </w:r>
      <w:r w:rsidR="00B609E0" w:rsidRPr="008B3155">
        <w:rPr>
          <w:rFonts w:ascii="Times New Roman" w:hAnsi="Times New Roman"/>
          <w:szCs w:val="24"/>
          <w:lang w:val="sr-Cyrl-CS" w:eastAsia="en-US"/>
        </w:rPr>
        <w:t>EUR</w:t>
      </w:r>
      <w:r w:rsidR="00804F8A" w:rsidRPr="008B3155">
        <w:rPr>
          <w:rFonts w:ascii="Times New Roman" w:hAnsi="Times New Roman"/>
          <w:szCs w:val="24"/>
          <w:lang w:val="sr-Cyrl-CS" w:eastAsia="en-US"/>
        </w:rPr>
        <w:t>) на дан 3</w:t>
      </w:r>
      <w:r w:rsidR="00F25316">
        <w:rPr>
          <w:rFonts w:ascii="Times New Roman" w:hAnsi="Times New Roman"/>
          <w:szCs w:val="24"/>
          <w:lang w:val="sr-Cyrl-CS" w:eastAsia="en-US"/>
        </w:rPr>
        <w:t>1</w:t>
      </w:r>
      <w:r w:rsidR="00804F8A" w:rsidRPr="008B3155">
        <w:rPr>
          <w:rFonts w:ascii="Times New Roman" w:hAnsi="Times New Roman"/>
          <w:szCs w:val="24"/>
          <w:lang w:val="sr-Cyrl-CS" w:eastAsia="en-US"/>
        </w:rPr>
        <w:t xml:space="preserve">. </w:t>
      </w:r>
      <w:r w:rsidR="00F25316">
        <w:rPr>
          <w:rFonts w:ascii="Times New Roman" w:hAnsi="Times New Roman"/>
          <w:szCs w:val="24"/>
          <w:lang w:val="sr-Cyrl-CS" w:eastAsia="en-US"/>
        </w:rPr>
        <w:t>октобар</w:t>
      </w:r>
      <w:r w:rsidR="00804F8A" w:rsidRPr="008B3155">
        <w:rPr>
          <w:rFonts w:ascii="Times New Roman" w:hAnsi="Times New Roman"/>
          <w:szCs w:val="24"/>
          <w:lang w:val="sr-Cyrl-CS" w:eastAsia="en-US"/>
        </w:rPr>
        <w:t xml:space="preserve"> 2019. године</w:t>
      </w:r>
      <w:r w:rsidR="00E934B0" w:rsidRPr="008B3155">
        <w:rPr>
          <w:rFonts w:ascii="Times New Roman" w:hAnsi="Times New Roman"/>
          <w:szCs w:val="24"/>
          <w:lang w:val="sr-Cyrl-CS" w:eastAsia="en-US"/>
        </w:rPr>
        <w:t xml:space="preserve">, односно на крају месеца који претходи месецу </w:t>
      </w:r>
      <w:r w:rsidR="00804F8A" w:rsidRPr="008B3155">
        <w:rPr>
          <w:rFonts w:ascii="Times New Roman" w:hAnsi="Times New Roman"/>
          <w:szCs w:val="24"/>
          <w:lang w:val="sr-Cyrl-CS" w:eastAsia="en-US"/>
        </w:rPr>
        <w:t>октобру</w:t>
      </w:r>
      <w:r w:rsidR="00E934B0" w:rsidRPr="008B3155">
        <w:rPr>
          <w:rFonts w:ascii="Times New Roman" w:hAnsi="Times New Roman"/>
          <w:szCs w:val="24"/>
          <w:lang w:val="sr-Cyrl-CS" w:eastAsia="en-US"/>
        </w:rPr>
        <w:t xml:space="preserve"> 2019. године, у којем су</w:t>
      </w:r>
      <w:r w:rsidR="00804F8A" w:rsidRPr="008B3155">
        <w:rPr>
          <w:rFonts w:ascii="Times New Roman" w:hAnsi="Times New Roman"/>
          <w:szCs w:val="24"/>
          <w:lang w:val="sr-Cyrl-CS" w:eastAsia="en-US"/>
        </w:rPr>
        <w:t xml:space="preserve"> преговори одржани, што износи </w:t>
      </w:r>
      <w:r w:rsidRPr="008B3155">
        <w:rPr>
          <w:rFonts w:ascii="Times New Roman" w:hAnsi="Times New Roman"/>
          <w:szCs w:val="24"/>
          <w:lang w:val="sr-Cyrl-CS" w:eastAsia="en-US"/>
        </w:rPr>
        <w:t>4</w:t>
      </w:r>
      <w:r w:rsidR="00F25316">
        <w:rPr>
          <w:rFonts w:ascii="Times New Roman" w:hAnsi="Times New Roman"/>
          <w:szCs w:val="24"/>
          <w:lang w:val="sr-Cyrl-CS" w:eastAsia="en-US"/>
        </w:rPr>
        <w:t>3.0</w:t>
      </w:r>
      <w:r w:rsidR="00E934B0" w:rsidRPr="008B3155">
        <w:rPr>
          <w:rFonts w:ascii="Times New Roman" w:hAnsi="Times New Roman"/>
          <w:szCs w:val="24"/>
          <w:lang w:val="sr-Cyrl-CS" w:eastAsia="en-US"/>
        </w:rPr>
        <w:t>00.000</w:t>
      </w:r>
      <w:r w:rsidR="00631806" w:rsidRPr="00631806">
        <w:rPr>
          <w:rFonts w:ascii="Times New Roman" w:hAnsi="Times New Roman"/>
          <w:szCs w:val="24"/>
          <w:lang w:val="en-US" w:eastAsia="en-US"/>
        </w:rPr>
        <w:t xml:space="preserve"> </w:t>
      </w:r>
      <w:r w:rsidR="00631806">
        <w:rPr>
          <w:rFonts w:ascii="Times New Roman" w:hAnsi="Times New Roman"/>
          <w:szCs w:val="24"/>
          <w:lang w:val="en-US" w:eastAsia="en-US"/>
        </w:rPr>
        <w:t>EUR</w:t>
      </w:r>
      <w:r w:rsidR="00E934B0" w:rsidRPr="008B3155">
        <w:rPr>
          <w:rFonts w:ascii="Times New Roman" w:hAnsi="Times New Roman"/>
          <w:szCs w:val="24"/>
          <w:lang w:val="sr-Cyrl-CS" w:eastAsia="en-US"/>
        </w:rPr>
        <w:t>.</w:t>
      </w:r>
      <w:r w:rsidR="00C13BBB" w:rsidRPr="008B3155">
        <w:rPr>
          <w:rFonts w:ascii="Times New Roman" w:hAnsi="Times New Roman"/>
          <w:szCs w:val="24"/>
          <w:lang w:val="sr-Cyrl-CS" w:eastAsia="en-US"/>
        </w:rPr>
        <w:t xml:space="preserve"> </w:t>
      </w:r>
    </w:p>
    <w:p w:rsidR="00C13BBB" w:rsidRPr="008B3155" w:rsidRDefault="008E2417" w:rsidP="00C13BBB">
      <w:pPr>
        <w:tabs>
          <w:tab w:val="left" w:pos="709"/>
        </w:tabs>
        <w:spacing w:line="240" w:lineRule="auto"/>
        <w:ind w:firstLine="720"/>
        <w:jc w:val="both"/>
        <w:rPr>
          <w:rFonts w:ascii="Times New Roman" w:hAnsi="Times New Roman"/>
          <w:szCs w:val="24"/>
          <w:lang w:val="sr-Cyrl-CS" w:eastAsia="en-US"/>
        </w:rPr>
      </w:pPr>
      <w:r w:rsidRPr="008B3155">
        <w:rPr>
          <w:rFonts w:ascii="Times New Roman" w:hAnsi="Times New Roman"/>
          <w:szCs w:val="24"/>
          <w:lang w:val="sr-Cyrl-CS" w:eastAsia="en-US"/>
        </w:rPr>
        <w:t>Том приликом</w:t>
      </w:r>
      <w:r w:rsidR="00C13BBB" w:rsidRPr="008B3155">
        <w:rPr>
          <w:rFonts w:ascii="Times New Roman" w:hAnsi="Times New Roman"/>
          <w:szCs w:val="24"/>
          <w:lang w:val="sr-Cyrl-CS" w:eastAsia="en-US"/>
        </w:rPr>
        <w:t xml:space="preserve"> стране </w:t>
      </w:r>
      <w:r w:rsidRPr="008B3155">
        <w:rPr>
          <w:rFonts w:ascii="Times New Roman" w:hAnsi="Times New Roman"/>
          <w:szCs w:val="24"/>
          <w:lang w:val="sr-Cyrl-CS" w:eastAsia="en-US"/>
        </w:rPr>
        <w:t xml:space="preserve">су </w:t>
      </w:r>
      <w:r w:rsidR="00C13BBB" w:rsidRPr="008B3155">
        <w:rPr>
          <w:rFonts w:ascii="Times New Roman" w:hAnsi="Times New Roman"/>
          <w:szCs w:val="24"/>
          <w:lang w:val="sr-Cyrl-CS" w:eastAsia="en-US"/>
        </w:rPr>
        <w:t xml:space="preserve">договориле услове и начин коришћења зајма у износу од </w:t>
      </w:r>
      <w:r w:rsidR="00847B00" w:rsidRPr="008B3155">
        <w:rPr>
          <w:rFonts w:ascii="Times New Roman" w:hAnsi="Times New Roman"/>
          <w:szCs w:val="24"/>
          <w:lang w:val="sr-Cyrl-CS" w:eastAsia="en-US"/>
        </w:rPr>
        <w:t>4</w:t>
      </w:r>
      <w:r w:rsidR="00847B00">
        <w:rPr>
          <w:rFonts w:ascii="Times New Roman" w:hAnsi="Times New Roman"/>
          <w:szCs w:val="24"/>
          <w:lang w:val="sr-Cyrl-CS" w:eastAsia="en-US"/>
        </w:rPr>
        <w:t>3.0</w:t>
      </w:r>
      <w:r w:rsidR="00847B00" w:rsidRPr="008B3155">
        <w:rPr>
          <w:rFonts w:ascii="Times New Roman" w:hAnsi="Times New Roman"/>
          <w:szCs w:val="24"/>
          <w:lang w:val="sr-Cyrl-CS" w:eastAsia="en-US"/>
        </w:rPr>
        <w:t>00.000</w:t>
      </w:r>
      <w:r w:rsidRPr="008B3155">
        <w:rPr>
          <w:rFonts w:ascii="Times New Roman" w:hAnsi="Times New Roman"/>
          <w:szCs w:val="24"/>
          <w:lang w:val="sr-Cyrl-CS" w:eastAsia="en-US"/>
        </w:rPr>
        <w:t xml:space="preserve"> </w:t>
      </w:r>
      <w:r w:rsidR="00401255">
        <w:rPr>
          <w:rFonts w:ascii="Times New Roman" w:hAnsi="Times New Roman"/>
          <w:szCs w:val="24"/>
          <w:lang w:val="en-US" w:eastAsia="en-US"/>
        </w:rPr>
        <w:t xml:space="preserve">EUR </w:t>
      </w:r>
      <w:r w:rsidR="00C13BBB" w:rsidRPr="008B3155">
        <w:rPr>
          <w:rFonts w:ascii="Times New Roman" w:hAnsi="Times New Roman"/>
          <w:szCs w:val="24"/>
          <w:lang w:val="sr-Cyrl-CS" w:eastAsia="en-US"/>
        </w:rPr>
        <w:t>и усагласиле одредбе Споразума о зајму (</w:t>
      </w:r>
      <w:r w:rsidR="00847B00" w:rsidRPr="00847B00">
        <w:rPr>
          <w:rFonts w:ascii="Times New Roman" w:hAnsi="Times New Roman"/>
          <w:szCs w:val="24"/>
          <w:lang w:val="sr-Cyrl-CS" w:eastAsia="en-US"/>
        </w:rPr>
        <w:t>Пројекат акцелерације иновација и подстицања раста предузетништва у Републици Србији</w:t>
      </w:r>
      <w:r w:rsidR="00C13BBB" w:rsidRPr="008B3155">
        <w:rPr>
          <w:rFonts w:ascii="Times New Roman" w:hAnsi="Times New Roman"/>
          <w:szCs w:val="24"/>
          <w:lang w:val="sr-Cyrl-CS" w:eastAsia="en-US"/>
        </w:rPr>
        <w:t xml:space="preserve">) између Републике Србије и Међународне банке за обнову и развој (у даљем тексту: Споразум о зајму), чије је потврђивање предмет овог закона. </w:t>
      </w:r>
      <w:r w:rsidRPr="008B3155">
        <w:rPr>
          <w:rFonts w:ascii="Times New Roman" w:hAnsi="Times New Roman"/>
          <w:szCs w:val="24"/>
          <w:lang w:val="sr-Cyrl-CS" w:eastAsia="en-US"/>
        </w:rPr>
        <w:t xml:space="preserve"> </w:t>
      </w:r>
    </w:p>
    <w:p w:rsidR="00F539F5" w:rsidRPr="008B3155" w:rsidRDefault="00C13BBB" w:rsidP="00C13BBB">
      <w:pPr>
        <w:tabs>
          <w:tab w:val="left" w:pos="709"/>
        </w:tabs>
        <w:spacing w:line="240" w:lineRule="auto"/>
        <w:ind w:firstLine="720"/>
        <w:jc w:val="both"/>
        <w:rPr>
          <w:rFonts w:ascii="Times New Roman" w:hAnsi="Times New Roman"/>
          <w:szCs w:val="24"/>
          <w:lang w:val="sr-Cyrl-CS" w:eastAsia="en-US"/>
        </w:rPr>
      </w:pPr>
      <w:r w:rsidRPr="006B7B1C">
        <w:rPr>
          <w:rFonts w:ascii="Times New Roman" w:hAnsi="Times New Roman"/>
          <w:szCs w:val="24"/>
          <w:lang w:val="sr-Cyrl-CS" w:eastAsia="en-US"/>
        </w:rPr>
        <w:t xml:space="preserve">Споразум о зајму </w:t>
      </w:r>
      <w:r w:rsidR="00824A02" w:rsidRPr="006B7B1C">
        <w:rPr>
          <w:rFonts w:ascii="Times New Roman" w:hAnsi="Times New Roman"/>
          <w:szCs w:val="24"/>
          <w:lang w:val="sr-Cyrl-CS" w:eastAsia="en-US"/>
        </w:rPr>
        <w:t xml:space="preserve">у износу од </w:t>
      </w:r>
      <w:r w:rsidR="00847B00" w:rsidRPr="006B7B1C">
        <w:rPr>
          <w:rFonts w:ascii="Times New Roman" w:hAnsi="Times New Roman"/>
          <w:szCs w:val="24"/>
          <w:lang w:val="sr-Cyrl-CS" w:eastAsia="en-US"/>
        </w:rPr>
        <w:t>43.000.000</w:t>
      </w:r>
      <w:r w:rsidR="00401255" w:rsidRPr="006B7B1C">
        <w:rPr>
          <w:rFonts w:ascii="Times New Roman" w:hAnsi="Times New Roman"/>
          <w:szCs w:val="24"/>
          <w:lang w:val="en-US" w:eastAsia="en-US"/>
        </w:rPr>
        <w:t xml:space="preserve"> EUR</w:t>
      </w:r>
      <w:r w:rsidR="00824A02" w:rsidRPr="006B7B1C">
        <w:rPr>
          <w:rFonts w:ascii="Times New Roman" w:hAnsi="Times New Roman"/>
          <w:szCs w:val="24"/>
          <w:lang w:val="sr-Cyrl-CS" w:eastAsia="en-US"/>
        </w:rPr>
        <w:t xml:space="preserve"> који је Међународна банка за обнову и развој одобрила Републици Србији за </w:t>
      </w:r>
      <w:r w:rsidR="00847B00" w:rsidRPr="006B7B1C">
        <w:rPr>
          <w:rFonts w:ascii="Times New Roman" w:hAnsi="Times New Roman"/>
          <w:szCs w:val="24"/>
          <w:lang w:val="sr-Cyrl-CS" w:eastAsia="en-US"/>
        </w:rPr>
        <w:t>Пројекат акцелерације иновација и подстицања раста предузетништва у Републици Србији</w:t>
      </w:r>
      <w:r w:rsidR="00824A02" w:rsidRPr="006B7B1C">
        <w:rPr>
          <w:rFonts w:ascii="Times New Roman" w:hAnsi="Times New Roman"/>
          <w:szCs w:val="24"/>
          <w:lang w:val="sr-Cyrl-CS" w:eastAsia="en-US"/>
        </w:rPr>
        <w:t xml:space="preserve"> (у даљем текс</w:t>
      </w:r>
      <w:r w:rsidR="00401255" w:rsidRPr="006B7B1C">
        <w:rPr>
          <w:rFonts w:ascii="Times New Roman" w:hAnsi="Times New Roman"/>
          <w:szCs w:val="24"/>
          <w:lang w:val="sr-Cyrl-RS" w:eastAsia="en-US"/>
        </w:rPr>
        <w:t>т</w:t>
      </w:r>
      <w:r w:rsidR="00824A02" w:rsidRPr="006B7B1C">
        <w:rPr>
          <w:rFonts w:ascii="Times New Roman" w:hAnsi="Times New Roman"/>
          <w:szCs w:val="24"/>
          <w:lang w:val="sr-Cyrl-CS" w:eastAsia="en-US"/>
        </w:rPr>
        <w:t xml:space="preserve">у: Пројекат) </w:t>
      </w:r>
      <w:r w:rsidR="008E2417" w:rsidRPr="006B7B1C">
        <w:rPr>
          <w:rFonts w:ascii="Times New Roman" w:hAnsi="Times New Roman"/>
          <w:szCs w:val="24"/>
          <w:lang w:val="sr-Cyrl-CS" w:eastAsia="en-US"/>
        </w:rPr>
        <w:t xml:space="preserve">има за циљ </w:t>
      </w:r>
      <w:r w:rsidR="00141403" w:rsidRPr="006B7B1C">
        <w:rPr>
          <w:rFonts w:ascii="Times New Roman" w:hAnsi="Times New Roman"/>
          <w:szCs w:val="24"/>
          <w:lang w:val="sr-Cyrl-CS" w:eastAsia="en-US"/>
        </w:rPr>
        <w:t>унапређење релевантности и изврсности научног истраживања, и иновативног предузетништва и приступа финансирању у циљу раста предузећа, као начин давања доприноса расту и конкурентности Републике Србије</w:t>
      </w:r>
      <w:r w:rsidR="008E2417" w:rsidRPr="006B7B1C">
        <w:rPr>
          <w:rFonts w:ascii="Times New Roman" w:hAnsi="Times New Roman"/>
          <w:szCs w:val="24"/>
          <w:lang w:val="sr-Cyrl-CS" w:eastAsia="en-US"/>
        </w:rPr>
        <w:t>.</w:t>
      </w:r>
      <w:r w:rsidR="00847B00">
        <w:rPr>
          <w:rFonts w:ascii="Times New Roman" w:hAnsi="Times New Roman"/>
          <w:szCs w:val="24"/>
          <w:lang w:val="sr-Cyrl-CS" w:eastAsia="en-US"/>
        </w:rPr>
        <w:t xml:space="preserve"> </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Пројекат је структуиран кроз спровођење активности подељених у три основне компоненте:</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Компонента 1: Реформа сектора истраживања (34 милиона Е</w:t>
      </w:r>
      <w:r w:rsidR="00126B03">
        <w:rPr>
          <w:rFonts w:ascii="Times New Roman" w:hAnsi="Times New Roman"/>
          <w:szCs w:val="24"/>
          <w:lang w:val="sr-Latn-RS" w:eastAsia="en-US"/>
        </w:rPr>
        <w:t>UR</w:t>
      </w:r>
      <w:r w:rsidRPr="00141403">
        <w:rPr>
          <w:rFonts w:ascii="Times New Roman" w:hAnsi="Times New Roman"/>
          <w:szCs w:val="24"/>
          <w:lang w:val="sr-Cyrl-CS" w:eastAsia="en-US"/>
        </w:rPr>
        <w:t>) која обухвата следеће под-компоненте:</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1.1: Подршка Фонду за науку Републике Србије (22,5 милиона Е</w:t>
      </w:r>
      <w:r w:rsidR="00126B03">
        <w:rPr>
          <w:rFonts w:ascii="Times New Roman" w:hAnsi="Times New Roman"/>
          <w:szCs w:val="24"/>
          <w:lang w:val="sr-Latn-RS" w:eastAsia="en-US"/>
        </w:rPr>
        <w:t>UR</w:t>
      </w:r>
      <w:r w:rsidRPr="00141403">
        <w:rPr>
          <w:rFonts w:ascii="Times New Roman" w:hAnsi="Times New Roman"/>
          <w:szCs w:val="24"/>
          <w:lang w:val="sr-Cyrl-CS" w:eastAsia="en-US"/>
        </w:rPr>
        <w:t>) – финансираће се одређени конкурентни програми Фонда за науку, грантови за научне пројекте, грантови за примењена истраживања у циљу подстицања повезивања приватног сектора и истраживања и развоја, као и сарадње са ЕУ, ради лакшег приступа њеним фондовима (посебно кроз Хоризонт 2020 – оквирни програм ЕУ за истраживање и иновације за период 2014-2020</w:t>
      </w:r>
      <w:r w:rsidR="00E012B8">
        <w:rPr>
          <w:rFonts w:ascii="Times New Roman" w:hAnsi="Times New Roman"/>
          <w:szCs w:val="24"/>
          <w:lang w:val="sr-Cyrl-CS" w:eastAsia="en-US"/>
        </w:rPr>
        <w:t>. година</w:t>
      </w:r>
      <w:r w:rsidRPr="00141403">
        <w:rPr>
          <w:rFonts w:ascii="Times New Roman" w:hAnsi="Times New Roman"/>
          <w:szCs w:val="24"/>
          <w:lang w:val="sr-Cyrl-CS" w:eastAsia="en-US"/>
        </w:rPr>
        <w:t xml:space="preserve"> и будући програм Хоризонт </w:t>
      </w:r>
      <w:r w:rsidRPr="00141403">
        <w:rPr>
          <w:rFonts w:ascii="Times New Roman" w:hAnsi="Times New Roman"/>
          <w:szCs w:val="24"/>
          <w:lang w:val="sr-Cyrl-CS" w:eastAsia="en-US"/>
        </w:rPr>
        <w:lastRenderedPageBreak/>
        <w:t>Европа 2021-2027. година), као и другим међународним програмима. Овај сегмент ће обухватити и суфинансирање директних грантова за конципирање и фазни развој програма јавних истраживања, као допуна за ту сврху издвојеним буџетским средствима и средствима ЕУ ИПА 2019 која могу бити додељена. Такође, планирана је и техничка помоћ за креирање програма и рад Фонда за науку, укључујући корпоративно управљање, организациону структуру, праћење и вредновање учинака и друге кључне институционалне елементе. Процењује се да ће на овај начин бити подржано око 220 конкурентних научних пројеката на којима ће бити ангажовано готово 8.000 истраживача из 40-50 институција.</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1.2: Реформе института за истраживање и развој (8 милиона Е</w:t>
      </w:r>
      <w:r w:rsidR="00126B03">
        <w:rPr>
          <w:rFonts w:ascii="Times New Roman" w:hAnsi="Times New Roman"/>
          <w:szCs w:val="24"/>
          <w:lang w:val="sr-Latn-RS" w:eastAsia="en-US"/>
        </w:rPr>
        <w:t>UR</w:t>
      </w:r>
      <w:r w:rsidRPr="00141403">
        <w:rPr>
          <w:rFonts w:ascii="Times New Roman" w:hAnsi="Times New Roman"/>
          <w:szCs w:val="24"/>
          <w:lang w:val="sr-Cyrl-CS" w:eastAsia="en-US"/>
        </w:rPr>
        <w:t xml:space="preserve">) – Ова под-компонента ће обухватити институционално реформисање одабраних државних института за истраживање и развој, на добровољној основи. За институте који желе да учествују у програму, на основу резултата самопроцене и екстерне процене, припремиће се појединачни планови трансформације и детаљни акциони планови са одређеним циљевима. Финансијска средства биће опредељена за постизање одређених циљева и омогућити јачање изврсности и релевантности института који учествују. </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Процењује се да ће преко 200 истраживача имати користи од овог програма, кроз генерисање 75 колаборативних пројеката са истраживачима и приватним сектором из десет институција.</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 xml:space="preserve"> 1.3: Програм сарадње са српском научном дијаспором (3,5 милиона Е</w:t>
      </w:r>
      <w:r w:rsidR="00126B03">
        <w:rPr>
          <w:rFonts w:ascii="Times New Roman" w:hAnsi="Times New Roman"/>
          <w:szCs w:val="24"/>
          <w:lang w:val="sr-Latn-RS" w:eastAsia="en-US"/>
        </w:rPr>
        <w:t>UR</w:t>
      </w:r>
      <w:r w:rsidRPr="00141403">
        <w:rPr>
          <w:rFonts w:ascii="Times New Roman" w:hAnsi="Times New Roman"/>
          <w:szCs w:val="24"/>
          <w:lang w:val="sr-Cyrl-CS" w:eastAsia="en-US"/>
        </w:rPr>
        <w:t xml:space="preserve">) – у оквиру Фонда за науку, како би се удружиле снаге и жеља српске дијаспоре да помогну истраживањима, иновацијама и предузетништву у </w:t>
      </w:r>
      <w:r w:rsidR="00126B03">
        <w:rPr>
          <w:rFonts w:ascii="Times New Roman" w:hAnsi="Times New Roman"/>
          <w:szCs w:val="24"/>
          <w:lang w:val="sr-Cyrl-CS" w:eastAsia="en-US"/>
        </w:rPr>
        <w:t xml:space="preserve">Републици </w:t>
      </w:r>
      <w:r w:rsidRPr="00141403">
        <w:rPr>
          <w:rFonts w:ascii="Times New Roman" w:hAnsi="Times New Roman"/>
          <w:szCs w:val="24"/>
          <w:lang w:val="sr-Cyrl-CS" w:eastAsia="en-US"/>
        </w:rPr>
        <w:t xml:space="preserve">Србији. Овакав вид техничке помоћи и програм грантова за суфинансирање намењени су привлачењу перспективних научника, истраживача и предузетника из српске дијаспоре, који би својим саветима у доношењу политика и учешћем у управљању и праћењу програма, саветодавним телима и повезивању пренели знање и вештине у матицу и сарађивали на научним и примењеним истраживањима, трансферу технологија и сл. </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Процењује се да ће на овај начин корист остварити преко 150 домаћих истраживача и 20 приватних фирми које сарађују са преко 70 припадника српске дијаспоре.</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Компонента 2: Акцелерација пословања (7 милиона Е</w:t>
      </w:r>
      <w:r w:rsidR="00126B03">
        <w:rPr>
          <w:rFonts w:ascii="Times New Roman" w:hAnsi="Times New Roman"/>
          <w:szCs w:val="24"/>
          <w:lang w:val="sr-Latn-RS" w:eastAsia="en-US"/>
        </w:rPr>
        <w:t>UR</w:t>
      </w:r>
      <w:r w:rsidRPr="00141403">
        <w:rPr>
          <w:rFonts w:ascii="Times New Roman" w:hAnsi="Times New Roman"/>
          <w:szCs w:val="24"/>
          <w:lang w:val="sr-Cyrl-CS" w:eastAsia="en-US"/>
        </w:rPr>
        <w:t xml:space="preserve">), осмишљења на основу постојећих програма Фонда за иновациону делатност и планирана да се спроведе у оквиру две под-компоненте, од којих је једна намењена раној фази (идејама), а друга предузећима у фази раста (јачање). Свака под-компонента ће обухватити до 20 предузећа (тимови од два оснивача) годишње, изабраних на конкурентној основи од стране инвеститора који учествују. Циљ овог програма је повећање потенцијала за раст предузећа, уз очекиване резултате да најмање 30% преузећа учесника оствари годишњи раст од 10% у периоду 6-12 месеци након програма. </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Програм акцелерације пословања биће структуиран на следећи начин:</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2.1: Фонд за суфинансирање (5 милиона Е</w:t>
      </w:r>
      <w:r w:rsidR="00126B03">
        <w:rPr>
          <w:rFonts w:ascii="Times New Roman" w:hAnsi="Times New Roman"/>
          <w:szCs w:val="24"/>
          <w:lang w:val="sr-Latn-RS" w:eastAsia="en-US"/>
        </w:rPr>
        <w:t>UR</w:t>
      </w:r>
      <w:r w:rsidRPr="00141403">
        <w:rPr>
          <w:rFonts w:ascii="Times New Roman" w:hAnsi="Times New Roman"/>
          <w:szCs w:val="24"/>
          <w:lang w:val="sr-Cyrl-CS" w:eastAsia="en-US"/>
        </w:rPr>
        <w:t>) кроз грантове за суфинансирање у распону од 150.000 до 450.000 Е</w:t>
      </w:r>
      <w:r w:rsidR="00126B03">
        <w:rPr>
          <w:rFonts w:ascii="Times New Roman" w:hAnsi="Times New Roman"/>
          <w:szCs w:val="24"/>
          <w:lang w:val="sr-Latn-RS" w:eastAsia="en-US"/>
        </w:rPr>
        <w:t>UR</w:t>
      </w:r>
      <w:r w:rsidRPr="00141403">
        <w:rPr>
          <w:rFonts w:ascii="Times New Roman" w:hAnsi="Times New Roman"/>
          <w:szCs w:val="24"/>
          <w:lang w:val="sr-Cyrl-CS" w:eastAsia="en-US"/>
        </w:rPr>
        <w:t xml:space="preserve">, у зависности од степена развоја и потреба предузећа. Фонд за суфинансирање обезбедиће средства за спровођење овог програма и покриће до 60% пројектних трошкова. Допринос приватних појединачних инвеститора или других фондова биће најмање 40% укупне пројектне инвестиције. Акценат ће бити на обухвату предузећа чија се делатност заснива на дигиталним технологијама, софтверским и ИТ иновацијама, иновацијама из области науке о живим системима, хране и пољопривреде. </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2.2: Програм техничке помоћи (2 милиона Е</w:t>
      </w:r>
      <w:r w:rsidR="00126B03">
        <w:rPr>
          <w:rFonts w:ascii="Times New Roman" w:hAnsi="Times New Roman"/>
          <w:szCs w:val="24"/>
          <w:lang w:val="sr-Latn-RS" w:eastAsia="en-US"/>
        </w:rPr>
        <w:t>UR</w:t>
      </w:r>
      <w:r w:rsidRPr="00141403">
        <w:rPr>
          <w:rFonts w:ascii="Times New Roman" w:hAnsi="Times New Roman"/>
          <w:szCs w:val="24"/>
          <w:lang w:val="sr-Cyrl-CS" w:eastAsia="en-US"/>
        </w:rPr>
        <w:t>).</w:t>
      </w:r>
    </w:p>
    <w:p w:rsid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lastRenderedPageBreak/>
        <w:t>Компонента 3: Имплементација Пројекта, праћење и изградња капацитета (2 милиона Е</w:t>
      </w:r>
      <w:r w:rsidR="00126B03">
        <w:rPr>
          <w:rFonts w:ascii="Times New Roman" w:hAnsi="Times New Roman"/>
          <w:szCs w:val="24"/>
          <w:lang w:val="sr-Latn-RS" w:eastAsia="en-US"/>
        </w:rPr>
        <w:t>UR</w:t>
      </w:r>
      <w:r w:rsidRPr="00141403">
        <w:rPr>
          <w:rFonts w:ascii="Times New Roman" w:hAnsi="Times New Roman"/>
          <w:szCs w:val="24"/>
          <w:lang w:val="sr-Cyrl-CS" w:eastAsia="en-US"/>
        </w:rPr>
        <w:t>), укључујући и рад Јединице за имплементацију пројекта, оперативне и фидуцијарне активности (мере заштите животне средине и социјалне заштите, набавке и финансијско управљање), ревизију Пројекта, студије, дефинисање политике/програма и подршку развоју Министарства просвете, науке и технолошког развоја (МПНТР) и сродних институција.</w:t>
      </w:r>
    </w:p>
    <w:p w:rsidR="00141403" w:rsidRPr="00141403" w:rsidRDefault="00141403" w:rsidP="001414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Пројекат је усаглашен са Стратешким оквиром за партнерство (Country Partnership Framework - CPF) за период од 2016. до 2020. године, документом Светске банке за спровођење програма за Републику Србију, између осталог, у областима деловања „Економско управљање и улога државе” и „Раст приватног сектора и економска инклузија”, са циљем унапређења пословне климе и отварања нових радних места. Такође, обухваћен је и Владином Стратегијом научног и технолошког развоја Републике Србије, за период од 2016. до 2020. године - „Истраживање за ин</w:t>
      </w:r>
      <w:r w:rsidR="00126B03">
        <w:rPr>
          <w:rFonts w:ascii="Times New Roman" w:hAnsi="Times New Roman"/>
          <w:szCs w:val="24"/>
          <w:lang w:val="sr-Cyrl-CS" w:eastAsia="en-US"/>
        </w:rPr>
        <w:t xml:space="preserve">овације”. </w:t>
      </w:r>
    </w:p>
    <w:p w:rsidR="00141403" w:rsidRDefault="00141403" w:rsidP="00126B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Све три компоненте Пројекта директно и заједнички доприносе спровођењу наведене стратегије, при чему активности Фонда за науку подржавају превасходно истраживање и развој у јавном сектору, док активности везане за дијаспору пружају подршку иновацијама јавних и приватних субјеката.</w:t>
      </w:r>
    </w:p>
    <w:p w:rsidR="00141403" w:rsidRDefault="00141403" w:rsidP="00126B03">
      <w:pPr>
        <w:tabs>
          <w:tab w:val="left" w:pos="709"/>
        </w:tabs>
        <w:spacing w:line="240" w:lineRule="auto"/>
        <w:ind w:firstLine="720"/>
        <w:jc w:val="both"/>
        <w:rPr>
          <w:rFonts w:ascii="Times New Roman" w:hAnsi="Times New Roman"/>
          <w:szCs w:val="24"/>
          <w:lang w:val="sr-Cyrl-CS" w:eastAsia="en-US"/>
        </w:rPr>
      </w:pPr>
      <w:r w:rsidRPr="00141403">
        <w:rPr>
          <w:rFonts w:ascii="Times New Roman" w:hAnsi="Times New Roman"/>
          <w:szCs w:val="24"/>
          <w:lang w:val="sr-Cyrl-CS" w:eastAsia="en-US"/>
        </w:rPr>
        <w:t>Министарство просвете, науке и технолошког развоја (МПНТР) биће задужено за свеукупну координацију и спровођење Пројекта у сарадњи са Фондом за науку и Фондом за иновациону делатност, одговорним за имплементацију њихових компоненти. Јединица за управљање пројектом (ЈУП) биће успостављена у оквиру МПНТР, а државни секретар у МПНТР, задужен за истраживање и технологију (технолошки развој, трансфер технологија и иновациони систем), имаће функцију директора/координатора Пројекта. ЈУП ће спроводити активности везане за имплементацију пројектних компоненти, укључујући техничке, оперативне, еколошке и социјалне заштитне мере, извештавање, праћење и оцену, ревизије, студије и изградњу капацитета у вези са Пројектом.</w:t>
      </w:r>
    </w:p>
    <w:p w:rsidR="00AA6051" w:rsidRPr="008B3155" w:rsidRDefault="00AA6051" w:rsidP="00126B03">
      <w:pPr>
        <w:tabs>
          <w:tab w:val="left" w:pos="709"/>
        </w:tabs>
        <w:spacing w:line="240" w:lineRule="auto"/>
        <w:ind w:firstLine="720"/>
        <w:jc w:val="both"/>
        <w:rPr>
          <w:rFonts w:ascii="Times New Roman" w:hAnsi="Times New Roman"/>
          <w:szCs w:val="24"/>
          <w:lang w:val="sr-Cyrl-CS" w:eastAsia="en-US"/>
        </w:rPr>
      </w:pPr>
      <w:r w:rsidRPr="006B7B1C">
        <w:rPr>
          <w:rFonts w:ascii="Times New Roman" w:hAnsi="Times New Roman"/>
          <w:szCs w:val="24"/>
          <w:lang w:val="sr-Cyrl-CS" w:eastAsia="en-US"/>
        </w:rPr>
        <w:t>Извештај са преговора прихваћен је Закључком  Владе 05 Број: 48-</w:t>
      </w:r>
      <w:r w:rsidR="005576B0" w:rsidRPr="006B7B1C">
        <w:rPr>
          <w:rFonts w:ascii="Times New Roman" w:hAnsi="Times New Roman"/>
          <w:szCs w:val="24"/>
          <w:lang w:val="sr-Cyrl-CS" w:eastAsia="en-US"/>
        </w:rPr>
        <w:t>11581</w:t>
      </w:r>
      <w:r w:rsidR="00C64833" w:rsidRPr="006B7B1C">
        <w:rPr>
          <w:rFonts w:ascii="Times New Roman" w:hAnsi="Times New Roman"/>
          <w:szCs w:val="24"/>
          <w:lang w:val="sr-Cyrl-CS" w:eastAsia="en-US"/>
        </w:rPr>
        <w:t>/</w:t>
      </w:r>
      <w:r w:rsidRPr="006B7B1C">
        <w:rPr>
          <w:rFonts w:ascii="Times New Roman" w:hAnsi="Times New Roman"/>
          <w:szCs w:val="24"/>
          <w:lang w:val="sr-Cyrl-CS" w:eastAsia="en-US"/>
        </w:rPr>
        <w:t>201</w:t>
      </w:r>
      <w:r w:rsidR="00A75CCC" w:rsidRPr="006B7B1C">
        <w:rPr>
          <w:rFonts w:ascii="Times New Roman" w:hAnsi="Times New Roman"/>
          <w:szCs w:val="24"/>
          <w:lang w:val="sr-Cyrl-CS" w:eastAsia="en-US"/>
        </w:rPr>
        <w:t>9</w:t>
      </w:r>
      <w:r w:rsidR="00C82CE7" w:rsidRPr="006B7B1C">
        <w:rPr>
          <w:rFonts w:ascii="Times New Roman" w:hAnsi="Times New Roman"/>
          <w:szCs w:val="24"/>
          <w:lang w:val="sr-Cyrl-CS" w:eastAsia="en-US"/>
        </w:rPr>
        <w:t>-2</w:t>
      </w:r>
      <w:r w:rsidR="00C64833" w:rsidRPr="006B7B1C">
        <w:rPr>
          <w:rFonts w:ascii="Times New Roman" w:hAnsi="Times New Roman"/>
          <w:szCs w:val="24"/>
          <w:lang w:val="sr-Cyrl-CS" w:eastAsia="en-US"/>
        </w:rPr>
        <w:t xml:space="preserve"> од </w:t>
      </w:r>
      <w:r w:rsidR="005576B0" w:rsidRPr="006B7B1C">
        <w:rPr>
          <w:rFonts w:ascii="Times New Roman" w:hAnsi="Times New Roman"/>
          <w:szCs w:val="24"/>
          <w:lang w:val="sr-Cyrl-CS" w:eastAsia="en-US"/>
        </w:rPr>
        <w:t>21</w:t>
      </w:r>
      <w:r w:rsidR="00C64833" w:rsidRPr="006B7B1C">
        <w:rPr>
          <w:rFonts w:ascii="Times New Roman" w:hAnsi="Times New Roman"/>
          <w:szCs w:val="24"/>
          <w:lang w:val="sr-Cyrl-CS" w:eastAsia="en-US"/>
        </w:rPr>
        <w:t xml:space="preserve">. </w:t>
      </w:r>
      <w:r w:rsidR="00C82CE7" w:rsidRPr="006B7B1C">
        <w:rPr>
          <w:rFonts w:ascii="Times New Roman" w:hAnsi="Times New Roman"/>
          <w:szCs w:val="24"/>
          <w:lang w:val="sr-Cyrl-CS" w:eastAsia="en-US"/>
        </w:rPr>
        <w:t>новембра</w:t>
      </w:r>
      <w:r w:rsidR="00A75CCC" w:rsidRPr="006B7B1C">
        <w:rPr>
          <w:rFonts w:ascii="Times New Roman" w:hAnsi="Times New Roman"/>
          <w:szCs w:val="24"/>
          <w:lang w:val="sr-Cyrl-CS" w:eastAsia="en-US"/>
        </w:rPr>
        <w:t xml:space="preserve"> 2019</w:t>
      </w:r>
      <w:r w:rsidRPr="006B7B1C">
        <w:rPr>
          <w:rFonts w:ascii="Times New Roman" w:hAnsi="Times New Roman"/>
          <w:szCs w:val="24"/>
          <w:lang w:val="sr-Cyrl-CS" w:eastAsia="en-US"/>
        </w:rPr>
        <w:t>. године, којим је истовремено усвојен Нацрт споразума о зајму (</w:t>
      </w:r>
      <w:r w:rsidR="005576B0" w:rsidRPr="006B7B1C">
        <w:rPr>
          <w:rFonts w:ascii="Times New Roman" w:hAnsi="Times New Roman"/>
          <w:szCs w:val="24"/>
          <w:lang w:val="sr-Cyrl-CS"/>
        </w:rPr>
        <w:t>Пројекат акцелерације иновација и подстицања раста предузетништва у Републици Србији</w:t>
      </w:r>
      <w:r w:rsidRPr="006B7B1C">
        <w:rPr>
          <w:rFonts w:ascii="Times New Roman" w:hAnsi="Times New Roman"/>
          <w:szCs w:val="24"/>
          <w:lang w:val="sr-Cyrl-CS"/>
        </w:rPr>
        <w:t>)</w:t>
      </w:r>
      <w:r w:rsidRPr="006B7B1C">
        <w:rPr>
          <w:rFonts w:ascii="Times New Roman" w:hAnsi="Times New Roman"/>
          <w:szCs w:val="24"/>
          <w:lang w:val="sr-Cyrl-CS" w:eastAsia="en-US"/>
        </w:rPr>
        <w:t xml:space="preserve">  између Републике Србије и Међународне банке Србије</w:t>
      </w:r>
      <w:r w:rsidR="00315E98" w:rsidRPr="006B7B1C">
        <w:rPr>
          <w:rFonts w:ascii="Times New Roman" w:hAnsi="Times New Roman"/>
          <w:szCs w:val="24"/>
          <w:lang w:val="sr-Cyrl-CS" w:eastAsia="en-US"/>
        </w:rPr>
        <w:t xml:space="preserve">, </w:t>
      </w:r>
      <w:r w:rsidRPr="006B7B1C">
        <w:rPr>
          <w:rFonts w:ascii="Times New Roman" w:hAnsi="Times New Roman"/>
          <w:szCs w:val="24"/>
          <w:lang w:val="sr-Cyrl-CS" w:eastAsia="en-US"/>
        </w:rPr>
        <w:t xml:space="preserve">који је </w:t>
      </w:r>
      <w:r w:rsidRPr="006B7B1C">
        <w:rPr>
          <w:rFonts w:ascii="Times New Roman" w:hAnsi="Times New Roman"/>
          <w:szCs w:val="24"/>
          <w:lang w:val="sr-Cyrl-CS"/>
        </w:rPr>
        <w:t xml:space="preserve">потписан </w:t>
      </w:r>
      <w:r w:rsidR="005576B0" w:rsidRPr="006B7B1C">
        <w:rPr>
          <w:rFonts w:ascii="Times New Roman" w:hAnsi="Times New Roman"/>
          <w:szCs w:val="24"/>
          <w:lang w:val="sr-Cyrl-CS"/>
        </w:rPr>
        <w:t>24</w:t>
      </w:r>
      <w:r w:rsidRPr="006B7B1C">
        <w:rPr>
          <w:rFonts w:ascii="Times New Roman" w:hAnsi="Times New Roman"/>
          <w:szCs w:val="24"/>
          <w:lang w:val="sr-Cyrl-CS"/>
        </w:rPr>
        <w:t xml:space="preserve">. </w:t>
      </w:r>
      <w:r w:rsidR="00C82CE7" w:rsidRPr="006B7B1C">
        <w:rPr>
          <w:rFonts w:ascii="Times New Roman" w:hAnsi="Times New Roman"/>
          <w:szCs w:val="24"/>
          <w:lang w:val="sr-Cyrl-CS"/>
        </w:rPr>
        <w:t>децембра</w:t>
      </w:r>
      <w:r w:rsidRPr="006B7B1C">
        <w:rPr>
          <w:rFonts w:ascii="Times New Roman" w:hAnsi="Times New Roman"/>
          <w:szCs w:val="24"/>
          <w:lang w:val="sr-Cyrl-CS"/>
        </w:rPr>
        <w:t xml:space="preserve"> 201</w:t>
      </w:r>
      <w:r w:rsidR="00A75CCC" w:rsidRPr="006B7B1C">
        <w:rPr>
          <w:rFonts w:ascii="Times New Roman" w:hAnsi="Times New Roman"/>
          <w:szCs w:val="24"/>
          <w:lang w:val="sr-Cyrl-CS"/>
        </w:rPr>
        <w:t>9</w:t>
      </w:r>
      <w:r w:rsidRPr="006B7B1C">
        <w:rPr>
          <w:rFonts w:ascii="Times New Roman" w:hAnsi="Times New Roman"/>
          <w:szCs w:val="24"/>
          <w:lang w:val="sr-Cyrl-CS"/>
        </w:rPr>
        <w:t xml:space="preserve">. године у Београду (потписник споразума у име Владе, као заступника Републике Србије, је </w:t>
      </w:r>
      <w:r w:rsidR="00A75CCC" w:rsidRPr="006B7B1C">
        <w:rPr>
          <w:rFonts w:ascii="Times New Roman" w:hAnsi="Times New Roman"/>
          <w:szCs w:val="24"/>
          <w:lang w:val="sr-Cyrl-CS"/>
        </w:rPr>
        <w:t>Синиша Мали</w:t>
      </w:r>
      <w:r w:rsidRPr="006B7B1C">
        <w:rPr>
          <w:rFonts w:ascii="Times New Roman" w:hAnsi="Times New Roman"/>
          <w:szCs w:val="24"/>
          <w:lang w:val="sr-Cyrl-CS"/>
        </w:rPr>
        <w:t>, министар финансија).</w:t>
      </w:r>
      <w:r w:rsidRPr="008B3155">
        <w:rPr>
          <w:rFonts w:ascii="Times New Roman" w:hAnsi="Times New Roman"/>
          <w:szCs w:val="24"/>
          <w:lang w:val="sr-Cyrl-CS" w:eastAsia="en-US"/>
        </w:rPr>
        <w:t xml:space="preserve"> </w:t>
      </w:r>
    </w:p>
    <w:p w:rsidR="008E1154" w:rsidRPr="008B3155" w:rsidRDefault="008E1154" w:rsidP="00126B03">
      <w:pPr>
        <w:spacing w:line="240" w:lineRule="auto"/>
        <w:ind w:firstLine="630"/>
        <w:jc w:val="both"/>
        <w:rPr>
          <w:rFonts w:ascii="Times New Roman" w:hAnsi="Times New Roman"/>
          <w:bCs/>
          <w:szCs w:val="24"/>
          <w:lang w:val="sr-Cyrl-CS" w:eastAsia="en-US"/>
        </w:rPr>
      </w:pPr>
      <w:r w:rsidRPr="008B3155">
        <w:rPr>
          <w:rFonts w:ascii="Times New Roman" w:hAnsi="Times New Roman"/>
          <w:bCs/>
          <w:szCs w:val="24"/>
          <w:lang w:val="sr-Cyrl-CS" w:eastAsia="en-US"/>
        </w:rPr>
        <w:t xml:space="preserve">Свeтскa бaнкa ћe прaтити стaтус Прoјекта и спровођење договорених активности, кроз полугодишње мисије за подршку имплементацији. </w:t>
      </w:r>
    </w:p>
    <w:p w:rsidR="00254CC1" w:rsidRPr="008B3155" w:rsidRDefault="00254CC1"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У складу са Општим условима Међународне банке за обнову и развој</w:t>
      </w:r>
      <w:r w:rsidR="00963621" w:rsidRPr="008B3155">
        <w:rPr>
          <w:rFonts w:ascii="Times New Roman" w:hAnsi="Times New Roman"/>
          <w:szCs w:val="24"/>
          <w:lang w:val="sr-Cyrl-CS"/>
        </w:rPr>
        <w:t xml:space="preserve"> </w:t>
      </w:r>
      <w:r w:rsidR="00963621" w:rsidRPr="008B3155">
        <w:rPr>
          <w:rFonts w:ascii="Times New Roman" w:hAnsi="Times New Roman"/>
          <w:szCs w:val="24"/>
          <w:lang w:val="sr-Cyrl-CS" w:eastAsia="en-US"/>
        </w:rPr>
        <w:t>од 14. децембра 2018. године</w:t>
      </w:r>
      <w:r w:rsidRPr="008B3155">
        <w:rPr>
          <w:rFonts w:ascii="Times New Roman" w:hAnsi="Times New Roman"/>
          <w:szCs w:val="24"/>
          <w:lang w:val="sr-Cyrl-CS" w:eastAsia="en-US"/>
        </w:rPr>
        <w:t xml:space="preserve">, </w:t>
      </w:r>
      <w:r w:rsidR="0092470E" w:rsidRPr="008B3155">
        <w:rPr>
          <w:rFonts w:ascii="Times New Roman" w:hAnsi="Times New Roman"/>
          <w:szCs w:val="24"/>
          <w:lang w:val="sr-Cyrl-CS" w:eastAsia="en-US"/>
        </w:rPr>
        <w:t>договорени су</w:t>
      </w:r>
      <w:r w:rsidRPr="008B3155">
        <w:rPr>
          <w:rFonts w:ascii="Times New Roman" w:hAnsi="Times New Roman"/>
          <w:szCs w:val="24"/>
          <w:lang w:val="sr-Cyrl-CS" w:eastAsia="en-US"/>
        </w:rPr>
        <w:t xml:space="preserve"> следећи финансијски услови: </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 xml:space="preserve">- износ задужења: </w:t>
      </w:r>
      <w:r w:rsidR="00505EC1" w:rsidRPr="008B3155">
        <w:rPr>
          <w:rFonts w:ascii="Times New Roman" w:hAnsi="Times New Roman"/>
          <w:szCs w:val="24"/>
          <w:lang w:val="sr-Cyrl-CS" w:eastAsia="en-US"/>
        </w:rPr>
        <w:t>4</w:t>
      </w:r>
      <w:r w:rsidR="005576B0">
        <w:rPr>
          <w:rFonts w:ascii="Times New Roman" w:hAnsi="Times New Roman"/>
          <w:szCs w:val="24"/>
          <w:lang w:val="sr-Cyrl-CS" w:eastAsia="en-US"/>
        </w:rPr>
        <w:t>3.0</w:t>
      </w:r>
      <w:r w:rsidR="00505EC1" w:rsidRPr="008B3155">
        <w:rPr>
          <w:rFonts w:ascii="Times New Roman" w:hAnsi="Times New Roman"/>
          <w:szCs w:val="24"/>
          <w:lang w:val="sr-Cyrl-CS" w:eastAsia="en-US"/>
        </w:rPr>
        <w:t>00.000</w:t>
      </w:r>
      <w:r w:rsidR="00D34928" w:rsidRPr="00D34928">
        <w:rPr>
          <w:rFonts w:ascii="Times New Roman" w:hAnsi="Times New Roman"/>
          <w:szCs w:val="24"/>
          <w:lang w:val="en-US" w:eastAsia="en-US"/>
        </w:rPr>
        <w:t xml:space="preserve"> </w:t>
      </w:r>
      <w:r w:rsidR="00D34928">
        <w:rPr>
          <w:rFonts w:ascii="Times New Roman" w:hAnsi="Times New Roman"/>
          <w:szCs w:val="24"/>
          <w:lang w:val="en-US" w:eastAsia="en-US"/>
        </w:rPr>
        <w:t>EUR</w:t>
      </w:r>
      <w:r w:rsidRPr="008B3155">
        <w:rPr>
          <w:rFonts w:ascii="Times New Roman" w:hAnsi="Times New Roman"/>
          <w:szCs w:val="24"/>
          <w:lang w:val="sr-Cyrl-CS" w:eastAsia="en-US"/>
        </w:rPr>
        <w:t>;</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 повлачење зајма спроводиће се у складу са одредбама Споразума о зајму;</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 xml:space="preserve">- рок доспећа: </w:t>
      </w:r>
      <w:r w:rsidR="008E1154" w:rsidRPr="008B3155">
        <w:rPr>
          <w:rFonts w:ascii="Times New Roman" w:hAnsi="Times New Roman"/>
          <w:szCs w:val="24"/>
          <w:lang w:val="sr-Cyrl-CS" w:eastAsia="en-US"/>
        </w:rPr>
        <w:t xml:space="preserve">12 година, укључујући период </w:t>
      </w:r>
      <w:r w:rsidR="00B609E0" w:rsidRPr="008B3155">
        <w:rPr>
          <w:rFonts w:ascii="Times New Roman" w:hAnsi="Times New Roman"/>
          <w:szCs w:val="24"/>
          <w:lang w:val="sr-Cyrl-CS" w:eastAsia="en-US"/>
        </w:rPr>
        <w:t>почека од три</w:t>
      </w:r>
      <w:r w:rsidR="008E1154" w:rsidRPr="008B3155">
        <w:rPr>
          <w:rFonts w:ascii="Times New Roman" w:hAnsi="Times New Roman"/>
          <w:szCs w:val="24"/>
          <w:lang w:val="sr-Cyrl-CS" w:eastAsia="en-US"/>
        </w:rPr>
        <w:t xml:space="preserve"> годин</w:t>
      </w:r>
      <w:r w:rsidR="00B609E0" w:rsidRPr="008B3155">
        <w:rPr>
          <w:rFonts w:ascii="Times New Roman" w:hAnsi="Times New Roman"/>
          <w:szCs w:val="24"/>
          <w:lang w:val="sr-Cyrl-CS" w:eastAsia="en-US"/>
        </w:rPr>
        <w:t>е</w:t>
      </w:r>
      <w:r w:rsidR="008E1154" w:rsidRPr="008B3155">
        <w:rPr>
          <w:rFonts w:ascii="Times New Roman" w:hAnsi="Times New Roman"/>
          <w:szCs w:val="24"/>
          <w:lang w:val="sr-Cyrl-CS" w:eastAsia="en-US"/>
        </w:rPr>
        <w:t>, уз от</w:t>
      </w:r>
      <w:r w:rsidR="00561B4F">
        <w:rPr>
          <w:rFonts w:ascii="Times New Roman" w:hAnsi="Times New Roman"/>
          <w:szCs w:val="24"/>
          <w:lang w:val="sr-Cyrl-CS" w:eastAsia="en-US"/>
        </w:rPr>
        <w:t>п</w:t>
      </w:r>
      <w:r w:rsidR="008E1154" w:rsidRPr="008B3155">
        <w:rPr>
          <w:rFonts w:ascii="Times New Roman" w:hAnsi="Times New Roman"/>
          <w:szCs w:val="24"/>
          <w:lang w:val="sr-Cyrl-CS" w:eastAsia="en-US"/>
        </w:rPr>
        <w:t>лату главнице у једнаким ратама, од којих прва доспева 15. маја 2023. године, а последња 15. новембра 2031. године</w:t>
      </w:r>
      <w:r w:rsidRPr="008B3155">
        <w:rPr>
          <w:rFonts w:ascii="Times New Roman" w:hAnsi="Times New Roman"/>
          <w:szCs w:val="24"/>
          <w:lang w:val="sr-Cyrl-CS" w:eastAsia="en-US"/>
        </w:rPr>
        <w:t>;</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 xml:space="preserve">- </w:t>
      </w:r>
      <w:r w:rsidR="008E1154" w:rsidRPr="008B3155">
        <w:rPr>
          <w:rFonts w:ascii="Times New Roman" w:hAnsi="Times New Roman"/>
          <w:szCs w:val="24"/>
          <w:lang w:val="sr-Cyrl-CS" w:eastAsia="en-US"/>
        </w:rPr>
        <w:t xml:space="preserve">рок расположивости зајма: средства зајма се могу повлачити још </w:t>
      </w:r>
      <w:r w:rsidR="00B609E0" w:rsidRPr="008B3155">
        <w:rPr>
          <w:rFonts w:ascii="Times New Roman" w:hAnsi="Times New Roman"/>
          <w:szCs w:val="24"/>
          <w:lang w:val="sr-Cyrl-CS" w:eastAsia="en-US"/>
        </w:rPr>
        <w:t>четири</w:t>
      </w:r>
      <w:r w:rsidR="005576B0">
        <w:rPr>
          <w:rFonts w:ascii="Times New Roman" w:hAnsi="Times New Roman"/>
          <w:szCs w:val="24"/>
          <w:lang w:val="sr-Cyrl-CS" w:eastAsia="en-US"/>
        </w:rPr>
        <w:t xml:space="preserve"> месеца након 30</w:t>
      </w:r>
      <w:r w:rsidR="00505EC1" w:rsidRPr="008B3155">
        <w:rPr>
          <w:rFonts w:ascii="Times New Roman" w:hAnsi="Times New Roman"/>
          <w:szCs w:val="24"/>
          <w:lang w:val="sr-Cyrl-CS" w:eastAsia="en-US"/>
        </w:rPr>
        <w:t xml:space="preserve">. </w:t>
      </w:r>
      <w:r w:rsidR="005576B0">
        <w:rPr>
          <w:rFonts w:ascii="Times New Roman" w:hAnsi="Times New Roman"/>
          <w:szCs w:val="24"/>
          <w:lang w:val="sr-Cyrl-CS" w:eastAsia="en-US"/>
        </w:rPr>
        <w:t>септембра</w:t>
      </w:r>
      <w:r w:rsidR="00505EC1" w:rsidRPr="008B3155">
        <w:rPr>
          <w:rFonts w:ascii="Times New Roman" w:hAnsi="Times New Roman"/>
          <w:szCs w:val="24"/>
          <w:lang w:val="sr-Cyrl-CS" w:eastAsia="en-US"/>
        </w:rPr>
        <w:t xml:space="preserve"> 2024</w:t>
      </w:r>
      <w:r w:rsidR="008E1154" w:rsidRPr="008B3155">
        <w:rPr>
          <w:rFonts w:ascii="Times New Roman" w:hAnsi="Times New Roman"/>
          <w:szCs w:val="24"/>
          <w:lang w:val="sr-Cyrl-CS" w:eastAsia="en-US"/>
        </w:rPr>
        <w:t>. године, што је рок за завршетак Пројекта</w:t>
      </w:r>
      <w:r w:rsidRPr="008B3155">
        <w:rPr>
          <w:rFonts w:ascii="Times New Roman" w:hAnsi="Times New Roman"/>
          <w:szCs w:val="24"/>
          <w:lang w:val="sr-Cyrl-CS" w:eastAsia="en-US"/>
        </w:rPr>
        <w:t>;</w:t>
      </w:r>
    </w:p>
    <w:p w:rsidR="007068CE" w:rsidRPr="007C3CB4" w:rsidRDefault="007068CE" w:rsidP="00126B03">
      <w:pPr>
        <w:spacing w:line="240" w:lineRule="auto"/>
        <w:ind w:firstLine="630"/>
        <w:jc w:val="both"/>
        <w:rPr>
          <w:rFonts w:ascii="Times New Roman" w:hAnsi="Times New Roman"/>
          <w:szCs w:val="24"/>
          <w:lang w:val="en-US" w:eastAsia="en-US"/>
        </w:rPr>
      </w:pPr>
      <w:r w:rsidRPr="008B3155">
        <w:rPr>
          <w:rFonts w:ascii="Times New Roman" w:hAnsi="Times New Roman"/>
          <w:szCs w:val="24"/>
          <w:lang w:val="sr-Cyrl-CS" w:eastAsia="en-US"/>
        </w:rPr>
        <w:t xml:space="preserve">- приступна накнада: </w:t>
      </w:r>
      <w:r w:rsidR="008E1154" w:rsidRPr="008B3155">
        <w:rPr>
          <w:rFonts w:ascii="Times New Roman" w:hAnsi="Times New Roman"/>
          <w:szCs w:val="24"/>
          <w:lang w:val="sr-Cyrl-CS" w:eastAsia="en-US"/>
        </w:rPr>
        <w:t>0,25% на укупну главницу (</w:t>
      </w:r>
      <w:r w:rsidR="005576B0" w:rsidRPr="005576B0">
        <w:rPr>
          <w:rFonts w:ascii="Times New Roman" w:hAnsi="Times New Roman"/>
          <w:szCs w:val="24"/>
          <w:lang w:val="sr-Cyrl-CS" w:eastAsia="en-US"/>
        </w:rPr>
        <w:t>107.500</w:t>
      </w:r>
      <w:r w:rsidR="006F5E5A" w:rsidRPr="006F5E5A">
        <w:rPr>
          <w:rFonts w:ascii="Times New Roman" w:hAnsi="Times New Roman"/>
          <w:szCs w:val="24"/>
          <w:lang w:val="en-US" w:eastAsia="en-US"/>
        </w:rPr>
        <w:t xml:space="preserve"> </w:t>
      </w:r>
      <w:r w:rsidR="006F5E5A">
        <w:rPr>
          <w:rFonts w:ascii="Times New Roman" w:hAnsi="Times New Roman"/>
          <w:szCs w:val="24"/>
          <w:lang w:val="en-US" w:eastAsia="en-US"/>
        </w:rPr>
        <w:t>EUR</w:t>
      </w:r>
      <w:r w:rsidR="008E1154" w:rsidRPr="008B3155">
        <w:rPr>
          <w:rFonts w:ascii="Times New Roman" w:hAnsi="Times New Roman"/>
          <w:szCs w:val="24"/>
          <w:lang w:val="sr-Cyrl-CS" w:eastAsia="en-US"/>
        </w:rPr>
        <w:t>) и плаћа се из             средстава зајма једнократно</w:t>
      </w:r>
      <w:r w:rsidR="007C3CB4">
        <w:rPr>
          <w:rFonts w:ascii="Times New Roman" w:hAnsi="Times New Roman"/>
          <w:szCs w:val="24"/>
          <w:lang w:val="sr-Cyrl-CS" w:eastAsia="en-US"/>
        </w:rPr>
        <w:t>;</w:t>
      </w:r>
    </w:p>
    <w:p w:rsidR="007068CE"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t>-</w:t>
      </w:r>
      <w:r w:rsidRPr="008B3155">
        <w:rPr>
          <w:rFonts w:ascii="Times New Roman" w:hAnsi="Times New Roman"/>
          <w:szCs w:val="24"/>
          <w:lang w:val="sr-Cyrl-CS" w:eastAsia="en-US"/>
        </w:rPr>
        <w:tab/>
        <w:t xml:space="preserve"> накнада за неповучена средства: 0,25% на годишњем нивоу на неповучени износ главнице</w:t>
      </w:r>
      <w:r w:rsidR="00B609E0" w:rsidRPr="008B3155">
        <w:rPr>
          <w:rFonts w:ascii="Times New Roman" w:hAnsi="Times New Roman"/>
          <w:szCs w:val="24"/>
          <w:lang w:val="sr-Cyrl-CS" w:eastAsia="en-US"/>
        </w:rPr>
        <w:t>;</w:t>
      </w:r>
      <w:r w:rsidR="008E1154" w:rsidRPr="008B3155">
        <w:rPr>
          <w:lang w:val="sr-Cyrl-CS"/>
        </w:rPr>
        <w:t xml:space="preserve"> </w:t>
      </w:r>
      <w:r w:rsidR="00B609E0" w:rsidRPr="008B3155">
        <w:rPr>
          <w:rFonts w:ascii="Times New Roman" w:hAnsi="Times New Roman"/>
          <w:lang w:val="sr-Cyrl-CS"/>
        </w:rPr>
        <w:t>о</w:t>
      </w:r>
      <w:r w:rsidR="008E1154" w:rsidRPr="008B3155">
        <w:rPr>
          <w:rFonts w:ascii="Times New Roman" w:hAnsi="Times New Roman"/>
          <w:szCs w:val="24"/>
          <w:lang w:val="sr-Cyrl-CS" w:eastAsia="en-US"/>
        </w:rPr>
        <w:t>брачун провизије на неповучена средства почиње након истека периода од 60 дана након датума потписивања Споразума о зајму</w:t>
      </w:r>
      <w:r w:rsidRPr="008B3155">
        <w:rPr>
          <w:rFonts w:ascii="Times New Roman" w:hAnsi="Times New Roman"/>
          <w:szCs w:val="24"/>
          <w:lang w:val="sr-Cyrl-CS" w:eastAsia="en-US"/>
        </w:rPr>
        <w:t>;</w:t>
      </w:r>
    </w:p>
    <w:p w:rsidR="00254CC1" w:rsidRPr="008B3155" w:rsidRDefault="007068CE" w:rsidP="00126B03">
      <w:pPr>
        <w:spacing w:line="240" w:lineRule="auto"/>
        <w:ind w:firstLine="630"/>
        <w:jc w:val="both"/>
        <w:rPr>
          <w:rFonts w:ascii="Times New Roman" w:hAnsi="Times New Roman"/>
          <w:szCs w:val="24"/>
          <w:lang w:val="sr-Cyrl-CS" w:eastAsia="en-US"/>
        </w:rPr>
      </w:pPr>
      <w:r w:rsidRPr="008B3155">
        <w:rPr>
          <w:rFonts w:ascii="Times New Roman" w:hAnsi="Times New Roman"/>
          <w:szCs w:val="24"/>
          <w:lang w:val="sr-Cyrl-CS" w:eastAsia="en-US"/>
        </w:rPr>
        <w:lastRenderedPageBreak/>
        <w:tab/>
        <w:t xml:space="preserve">- каматна стопа: зајмопримац плаћа камату полугодишње (15. мајa и 15. новембра сваке године), за сваки каматни пeриод по Рeфeрeнтноj стопи за валуту заjма (шестомесечни </w:t>
      </w:r>
      <w:r w:rsidR="00B609E0" w:rsidRPr="008B3155">
        <w:rPr>
          <w:rFonts w:ascii="Times New Roman" w:hAnsi="Times New Roman"/>
          <w:szCs w:val="24"/>
          <w:lang w:val="sr-Cyrl-CS" w:eastAsia="en-US"/>
        </w:rPr>
        <w:t>EUR</w:t>
      </w:r>
      <w:r w:rsidR="009A4FBA">
        <w:rPr>
          <w:rFonts w:ascii="Times New Roman" w:hAnsi="Times New Roman"/>
          <w:szCs w:val="24"/>
          <w:lang w:val="en-US" w:eastAsia="en-US"/>
        </w:rPr>
        <w:t>IBOR</w:t>
      </w:r>
      <w:r w:rsidRPr="008B3155">
        <w:rPr>
          <w:rFonts w:ascii="Times New Roman" w:hAnsi="Times New Roman"/>
          <w:szCs w:val="24"/>
          <w:lang w:val="sr-Cyrl-CS" w:eastAsia="en-US"/>
        </w:rPr>
        <w:t>) ув</w:t>
      </w:r>
      <w:r w:rsidR="008E1154" w:rsidRPr="008B3155">
        <w:rPr>
          <w:rFonts w:ascii="Times New Roman" w:hAnsi="Times New Roman"/>
          <w:szCs w:val="24"/>
          <w:lang w:val="sr-Cyrl-CS" w:eastAsia="en-US"/>
        </w:rPr>
        <w:t>eћаној за фиксну маржу од 0,50%,</w:t>
      </w:r>
      <w:r w:rsidRPr="008B3155">
        <w:rPr>
          <w:rFonts w:ascii="Times New Roman" w:hAnsi="Times New Roman"/>
          <w:szCs w:val="24"/>
          <w:lang w:val="sr-Cyrl-CS" w:eastAsia="en-US"/>
        </w:rPr>
        <w:t xml:space="preserve"> </w:t>
      </w:r>
      <w:r w:rsidR="008E1154" w:rsidRPr="008B3155">
        <w:rPr>
          <w:rFonts w:ascii="Times New Roman" w:hAnsi="Times New Roman"/>
          <w:szCs w:val="24"/>
          <w:lang w:val="sr-Cyrl-CS" w:eastAsia="en-US"/>
        </w:rPr>
        <w:t>уз могућност различитих врста конверзије, ако се процени да је повољније са становишта управљања јавним дугом</w:t>
      </w:r>
      <w:r w:rsidRPr="008B3155">
        <w:rPr>
          <w:rFonts w:ascii="Times New Roman" w:hAnsi="Times New Roman"/>
          <w:szCs w:val="24"/>
          <w:lang w:val="sr-Cyrl-CS" w:eastAsia="en-US"/>
        </w:rPr>
        <w:t>.</w:t>
      </w:r>
    </w:p>
    <w:p w:rsidR="007068CE" w:rsidRPr="008B3155" w:rsidRDefault="007068CE" w:rsidP="007068CE">
      <w:pPr>
        <w:ind w:firstLine="630"/>
        <w:jc w:val="both"/>
        <w:rPr>
          <w:rFonts w:ascii="Times New Roman" w:hAnsi="Times New Roman"/>
          <w:szCs w:val="24"/>
          <w:lang w:val="sr-Cyrl-CS" w:eastAsia="en-US"/>
        </w:rPr>
      </w:pPr>
    </w:p>
    <w:p w:rsidR="00CF4EB1" w:rsidRPr="008B3155" w:rsidRDefault="00CF4EB1" w:rsidP="00517EA5">
      <w:pPr>
        <w:tabs>
          <w:tab w:val="left" w:pos="1134"/>
        </w:tabs>
        <w:spacing w:line="240" w:lineRule="auto"/>
        <w:jc w:val="both"/>
        <w:rPr>
          <w:rFonts w:ascii="Times New Roman" w:hAnsi="Times New Roman"/>
          <w:szCs w:val="24"/>
          <w:lang w:val="sr-Cyrl-CS"/>
        </w:rPr>
      </w:pPr>
      <w:r w:rsidRPr="008B3155">
        <w:rPr>
          <w:rFonts w:ascii="Times New Roman" w:hAnsi="Times New Roman"/>
          <w:bCs/>
          <w:szCs w:val="24"/>
          <w:lang w:val="sr-Cyrl-CS"/>
        </w:rPr>
        <w:t xml:space="preserve">III. </w:t>
      </w:r>
      <w:r w:rsidR="00517EA5">
        <w:rPr>
          <w:rFonts w:ascii="Times New Roman" w:hAnsi="Times New Roman"/>
          <w:bCs/>
          <w:szCs w:val="24"/>
          <w:lang w:val="sr-Cyrl-CS"/>
        </w:rPr>
        <w:tab/>
      </w:r>
      <w:r w:rsidRPr="008B3155">
        <w:rPr>
          <w:rFonts w:ascii="Times New Roman" w:hAnsi="Times New Roman"/>
          <w:bCs/>
          <w:szCs w:val="24"/>
          <w:lang w:val="sr-Cyrl-CS"/>
        </w:rPr>
        <w:t>ОБЈАШЊЕЊЕ ОСНОВНИХ ПРАВНИХ ИНСТИТУТА И ПОЈЕДИНАЧНИХ РЕШЕЊА</w:t>
      </w:r>
    </w:p>
    <w:p w:rsidR="00CF4EB1" w:rsidRPr="008B3155" w:rsidRDefault="00CF4EB1" w:rsidP="00CF4EB1">
      <w:pPr>
        <w:jc w:val="both"/>
        <w:rPr>
          <w:rFonts w:ascii="Times New Roman" w:hAnsi="Times New Roman"/>
          <w:szCs w:val="24"/>
          <w:highlight w:val="yellow"/>
          <w:lang w:val="sr-Cyrl-CS"/>
        </w:rPr>
      </w:pPr>
    </w:p>
    <w:p w:rsidR="00CF4EB1" w:rsidRPr="008B3155" w:rsidRDefault="00CF4EB1" w:rsidP="00126B03">
      <w:pPr>
        <w:spacing w:line="240" w:lineRule="auto"/>
        <w:ind w:firstLine="720"/>
        <w:jc w:val="both"/>
        <w:rPr>
          <w:rFonts w:ascii="Times New Roman" w:hAnsi="Times New Roman"/>
          <w:szCs w:val="24"/>
          <w:highlight w:val="yellow"/>
          <w:lang w:val="sr-Cyrl-CS"/>
        </w:rPr>
      </w:pPr>
      <w:r w:rsidRPr="008B3155">
        <w:rPr>
          <w:rFonts w:ascii="Times New Roman" w:hAnsi="Times New Roman"/>
          <w:szCs w:val="24"/>
          <w:lang w:val="sr-Cyrl-CS"/>
        </w:rPr>
        <w:t xml:space="preserve">Одредбом члана 1. </w:t>
      </w:r>
      <w:r w:rsidR="00126B03">
        <w:rPr>
          <w:rFonts w:ascii="Times New Roman" w:hAnsi="Times New Roman"/>
          <w:szCs w:val="24"/>
          <w:lang w:val="sr-Cyrl-CS"/>
        </w:rPr>
        <w:t>овог</w:t>
      </w:r>
      <w:r w:rsidRPr="008B3155">
        <w:rPr>
          <w:rFonts w:ascii="Times New Roman" w:hAnsi="Times New Roman"/>
          <w:szCs w:val="24"/>
          <w:lang w:val="sr-Cyrl-CS"/>
        </w:rPr>
        <w:t xml:space="preserve"> закона предвиђа се потврђивање Споразума о зајму. </w:t>
      </w:r>
      <w:r w:rsidR="005B62C6" w:rsidRPr="008B3155">
        <w:rPr>
          <w:rFonts w:ascii="Times New Roman" w:hAnsi="Times New Roman"/>
          <w:szCs w:val="24"/>
          <w:lang w:val="sr-Cyrl-CS"/>
        </w:rPr>
        <w:t xml:space="preserve"> </w:t>
      </w:r>
      <w:r w:rsidR="00825352" w:rsidRPr="008B3155">
        <w:rPr>
          <w:rFonts w:ascii="Times New Roman" w:hAnsi="Times New Roman"/>
          <w:szCs w:val="24"/>
          <w:lang w:val="sr-Cyrl-CS"/>
        </w:rPr>
        <w:t xml:space="preserve"> </w:t>
      </w:r>
      <w:r w:rsidR="00505EC1" w:rsidRPr="008B3155">
        <w:rPr>
          <w:rFonts w:ascii="Times New Roman" w:hAnsi="Times New Roman"/>
          <w:szCs w:val="24"/>
          <w:lang w:val="sr-Cyrl-CS"/>
        </w:rPr>
        <w:t xml:space="preserve"> </w:t>
      </w:r>
    </w:p>
    <w:p w:rsidR="00CF4EB1" w:rsidRPr="008B3155" w:rsidRDefault="00CF4EB1" w:rsidP="00126B03">
      <w:pPr>
        <w:spacing w:line="240" w:lineRule="auto"/>
        <w:ind w:firstLine="720"/>
        <w:jc w:val="both"/>
        <w:rPr>
          <w:rFonts w:ascii="Times New Roman" w:hAnsi="Times New Roman"/>
          <w:szCs w:val="24"/>
          <w:lang w:val="sr-Cyrl-CS"/>
        </w:rPr>
      </w:pPr>
      <w:r w:rsidRPr="008B3155">
        <w:rPr>
          <w:rFonts w:ascii="Times New Roman" w:hAnsi="Times New Roman"/>
          <w:szCs w:val="24"/>
          <w:lang w:val="sr-Cyrl-CS"/>
        </w:rPr>
        <w:t xml:space="preserve">Одредба члана 2. </w:t>
      </w:r>
      <w:r w:rsidR="00126B03">
        <w:rPr>
          <w:rFonts w:ascii="Times New Roman" w:hAnsi="Times New Roman"/>
          <w:szCs w:val="24"/>
          <w:lang w:val="sr-Cyrl-CS"/>
        </w:rPr>
        <w:t>овог</w:t>
      </w:r>
      <w:r w:rsidRPr="008B3155">
        <w:rPr>
          <w:rFonts w:ascii="Times New Roman" w:hAnsi="Times New Roman"/>
          <w:szCs w:val="24"/>
          <w:lang w:val="sr-Cyrl-CS"/>
        </w:rPr>
        <w:t xml:space="preserve"> закона садржи текст Споразума о зајму у оригиналу на енглеском језику и у преводу на српски језик. </w:t>
      </w:r>
    </w:p>
    <w:p w:rsidR="00CF4EB1" w:rsidRPr="008B3155" w:rsidRDefault="00CF4EB1" w:rsidP="00126B03">
      <w:pPr>
        <w:spacing w:line="240" w:lineRule="auto"/>
        <w:ind w:firstLine="720"/>
        <w:jc w:val="both"/>
        <w:rPr>
          <w:rFonts w:ascii="Times New Roman" w:hAnsi="Times New Roman"/>
          <w:szCs w:val="24"/>
          <w:lang w:val="sr-Cyrl-CS"/>
        </w:rPr>
      </w:pPr>
      <w:r w:rsidRPr="008B3155">
        <w:rPr>
          <w:rFonts w:ascii="Times New Roman" w:hAnsi="Times New Roman"/>
          <w:szCs w:val="24"/>
          <w:lang w:val="sr-Cyrl-CS"/>
        </w:rPr>
        <w:t xml:space="preserve">Одредбом члана 3. уређује се ступање на снагу овог закона.  </w:t>
      </w:r>
    </w:p>
    <w:p w:rsidR="00CF4EB1" w:rsidRPr="008B3155" w:rsidRDefault="00CF4EB1" w:rsidP="00CF4EB1">
      <w:pPr>
        <w:ind w:firstLine="708"/>
        <w:jc w:val="both"/>
        <w:rPr>
          <w:rFonts w:ascii="Times New Roman" w:hAnsi="Times New Roman"/>
          <w:szCs w:val="24"/>
          <w:lang w:val="sr-Cyrl-CS"/>
        </w:rPr>
      </w:pPr>
    </w:p>
    <w:p w:rsidR="00CF4EB1" w:rsidRPr="008B3155" w:rsidRDefault="00517EA5" w:rsidP="00517EA5">
      <w:pPr>
        <w:pStyle w:val="BodyText"/>
        <w:tabs>
          <w:tab w:val="left" w:pos="0"/>
          <w:tab w:val="left" w:pos="851"/>
        </w:tabs>
        <w:spacing w:line="240" w:lineRule="auto"/>
        <w:ind w:right="0"/>
        <w:rPr>
          <w:rFonts w:ascii="Times New Roman" w:hAnsi="Times New Roman"/>
          <w:color w:val="auto"/>
          <w:szCs w:val="24"/>
          <w:lang w:val="sr-Cyrl-CS"/>
        </w:rPr>
      </w:pPr>
      <w:r>
        <w:rPr>
          <w:rFonts w:ascii="Times New Roman" w:hAnsi="Times New Roman"/>
          <w:bCs/>
          <w:color w:val="auto"/>
          <w:szCs w:val="24"/>
          <w:lang w:val="sr-Cyrl-CS"/>
        </w:rPr>
        <w:t>IV.</w:t>
      </w:r>
      <w:r>
        <w:rPr>
          <w:rFonts w:ascii="Times New Roman" w:hAnsi="Times New Roman"/>
          <w:bCs/>
          <w:color w:val="auto"/>
          <w:szCs w:val="24"/>
          <w:lang w:val="sr-Cyrl-CS"/>
        </w:rPr>
        <w:tab/>
        <w:t xml:space="preserve"> </w:t>
      </w:r>
      <w:bookmarkStart w:id="0" w:name="_GoBack"/>
      <w:bookmarkEnd w:id="0"/>
      <w:r w:rsidR="00CF4EB1" w:rsidRPr="008B3155">
        <w:rPr>
          <w:rFonts w:ascii="Times New Roman" w:hAnsi="Times New Roman"/>
          <w:color w:val="auto"/>
          <w:szCs w:val="24"/>
          <w:lang w:val="sr-Cyrl-CS"/>
        </w:rPr>
        <w:t xml:space="preserve">ФИНАНСИЈСКЕ ОБАВЕЗЕ И ПРОЦЕНА ФИНАНСИЈСКИХ СРЕДСТАВА КОЈА НАСТАЈУ ИЗВРШАВАЊЕМ ЗАКОНА    </w:t>
      </w:r>
      <w:r w:rsidR="00CF4EB1" w:rsidRPr="008B3155">
        <w:rPr>
          <w:rFonts w:ascii="Times New Roman" w:hAnsi="Times New Roman"/>
          <w:color w:val="auto"/>
          <w:szCs w:val="24"/>
          <w:lang w:val="sr-Cyrl-CS"/>
        </w:rPr>
        <w:tab/>
        <w:t xml:space="preserve"> </w:t>
      </w:r>
    </w:p>
    <w:p w:rsidR="00CF4EB1" w:rsidRPr="008B3155" w:rsidRDefault="00CF4EB1" w:rsidP="00CF4EB1">
      <w:pPr>
        <w:ind w:firstLine="720"/>
        <w:jc w:val="both"/>
        <w:rPr>
          <w:rFonts w:ascii="Times New Roman" w:hAnsi="Times New Roman"/>
          <w:b/>
          <w:bCs/>
          <w:szCs w:val="24"/>
          <w:lang w:val="sr-Cyrl-CS"/>
        </w:rPr>
      </w:pPr>
    </w:p>
    <w:p w:rsidR="00CF4EB1" w:rsidRPr="008B3155" w:rsidRDefault="00CF4EB1" w:rsidP="00CF4EB1">
      <w:pPr>
        <w:jc w:val="both"/>
        <w:rPr>
          <w:rFonts w:ascii="Times New Roman" w:hAnsi="Times New Roman"/>
          <w:szCs w:val="24"/>
          <w:lang w:val="sr-Cyrl-CS"/>
        </w:rPr>
      </w:pPr>
      <w:r w:rsidRPr="008B3155">
        <w:rPr>
          <w:rFonts w:ascii="Times New Roman" w:hAnsi="Times New Roman"/>
          <w:szCs w:val="24"/>
          <w:lang w:val="sr-Cyrl-CS"/>
        </w:rPr>
        <w:t xml:space="preserve"> </w:t>
      </w:r>
      <w:r w:rsidRPr="008B3155">
        <w:rPr>
          <w:rFonts w:ascii="Times New Roman" w:hAnsi="Times New Roman"/>
          <w:szCs w:val="24"/>
          <w:lang w:val="sr-Cyrl-CS"/>
        </w:rPr>
        <w:tab/>
        <w:t xml:space="preserve">За спровођење овог закона обезбеђиваће се средства у буџету Републике Србије. </w:t>
      </w:r>
    </w:p>
    <w:p w:rsidR="0014452F" w:rsidRPr="008B3155" w:rsidRDefault="0014452F" w:rsidP="0014452F">
      <w:pPr>
        <w:ind w:firstLine="720"/>
        <w:jc w:val="both"/>
        <w:rPr>
          <w:rFonts w:ascii="Times New Roman" w:hAnsi="Times New Roman"/>
          <w:szCs w:val="24"/>
          <w:lang w:val="sr-Cyrl-CS"/>
        </w:rPr>
      </w:pPr>
    </w:p>
    <w:sectPr w:rsidR="0014452F" w:rsidRPr="008B3155" w:rsidSect="00D227ED">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13" w:h="16834" w:code="9"/>
      <w:pgMar w:top="426" w:right="1411" w:bottom="993" w:left="1699" w:header="850" w:footer="36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FE0" w:rsidRDefault="00C12FE0" w:rsidP="00E65142">
      <w:pPr>
        <w:spacing w:line="240" w:lineRule="auto"/>
      </w:pPr>
      <w:r>
        <w:separator/>
      </w:r>
    </w:p>
  </w:endnote>
  <w:endnote w:type="continuationSeparator" w:id="0">
    <w:p w:rsidR="00C12FE0" w:rsidRDefault="00C12FE0" w:rsidP="00E651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9E0" w:rsidRDefault="00B609E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9E0" w:rsidRDefault="00B609E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EC3" w:rsidRDefault="00C12FE0">
    <w:pPr>
      <w:pStyle w:val="Footer"/>
      <w:jc w:val="center"/>
    </w:pPr>
  </w:p>
  <w:p w:rsidR="00384EC3" w:rsidRDefault="00C12FE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FE0" w:rsidRDefault="00C12FE0" w:rsidP="00E65142">
      <w:pPr>
        <w:spacing w:line="240" w:lineRule="auto"/>
      </w:pPr>
      <w:r>
        <w:separator/>
      </w:r>
    </w:p>
  </w:footnote>
  <w:footnote w:type="continuationSeparator" w:id="0">
    <w:p w:rsidR="00C12FE0" w:rsidRDefault="00C12FE0" w:rsidP="00E651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9E0" w:rsidRDefault="00B609E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9770725"/>
      <w:docPartObj>
        <w:docPartGallery w:val="Page Numbers (Top of Page)"/>
        <w:docPartUnique/>
      </w:docPartObj>
    </w:sdtPr>
    <w:sdtEndPr>
      <w:rPr>
        <w:rFonts w:ascii="Times New Roman" w:hAnsi="Times New Roman"/>
      </w:rPr>
    </w:sdtEndPr>
    <w:sdtContent>
      <w:p w:rsidR="00133D2F" w:rsidRPr="00B609E0" w:rsidRDefault="00AA4A42">
        <w:pPr>
          <w:pStyle w:val="Header"/>
          <w:jc w:val="center"/>
          <w:rPr>
            <w:rFonts w:ascii="Times New Roman" w:hAnsi="Times New Roman"/>
          </w:rPr>
        </w:pPr>
        <w:r w:rsidRPr="00B609E0">
          <w:rPr>
            <w:rFonts w:ascii="Times New Roman" w:hAnsi="Times New Roman"/>
          </w:rPr>
          <w:fldChar w:fldCharType="begin"/>
        </w:r>
        <w:r w:rsidR="002258F5" w:rsidRPr="00B609E0">
          <w:rPr>
            <w:rFonts w:ascii="Times New Roman" w:hAnsi="Times New Roman"/>
          </w:rPr>
          <w:instrText xml:space="preserve"> PAGE   \* MERGEFORMAT </w:instrText>
        </w:r>
        <w:r w:rsidRPr="00B609E0">
          <w:rPr>
            <w:rFonts w:ascii="Times New Roman" w:hAnsi="Times New Roman"/>
          </w:rPr>
          <w:fldChar w:fldCharType="separate"/>
        </w:r>
        <w:r w:rsidR="00517EA5">
          <w:rPr>
            <w:rFonts w:ascii="Times New Roman" w:hAnsi="Times New Roman"/>
            <w:noProof/>
          </w:rPr>
          <w:t>3</w:t>
        </w:r>
        <w:r w:rsidRPr="00B609E0">
          <w:rPr>
            <w:rFonts w:ascii="Times New Roman" w:hAnsi="Times New Roman"/>
            <w:noProof/>
          </w:rPr>
          <w:fldChar w:fldCharType="end"/>
        </w:r>
      </w:p>
    </w:sdtContent>
  </w:sdt>
  <w:p w:rsidR="00384EC3" w:rsidRPr="00E12214" w:rsidRDefault="00C12FE0" w:rsidP="00F56649">
    <w:pPr>
      <w:pStyle w:val="Header"/>
      <w:spacing w:after="480" w:line="240" w:lineRule="auto"/>
      <w:ind w:left="360"/>
      <w:jc w:val="center"/>
      <w:rPr>
        <w:color w:val="000000"/>
        <w:sz w:val="22"/>
        <w:szCs w:val="2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EC3" w:rsidRDefault="00C12FE0" w:rsidP="0098438F">
    <w:pPr>
      <w:tabs>
        <w:tab w:val="right" w:pos="8789"/>
      </w:tabs>
      <w:spacing w:line="240" w:lineRule="auto"/>
      <w:rPr>
        <w:b/>
        <w:vanish/>
        <w:sz w:val="22"/>
        <w:szCs w:val="22"/>
        <w:u w:val="single"/>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F3C41"/>
    <w:multiLevelType w:val="hybridMultilevel"/>
    <w:tmpl w:val="24AE975C"/>
    <w:lvl w:ilvl="0" w:tplc="9B047446">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3B346AC2"/>
    <w:multiLevelType w:val="hybridMultilevel"/>
    <w:tmpl w:val="D5B4DACA"/>
    <w:lvl w:ilvl="0" w:tplc="20E2DFFA">
      <w:numFmt w:val="bullet"/>
      <w:lvlText w:val="-"/>
      <w:lvlJc w:val="left"/>
      <w:pPr>
        <w:ind w:left="2035" w:hanging="360"/>
      </w:pPr>
      <w:rPr>
        <w:rFonts w:ascii="Times New Roman" w:eastAsia="Calibri" w:hAnsi="Times New Roman" w:cs="Times New Roman" w:hint="default"/>
      </w:rPr>
    </w:lvl>
    <w:lvl w:ilvl="1" w:tplc="241A0003">
      <w:start w:val="1"/>
      <w:numFmt w:val="bullet"/>
      <w:lvlText w:val="o"/>
      <w:lvlJc w:val="left"/>
      <w:pPr>
        <w:ind w:left="2755" w:hanging="360"/>
      </w:pPr>
      <w:rPr>
        <w:rFonts w:ascii="Courier New" w:hAnsi="Courier New" w:cs="Courier New" w:hint="default"/>
      </w:rPr>
    </w:lvl>
    <w:lvl w:ilvl="2" w:tplc="241A0005">
      <w:start w:val="1"/>
      <w:numFmt w:val="bullet"/>
      <w:lvlText w:val=""/>
      <w:lvlJc w:val="left"/>
      <w:pPr>
        <w:ind w:left="3475" w:hanging="360"/>
      </w:pPr>
      <w:rPr>
        <w:rFonts w:ascii="Wingdings" w:hAnsi="Wingdings" w:hint="default"/>
      </w:rPr>
    </w:lvl>
    <w:lvl w:ilvl="3" w:tplc="241A0001">
      <w:start w:val="1"/>
      <w:numFmt w:val="bullet"/>
      <w:lvlText w:val=""/>
      <w:lvlJc w:val="left"/>
      <w:pPr>
        <w:ind w:left="4195" w:hanging="360"/>
      </w:pPr>
      <w:rPr>
        <w:rFonts w:ascii="Symbol" w:hAnsi="Symbol" w:hint="default"/>
      </w:rPr>
    </w:lvl>
    <w:lvl w:ilvl="4" w:tplc="241A0003">
      <w:start w:val="1"/>
      <w:numFmt w:val="bullet"/>
      <w:lvlText w:val="o"/>
      <w:lvlJc w:val="left"/>
      <w:pPr>
        <w:ind w:left="4915" w:hanging="360"/>
      </w:pPr>
      <w:rPr>
        <w:rFonts w:ascii="Courier New" w:hAnsi="Courier New" w:cs="Courier New" w:hint="default"/>
      </w:rPr>
    </w:lvl>
    <w:lvl w:ilvl="5" w:tplc="241A0005">
      <w:start w:val="1"/>
      <w:numFmt w:val="bullet"/>
      <w:lvlText w:val=""/>
      <w:lvlJc w:val="left"/>
      <w:pPr>
        <w:ind w:left="5635" w:hanging="360"/>
      </w:pPr>
      <w:rPr>
        <w:rFonts w:ascii="Wingdings" w:hAnsi="Wingdings" w:hint="default"/>
      </w:rPr>
    </w:lvl>
    <w:lvl w:ilvl="6" w:tplc="241A0001">
      <w:start w:val="1"/>
      <w:numFmt w:val="bullet"/>
      <w:lvlText w:val=""/>
      <w:lvlJc w:val="left"/>
      <w:pPr>
        <w:ind w:left="6355" w:hanging="360"/>
      </w:pPr>
      <w:rPr>
        <w:rFonts w:ascii="Symbol" w:hAnsi="Symbol" w:hint="default"/>
      </w:rPr>
    </w:lvl>
    <w:lvl w:ilvl="7" w:tplc="241A0003">
      <w:start w:val="1"/>
      <w:numFmt w:val="bullet"/>
      <w:lvlText w:val="o"/>
      <w:lvlJc w:val="left"/>
      <w:pPr>
        <w:ind w:left="7075" w:hanging="360"/>
      </w:pPr>
      <w:rPr>
        <w:rFonts w:ascii="Courier New" w:hAnsi="Courier New" w:cs="Courier New" w:hint="default"/>
      </w:rPr>
    </w:lvl>
    <w:lvl w:ilvl="8" w:tplc="241A0005">
      <w:start w:val="1"/>
      <w:numFmt w:val="bullet"/>
      <w:lvlText w:val=""/>
      <w:lvlJc w:val="left"/>
      <w:pPr>
        <w:ind w:left="779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EB1"/>
    <w:rsid w:val="00004F42"/>
    <w:rsid w:val="00032215"/>
    <w:rsid w:val="0004638A"/>
    <w:rsid w:val="0008575A"/>
    <w:rsid w:val="000B5708"/>
    <w:rsid w:val="000F5A42"/>
    <w:rsid w:val="000F6DD4"/>
    <w:rsid w:val="00105078"/>
    <w:rsid w:val="00114E85"/>
    <w:rsid w:val="00126B03"/>
    <w:rsid w:val="00133D2F"/>
    <w:rsid w:val="00141403"/>
    <w:rsid w:val="0014452F"/>
    <w:rsid w:val="00170734"/>
    <w:rsid w:val="00187CCB"/>
    <w:rsid w:val="001E7341"/>
    <w:rsid w:val="001F4552"/>
    <w:rsid w:val="002258F5"/>
    <w:rsid w:val="002458EF"/>
    <w:rsid w:val="00254CC1"/>
    <w:rsid w:val="00275893"/>
    <w:rsid w:val="002A4CC3"/>
    <w:rsid w:val="002F3D61"/>
    <w:rsid w:val="002F4319"/>
    <w:rsid w:val="00311F46"/>
    <w:rsid w:val="00315E98"/>
    <w:rsid w:val="003451B8"/>
    <w:rsid w:val="00352106"/>
    <w:rsid w:val="003612D3"/>
    <w:rsid w:val="003625EB"/>
    <w:rsid w:val="003C234D"/>
    <w:rsid w:val="003E1349"/>
    <w:rsid w:val="003E1D94"/>
    <w:rsid w:val="00401255"/>
    <w:rsid w:val="004140B1"/>
    <w:rsid w:val="004562F9"/>
    <w:rsid w:val="004673B9"/>
    <w:rsid w:val="004734D9"/>
    <w:rsid w:val="00492098"/>
    <w:rsid w:val="004969A5"/>
    <w:rsid w:val="004B0D47"/>
    <w:rsid w:val="004B2455"/>
    <w:rsid w:val="004C67E8"/>
    <w:rsid w:val="004E462B"/>
    <w:rsid w:val="004F6F5B"/>
    <w:rsid w:val="00505EC1"/>
    <w:rsid w:val="00513EC9"/>
    <w:rsid w:val="00517EA5"/>
    <w:rsid w:val="00525C0E"/>
    <w:rsid w:val="00537F21"/>
    <w:rsid w:val="00540D90"/>
    <w:rsid w:val="0054220E"/>
    <w:rsid w:val="005540D5"/>
    <w:rsid w:val="005576B0"/>
    <w:rsid w:val="00561B4F"/>
    <w:rsid w:val="005B62C6"/>
    <w:rsid w:val="005C022D"/>
    <w:rsid w:val="00600C7B"/>
    <w:rsid w:val="00631806"/>
    <w:rsid w:val="00633327"/>
    <w:rsid w:val="0063383A"/>
    <w:rsid w:val="00677955"/>
    <w:rsid w:val="006B7B1C"/>
    <w:rsid w:val="006C1417"/>
    <w:rsid w:val="006C197E"/>
    <w:rsid w:val="006C6514"/>
    <w:rsid w:val="006E09A5"/>
    <w:rsid w:val="006F5E5A"/>
    <w:rsid w:val="007016DD"/>
    <w:rsid w:val="007068CE"/>
    <w:rsid w:val="0072685A"/>
    <w:rsid w:val="00740D5F"/>
    <w:rsid w:val="0074774E"/>
    <w:rsid w:val="007C3BC8"/>
    <w:rsid w:val="007C3CB4"/>
    <w:rsid w:val="00804F8A"/>
    <w:rsid w:val="00824A02"/>
    <w:rsid w:val="00825352"/>
    <w:rsid w:val="008366C0"/>
    <w:rsid w:val="00847B00"/>
    <w:rsid w:val="00877F65"/>
    <w:rsid w:val="00886370"/>
    <w:rsid w:val="008967A7"/>
    <w:rsid w:val="008B3155"/>
    <w:rsid w:val="008B7526"/>
    <w:rsid w:val="008C349A"/>
    <w:rsid w:val="008C534B"/>
    <w:rsid w:val="008D21B9"/>
    <w:rsid w:val="008D499B"/>
    <w:rsid w:val="008E1154"/>
    <w:rsid w:val="008E2417"/>
    <w:rsid w:val="008E7317"/>
    <w:rsid w:val="008F5D1A"/>
    <w:rsid w:val="0090120A"/>
    <w:rsid w:val="009056A1"/>
    <w:rsid w:val="0092470E"/>
    <w:rsid w:val="00933095"/>
    <w:rsid w:val="00945C29"/>
    <w:rsid w:val="009544E6"/>
    <w:rsid w:val="00963621"/>
    <w:rsid w:val="009A4FBA"/>
    <w:rsid w:val="00A112BA"/>
    <w:rsid w:val="00A67625"/>
    <w:rsid w:val="00A75CCC"/>
    <w:rsid w:val="00AA4A42"/>
    <w:rsid w:val="00AA6051"/>
    <w:rsid w:val="00AA605A"/>
    <w:rsid w:val="00B0351F"/>
    <w:rsid w:val="00B06225"/>
    <w:rsid w:val="00B16010"/>
    <w:rsid w:val="00B17E1A"/>
    <w:rsid w:val="00B609E0"/>
    <w:rsid w:val="00B91557"/>
    <w:rsid w:val="00BF508C"/>
    <w:rsid w:val="00C03A02"/>
    <w:rsid w:val="00C12FE0"/>
    <w:rsid w:val="00C13BBB"/>
    <w:rsid w:val="00C26BE4"/>
    <w:rsid w:val="00C61643"/>
    <w:rsid w:val="00C64833"/>
    <w:rsid w:val="00C72384"/>
    <w:rsid w:val="00C82CE7"/>
    <w:rsid w:val="00C938F9"/>
    <w:rsid w:val="00CA038F"/>
    <w:rsid w:val="00CA1E6B"/>
    <w:rsid w:val="00CA3AA7"/>
    <w:rsid w:val="00CB5B6B"/>
    <w:rsid w:val="00CC3A26"/>
    <w:rsid w:val="00CF4EB1"/>
    <w:rsid w:val="00D15EA4"/>
    <w:rsid w:val="00D227ED"/>
    <w:rsid w:val="00D243BD"/>
    <w:rsid w:val="00D34928"/>
    <w:rsid w:val="00D60BC1"/>
    <w:rsid w:val="00D613BE"/>
    <w:rsid w:val="00D955B4"/>
    <w:rsid w:val="00DB2C5A"/>
    <w:rsid w:val="00DE1C18"/>
    <w:rsid w:val="00DF3578"/>
    <w:rsid w:val="00E012B8"/>
    <w:rsid w:val="00E52B2A"/>
    <w:rsid w:val="00E56329"/>
    <w:rsid w:val="00E65142"/>
    <w:rsid w:val="00E739DA"/>
    <w:rsid w:val="00E7712E"/>
    <w:rsid w:val="00E81738"/>
    <w:rsid w:val="00E87A96"/>
    <w:rsid w:val="00E934B0"/>
    <w:rsid w:val="00E93A79"/>
    <w:rsid w:val="00EC02EF"/>
    <w:rsid w:val="00EE65A6"/>
    <w:rsid w:val="00F12FAA"/>
    <w:rsid w:val="00F228BF"/>
    <w:rsid w:val="00F25316"/>
    <w:rsid w:val="00F347E6"/>
    <w:rsid w:val="00F539F5"/>
    <w:rsid w:val="00F7544C"/>
    <w:rsid w:val="00FC6B24"/>
    <w:rsid w:val="00FD154F"/>
    <w:rsid w:val="00FE4FF0"/>
    <w:rsid w:val="00FF5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131B4"/>
  <w15:docId w15:val="{09FFBFBF-5609-4FCF-8E23-5BCA2607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EB1"/>
    <w:pPr>
      <w:spacing w:after="0" w:line="312" w:lineRule="exact"/>
    </w:pPr>
    <w:rPr>
      <w:rFonts w:ascii="Arial" w:eastAsia="Times New Roman" w:hAnsi="Arial" w:cs="Times New Roman"/>
      <w:sz w:val="24"/>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F4EB1"/>
    <w:rPr>
      <w:sz w:val="16"/>
    </w:rPr>
  </w:style>
  <w:style w:type="character" w:customStyle="1" w:styleId="FooterChar">
    <w:name w:val="Footer Char"/>
    <w:basedOn w:val="DefaultParagraphFont"/>
    <w:link w:val="Footer"/>
    <w:rsid w:val="00CF4EB1"/>
    <w:rPr>
      <w:rFonts w:ascii="Arial" w:eastAsia="Times New Roman" w:hAnsi="Arial" w:cs="Times New Roman"/>
      <w:sz w:val="16"/>
      <w:szCs w:val="20"/>
      <w:lang w:val="de-DE" w:eastAsia="de-DE"/>
    </w:rPr>
  </w:style>
  <w:style w:type="paragraph" w:styleId="Header">
    <w:name w:val="header"/>
    <w:basedOn w:val="Normal"/>
    <w:link w:val="HeaderChar"/>
    <w:uiPriority w:val="99"/>
    <w:rsid w:val="00CF4EB1"/>
  </w:style>
  <w:style w:type="character" w:customStyle="1" w:styleId="HeaderChar">
    <w:name w:val="Header Char"/>
    <w:basedOn w:val="DefaultParagraphFont"/>
    <w:link w:val="Header"/>
    <w:uiPriority w:val="99"/>
    <w:rsid w:val="00CF4EB1"/>
    <w:rPr>
      <w:rFonts w:ascii="Arial" w:eastAsia="Times New Roman" w:hAnsi="Arial" w:cs="Times New Roman"/>
      <w:sz w:val="24"/>
      <w:szCs w:val="20"/>
      <w:lang w:val="de-DE" w:eastAsia="de-DE"/>
    </w:rPr>
  </w:style>
  <w:style w:type="paragraph" w:styleId="BodyText">
    <w:name w:val="Body Text"/>
    <w:basedOn w:val="Normal"/>
    <w:link w:val="BodyTextChar"/>
    <w:rsid w:val="00CF4EB1"/>
    <w:pPr>
      <w:tabs>
        <w:tab w:val="left" w:pos="570"/>
        <w:tab w:val="left" w:pos="1150"/>
        <w:tab w:val="left" w:pos="4890"/>
        <w:tab w:val="left" w:pos="6330"/>
      </w:tabs>
      <w:spacing w:line="360" w:lineRule="atLeast"/>
      <w:ind w:right="-6"/>
      <w:jc w:val="both"/>
    </w:pPr>
    <w:rPr>
      <w:color w:val="0000FF"/>
    </w:rPr>
  </w:style>
  <w:style w:type="character" w:customStyle="1" w:styleId="BodyTextChar">
    <w:name w:val="Body Text Char"/>
    <w:basedOn w:val="DefaultParagraphFont"/>
    <w:link w:val="BodyText"/>
    <w:rsid w:val="00CF4EB1"/>
    <w:rPr>
      <w:rFonts w:ascii="Arial" w:eastAsia="Times New Roman" w:hAnsi="Arial" w:cs="Times New Roman"/>
      <w:color w:val="0000FF"/>
      <w:sz w:val="24"/>
      <w:szCs w:val="20"/>
      <w:lang w:val="de-DE" w:eastAsia="de-DE"/>
    </w:rPr>
  </w:style>
  <w:style w:type="paragraph" w:styleId="FootnoteText">
    <w:name w:val="footnote text"/>
    <w:basedOn w:val="Normal"/>
    <w:link w:val="FootnoteTextChar"/>
    <w:uiPriority w:val="99"/>
    <w:semiHidden/>
    <w:unhideWhenUsed/>
    <w:rsid w:val="005C022D"/>
    <w:pPr>
      <w:spacing w:line="240" w:lineRule="auto"/>
    </w:pPr>
    <w:rPr>
      <w:rFonts w:ascii="Times New Roman" w:hAnsi="Times New Roman"/>
      <w:sz w:val="20"/>
      <w:lang w:val="en-US" w:eastAsia="en-US"/>
    </w:rPr>
  </w:style>
  <w:style w:type="character" w:customStyle="1" w:styleId="FootnoteTextChar">
    <w:name w:val="Footnote Text Char"/>
    <w:basedOn w:val="DefaultParagraphFont"/>
    <w:link w:val="FootnoteText"/>
    <w:uiPriority w:val="99"/>
    <w:semiHidden/>
    <w:rsid w:val="005C022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C022D"/>
    <w:rPr>
      <w:vertAlign w:val="superscript"/>
    </w:rPr>
  </w:style>
  <w:style w:type="paragraph" w:styleId="BalloonText">
    <w:name w:val="Balloon Text"/>
    <w:basedOn w:val="Normal"/>
    <w:link w:val="BalloonTextChar"/>
    <w:uiPriority w:val="99"/>
    <w:semiHidden/>
    <w:unhideWhenUsed/>
    <w:rsid w:val="004B0D4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D47"/>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1658</Words>
  <Characters>9454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Ljubinka Stojkovic</cp:lastModifiedBy>
  <cp:revision>6</cp:revision>
  <cp:lastPrinted>2020-01-16T13:14:00Z</cp:lastPrinted>
  <dcterms:created xsi:type="dcterms:W3CDTF">2020-01-16T10:04:00Z</dcterms:created>
  <dcterms:modified xsi:type="dcterms:W3CDTF">2020-01-16T13:14:00Z</dcterms:modified>
</cp:coreProperties>
</file>