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FFA" w:rsidRPr="00F973FB" w:rsidRDefault="00C70FFA" w:rsidP="00406601">
      <w:pPr>
        <w:spacing w:after="0" w:line="20" w:lineRule="atLeast"/>
        <w:ind w:firstLine="720"/>
        <w:jc w:val="both"/>
        <w:rPr>
          <w:rFonts w:ascii="Times New Roman" w:hAnsi="Times New Roman" w:cs="Times New Roman"/>
          <w:color w:val="000000"/>
          <w:sz w:val="24"/>
          <w:szCs w:val="24"/>
          <w:lang w:val="sr-Cyrl-CS"/>
        </w:rPr>
      </w:pPr>
      <w:bookmarkStart w:id="0" w:name="_GoBack"/>
      <w:bookmarkEnd w:id="0"/>
      <w:r w:rsidRPr="00F973FB">
        <w:rPr>
          <w:rFonts w:ascii="Times New Roman" w:hAnsi="Times New Roman" w:cs="Times New Roman"/>
          <w:color w:val="000000"/>
          <w:sz w:val="24"/>
          <w:szCs w:val="24"/>
          <w:lang w:val="sr-Cyrl-CS"/>
        </w:rPr>
        <w:t xml:space="preserve">На основу члана 41. став 5. Закона о порезу на доходак грађана („Службени гласник РС”, бр. 24/01, 80/02, 80/02-др. закон, 135/04, 62/06, 65/06-исправка, 31/09, 44/09, 18/10, 50/11, 91/11-УС, 93/12, 114/12-УС, 47/13, 48/13-исправка, 108/13, 57/14, 68/14-др. закон, 112/15, 113/17, 95/18 и </w:t>
      </w:r>
      <w:r w:rsidR="00DF3E22" w:rsidRPr="00F973FB">
        <w:rPr>
          <w:rFonts w:ascii="Times New Roman" w:hAnsi="Times New Roman" w:cs="Times New Roman"/>
          <w:color w:val="000000"/>
          <w:sz w:val="24"/>
          <w:szCs w:val="24"/>
          <w:lang w:val="sr-Cyrl-CS"/>
        </w:rPr>
        <w:t>86</w:t>
      </w:r>
      <w:r w:rsidRPr="00F973FB">
        <w:rPr>
          <w:rFonts w:ascii="Times New Roman" w:hAnsi="Times New Roman" w:cs="Times New Roman"/>
          <w:color w:val="000000"/>
          <w:sz w:val="24"/>
          <w:szCs w:val="24"/>
          <w:lang w:val="sr-Cyrl-CS"/>
        </w:rPr>
        <w:t>/19),</w:t>
      </w:r>
    </w:p>
    <w:p w:rsidR="00E218DD" w:rsidRPr="00F973FB" w:rsidRDefault="00E218DD" w:rsidP="00406601">
      <w:pPr>
        <w:spacing w:after="0" w:line="20" w:lineRule="atLeast"/>
        <w:ind w:firstLine="720"/>
        <w:jc w:val="both"/>
        <w:rPr>
          <w:rFonts w:ascii="Times New Roman" w:hAnsi="Times New Roman" w:cs="Times New Roman"/>
          <w:sz w:val="24"/>
          <w:szCs w:val="24"/>
          <w:lang w:val="sr-Cyrl-CS"/>
        </w:rPr>
      </w:pPr>
    </w:p>
    <w:p w:rsidR="00C70FFA" w:rsidRPr="00F973FB" w:rsidRDefault="00C70FFA" w:rsidP="00406601">
      <w:pPr>
        <w:spacing w:after="0" w:line="20" w:lineRule="atLeast"/>
        <w:ind w:firstLine="720"/>
        <w:jc w:val="both"/>
        <w:rPr>
          <w:rFonts w:ascii="Times New Roman" w:hAnsi="Times New Roman" w:cs="Times New Roman"/>
          <w:sz w:val="24"/>
          <w:szCs w:val="24"/>
          <w:lang w:val="sr-Cyrl-CS"/>
        </w:rPr>
      </w:pPr>
      <w:r w:rsidRPr="00F973FB">
        <w:rPr>
          <w:rFonts w:ascii="Times New Roman" w:hAnsi="Times New Roman" w:cs="Times New Roman"/>
          <w:color w:val="000000"/>
          <w:sz w:val="24"/>
          <w:szCs w:val="24"/>
          <w:lang w:val="sr-Cyrl-CS"/>
        </w:rPr>
        <w:t>Влада</w:t>
      </w:r>
      <w:r w:rsidR="007154D2" w:rsidRPr="00F973FB">
        <w:rPr>
          <w:rFonts w:ascii="Times New Roman" w:hAnsi="Times New Roman" w:cs="Times New Roman"/>
          <w:color w:val="000000"/>
          <w:sz w:val="24"/>
          <w:szCs w:val="24"/>
          <w:lang w:val="sr-Cyrl-CS"/>
        </w:rPr>
        <w:t xml:space="preserve"> </w:t>
      </w:r>
      <w:r w:rsidRPr="00F973FB">
        <w:rPr>
          <w:rFonts w:ascii="Times New Roman" w:hAnsi="Times New Roman" w:cs="Times New Roman"/>
          <w:color w:val="000000"/>
          <w:sz w:val="24"/>
          <w:szCs w:val="24"/>
          <w:lang w:val="sr-Cyrl-CS"/>
        </w:rPr>
        <w:t>доноси</w:t>
      </w:r>
    </w:p>
    <w:p w:rsidR="00C70FFA" w:rsidRPr="00F973FB" w:rsidRDefault="00C70FFA" w:rsidP="00406601">
      <w:pPr>
        <w:spacing w:after="0" w:line="20" w:lineRule="atLeast"/>
        <w:ind w:firstLine="720"/>
        <w:jc w:val="both"/>
        <w:rPr>
          <w:rFonts w:ascii="Times New Roman" w:hAnsi="Times New Roman" w:cs="Times New Roman"/>
          <w:sz w:val="24"/>
          <w:szCs w:val="24"/>
          <w:lang w:val="sr-Cyrl-CS"/>
        </w:rPr>
      </w:pPr>
    </w:p>
    <w:p w:rsidR="00C70FFA" w:rsidRPr="00F973FB" w:rsidRDefault="00C70FFA" w:rsidP="00406601">
      <w:pPr>
        <w:spacing w:after="0" w:line="20" w:lineRule="atLeast"/>
        <w:jc w:val="center"/>
        <w:rPr>
          <w:rFonts w:ascii="Times New Roman" w:hAnsi="Times New Roman" w:cs="Times New Roman"/>
          <w:sz w:val="24"/>
          <w:szCs w:val="24"/>
          <w:lang w:val="sr-Cyrl-CS"/>
        </w:rPr>
      </w:pPr>
      <w:r w:rsidRPr="00F973FB">
        <w:rPr>
          <w:rFonts w:ascii="Times New Roman" w:hAnsi="Times New Roman" w:cs="Times New Roman"/>
          <w:color w:val="000000"/>
          <w:sz w:val="24"/>
          <w:szCs w:val="24"/>
          <w:lang w:val="sr-Cyrl-CS"/>
        </w:rPr>
        <w:t>У</w:t>
      </w:r>
      <w:r w:rsidR="00D65ED0" w:rsidRPr="00F973FB">
        <w:rPr>
          <w:rFonts w:ascii="Times New Roman" w:hAnsi="Times New Roman" w:cs="Times New Roman"/>
          <w:color w:val="000000"/>
          <w:sz w:val="24"/>
          <w:szCs w:val="24"/>
          <w:lang w:val="sr-Cyrl-CS"/>
        </w:rPr>
        <w:t xml:space="preserve"> </w:t>
      </w:r>
      <w:r w:rsidRPr="00F973FB">
        <w:rPr>
          <w:rFonts w:ascii="Times New Roman" w:hAnsi="Times New Roman" w:cs="Times New Roman"/>
          <w:color w:val="000000"/>
          <w:sz w:val="24"/>
          <w:szCs w:val="24"/>
          <w:lang w:val="sr-Cyrl-CS"/>
        </w:rPr>
        <w:t>Р</w:t>
      </w:r>
      <w:r w:rsidR="00D65ED0" w:rsidRPr="00F973FB">
        <w:rPr>
          <w:rFonts w:ascii="Times New Roman" w:hAnsi="Times New Roman" w:cs="Times New Roman"/>
          <w:color w:val="000000"/>
          <w:sz w:val="24"/>
          <w:szCs w:val="24"/>
          <w:lang w:val="sr-Cyrl-CS"/>
        </w:rPr>
        <w:t xml:space="preserve"> </w:t>
      </w:r>
      <w:r w:rsidRPr="00F973FB">
        <w:rPr>
          <w:rFonts w:ascii="Times New Roman" w:hAnsi="Times New Roman" w:cs="Times New Roman"/>
          <w:color w:val="000000"/>
          <w:sz w:val="24"/>
          <w:szCs w:val="24"/>
          <w:lang w:val="sr-Cyrl-CS"/>
        </w:rPr>
        <w:t>Е</w:t>
      </w:r>
      <w:r w:rsidR="00D65ED0" w:rsidRPr="00F973FB">
        <w:rPr>
          <w:rFonts w:ascii="Times New Roman" w:hAnsi="Times New Roman" w:cs="Times New Roman"/>
          <w:color w:val="000000"/>
          <w:sz w:val="24"/>
          <w:szCs w:val="24"/>
          <w:lang w:val="sr-Cyrl-CS"/>
        </w:rPr>
        <w:t xml:space="preserve"> </w:t>
      </w:r>
      <w:r w:rsidRPr="00F973FB">
        <w:rPr>
          <w:rFonts w:ascii="Times New Roman" w:hAnsi="Times New Roman" w:cs="Times New Roman"/>
          <w:color w:val="000000"/>
          <w:sz w:val="24"/>
          <w:szCs w:val="24"/>
          <w:lang w:val="sr-Cyrl-CS"/>
        </w:rPr>
        <w:t>Д</w:t>
      </w:r>
      <w:r w:rsidR="00D65ED0" w:rsidRPr="00F973FB">
        <w:rPr>
          <w:rFonts w:ascii="Times New Roman" w:hAnsi="Times New Roman" w:cs="Times New Roman"/>
          <w:color w:val="000000"/>
          <w:sz w:val="24"/>
          <w:szCs w:val="24"/>
          <w:lang w:val="sr-Cyrl-CS"/>
        </w:rPr>
        <w:t xml:space="preserve"> </w:t>
      </w:r>
      <w:r w:rsidRPr="00F973FB">
        <w:rPr>
          <w:rFonts w:ascii="Times New Roman" w:hAnsi="Times New Roman" w:cs="Times New Roman"/>
          <w:color w:val="000000"/>
          <w:sz w:val="24"/>
          <w:szCs w:val="24"/>
          <w:lang w:val="sr-Cyrl-CS"/>
        </w:rPr>
        <w:t>Б</w:t>
      </w:r>
      <w:r w:rsidR="00D65ED0" w:rsidRPr="00F973FB">
        <w:rPr>
          <w:rFonts w:ascii="Times New Roman" w:hAnsi="Times New Roman" w:cs="Times New Roman"/>
          <w:color w:val="000000"/>
          <w:sz w:val="24"/>
          <w:szCs w:val="24"/>
          <w:lang w:val="sr-Cyrl-CS"/>
        </w:rPr>
        <w:t xml:space="preserve"> </w:t>
      </w:r>
      <w:r w:rsidRPr="00F973FB">
        <w:rPr>
          <w:rFonts w:ascii="Times New Roman" w:hAnsi="Times New Roman" w:cs="Times New Roman"/>
          <w:color w:val="000000"/>
          <w:sz w:val="24"/>
          <w:szCs w:val="24"/>
          <w:lang w:val="sr-Cyrl-CS"/>
        </w:rPr>
        <w:t>У</w:t>
      </w:r>
    </w:p>
    <w:p w:rsidR="00C70FFA" w:rsidRPr="00F973FB" w:rsidRDefault="00C70FFA" w:rsidP="00406601">
      <w:pPr>
        <w:spacing w:after="0" w:line="20" w:lineRule="atLeast"/>
        <w:jc w:val="center"/>
        <w:rPr>
          <w:rFonts w:ascii="Times New Roman" w:hAnsi="Times New Roman" w:cs="Times New Roman"/>
          <w:color w:val="000000"/>
          <w:sz w:val="24"/>
          <w:szCs w:val="24"/>
          <w:lang w:val="sr-Cyrl-CS"/>
        </w:rPr>
      </w:pPr>
      <w:r w:rsidRPr="00F973FB">
        <w:rPr>
          <w:rFonts w:ascii="Times New Roman" w:hAnsi="Times New Roman" w:cs="Times New Roman"/>
          <w:color w:val="000000"/>
          <w:sz w:val="24"/>
          <w:szCs w:val="24"/>
          <w:lang w:val="sr-Cyrl-CS"/>
        </w:rPr>
        <w:t>О БЛИЖИМ УСЛОВИМА, КРИТЕРИЈУМИМА И ЕЛЕМЕНТИМА ЗА ПАУШАЛНО ОПОРЕЗИВАЊЕ ОБВЕЗНИКА ПОРЕЗА НА ПРИХОДЕ ОД САМОСТАЛНЕ ДЕЛАТНОСТИ</w:t>
      </w:r>
    </w:p>
    <w:p w:rsidR="00C70FFA" w:rsidRPr="00F973FB" w:rsidRDefault="00C70FFA" w:rsidP="00406601">
      <w:pPr>
        <w:spacing w:after="0" w:line="20" w:lineRule="atLeast"/>
        <w:ind w:firstLine="720"/>
        <w:jc w:val="center"/>
        <w:rPr>
          <w:rFonts w:ascii="Times New Roman" w:hAnsi="Times New Roman" w:cs="Times New Roman"/>
          <w:color w:val="000000"/>
          <w:sz w:val="24"/>
          <w:szCs w:val="24"/>
          <w:lang w:val="sr-Cyrl-CS"/>
        </w:rPr>
      </w:pPr>
    </w:p>
    <w:p w:rsidR="00D65ED0" w:rsidRPr="00F973FB" w:rsidRDefault="00B82E42" w:rsidP="00D65ED0">
      <w:pPr>
        <w:spacing w:after="0" w:line="20" w:lineRule="atLeast"/>
        <w:jc w:val="center"/>
        <w:rPr>
          <w:rFonts w:ascii="Times New Roman" w:hAnsi="Times New Roman" w:cs="Times New Roman"/>
          <w:sz w:val="24"/>
          <w:szCs w:val="24"/>
          <w:lang w:val="sr-Cyrl-CS"/>
        </w:rPr>
      </w:pPr>
      <w:r w:rsidRPr="00F973FB">
        <w:rPr>
          <w:rFonts w:ascii="Times New Roman" w:hAnsi="Times New Roman" w:cs="Times New Roman"/>
          <w:sz w:val="24"/>
          <w:szCs w:val="24"/>
          <w:lang w:val="sr-Cyrl-CS"/>
        </w:rPr>
        <w:t>Предмет уређивања</w:t>
      </w:r>
    </w:p>
    <w:p w:rsidR="00C70FFA" w:rsidRPr="00F973FB" w:rsidRDefault="00C70FFA" w:rsidP="00406601">
      <w:pPr>
        <w:spacing w:after="0" w:line="20" w:lineRule="atLeast"/>
        <w:jc w:val="center"/>
        <w:rPr>
          <w:rFonts w:ascii="Times New Roman" w:hAnsi="Times New Roman" w:cs="Times New Roman"/>
          <w:sz w:val="24"/>
          <w:szCs w:val="24"/>
          <w:lang w:val="sr-Cyrl-CS"/>
        </w:rPr>
      </w:pPr>
      <w:r w:rsidRPr="00F973FB">
        <w:rPr>
          <w:rFonts w:ascii="Times New Roman" w:hAnsi="Times New Roman" w:cs="Times New Roman"/>
          <w:color w:val="000000"/>
          <w:sz w:val="24"/>
          <w:szCs w:val="24"/>
          <w:lang w:val="sr-Cyrl-CS"/>
        </w:rPr>
        <w:t>Члан 1.</w:t>
      </w:r>
    </w:p>
    <w:p w:rsidR="00C70FFA" w:rsidRPr="00F973FB" w:rsidRDefault="00C70FFA" w:rsidP="00406601">
      <w:pPr>
        <w:spacing w:after="0" w:line="20" w:lineRule="atLeast"/>
        <w:ind w:firstLine="720"/>
        <w:jc w:val="both"/>
        <w:rPr>
          <w:rFonts w:ascii="Times New Roman" w:hAnsi="Times New Roman" w:cs="Times New Roman"/>
          <w:color w:val="000000"/>
          <w:sz w:val="24"/>
          <w:szCs w:val="24"/>
          <w:lang w:val="sr-Cyrl-CS"/>
        </w:rPr>
      </w:pPr>
      <w:r w:rsidRPr="00F973FB">
        <w:rPr>
          <w:rFonts w:ascii="Times New Roman" w:hAnsi="Times New Roman" w:cs="Times New Roman"/>
          <w:color w:val="000000"/>
          <w:sz w:val="24"/>
          <w:szCs w:val="24"/>
          <w:lang w:val="sr-Cyrl-CS"/>
        </w:rPr>
        <w:t>Овом уредбом ближе се уређују услови, критеријуми и елементи за паушално опорезивање обвезника пореза на приходе од самосталне делатности у складу са чланом 41. Закона о порезу на доходак грађана („Службени гласник РС”, бр. 24/01, 80/02, 80/02-др. закон, 135/04, 62/06, 65/06-исправка, 31/09, 44/09, 18/10, 50/11, 91/11-УС, 93/12, 114/12-УС, 47/13, 48/13-исправка, 108/13, 57/14, 68/14-др. закон, 112/15, 113/17, 95/18 и</w:t>
      </w:r>
      <w:r w:rsidR="00DF3E22" w:rsidRPr="00F973FB">
        <w:rPr>
          <w:rFonts w:ascii="Times New Roman" w:hAnsi="Times New Roman" w:cs="Times New Roman"/>
          <w:color w:val="000000"/>
          <w:sz w:val="24"/>
          <w:szCs w:val="24"/>
          <w:lang w:val="sr-Cyrl-CS"/>
        </w:rPr>
        <w:t xml:space="preserve"> 86</w:t>
      </w:r>
      <w:r w:rsidRPr="00F973FB">
        <w:rPr>
          <w:rFonts w:ascii="Times New Roman" w:hAnsi="Times New Roman" w:cs="Times New Roman"/>
          <w:color w:val="000000"/>
          <w:sz w:val="24"/>
          <w:szCs w:val="24"/>
          <w:lang w:val="sr-Cyrl-CS"/>
        </w:rPr>
        <w:t xml:space="preserve">/19 </w:t>
      </w:r>
      <w:r w:rsidR="00D65ED0" w:rsidRPr="00F973FB">
        <w:rPr>
          <w:rFonts w:ascii="Times New Roman" w:hAnsi="Times New Roman" w:cs="Times New Roman"/>
          <w:color w:val="000000"/>
          <w:sz w:val="24"/>
          <w:szCs w:val="24"/>
          <w:lang w:val="sr-Cyrl-CS"/>
        </w:rPr>
        <w:t>–</w:t>
      </w:r>
      <w:r w:rsidRPr="00F973FB">
        <w:rPr>
          <w:rFonts w:ascii="Times New Roman" w:hAnsi="Times New Roman" w:cs="Times New Roman"/>
          <w:color w:val="000000"/>
          <w:sz w:val="24"/>
          <w:szCs w:val="24"/>
          <w:lang w:val="sr-Cyrl-CS"/>
        </w:rPr>
        <w:t xml:space="preserve"> у даљем тексту: Закон).</w:t>
      </w:r>
    </w:p>
    <w:p w:rsidR="00C70FFA" w:rsidRPr="00F973FB" w:rsidRDefault="00C70FFA" w:rsidP="00406601">
      <w:pPr>
        <w:spacing w:after="0" w:line="20" w:lineRule="atLeast"/>
        <w:ind w:firstLine="720"/>
        <w:rPr>
          <w:rFonts w:ascii="Times New Roman" w:hAnsi="Times New Roman" w:cs="Times New Roman"/>
          <w:sz w:val="24"/>
          <w:szCs w:val="24"/>
          <w:lang w:val="sr-Cyrl-CS"/>
        </w:rPr>
      </w:pPr>
    </w:p>
    <w:p w:rsidR="00C70FFA" w:rsidRPr="00F973FB" w:rsidRDefault="00B82E42" w:rsidP="00406601">
      <w:pPr>
        <w:spacing w:after="0" w:line="20" w:lineRule="atLeast"/>
        <w:jc w:val="center"/>
        <w:rPr>
          <w:rFonts w:ascii="Times New Roman" w:hAnsi="Times New Roman" w:cs="Times New Roman"/>
          <w:color w:val="000000"/>
          <w:sz w:val="24"/>
          <w:szCs w:val="24"/>
          <w:lang w:val="sr-Cyrl-CS"/>
        </w:rPr>
      </w:pPr>
      <w:r w:rsidRPr="00F973FB">
        <w:rPr>
          <w:rFonts w:ascii="Times New Roman" w:hAnsi="Times New Roman" w:cs="Times New Roman"/>
          <w:color w:val="000000"/>
          <w:sz w:val="24"/>
          <w:szCs w:val="24"/>
          <w:lang w:val="sr-Cyrl-CS"/>
        </w:rPr>
        <w:t>Услови за паушално опорезивање</w:t>
      </w:r>
    </w:p>
    <w:p w:rsidR="00C70FFA" w:rsidRPr="00F973FB" w:rsidRDefault="00C70FFA" w:rsidP="00406601">
      <w:pPr>
        <w:spacing w:after="0" w:line="20" w:lineRule="atLeast"/>
        <w:jc w:val="center"/>
        <w:rPr>
          <w:rFonts w:ascii="Times New Roman" w:hAnsi="Times New Roman" w:cs="Times New Roman"/>
          <w:sz w:val="24"/>
          <w:szCs w:val="24"/>
          <w:lang w:val="sr-Cyrl-CS"/>
        </w:rPr>
      </w:pPr>
      <w:r w:rsidRPr="00F973FB">
        <w:rPr>
          <w:rFonts w:ascii="Times New Roman" w:hAnsi="Times New Roman" w:cs="Times New Roman"/>
          <w:color w:val="000000"/>
          <w:sz w:val="24"/>
          <w:szCs w:val="24"/>
          <w:lang w:val="sr-Cyrl-CS"/>
        </w:rPr>
        <w:t>Члан 2.</w:t>
      </w:r>
    </w:p>
    <w:p w:rsidR="00DF3E22" w:rsidRPr="00F973FB" w:rsidRDefault="00664F64" w:rsidP="00406601">
      <w:pPr>
        <w:pStyle w:val="BodyText"/>
        <w:spacing w:line="20" w:lineRule="atLeast"/>
        <w:ind w:left="100" w:right="115" w:firstLine="620"/>
        <w:rPr>
          <w:lang w:val="sr-Cyrl-CS"/>
        </w:rPr>
      </w:pPr>
      <w:r w:rsidRPr="00F973FB">
        <w:rPr>
          <w:lang w:val="sr-Cyrl-CS"/>
        </w:rPr>
        <w:t>О</w:t>
      </w:r>
      <w:r w:rsidR="00DF3E22" w:rsidRPr="00F973FB">
        <w:rPr>
          <w:lang w:val="sr-Cyrl-CS"/>
        </w:rPr>
        <w:t>бвезник пореза на приходе од самосталне делатности к</w:t>
      </w:r>
      <w:r w:rsidR="00C70FFA" w:rsidRPr="00F973FB">
        <w:rPr>
          <w:lang w:val="sr-Cyrl-CS"/>
        </w:rPr>
        <w:t xml:space="preserve">оји испуњава услове за паушално опорезивање прописане </w:t>
      </w:r>
      <w:r w:rsidR="007154D2" w:rsidRPr="00F973FB">
        <w:rPr>
          <w:lang w:val="sr-Cyrl-CS"/>
        </w:rPr>
        <w:t>члан</w:t>
      </w:r>
      <w:r w:rsidR="00DF3E22" w:rsidRPr="00F973FB">
        <w:rPr>
          <w:lang w:val="sr-Cyrl-CS"/>
        </w:rPr>
        <w:t>ом</w:t>
      </w:r>
      <w:r w:rsidR="007154D2" w:rsidRPr="00F973FB">
        <w:rPr>
          <w:lang w:val="sr-Cyrl-CS"/>
        </w:rPr>
        <w:t xml:space="preserve"> 40. Закона </w:t>
      </w:r>
      <w:r w:rsidR="00C70FFA" w:rsidRPr="00F973FB">
        <w:rPr>
          <w:lang w:val="sr-Cyrl-CS"/>
        </w:rPr>
        <w:t xml:space="preserve">(у даљем тексту: предузетник паушалац) </w:t>
      </w:r>
      <w:r w:rsidR="00A153A3" w:rsidRPr="00F973FB">
        <w:rPr>
          <w:lang w:val="sr-Cyrl-CS"/>
        </w:rPr>
        <w:t>може да поднесе захтев за паушално опорезивање Пореск</w:t>
      </w:r>
      <w:r w:rsidR="00DF3E22" w:rsidRPr="00F973FB">
        <w:rPr>
          <w:lang w:val="sr-Cyrl-CS"/>
        </w:rPr>
        <w:t>ој</w:t>
      </w:r>
      <w:r w:rsidR="00A153A3" w:rsidRPr="00F973FB">
        <w:rPr>
          <w:lang w:val="sr-Cyrl-CS"/>
        </w:rPr>
        <w:t xml:space="preserve"> управ</w:t>
      </w:r>
      <w:r w:rsidR="00DF3E22" w:rsidRPr="00F973FB">
        <w:rPr>
          <w:lang w:val="sr-Cyrl-CS"/>
        </w:rPr>
        <w:t>и.</w:t>
      </w:r>
    </w:p>
    <w:p w:rsidR="00C70FFA" w:rsidRPr="00F973FB" w:rsidRDefault="00C70FFA" w:rsidP="00406601">
      <w:pPr>
        <w:spacing w:after="0" w:line="20" w:lineRule="atLeast"/>
        <w:ind w:firstLine="720"/>
        <w:jc w:val="both"/>
        <w:rPr>
          <w:rFonts w:ascii="Times New Roman" w:hAnsi="Times New Roman" w:cs="Times New Roman"/>
          <w:color w:val="000000"/>
          <w:sz w:val="24"/>
          <w:szCs w:val="24"/>
          <w:lang w:val="sr-Cyrl-CS"/>
        </w:rPr>
      </w:pPr>
    </w:p>
    <w:p w:rsidR="00C70FFA" w:rsidRPr="00F973FB" w:rsidRDefault="00C70FFA" w:rsidP="00406601">
      <w:pPr>
        <w:spacing w:after="0" w:line="20" w:lineRule="atLeast"/>
        <w:jc w:val="center"/>
        <w:rPr>
          <w:rFonts w:ascii="Times New Roman" w:hAnsi="Times New Roman" w:cs="Times New Roman"/>
          <w:color w:val="000000"/>
          <w:sz w:val="24"/>
          <w:szCs w:val="24"/>
          <w:lang w:val="sr-Cyrl-CS"/>
        </w:rPr>
      </w:pPr>
      <w:r w:rsidRPr="00F973FB">
        <w:rPr>
          <w:rFonts w:ascii="Times New Roman" w:hAnsi="Times New Roman" w:cs="Times New Roman"/>
          <w:color w:val="000000"/>
          <w:sz w:val="24"/>
          <w:szCs w:val="24"/>
          <w:lang w:val="sr-Cyrl-CS"/>
        </w:rPr>
        <w:t>К</w:t>
      </w:r>
      <w:r w:rsidR="00B82E42" w:rsidRPr="00F973FB">
        <w:rPr>
          <w:rFonts w:ascii="Times New Roman" w:hAnsi="Times New Roman" w:cs="Times New Roman"/>
          <w:color w:val="000000"/>
          <w:sz w:val="24"/>
          <w:szCs w:val="24"/>
          <w:lang w:val="sr-Cyrl-CS"/>
        </w:rPr>
        <w:t>ритеријуми за утврђивање висине паушалног прихода</w:t>
      </w:r>
    </w:p>
    <w:p w:rsidR="00C70FFA" w:rsidRPr="00F973FB" w:rsidRDefault="00C70FFA" w:rsidP="00406601">
      <w:pPr>
        <w:spacing w:after="0" w:line="20" w:lineRule="atLeast"/>
        <w:jc w:val="center"/>
        <w:rPr>
          <w:rFonts w:ascii="Times New Roman" w:hAnsi="Times New Roman" w:cs="Times New Roman"/>
          <w:sz w:val="24"/>
          <w:szCs w:val="24"/>
          <w:lang w:val="sr-Cyrl-CS"/>
        </w:rPr>
      </w:pPr>
      <w:r w:rsidRPr="00F973FB">
        <w:rPr>
          <w:rFonts w:ascii="Times New Roman" w:hAnsi="Times New Roman" w:cs="Times New Roman"/>
          <w:color w:val="000000"/>
          <w:sz w:val="24"/>
          <w:szCs w:val="24"/>
          <w:lang w:val="sr-Cyrl-CS"/>
        </w:rPr>
        <w:t>Члан 3.</w:t>
      </w:r>
    </w:p>
    <w:p w:rsidR="00C70FFA" w:rsidRPr="00F973FB" w:rsidRDefault="00C70FFA" w:rsidP="00406601">
      <w:pPr>
        <w:spacing w:after="0" w:line="20" w:lineRule="atLeast"/>
        <w:ind w:firstLine="720"/>
        <w:jc w:val="both"/>
        <w:rPr>
          <w:rFonts w:ascii="Times New Roman" w:hAnsi="Times New Roman" w:cs="Times New Roman"/>
          <w:sz w:val="24"/>
          <w:szCs w:val="24"/>
          <w:lang w:val="sr-Cyrl-CS"/>
        </w:rPr>
      </w:pPr>
      <w:r w:rsidRPr="00F973FB">
        <w:rPr>
          <w:rFonts w:ascii="Times New Roman" w:hAnsi="Times New Roman" w:cs="Times New Roman"/>
          <w:color w:val="000000"/>
          <w:sz w:val="24"/>
          <w:szCs w:val="24"/>
          <w:lang w:val="sr-Cyrl-CS"/>
        </w:rPr>
        <w:t>Ради утврђивања висине паушалног прихода, као основице пореза на приходе од самосталне делатности (у даљем тексту</w:t>
      </w:r>
      <w:r w:rsidRPr="00F973FB">
        <w:rPr>
          <w:rFonts w:ascii="Times New Roman" w:hAnsi="Times New Roman" w:cs="Times New Roman"/>
          <w:sz w:val="24"/>
          <w:szCs w:val="24"/>
          <w:lang w:val="sr-Cyrl-CS"/>
        </w:rPr>
        <w:t>: порез), предузетници паушалци се разврставају у групе, и то тако да једну групу чине сви предузетници паушалци који обављају исту претежну делатност.</w:t>
      </w:r>
    </w:p>
    <w:p w:rsidR="00C70FFA" w:rsidRPr="00F973FB" w:rsidRDefault="00FB5A16" w:rsidP="00406601">
      <w:pPr>
        <w:spacing w:after="0" w:line="20" w:lineRule="atLeast"/>
        <w:jc w:val="both"/>
        <w:rPr>
          <w:rFonts w:ascii="Times New Roman" w:hAnsi="Times New Roman" w:cs="Times New Roman"/>
          <w:color w:val="FF0000"/>
          <w:sz w:val="24"/>
          <w:szCs w:val="24"/>
          <w:lang w:val="sr-Cyrl-CS"/>
        </w:rPr>
      </w:pPr>
      <w:r w:rsidRPr="00F973FB">
        <w:rPr>
          <w:rFonts w:ascii="Times New Roman" w:hAnsi="Times New Roman" w:cs="Times New Roman"/>
          <w:sz w:val="24"/>
          <w:szCs w:val="24"/>
          <w:lang w:val="sr-Cyrl-CS"/>
        </w:rPr>
        <w:tab/>
      </w:r>
      <w:r w:rsidR="00C70FFA" w:rsidRPr="00F973FB">
        <w:rPr>
          <w:rFonts w:ascii="Times New Roman" w:hAnsi="Times New Roman" w:cs="Times New Roman"/>
          <w:sz w:val="24"/>
          <w:szCs w:val="24"/>
          <w:lang w:val="sr-Cyrl-CS"/>
        </w:rPr>
        <w:t xml:space="preserve">У смислу ове уредбе, сматра се да предузетник паушалац као претежну обавља ону делатност која је као таква регистрована </w:t>
      </w:r>
      <w:r w:rsidR="00DF3E22" w:rsidRPr="00F973FB">
        <w:rPr>
          <w:rFonts w:ascii="Times New Roman" w:hAnsi="Times New Roman" w:cs="Times New Roman"/>
          <w:sz w:val="24"/>
          <w:szCs w:val="24"/>
          <w:lang w:val="sr-Cyrl-CS"/>
        </w:rPr>
        <w:t>код надлежне организације</w:t>
      </w:r>
      <w:r w:rsidR="00C70FFA" w:rsidRPr="00F973FB">
        <w:rPr>
          <w:rFonts w:ascii="Times New Roman" w:hAnsi="Times New Roman" w:cs="Times New Roman"/>
          <w:sz w:val="24"/>
          <w:szCs w:val="24"/>
          <w:lang w:val="sr-Cyrl-CS"/>
        </w:rPr>
        <w:t xml:space="preserve">, </w:t>
      </w:r>
      <w:r w:rsidR="00C70FFA" w:rsidRPr="00F973FB">
        <w:rPr>
          <w:rFonts w:ascii="Times New Roman" w:hAnsi="Times New Roman" w:cs="Times New Roman"/>
          <w:color w:val="000000"/>
          <w:sz w:val="24"/>
          <w:szCs w:val="24"/>
          <w:lang w:val="sr-Cyrl-CS"/>
        </w:rPr>
        <w:t>односно било коју делатност од чијег обављања је у пореском периоду остварио виши износ прихода у односу на ону коју је регистровао као претежну делатност</w:t>
      </w:r>
      <w:r w:rsidR="00C70FFA" w:rsidRPr="00F973FB">
        <w:rPr>
          <w:rFonts w:ascii="Times New Roman" w:hAnsi="Times New Roman" w:cs="Times New Roman"/>
          <w:sz w:val="24"/>
          <w:szCs w:val="24"/>
          <w:lang w:val="sr-Cyrl-CS"/>
        </w:rPr>
        <w:t>.</w:t>
      </w:r>
      <w:r w:rsidR="00C70FFA" w:rsidRPr="00F973FB">
        <w:rPr>
          <w:rFonts w:ascii="Times New Roman" w:hAnsi="Times New Roman" w:cs="Times New Roman"/>
          <w:color w:val="FF0000"/>
          <w:sz w:val="24"/>
          <w:szCs w:val="24"/>
          <w:lang w:val="sr-Cyrl-CS"/>
        </w:rPr>
        <w:t xml:space="preserve"> </w:t>
      </w:r>
    </w:p>
    <w:p w:rsidR="00C70FFA" w:rsidRPr="00F973FB" w:rsidRDefault="00DF3E22" w:rsidP="00406601">
      <w:pPr>
        <w:spacing w:after="0" w:line="20" w:lineRule="atLeast"/>
        <w:ind w:firstLine="720"/>
        <w:jc w:val="both"/>
        <w:rPr>
          <w:rFonts w:ascii="Times New Roman" w:hAnsi="Times New Roman" w:cs="Times New Roman"/>
          <w:sz w:val="24"/>
          <w:szCs w:val="24"/>
          <w:lang w:val="sr-Cyrl-CS"/>
        </w:rPr>
      </w:pPr>
      <w:r w:rsidRPr="00F973FB">
        <w:rPr>
          <w:rFonts w:ascii="Times New Roman" w:hAnsi="Times New Roman" w:cs="Times New Roman"/>
          <w:sz w:val="24"/>
          <w:szCs w:val="24"/>
          <w:lang w:val="sr-Cyrl-CS"/>
        </w:rPr>
        <w:t>П</w:t>
      </w:r>
      <w:r w:rsidR="00C70FFA" w:rsidRPr="00F973FB">
        <w:rPr>
          <w:rFonts w:ascii="Times New Roman" w:hAnsi="Times New Roman" w:cs="Times New Roman"/>
          <w:sz w:val="24"/>
          <w:szCs w:val="24"/>
          <w:lang w:val="sr-Cyrl-CS"/>
        </w:rPr>
        <w:t xml:space="preserve">редузетник паушалац коме се током пореског периода промени претежна делатност, о томе доставља пореску пријаву пореском органу, најкасније до 31. јануара наредне године у односу на годину у којој је дошло до промене претежне делатности. </w:t>
      </w:r>
    </w:p>
    <w:p w:rsidR="00C70FFA" w:rsidRPr="00F973FB" w:rsidRDefault="00C70FFA" w:rsidP="00406601">
      <w:pPr>
        <w:spacing w:after="0" w:line="20" w:lineRule="atLeast"/>
        <w:ind w:firstLine="720"/>
        <w:jc w:val="both"/>
        <w:rPr>
          <w:rFonts w:ascii="Times New Roman" w:hAnsi="Times New Roman" w:cs="Times New Roman"/>
          <w:sz w:val="24"/>
          <w:szCs w:val="24"/>
          <w:lang w:val="sr-Cyrl-CS"/>
        </w:rPr>
      </w:pPr>
      <w:r w:rsidRPr="00F973FB">
        <w:rPr>
          <w:rFonts w:ascii="Times New Roman" w:hAnsi="Times New Roman" w:cs="Times New Roman"/>
          <w:sz w:val="24"/>
          <w:szCs w:val="24"/>
          <w:lang w:val="sr-Cyrl-CS"/>
        </w:rPr>
        <w:t xml:space="preserve">Предузетнику паушалцу који пореску пријаву из става 3. овог члана </w:t>
      </w:r>
      <w:r w:rsidR="00DF3E22" w:rsidRPr="00F973FB">
        <w:rPr>
          <w:rFonts w:ascii="Times New Roman" w:hAnsi="Times New Roman" w:cs="Times New Roman"/>
          <w:sz w:val="24"/>
          <w:szCs w:val="24"/>
          <w:lang w:val="sr-Cyrl-CS"/>
        </w:rPr>
        <w:t>поднесе</w:t>
      </w:r>
      <w:r w:rsidR="00A734F0" w:rsidRPr="00F973FB">
        <w:rPr>
          <w:rFonts w:ascii="Times New Roman" w:hAnsi="Times New Roman" w:cs="Times New Roman"/>
          <w:sz w:val="24"/>
          <w:szCs w:val="24"/>
          <w:lang w:val="sr-Cyrl-CS"/>
        </w:rPr>
        <w:t xml:space="preserve"> </w:t>
      </w:r>
      <w:r w:rsidRPr="00F973FB">
        <w:rPr>
          <w:rFonts w:ascii="Times New Roman" w:hAnsi="Times New Roman" w:cs="Times New Roman"/>
          <w:sz w:val="24"/>
          <w:szCs w:val="24"/>
          <w:lang w:val="sr-Cyrl-CS"/>
        </w:rPr>
        <w:t xml:space="preserve">у прописаном року, пореска обавеза се утврђује у складу са промењеном претежном делатношћу почев за наредни порески период у односу на порески период у коме је променио претежну делатност. </w:t>
      </w:r>
    </w:p>
    <w:p w:rsidR="00C70FFA" w:rsidRPr="00F973FB" w:rsidRDefault="00C70FFA" w:rsidP="00406601">
      <w:pPr>
        <w:spacing w:after="0" w:line="20" w:lineRule="atLeast"/>
        <w:ind w:firstLine="720"/>
        <w:jc w:val="both"/>
        <w:rPr>
          <w:rFonts w:ascii="Times New Roman" w:hAnsi="Times New Roman" w:cs="Times New Roman"/>
          <w:sz w:val="24"/>
          <w:szCs w:val="24"/>
          <w:lang w:val="sr-Cyrl-CS"/>
        </w:rPr>
      </w:pPr>
      <w:r w:rsidRPr="00F973FB">
        <w:rPr>
          <w:rFonts w:ascii="Times New Roman" w:hAnsi="Times New Roman" w:cs="Times New Roman"/>
          <w:sz w:val="24"/>
          <w:szCs w:val="24"/>
          <w:lang w:val="sr-Cyrl-CS"/>
        </w:rPr>
        <w:t xml:space="preserve">Уколико предузетник паушалац не поднесе благовремено пореску пријаву из става 3. овог члана, порески орган може да му утврди пореску обавезу узимајући у обзир чињеницу промене претежне делатности, за период који почиње од првог дана пореског периода за који је утврђена промена претежне делатности. </w:t>
      </w:r>
    </w:p>
    <w:p w:rsidR="00C46205" w:rsidRPr="00F973FB" w:rsidRDefault="00FE7AA0" w:rsidP="00C46205">
      <w:pPr>
        <w:spacing w:after="0" w:line="20" w:lineRule="atLeast"/>
        <w:ind w:firstLine="720"/>
        <w:jc w:val="both"/>
        <w:rPr>
          <w:rFonts w:ascii="Times New Roman" w:hAnsi="Times New Roman" w:cs="Times New Roman"/>
          <w:sz w:val="24"/>
          <w:szCs w:val="24"/>
          <w:lang w:val="sr-Cyrl-CS"/>
        </w:rPr>
      </w:pPr>
      <w:r w:rsidRPr="00F973FB">
        <w:rPr>
          <w:rFonts w:ascii="Times New Roman" w:hAnsi="Times New Roman" w:cs="Times New Roman"/>
          <w:sz w:val="24"/>
          <w:szCs w:val="24"/>
          <w:lang w:val="sr-Cyrl-CS"/>
        </w:rPr>
        <w:t>Групе из става 1. овог члана наведене су по шифрама, назив</w:t>
      </w:r>
      <w:r w:rsidR="00D65ED0" w:rsidRPr="00F973FB">
        <w:rPr>
          <w:rFonts w:ascii="Times New Roman" w:hAnsi="Times New Roman" w:cs="Times New Roman"/>
          <w:sz w:val="24"/>
          <w:szCs w:val="24"/>
          <w:lang w:val="sr-Cyrl-CS"/>
        </w:rPr>
        <w:t>има</w:t>
      </w:r>
      <w:r w:rsidRPr="00F973FB">
        <w:rPr>
          <w:rFonts w:ascii="Times New Roman" w:hAnsi="Times New Roman" w:cs="Times New Roman"/>
          <w:sz w:val="24"/>
          <w:szCs w:val="24"/>
          <w:lang w:val="sr-Cyrl-CS"/>
        </w:rPr>
        <w:t xml:space="preserve"> и коефицијент</w:t>
      </w:r>
      <w:r w:rsidR="00D65ED0" w:rsidRPr="00F973FB">
        <w:rPr>
          <w:rFonts w:ascii="Times New Roman" w:hAnsi="Times New Roman" w:cs="Times New Roman"/>
          <w:sz w:val="24"/>
          <w:szCs w:val="24"/>
          <w:lang w:val="sr-Cyrl-CS"/>
        </w:rPr>
        <w:t>има</w:t>
      </w:r>
      <w:r w:rsidRPr="00F973FB">
        <w:rPr>
          <w:rFonts w:ascii="Times New Roman" w:hAnsi="Times New Roman" w:cs="Times New Roman"/>
          <w:sz w:val="24"/>
          <w:szCs w:val="24"/>
          <w:lang w:val="sr-Cyrl-CS"/>
        </w:rPr>
        <w:t xml:space="preserve"> делатности у Прилогу 1</w:t>
      </w:r>
      <w:r w:rsidR="00994BC2" w:rsidRPr="00F973FB">
        <w:rPr>
          <w:rFonts w:ascii="Times New Roman" w:hAnsi="Times New Roman" w:cs="Times New Roman"/>
          <w:sz w:val="24"/>
          <w:szCs w:val="24"/>
          <w:lang w:val="sr-Cyrl-CS"/>
        </w:rPr>
        <w:t>,</w:t>
      </w:r>
      <w:r w:rsidRPr="00F973FB">
        <w:rPr>
          <w:rFonts w:ascii="Times New Roman" w:hAnsi="Times New Roman" w:cs="Times New Roman"/>
          <w:sz w:val="24"/>
          <w:szCs w:val="24"/>
          <w:lang w:val="sr-Cyrl-CS"/>
        </w:rPr>
        <w:t xml:space="preserve"> који је одштампан уз ову уредбу и чини њен саставни део, а према делатностима из подзаконског акта којим се прописује класификација делатности.</w:t>
      </w:r>
    </w:p>
    <w:p w:rsidR="00B82E42" w:rsidRPr="00F973FB" w:rsidRDefault="00B82E42" w:rsidP="00B82E42">
      <w:pPr>
        <w:spacing w:after="0" w:line="20" w:lineRule="atLeast"/>
        <w:jc w:val="center"/>
        <w:rPr>
          <w:rFonts w:ascii="Times New Roman" w:hAnsi="Times New Roman" w:cs="Times New Roman"/>
          <w:color w:val="000000"/>
          <w:sz w:val="24"/>
          <w:szCs w:val="24"/>
          <w:lang w:val="sr-Cyrl-CS"/>
        </w:rPr>
      </w:pPr>
    </w:p>
    <w:p w:rsidR="00B82E42" w:rsidRPr="00F973FB" w:rsidRDefault="00B82E42" w:rsidP="00B82E42">
      <w:pPr>
        <w:spacing w:after="0" w:line="20" w:lineRule="atLeast"/>
        <w:jc w:val="center"/>
        <w:rPr>
          <w:rFonts w:ascii="Times New Roman" w:hAnsi="Times New Roman" w:cs="Times New Roman"/>
          <w:color w:val="000000"/>
          <w:sz w:val="24"/>
          <w:szCs w:val="24"/>
          <w:lang w:val="sr-Cyrl-CS"/>
        </w:rPr>
      </w:pPr>
      <w:r w:rsidRPr="00F973FB">
        <w:rPr>
          <w:rFonts w:ascii="Times New Roman" w:hAnsi="Times New Roman" w:cs="Times New Roman"/>
          <w:color w:val="000000"/>
          <w:sz w:val="24"/>
          <w:szCs w:val="24"/>
          <w:lang w:val="sr-Cyrl-CS"/>
        </w:rPr>
        <w:lastRenderedPageBreak/>
        <w:t>Полазна основица за утврђивање висине паушалног прилога</w:t>
      </w:r>
    </w:p>
    <w:p w:rsidR="00AC7C66" w:rsidRPr="00F973FB" w:rsidRDefault="00AC7C66" w:rsidP="00406601">
      <w:pPr>
        <w:pStyle w:val="Heading1"/>
        <w:spacing w:line="20" w:lineRule="atLeast"/>
        <w:jc w:val="center"/>
        <w:rPr>
          <w:b w:val="0"/>
          <w:lang w:val="sr-Cyrl-CS"/>
        </w:rPr>
      </w:pPr>
      <w:r w:rsidRPr="00F973FB">
        <w:rPr>
          <w:b w:val="0"/>
          <w:lang w:val="sr-Cyrl-CS"/>
        </w:rPr>
        <w:t>Члан 4.</w:t>
      </w:r>
    </w:p>
    <w:p w:rsidR="00AC7C66" w:rsidRPr="00F973FB" w:rsidRDefault="00AC7C66" w:rsidP="00406601">
      <w:pPr>
        <w:pStyle w:val="BodyText"/>
        <w:spacing w:line="20" w:lineRule="atLeast"/>
        <w:ind w:right="116" w:firstLine="720"/>
        <w:rPr>
          <w:lang w:val="sr-Cyrl-CS"/>
        </w:rPr>
      </w:pPr>
      <w:r w:rsidRPr="00F973FB">
        <w:rPr>
          <w:lang w:val="sr-Cyrl-CS"/>
        </w:rPr>
        <w:t>Полазна основица за утврђивање висине паушалног прихода по групама из члана 3. ове уредбе одређује се у односу на просечну месечну зараду по запосленом остварену у Републици Србији</w:t>
      </w:r>
      <w:r w:rsidR="005A3ADB" w:rsidRPr="00F973FB">
        <w:rPr>
          <w:lang w:val="sr-Cyrl-CS"/>
        </w:rPr>
        <w:t xml:space="preserve"> </w:t>
      </w:r>
      <w:r w:rsidR="00DF3E22" w:rsidRPr="00F973FB">
        <w:rPr>
          <w:lang w:val="sr-Cyrl-CS"/>
        </w:rPr>
        <w:t xml:space="preserve">(у даљем тексту: Република), </w:t>
      </w:r>
      <w:r w:rsidRPr="00F973FB">
        <w:rPr>
          <w:lang w:val="sr-Cyrl-CS"/>
        </w:rPr>
        <w:t>граду, општини, односно градској општини, према објављеним подацима републичког органа надлежног за послове статистике за последњих 12 месеци (у даљем тексту: просечна месечна зарада).</w:t>
      </w:r>
    </w:p>
    <w:p w:rsidR="00AC7C66" w:rsidRPr="00F973FB" w:rsidRDefault="00AC7C66" w:rsidP="00406601">
      <w:pPr>
        <w:pStyle w:val="BodyText"/>
        <w:spacing w:line="20" w:lineRule="atLeast"/>
        <w:ind w:right="118" w:firstLine="720"/>
        <w:rPr>
          <w:lang w:val="sr-Cyrl-CS"/>
        </w:rPr>
      </w:pPr>
      <w:r w:rsidRPr="00F973FB">
        <w:rPr>
          <w:lang w:val="sr-Cyrl-CS"/>
        </w:rPr>
        <w:t xml:space="preserve">Полазна основица за утврђивање паушалног прихода по групама </w:t>
      </w:r>
      <w:r w:rsidR="00DF3E22" w:rsidRPr="00F973FB">
        <w:rPr>
          <w:lang w:val="sr-Cyrl-CS"/>
        </w:rPr>
        <w:t xml:space="preserve">у које су разврстани предузетници паушалци утврђује се тако што се просечна месечна зарада остварена у граду, општини, односно градској општини </w:t>
      </w:r>
      <w:r w:rsidRPr="00F973FB">
        <w:rPr>
          <w:lang w:val="sr-Cyrl-CS"/>
        </w:rPr>
        <w:t>помножи са бројем запослених у граду, општини, односно градској општини на основу последњих објављених података републичког органа надлежног за послове статистике и са коефицијентом делатности</w:t>
      </w:r>
      <w:r w:rsidR="00D65ED0" w:rsidRPr="00F973FB">
        <w:rPr>
          <w:lang w:val="sr-Cyrl-CS"/>
        </w:rPr>
        <w:t xml:space="preserve"> из Прилога</w:t>
      </w:r>
      <w:r w:rsidR="00984AA5" w:rsidRPr="00F973FB">
        <w:rPr>
          <w:lang w:val="sr-Cyrl-CS"/>
        </w:rPr>
        <w:t xml:space="preserve"> 1</w:t>
      </w:r>
      <w:r w:rsidR="00FE7AA0" w:rsidRPr="00F973FB">
        <w:rPr>
          <w:lang w:val="sr-Cyrl-CS"/>
        </w:rPr>
        <w:t>,</w:t>
      </w:r>
      <w:r w:rsidR="00DF3E22" w:rsidRPr="00F973FB">
        <w:rPr>
          <w:lang w:val="sr-Cyrl-CS"/>
        </w:rPr>
        <w:t xml:space="preserve"> </w:t>
      </w:r>
      <w:r w:rsidRPr="00F973FB">
        <w:rPr>
          <w:lang w:val="sr-Cyrl-CS"/>
        </w:rPr>
        <w:t>а затим подели са бројем становника у граду, општини, односно градској општини, на основу последњих објављених података републичког органа надлежног за послове статистике.</w:t>
      </w:r>
    </w:p>
    <w:p w:rsidR="00DF3E22" w:rsidRPr="00F973FB" w:rsidRDefault="00DF3E22" w:rsidP="00406601">
      <w:pPr>
        <w:pStyle w:val="BodyText"/>
        <w:spacing w:line="20" w:lineRule="atLeast"/>
        <w:ind w:right="118" w:firstLine="720"/>
        <w:rPr>
          <w:lang w:val="sr-Cyrl-CS"/>
        </w:rPr>
      </w:pPr>
      <w:r w:rsidRPr="00F973FB">
        <w:rPr>
          <w:lang w:val="sr-Cyrl-CS"/>
        </w:rPr>
        <w:t>Изузетно</w:t>
      </w:r>
      <w:r w:rsidR="00994BC2" w:rsidRPr="00F973FB">
        <w:rPr>
          <w:lang w:val="sr-Cyrl-CS"/>
        </w:rPr>
        <w:t xml:space="preserve"> </w:t>
      </w:r>
      <w:r w:rsidR="00984AA5" w:rsidRPr="00F973FB">
        <w:rPr>
          <w:lang w:val="sr-Cyrl-CS"/>
        </w:rPr>
        <w:t>од става 2. овог члана</w:t>
      </w:r>
      <w:r w:rsidRPr="00F973FB">
        <w:rPr>
          <w:lang w:val="sr-Cyrl-CS"/>
        </w:rPr>
        <w:t xml:space="preserve">, полазна основица из става 1. овог члана за предузетнике паушалце са седиштем на територији града Београда, која обухвата подручје општина Вождовац, Врачар, Звездара, Палилула, Раковица, Савски венац, Стари град, Нови Београд, Земун и Чукарица </w:t>
      </w:r>
      <w:r w:rsidR="00FB1631" w:rsidRPr="00F973FB">
        <w:rPr>
          <w:lang w:val="sr-Cyrl-CS"/>
        </w:rPr>
        <w:t>утврђује</w:t>
      </w:r>
      <w:r w:rsidRPr="00F973FB">
        <w:rPr>
          <w:lang w:val="sr-Cyrl-CS"/>
        </w:rPr>
        <w:t xml:space="preserve"> се тако што се</w:t>
      </w:r>
      <w:r w:rsidR="00DE25C0" w:rsidRPr="00F973FB">
        <w:rPr>
          <w:lang w:val="sr-Cyrl-CS"/>
        </w:rPr>
        <w:t xml:space="preserve"> збир</w:t>
      </w:r>
      <w:r w:rsidRPr="00F973FB">
        <w:rPr>
          <w:lang w:val="sr-Cyrl-CS"/>
        </w:rPr>
        <w:t xml:space="preserve"> </w:t>
      </w:r>
      <w:r w:rsidR="00DE25C0" w:rsidRPr="00F973FB">
        <w:rPr>
          <w:lang w:val="sr-Cyrl-CS"/>
        </w:rPr>
        <w:t>производа</w:t>
      </w:r>
      <w:r w:rsidRPr="00F973FB">
        <w:rPr>
          <w:lang w:val="sr-Cyrl-CS"/>
        </w:rPr>
        <w:t xml:space="preserve"> просечн</w:t>
      </w:r>
      <w:r w:rsidR="00DE25C0" w:rsidRPr="00F973FB">
        <w:rPr>
          <w:lang w:val="sr-Cyrl-CS"/>
        </w:rPr>
        <w:t>е</w:t>
      </w:r>
      <w:r w:rsidRPr="00F973FB">
        <w:rPr>
          <w:lang w:val="sr-Cyrl-CS"/>
        </w:rPr>
        <w:t xml:space="preserve"> месечн</w:t>
      </w:r>
      <w:r w:rsidR="00DE25C0" w:rsidRPr="00F973FB">
        <w:rPr>
          <w:lang w:val="sr-Cyrl-CS"/>
        </w:rPr>
        <w:t>е</w:t>
      </w:r>
      <w:r w:rsidRPr="00F973FB">
        <w:rPr>
          <w:lang w:val="sr-Cyrl-CS"/>
        </w:rPr>
        <w:t xml:space="preserve"> зарад</w:t>
      </w:r>
      <w:r w:rsidR="00DE25C0" w:rsidRPr="00F973FB">
        <w:rPr>
          <w:lang w:val="sr-Cyrl-CS"/>
        </w:rPr>
        <w:t>е</w:t>
      </w:r>
      <w:r w:rsidRPr="00F973FB">
        <w:rPr>
          <w:lang w:val="sr-Cyrl-CS"/>
        </w:rPr>
        <w:t xml:space="preserve"> остварен</w:t>
      </w:r>
      <w:r w:rsidR="00DE25C0" w:rsidRPr="00F973FB">
        <w:rPr>
          <w:lang w:val="sr-Cyrl-CS"/>
        </w:rPr>
        <w:t>е</w:t>
      </w:r>
      <w:r w:rsidRPr="00F973FB">
        <w:rPr>
          <w:lang w:val="sr-Cyrl-CS"/>
        </w:rPr>
        <w:t xml:space="preserve"> у </w:t>
      </w:r>
      <w:r w:rsidR="00DE25C0" w:rsidRPr="00F973FB">
        <w:rPr>
          <w:lang w:val="sr-Cyrl-CS"/>
        </w:rPr>
        <w:t xml:space="preserve">свакој од тих </w:t>
      </w:r>
      <w:r w:rsidRPr="00F973FB">
        <w:rPr>
          <w:lang w:val="sr-Cyrl-CS"/>
        </w:rPr>
        <w:t>градски</w:t>
      </w:r>
      <w:r w:rsidR="00066D3C" w:rsidRPr="00F973FB">
        <w:rPr>
          <w:lang w:val="sr-Cyrl-CS"/>
        </w:rPr>
        <w:t>х</w:t>
      </w:r>
      <w:r w:rsidRPr="00F973FB">
        <w:rPr>
          <w:lang w:val="sr-Cyrl-CS"/>
        </w:rPr>
        <w:t xml:space="preserve"> општина </w:t>
      </w:r>
      <w:r w:rsidR="00DE25C0" w:rsidRPr="00F973FB">
        <w:rPr>
          <w:lang w:val="sr-Cyrl-CS"/>
        </w:rPr>
        <w:t>и</w:t>
      </w:r>
      <w:r w:rsidRPr="00F973FB">
        <w:rPr>
          <w:lang w:val="sr-Cyrl-CS"/>
        </w:rPr>
        <w:t xml:space="preserve"> број</w:t>
      </w:r>
      <w:r w:rsidR="005D33C6" w:rsidRPr="00F973FB">
        <w:rPr>
          <w:lang w:val="sr-Cyrl-CS"/>
        </w:rPr>
        <w:t>а</w:t>
      </w:r>
      <w:r w:rsidRPr="00F973FB">
        <w:rPr>
          <w:lang w:val="sr-Cyrl-CS"/>
        </w:rPr>
        <w:t xml:space="preserve"> запослених </w:t>
      </w:r>
      <w:r w:rsidR="00066D3C" w:rsidRPr="00F973FB">
        <w:rPr>
          <w:lang w:val="sr-Cyrl-CS"/>
        </w:rPr>
        <w:t xml:space="preserve">у свакој од тих </w:t>
      </w:r>
      <w:r w:rsidRPr="00F973FB">
        <w:rPr>
          <w:lang w:val="sr-Cyrl-CS"/>
        </w:rPr>
        <w:t>градск</w:t>
      </w:r>
      <w:r w:rsidR="00994BC2" w:rsidRPr="00F973FB">
        <w:rPr>
          <w:lang w:val="sr-Cyrl-CS"/>
        </w:rPr>
        <w:t>их</w:t>
      </w:r>
      <w:r w:rsidRPr="00F973FB">
        <w:rPr>
          <w:lang w:val="sr-Cyrl-CS"/>
        </w:rPr>
        <w:t xml:space="preserve"> општин</w:t>
      </w:r>
      <w:r w:rsidR="00994BC2" w:rsidRPr="00F973FB">
        <w:rPr>
          <w:lang w:val="sr-Cyrl-CS"/>
        </w:rPr>
        <w:t>а</w:t>
      </w:r>
      <w:r w:rsidRPr="00F973FB">
        <w:rPr>
          <w:lang w:val="sr-Cyrl-CS"/>
        </w:rPr>
        <w:t xml:space="preserve">, на основу последњих објављених података републичког органа надлежног за послове статистике, </w:t>
      </w:r>
      <w:r w:rsidR="00FB1631" w:rsidRPr="00F973FB">
        <w:rPr>
          <w:lang w:val="sr-Cyrl-CS"/>
        </w:rPr>
        <w:t>помножи са коефицијентом делатности</w:t>
      </w:r>
      <w:r w:rsidR="00994BC2" w:rsidRPr="00F973FB">
        <w:rPr>
          <w:lang w:val="sr-Cyrl-CS"/>
        </w:rPr>
        <w:t xml:space="preserve"> из Прилога</w:t>
      </w:r>
      <w:r w:rsidR="00984AA5" w:rsidRPr="00F973FB">
        <w:rPr>
          <w:lang w:val="sr-Cyrl-CS"/>
        </w:rPr>
        <w:t xml:space="preserve"> 1</w:t>
      </w:r>
      <w:r w:rsidR="00FB1631" w:rsidRPr="00F973FB">
        <w:rPr>
          <w:lang w:val="sr-Cyrl-CS"/>
        </w:rPr>
        <w:t>, а затим подели са</w:t>
      </w:r>
      <w:r w:rsidRPr="00F973FB">
        <w:rPr>
          <w:lang w:val="sr-Cyrl-CS"/>
        </w:rPr>
        <w:t xml:space="preserve"> </w:t>
      </w:r>
      <w:r w:rsidR="00FB1631" w:rsidRPr="00F973FB">
        <w:rPr>
          <w:lang w:val="sr-Cyrl-CS"/>
        </w:rPr>
        <w:t>укупним бројем становника у свим тим градским општинама на основу последњих објављених</w:t>
      </w:r>
      <w:r w:rsidRPr="00F973FB">
        <w:rPr>
          <w:lang w:val="sr-Cyrl-CS"/>
        </w:rPr>
        <w:t xml:space="preserve"> </w:t>
      </w:r>
      <w:r w:rsidR="00FB1631" w:rsidRPr="00F973FB">
        <w:rPr>
          <w:lang w:val="sr-Cyrl-CS"/>
        </w:rPr>
        <w:t>података републичког органа надлежног за послове статистике</w:t>
      </w:r>
      <w:r w:rsidRPr="00F973FB">
        <w:rPr>
          <w:lang w:val="sr-Cyrl-CS"/>
        </w:rPr>
        <w:t>.</w:t>
      </w:r>
    </w:p>
    <w:p w:rsidR="00AC7C66" w:rsidRPr="00F973FB" w:rsidRDefault="00AC7C66" w:rsidP="00406601">
      <w:pPr>
        <w:pStyle w:val="BodyText"/>
        <w:spacing w:line="20" w:lineRule="atLeast"/>
        <w:ind w:right="112" w:firstLine="720"/>
        <w:rPr>
          <w:lang w:val="sr-Cyrl-CS"/>
        </w:rPr>
      </w:pPr>
      <w:r w:rsidRPr="00F973FB">
        <w:rPr>
          <w:lang w:val="sr-Cyrl-CS"/>
        </w:rPr>
        <w:t>Изузетно од става 2. овог члана, полазна основица за следеће</w:t>
      </w:r>
      <w:r w:rsidRPr="00F973FB">
        <w:rPr>
          <w:b/>
          <w:i/>
          <w:lang w:val="sr-Cyrl-CS"/>
        </w:rPr>
        <w:t xml:space="preserve"> </w:t>
      </w:r>
      <w:r w:rsidRPr="00F973FB">
        <w:rPr>
          <w:lang w:val="sr-Cyrl-CS"/>
        </w:rPr>
        <w:t xml:space="preserve">делатности </w:t>
      </w:r>
      <w:r w:rsidR="00DE7A57" w:rsidRPr="00F973FB">
        <w:rPr>
          <w:lang w:val="sr-Cyrl-CS"/>
        </w:rPr>
        <w:t xml:space="preserve">утврђује </w:t>
      </w:r>
      <w:r w:rsidRPr="00F973FB">
        <w:rPr>
          <w:lang w:val="sr-Cyrl-CS"/>
        </w:rPr>
        <w:t xml:space="preserve">се тако што се просечна месечна зарада остварена у Републици помножи са бројем запослених у Републици на основу </w:t>
      </w:r>
      <w:r w:rsidR="00DE7A57" w:rsidRPr="00F973FB">
        <w:rPr>
          <w:lang w:val="sr-Cyrl-CS"/>
        </w:rPr>
        <w:t xml:space="preserve">последњег објављеног податка </w:t>
      </w:r>
      <w:r w:rsidRPr="00F973FB">
        <w:rPr>
          <w:lang w:val="sr-Cyrl-CS"/>
        </w:rPr>
        <w:t>републичког органа надлежног за послове статистике и са коефицијентом делатности</w:t>
      </w:r>
      <w:r w:rsidR="00DE7A57" w:rsidRPr="00F973FB">
        <w:rPr>
          <w:lang w:val="sr-Cyrl-CS"/>
        </w:rPr>
        <w:t xml:space="preserve"> </w:t>
      </w:r>
      <w:r w:rsidR="00994BC2" w:rsidRPr="00F973FB">
        <w:rPr>
          <w:lang w:val="sr-Cyrl-CS"/>
        </w:rPr>
        <w:t>из Прилога</w:t>
      </w:r>
      <w:r w:rsidR="00984AA5" w:rsidRPr="00F973FB">
        <w:rPr>
          <w:lang w:val="sr-Cyrl-CS"/>
        </w:rPr>
        <w:t xml:space="preserve"> 1</w:t>
      </w:r>
      <w:r w:rsidR="00994BC2" w:rsidRPr="00F973FB">
        <w:rPr>
          <w:lang w:val="sr-Cyrl-CS"/>
        </w:rPr>
        <w:t xml:space="preserve"> </w:t>
      </w:r>
      <w:r w:rsidRPr="00F973FB">
        <w:rPr>
          <w:lang w:val="sr-Cyrl-CS"/>
        </w:rPr>
        <w:t xml:space="preserve">(у складу са податком о претежној делатности у решењу о регистрацији предузетника), а затим подели са бројем становника у Републици на основу </w:t>
      </w:r>
      <w:r w:rsidR="00DE7A57" w:rsidRPr="00F973FB">
        <w:rPr>
          <w:lang w:val="sr-Cyrl-CS"/>
        </w:rPr>
        <w:t>последњег објављеног податка</w:t>
      </w:r>
      <w:r w:rsidR="004C5E64" w:rsidRPr="00F973FB">
        <w:rPr>
          <w:lang w:val="sr-Cyrl-CS"/>
        </w:rPr>
        <w:t xml:space="preserve"> </w:t>
      </w:r>
      <w:r w:rsidRPr="00F973FB">
        <w:rPr>
          <w:lang w:val="sr-Cyrl-CS"/>
        </w:rPr>
        <w:t>републичког органа надлежног за послове</w:t>
      </w:r>
      <w:r w:rsidRPr="00F973FB">
        <w:rPr>
          <w:spacing w:val="-7"/>
          <w:lang w:val="sr-Cyrl-CS"/>
        </w:rPr>
        <w:t xml:space="preserve"> </w:t>
      </w:r>
      <w:r w:rsidRPr="00F973FB">
        <w:rPr>
          <w:lang w:val="sr-Cyrl-CS"/>
        </w:rPr>
        <w:t>статистике:</w:t>
      </w:r>
    </w:p>
    <w:p w:rsidR="00AC7C66" w:rsidRPr="00F973FB" w:rsidRDefault="00AC7C66" w:rsidP="00406601">
      <w:pPr>
        <w:pStyle w:val="BodyText"/>
        <w:spacing w:line="20" w:lineRule="atLeast"/>
        <w:jc w:val="left"/>
        <w:rPr>
          <w:lang w:val="sr-Cyrl-CS"/>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18"/>
        <w:gridCol w:w="8080"/>
      </w:tblGrid>
      <w:tr w:rsidR="00AC7C66" w:rsidRPr="00F973FB" w:rsidTr="00E14382">
        <w:trPr>
          <w:trHeight w:val="554"/>
        </w:trPr>
        <w:tc>
          <w:tcPr>
            <w:tcW w:w="1418" w:type="dxa"/>
          </w:tcPr>
          <w:p w:rsidR="00AC7C66" w:rsidRPr="00F973FB" w:rsidRDefault="00AC7C66" w:rsidP="00406601">
            <w:pPr>
              <w:pStyle w:val="TableParagraph"/>
              <w:spacing w:line="20" w:lineRule="atLeast"/>
              <w:ind w:left="105" w:right="81" w:firstLine="199"/>
              <w:rPr>
                <w:b/>
                <w:sz w:val="24"/>
                <w:szCs w:val="24"/>
                <w:lang w:val="sr-Cyrl-CS"/>
              </w:rPr>
            </w:pPr>
            <w:r w:rsidRPr="00F973FB">
              <w:rPr>
                <w:b/>
                <w:sz w:val="24"/>
                <w:szCs w:val="24"/>
                <w:lang w:val="sr-Cyrl-CS"/>
              </w:rPr>
              <w:t>Шифра делатности</w:t>
            </w:r>
          </w:p>
        </w:tc>
        <w:tc>
          <w:tcPr>
            <w:tcW w:w="8080" w:type="dxa"/>
          </w:tcPr>
          <w:p w:rsidR="00AC7C66" w:rsidRPr="00F973FB" w:rsidRDefault="00AC7C66" w:rsidP="00406601">
            <w:pPr>
              <w:pStyle w:val="TableParagraph"/>
              <w:spacing w:line="20" w:lineRule="atLeast"/>
              <w:ind w:left="2130" w:right="2125"/>
              <w:jc w:val="center"/>
              <w:rPr>
                <w:b/>
                <w:sz w:val="24"/>
                <w:szCs w:val="24"/>
                <w:lang w:val="sr-Cyrl-CS"/>
              </w:rPr>
            </w:pPr>
            <w:r w:rsidRPr="00F973FB">
              <w:rPr>
                <w:b/>
                <w:sz w:val="24"/>
                <w:szCs w:val="24"/>
                <w:lang w:val="sr-Cyrl-CS"/>
              </w:rPr>
              <w:t>Назив делатности</w:t>
            </w:r>
          </w:p>
        </w:tc>
      </w:tr>
      <w:tr w:rsidR="00AC7C66" w:rsidRPr="00F973FB" w:rsidTr="00E14382">
        <w:trPr>
          <w:trHeight w:val="275"/>
        </w:trPr>
        <w:tc>
          <w:tcPr>
            <w:tcW w:w="1418" w:type="dxa"/>
          </w:tcPr>
          <w:p w:rsidR="00AC7C66" w:rsidRPr="00F973FB" w:rsidRDefault="00AC7C66" w:rsidP="00406601">
            <w:pPr>
              <w:pStyle w:val="TableParagraph"/>
              <w:spacing w:line="20" w:lineRule="atLeast"/>
              <w:ind w:left="455" w:right="453"/>
              <w:jc w:val="center"/>
              <w:rPr>
                <w:sz w:val="24"/>
                <w:szCs w:val="24"/>
                <w:lang w:val="sr-Cyrl-CS"/>
              </w:rPr>
            </w:pPr>
            <w:r w:rsidRPr="00F973FB">
              <w:rPr>
                <w:sz w:val="24"/>
                <w:szCs w:val="24"/>
                <w:lang w:val="sr-Cyrl-CS"/>
              </w:rPr>
              <w:t>4932</w:t>
            </w:r>
          </w:p>
        </w:tc>
        <w:tc>
          <w:tcPr>
            <w:tcW w:w="8080" w:type="dxa"/>
          </w:tcPr>
          <w:p w:rsidR="00AC7C66" w:rsidRPr="00F973FB" w:rsidRDefault="00AC7C66" w:rsidP="00406601">
            <w:pPr>
              <w:pStyle w:val="TableParagraph"/>
              <w:spacing w:line="20" w:lineRule="atLeast"/>
              <w:rPr>
                <w:sz w:val="24"/>
                <w:szCs w:val="24"/>
                <w:lang w:val="sr-Cyrl-CS"/>
              </w:rPr>
            </w:pPr>
            <w:r w:rsidRPr="00F973FB">
              <w:rPr>
                <w:sz w:val="24"/>
                <w:szCs w:val="24"/>
                <w:lang w:val="sr-Cyrl-CS"/>
              </w:rPr>
              <w:t>Такси превоз</w:t>
            </w:r>
          </w:p>
        </w:tc>
      </w:tr>
      <w:tr w:rsidR="00AC7C66" w:rsidRPr="00F973FB" w:rsidTr="00E14382">
        <w:trPr>
          <w:trHeight w:val="275"/>
        </w:trPr>
        <w:tc>
          <w:tcPr>
            <w:tcW w:w="1418" w:type="dxa"/>
          </w:tcPr>
          <w:p w:rsidR="00AC7C66" w:rsidRPr="00F973FB" w:rsidRDefault="00AC7C66" w:rsidP="00406601">
            <w:pPr>
              <w:pStyle w:val="TableParagraph"/>
              <w:spacing w:line="20" w:lineRule="atLeast"/>
              <w:ind w:left="455" w:right="453"/>
              <w:jc w:val="center"/>
              <w:rPr>
                <w:sz w:val="24"/>
                <w:szCs w:val="24"/>
                <w:lang w:val="sr-Cyrl-CS"/>
              </w:rPr>
            </w:pPr>
            <w:r w:rsidRPr="00F973FB">
              <w:rPr>
                <w:sz w:val="24"/>
                <w:szCs w:val="24"/>
                <w:lang w:val="sr-Cyrl-CS"/>
              </w:rPr>
              <w:t>4939</w:t>
            </w:r>
          </w:p>
        </w:tc>
        <w:tc>
          <w:tcPr>
            <w:tcW w:w="8080" w:type="dxa"/>
          </w:tcPr>
          <w:p w:rsidR="00AC7C66" w:rsidRPr="00F973FB" w:rsidRDefault="00AC7C66" w:rsidP="00406601">
            <w:pPr>
              <w:pStyle w:val="TableParagraph"/>
              <w:spacing w:line="20" w:lineRule="atLeast"/>
              <w:rPr>
                <w:sz w:val="24"/>
                <w:szCs w:val="24"/>
                <w:lang w:val="sr-Cyrl-CS"/>
              </w:rPr>
            </w:pPr>
            <w:r w:rsidRPr="00F973FB">
              <w:rPr>
                <w:sz w:val="24"/>
                <w:szCs w:val="24"/>
                <w:lang w:val="sr-Cyrl-CS"/>
              </w:rPr>
              <w:t>Остали превоз путника у копненом саобраћају</w:t>
            </w:r>
          </w:p>
        </w:tc>
      </w:tr>
      <w:tr w:rsidR="00AC7C66" w:rsidRPr="00F973FB" w:rsidTr="00E14382">
        <w:trPr>
          <w:trHeight w:val="552"/>
        </w:trPr>
        <w:tc>
          <w:tcPr>
            <w:tcW w:w="1418" w:type="dxa"/>
          </w:tcPr>
          <w:p w:rsidR="00AC7C66" w:rsidRPr="00F973FB" w:rsidRDefault="00AC7C66" w:rsidP="00406601">
            <w:pPr>
              <w:pStyle w:val="TableParagraph"/>
              <w:spacing w:line="20" w:lineRule="atLeast"/>
              <w:ind w:left="455" w:right="453"/>
              <w:jc w:val="center"/>
              <w:rPr>
                <w:sz w:val="24"/>
                <w:szCs w:val="24"/>
                <w:lang w:val="sr-Cyrl-CS"/>
              </w:rPr>
            </w:pPr>
            <w:r w:rsidRPr="00F973FB">
              <w:rPr>
                <w:sz w:val="24"/>
                <w:szCs w:val="24"/>
                <w:lang w:val="sr-Cyrl-CS"/>
              </w:rPr>
              <w:t>5911</w:t>
            </w:r>
          </w:p>
        </w:tc>
        <w:tc>
          <w:tcPr>
            <w:tcW w:w="8080" w:type="dxa"/>
          </w:tcPr>
          <w:p w:rsidR="00AC7C66" w:rsidRPr="00F973FB" w:rsidRDefault="00AC7C66" w:rsidP="00C53876">
            <w:pPr>
              <w:pStyle w:val="TableParagraph"/>
              <w:tabs>
                <w:tab w:val="left" w:pos="1581"/>
                <w:tab w:val="left" w:pos="3697"/>
                <w:tab w:val="left" w:pos="4412"/>
              </w:tabs>
              <w:spacing w:line="20" w:lineRule="atLeast"/>
              <w:ind w:right="94"/>
              <w:rPr>
                <w:sz w:val="24"/>
                <w:szCs w:val="24"/>
                <w:lang w:val="sr-Cyrl-CS"/>
              </w:rPr>
            </w:pPr>
            <w:r w:rsidRPr="00F973FB">
              <w:rPr>
                <w:sz w:val="24"/>
                <w:szCs w:val="24"/>
                <w:lang w:val="sr-Cyrl-CS"/>
              </w:rPr>
              <w:t>Производња</w:t>
            </w:r>
            <w:r w:rsidR="00C53876" w:rsidRPr="00F973FB">
              <w:rPr>
                <w:sz w:val="24"/>
                <w:szCs w:val="24"/>
                <w:lang w:val="sr-Cyrl-CS"/>
              </w:rPr>
              <w:t xml:space="preserve"> </w:t>
            </w:r>
            <w:r w:rsidRPr="00F973FB">
              <w:rPr>
                <w:sz w:val="24"/>
                <w:szCs w:val="24"/>
                <w:lang w:val="sr-Cyrl-CS"/>
              </w:rPr>
              <w:t>кинематографских</w:t>
            </w:r>
            <w:r w:rsidR="00C53876" w:rsidRPr="00F973FB">
              <w:rPr>
                <w:sz w:val="24"/>
                <w:szCs w:val="24"/>
                <w:lang w:val="sr-Cyrl-CS"/>
              </w:rPr>
              <w:t xml:space="preserve"> </w:t>
            </w:r>
            <w:r w:rsidRPr="00F973FB">
              <w:rPr>
                <w:sz w:val="24"/>
                <w:szCs w:val="24"/>
                <w:lang w:val="sr-Cyrl-CS"/>
              </w:rPr>
              <w:t>дела,</w:t>
            </w:r>
            <w:r w:rsidR="00C53876" w:rsidRPr="00F973FB">
              <w:rPr>
                <w:sz w:val="24"/>
                <w:szCs w:val="24"/>
                <w:lang w:val="sr-Cyrl-CS"/>
              </w:rPr>
              <w:t xml:space="preserve"> </w:t>
            </w:r>
            <w:r w:rsidRPr="00F973FB">
              <w:rPr>
                <w:sz w:val="24"/>
                <w:szCs w:val="24"/>
                <w:lang w:val="sr-Cyrl-CS"/>
              </w:rPr>
              <w:t>аудио-визуелних производа и</w:t>
            </w:r>
            <w:r w:rsidR="00C53876" w:rsidRPr="00F973FB">
              <w:rPr>
                <w:sz w:val="24"/>
                <w:szCs w:val="24"/>
                <w:lang w:val="sr-Cyrl-CS"/>
              </w:rPr>
              <w:t xml:space="preserve"> </w:t>
            </w:r>
            <w:r w:rsidRPr="00F973FB">
              <w:rPr>
                <w:sz w:val="24"/>
                <w:szCs w:val="24"/>
                <w:lang w:val="sr-Cyrl-CS"/>
              </w:rPr>
              <w:t>телевизијског</w:t>
            </w:r>
            <w:r w:rsidRPr="00F973FB">
              <w:rPr>
                <w:spacing w:val="-5"/>
                <w:sz w:val="24"/>
                <w:szCs w:val="24"/>
                <w:lang w:val="sr-Cyrl-CS"/>
              </w:rPr>
              <w:t xml:space="preserve"> </w:t>
            </w:r>
            <w:r w:rsidRPr="00F973FB">
              <w:rPr>
                <w:sz w:val="24"/>
                <w:szCs w:val="24"/>
                <w:lang w:val="sr-Cyrl-CS"/>
              </w:rPr>
              <w:t>програма</w:t>
            </w:r>
          </w:p>
        </w:tc>
      </w:tr>
      <w:tr w:rsidR="00AC7C66" w:rsidRPr="00F973FB" w:rsidTr="00E14382">
        <w:trPr>
          <w:trHeight w:val="273"/>
        </w:trPr>
        <w:tc>
          <w:tcPr>
            <w:tcW w:w="1418" w:type="dxa"/>
          </w:tcPr>
          <w:p w:rsidR="00AC7C66" w:rsidRPr="00F973FB" w:rsidRDefault="00AC7C66" w:rsidP="00406601">
            <w:pPr>
              <w:pStyle w:val="TableParagraph"/>
              <w:spacing w:line="20" w:lineRule="atLeast"/>
              <w:ind w:left="455" w:right="453"/>
              <w:jc w:val="center"/>
              <w:rPr>
                <w:sz w:val="24"/>
                <w:szCs w:val="24"/>
                <w:lang w:val="sr-Cyrl-CS"/>
              </w:rPr>
            </w:pPr>
            <w:r w:rsidRPr="00F973FB">
              <w:rPr>
                <w:sz w:val="24"/>
                <w:szCs w:val="24"/>
                <w:lang w:val="sr-Cyrl-CS"/>
              </w:rPr>
              <w:t>6201</w:t>
            </w:r>
          </w:p>
        </w:tc>
        <w:tc>
          <w:tcPr>
            <w:tcW w:w="8080" w:type="dxa"/>
          </w:tcPr>
          <w:p w:rsidR="00AC7C66" w:rsidRPr="00F973FB" w:rsidRDefault="00AC7C66" w:rsidP="00406601">
            <w:pPr>
              <w:pStyle w:val="TableParagraph"/>
              <w:spacing w:line="20" w:lineRule="atLeast"/>
              <w:rPr>
                <w:sz w:val="24"/>
                <w:szCs w:val="24"/>
                <w:lang w:val="sr-Cyrl-CS"/>
              </w:rPr>
            </w:pPr>
            <w:r w:rsidRPr="00F973FB">
              <w:rPr>
                <w:sz w:val="24"/>
                <w:szCs w:val="24"/>
                <w:lang w:val="sr-Cyrl-CS"/>
              </w:rPr>
              <w:t>Рачунарско програмирање</w:t>
            </w:r>
          </w:p>
        </w:tc>
      </w:tr>
      <w:tr w:rsidR="00AC7C66" w:rsidRPr="00F973FB" w:rsidTr="00E14382">
        <w:trPr>
          <w:trHeight w:val="266"/>
        </w:trPr>
        <w:tc>
          <w:tcPr>
            <w:tcW w:w="1418" w:type="dxa"/>
          </w:tcPr>
          <w:p w:rsidR="00AC7C66" w:rsidRPr="00F973FB" w:rsidRDefault="00AC7C66" w:rsidP="00406601">
            <w:pPr>
              <w:pStyle w:val="TableParagraph"/>
              <w:spacing w:line="20" w:lineRule="atLeast"/>
              <w:ind w:left="455" w:right="453"/>
              <w:jc w:val="center"/>
              <w:rPr>
                <w:sz w:val="24"/>
                <w:szCs w:val="24"/>
                <w:lang w:val="sr-Cyrl-CS"/>
              </w:rPr>
            </w:pPr>
            <w:r w:rsidRPr="00F973FB">
              <w:rPr>
                <w:sz w:val="24"/>
                <w:szCs w:val="24"/>
                <w:lang w:val="sr-Cyrl-CS"/>
              </w:rPr>
              <w:t>6202</w:t>
            </w:r>
          </w:p>
        </w:tc>
        <w:tc>
          <w:tcPr>
            <w:tcW w:w="8080" w:type="dxa"/>
          </w:tcPr>
          <w:p w:rsidR="00AC7C66" w:rsidRPr="00F973FB" w:rsidRDefault="00AC7C66" w:rsidP="00C53876">
            <w:pPr>
              <w:pStyle w:val="TableParagraph"/>
              <w:tabs>
                <w:tab w:val="left" w:pos="1865"/>
                <w:tab w:val="left" w:pos="3240"/>
                <w:tab w:val="left" w:pos="3588"/>
                <w:tab w:val="left" w:pos="4624"/>
              </w:tabs>
              <w:spacing w:line="20" w:lineRule="atLeast"/>
              <w:ind w:right="97"/>
              <w:rPr>
                <w:sz w:val="24"/>
                <w:szCs w:val="24"/>
                <w:lang w:val="sr-Cyrl-CS"/>
              </w:rPr>
            </w:pPr>
            <w:r w:rsidRPr="00F973FB">
              <w:rPr>
                <w:sz w:val="24"/>
                <w:szCs w:val="24"/>
                <w:lang w:val="sr-Cyrl-CS"/>
              </w:rPr>
              <w:t>Консултантске</w:t>
            </w:r>
            <w:r w:rsidR="00C53876" w:rsidRPr="00F973FB">
              <w:rPr>
                <w:sz w:val="24"/>
                <w:szCs w:val="24"/>
                <w:lang w:val="sr-Cyrl-CS"/>
              </w:rPr>
              <w:t xml:space="preserve"> </w:t>
            </w:r>
            <w:r w:rsidRPr="00F973FB">
              <w:rPr>
                <w:sz w:val="24"/>
                <w:szCs w:val="24"/>
                <w:lang w:val="sr-Cyrl-CS"/>
              </w:rPr>
              <w:t>делатности</w:t>
            </w:r>
            <w:r w:rsidR="00C53876" w:rsidRPr="00F973FB">
              <w:rPr>
                <w:sz w:val="24"/>
                <w:szCs w:val="24"/>
                <w:lang w:val="sr-Cyrl-CS"/>
              </w:rPr>
              <w:t xml:space="preserve"> </w:t>
            </w:r>
            <w:r w:rsidRPr="00F973FB">
              <w:rPr>
                <w:sz w:val="24"/>
                <w:szCs w:val="24"/>
                <w:lang w:val="sr-Cyrl-CS"/>
              </w:rPr>
              <w:t>у</w:t>
            </w:r>
            <w:r w:rsidR="00C53876" w:rsidRPr="00F973FB">
              <w:rPr>
                <w:sz w:val="24"/>
                <w:szCs w:val="24"/>
                <w:lang w:val="sr-Cyrl-CS"/>
              </w:rPr>
              <w:t xml:space="preserve"> </w:t>
            </w:r>
            <w:r w:rsidRPr="00F973FB">
              <w:rPr>
                <w:sz w:val="24"/>
                <w:szCs w:val="24"/>
                <w:lang w:val="sr-Cyrl-CS"/>
              </w:rPr>
              <w:t>области</w:t>
            </w:r>
            <w:r w:rsidR="00C53876" w:rsidRPr="00F973FB">
              <w:rPr>
                <w:sz w:val="24"/>
                <w:szCs w:val="24"/>
                <w:lang w:val="sr-Cyrl-CS"/>
              </w:rPr>
              <w:t xml:space="preserve"> </w:t>
            </w:r>
            <w:r w:rsidRPr="00F973FB">
              <w:rPr>
                <w:sz w:val="24"/>
                <w:szCs w:val="24"/>
                <w:lang w:val="sr-Cyrl-CS"/>
              </w:rPr>
              <w:t>информационе технологије</w:t>
            </w:r>
          </w:p>
        </w:tc>
      </w:tr>
      <w:tr w:rsidR="00AC7C66" w:rsidRPr="00F973FB" w:rsidTr="00E14382">
        <w:trPr>
          <w:trHeight w:val="273"/>
        </w:trPr>
        <w:tc>
          <w:tcPr>
            <w:tcW w:w="1418" w:type="dxa"/>
          </w:tcPr>
          <w:p w:rsidR="00AC7C66" w:rsidRPr="00F973FB" w:rsidRDefault="00AC7C66" w:rsidP="00406601">
            <w:pPr>
              <w:pStyle w:val="TableParagraph"/>
              <w:spacing w:line="20" w:lineRule="atLeast"/>
              <w:ind w:left="455" w:right="453"/>
              <w:jc w:val="center"/>
              <w:rPr>
                <w:sz w:val="24"/>
                <w:szCs w:val="24"/>
                <w:lang w:val="sr-Cyrl-CS"/>
              </w:rPr>
            </w:pPr>
            <w:r w:rsidRPr="00F973FB">
              <w:rPr>
                <w:sz w:val="24"/>
                <w:szCs w:val="24"/>
                <w:lang w:val="sr-Cyrl-CS"/>
              </w:rPr>
              <w:t>6209</w:t>
            </w:r>
          </w:p>
        </w:tc>
        <w:tc>
          <w:tcPr>
            <w:tcW w:w="8080" w:type="dxa"/>
          </w:tcPr>
          <w:p w:rsidR="00AC7C66" w:rsidRPr="00F973FB" w:rsidRDefault="00AC7C66" w:rsidP="00406601">
            <w:pPr>
              <w:pStyle w:val="TableParagraph"/>
              <w:spacing w:line="20" w:lineRule="atLeast"/>
              <w:rPr>
                <w:sz w:val="24"/>
                <w:szCs w:val="24"/>
                <w:lang w:val="sr-Cyrl-CS"/>
              </w:rPr>
            </w:pPr>
            <w:r w:rsidRPr="00F973FB">
              <w:rPr>
                <w:sz w:val="24"/>
                <w:szCs w:val="24"/>
                <w:lang w:val="sr-Cyrl-CS"/>
              </w:rPr>
              <w:t>Остале услуге информационе технологије</w:t>
            </w:r>
          </w:p>
        </w:tc>
      </w:tr>
      <w:tr w:rsidR="00AC7C66" w:rsidRPr="00F973FB" w:rsidTr="00E14382">
        <w:trPr>
          <w:trHeight w:val="277"/>
        </w:trPr>
        <w:tc>
          <w:tcPr>
            <w:tcW w:w="1418" w:type="dxa"/>
          </w:tcPr>
          <w:p w:rsidR="00AC7C66" w:rsidRPr="00F973FB" w:rsidRDefault="00AC7C66" w:rsidP="00406601">
            <w:pPr>
              <w:pStyle w:val="TableParagraph"/>
              <w:spacing w:line="20" w:lineRule="atLeast"/>
              <w:ind w:left="455" w:right="453"/>
              <w:jc w:val="center"/>
              <w:rPr>
                <w:sz w:val="24"/>
                <w:szCs w:val="24"/>
                <w:lang w:val="sr-Cyrl-CS"/>
              </w:rPr>
            </w:pPr>
            <w:r w:rsidRPr="00F973FB">
              <w:rPr>
                <w:sz w:val="24"/>
                <w:szCs w:val="24"/>
                <w:lang w:val="sr-Cyrl-CS"/>
              </w:rPr>
              <w:t>6311</w:t>
            </w:r>
          </w:p>
        </w:tc>
        <w:tc>
          <w:tcPr>
            <w:tcW w:w="8080" w:type="dxa"/>
          </w:tcPr>
          <w:p w:rsidR="00AC7C66" w:rsidRPr="00F973FB" w:rsidRDefault="00AC7C66" w:rsidP="00406601">
            <w:pPr>
              <w:pStyle w:val="TableParagraph"/>
              <w:spacing w:line="20" w:lineRule="atLeast"/>
              <w:rPr>
                <w:sz w:val="24"/>
                <w:szCs w:val="24"/>
                <w:lang w:val="sr-Cyrl-CS"/>
              </w:rPr>
            </w:pPr>
            <w:r w:rsidRPr="00F973FB">
              <w:rPr>
                <w:sz w:val="24"/>
                <w:szCs w:val="24"/>
                <w:lang w:val="sr-Cyrl-CS"/>
              </w:rPr>
              <w:t>Обрада података, хостинг и сл.</w:t>
            </w:r>
          </w:p>
        </w:tc>
      </w:tr>
      <w:tr w:rsidR="00AC7C66" w:rsidRPr="00F973FB" w:rsidTr="00E14382">
        <w:trPr>
          <w:trHeight w:val="275"/>
        </w:trPr>
        <w:tc>
          <w:tcPr>
            <w:tcW w:w="1418" w:type="dxa"/>
          </w:tcPr>
          <w:p w:rsidR="00AC7C66" w:rsidRPr="00F973FB" w:rsidRDefault="00AC7C66" w:rsidP="00406601">
            <w:pPr>
              <w:pStyle w:val="TableParagraph"/>
              <w:spacing w:line="20" w:lineRule="atLeast"/>
              <w:ind w:left="455" w:right="453"/>
              <w:jc w:val="center"/>
              <w:rPr>
                <w:sz w:val="24"/>
                <w:szCs w:val="24"/>
                <w:lang w:val="sr-Cyrl-CS"/>
              </w:rPr>
            </w:pPr>
            <w:r w:rsidRPr="00F973FB">
              <w:rPr>
                <w:sz w:val="24"/>
                <w:szCs w:val="24"/>
                <w:lang w:val="sr-Cyrl-CS"/>
              </w:rPr>
              <w:t>6312</w:t>
            </w:r>
          </w:p>
        </w:tc>
        <w:tc>
          <w:tcPr>
            <w:tcW w:w="8080" w:type="dxa"/>
          </w:tcPr>
          <w:p w:rsidR="00AC7C66" w:rsidRPr="00F973FB" w:rsidRDefault="00AC7C66" w:rsidP="00406601">
            <w:pPr>
              <w:pStyle w:val="TableParagraph"/>
              <w:spacing w:line="20" w:lineRule="atLeast"/>
              <w:rPr>
                <w:sz w:val="24"/>
                <w:szCs w:val="24"/>
                <w:lang w:val="sr-Cyrl-CS"/>
              </w:rPr>
            </w:pPr>
            <w:r w:rsidRPr="00F973FB">
              <w:rPr>
                <w:sz w:val="24"/>
                <w:szCs w:val="24"/>
                <w:lang w:val="sr-Cyrl-CS"/>
              </w:rPr>
              <w:t>Веб портали</w:t>
            </w:r>
          </w:p>
        </w:tc>
      </w:tr>
      <w:tr w:rsidR="00AC7C66" w:rsidRPr="00F973FB" w:rsidTr="00E14382">
        <w:trPr>
          <w:trHeight w:val="259"/>
        </w:trPr>
        <w:tc>
          <w:tcPr>
            <w:tcW w:w="1418" w:type="dxa"/>
          </w:tcPr>
          <w:p w:rsidR="00AC7C66" w:rsidRPr="00F973FB" w:rsidRDefault="00AC7C66" w:rsidP="00406601">
            <w:pPr>
              <w:pStyle w:val="TableParagraph"/>
              <w:spacing w:line="20" w:lineRule="atLeast"/>
              <w:ind w:left="455" w:right="453"/>
              <w:jc w:val="center"/>
              <w:rPr>
                <w:sz w:val="24"/>
                <w:szCs w:val="24"/>
                <w:lang w:val="sr-Cyrl-CS"/>
              </w:rPr>
            </w:pPr>
            <w:r w:rsidRPr="00F973FB">
              <w:rPr>
                <w:sz w:val="24"/>
                <w:szCs w:val="24"/>
                <w:lang w:val="sr-Cyrl-CS"/>
              </w:rPr>
              <w:t>6399</w:t>
            </w:r>
          </w:p>
        </w:tc>
        <w:tc>
          <w:tcPr>
            <w:tcW w:w="8080" w:type="dxa"/>
          </w:tcPr>
          <w:p w:rsidR="00AC7C66" w:rsidRPr="00F973FB" w:rsidRDefault="00AC7C66" w:rsidP="00406601">
            <w:pPr>
              <w:pStyle w:val="TableParagraph"/>
              <w:spacing w:line="20" w:lineRule="atLeast"/>
              <w:rPr>
                <w:sz w:val="24"/>
                <w:szCs w:val="24"/>
                <w:lang w:val="sr-Cyrl-CS"/>
              </w:rPr>
            </w:pPr>
            <w:r w:rsidRPr="00F973FB">
              <w:rPr>
                <w:sz w:val="24"/>
                <w:szCs w:val="24"/>
                <w:lang w:val="sr-Cyrl-CS"/>
              </w:rPr>
              <w:t>Информационе услужне делатности на другом месту непоменуте</w:t>
            </w:r>
          </w:p>
        </w:tc>
      </w:tr>
      <w:tr w:rsidR="00AC7C66" w:rsidRPr="00F973FB" w:rsidTr="00E14382">
        <w:trPr>
          <w:trHeight w:val="267"/>
        </w:trPr>
        <w:tc>
          <w:tcPr>
            <w:tcW w:w="1418" w:type="dxa"/>
          </w:tcPr>
          <w:p w:rsidR="00AC7C66" w:rsidRPr="00F973FB" w:rsidRDefault="00AC7C66" w:rsidP="00406601">
            <w:pPr>
              <w:pStyle w:val="TableParagraph"/>
              <w:spacing w:line="20" w:lineRule="atLeast"/>
              <w:ind w:left="455" w:right="453"/>
              <w:jc w:val="center"/>
              <w:rPr>
                <w:sz w:val="24"/>
                <w:szCs w:val="24"/>
                <w:lang w:val="sr-Cyrl-CS"/>
              </w:rPr>
            </w:pPr>
            <w:r w:rsidRPr="00F973FB">
              <w:rPr>
                <w:sz w:val="24"/>
                <w:szCs w:val="24"/>
                <w:lang w:val="sr-Cyrl-CS"/>
              </w:rPr>
              <w:t>7022</w:t>
            </w:r>
          </w:p>
        </w:tc>
        <w:tc>
          <w:tcPr>
            <w:tcW w:w="8080" w:type="dxa"/>
          </w:tcPr>
          <w:p w:rsidR="00AC7C66" w:rsidRPr="00F973FB" w:rsidRDefault="00AC7C66" w:rsidP="00406601">
            <w:pPr>
              <w:pStyle w:val="TableParagraph"/>
              <w:spacing w:line="20" w:lineRule="atLeast"/>
              <w:rPr>
                <w:sz w:val="24"/>
                <w:szCs w:val="24"/>
                <w:lang w:val="sr-Cyrl-CS"/>
              </w:rPr>
            </w:pPr>
            <w:r w:rsidRPr="00F973FB">
              <w:rPr>
                <w:sz w:val="24"/>
                <w:szCs w:val="24"/>
                <w:lang w:val="sr-Cyrl-CS"/>
              </w:rPr>
              <w:t>Консултантске активности у вези с пословањем и осталим управљањем</w:t>
            </w:r>
          </w:p>
        </w:tc>
      </w:tr>
      <w:tr w:rsidR="00AC7C66" w:rsidRPr="00F973FB" w:rsidTr="00E14382">
        <w:trPr>
          <w:trHeight w:val="273"/>
        </w:trPr>
        <w:tc>
          <w:tcPr>
            <w:tcW w:w="1418" w:type="dxa"/>
          </w:tcPr>
          <w:p w:rsidR="00AC7C66" w:rsidRPr="00F973FB" w:rsidRDefault="00AC7C66" w:rsidP="00406601">
            <w:pPr>
              <w:pStyle w:val="TableParagraph"/>
              <w:spacing w:line="20" w:lineRule="atLeast"/>
              <w:ind w:left="455" w:right="453"/>
              <w:jc w:val="center"/>
              <w:rPr>
                <w:sz w:val="24"/>
                <w:szCs w:val="24"/>
                <w:lang w:val="sr-Cyrl-CS"/>
              </w:rPr>
            </w:pPr>
            <w:r w:rsidRPr="00F973FB">
              <w:rPr>
                <w:sz w:val="24"/>
                <w:szCs w:val="24"/>
                <w:lang w:val="sr-Cyrl-CS"/>
              </w:rPr>
              <w:t>7111</w:t>
            </w:r>
          </w:p>
        </w:tc>
        <w:tc>
          <w:tcPr>
            <w:tcW w:w="8080" w:type="dxa"/>
          </w:tcPr>
          <w:p w:rsidR="00AC7C66" w:rsidRPr="00F973FB" w:rsidRDefault="00AC7C66" w:rsidP="00406601">
            <w:pPr>
              <w:pStyle w:val="TableParagraph"/>
              <w:spacing w:line="20" w:lineRule="atLeast"/>
              <w:rPr>
                <w:sz w:val="24"/>
                <w:szCs w:val="24"/>
                <w:lang w:val="sr-Cyrl-CS"/>
              </w:rPr>
            </w:pPr>
            <w:r w:rsidRPr="00F973FB">
              <w:rPr>
                <w:sz w:val="24"/>
                <w:szCs w:val="24"/>
                <w:lang w:val="sr-Cyrl-CS"/>
              </w:rPr>
              <w:t>Архитектонска делатност</w:t>
            </w:r>
          </w:p>
        </w:tc>
      </w:tr>
      <w:tr w:rsidR="00AC7C66" w:rsidRPr="00F973FB" w:rsidTr="00E14382">
        <w:trPr>
          <w:trHeight w:val="275"/>
        </w:trPr>
        <w:tc>
          <w:tcPr>
            <w:tcW w:w="1418" w:type="dxa"/>
          </w:tcPr>
          <w:p w:rsidR="00AC7C66" w:rsidRPr="00F973FB" w:rsidRDefault="00AC7C66" w:rsidP="00406601">
            <w:pPr>
              <w:pStyle w:val="TableParagraph"/>
              <w:spacing w:line="20" w:lineRule="atLeast"/>
              <w:ind w:left="455" w:right="453"/>
              <w:jc w:val="center"/>
              <w:rPr>
                <w:sz w:val="24"/>
                <w:szCs w:val="24"/>
                <w:lang w:val="sr-Cyrl-CS"/>
              </w:rPr>
            </w:pPr>
            <w:r w:rsidRPr="00F973FB">
              <w:rPr>
                <w:sz w:val="24"/>
                <w:szCs w:val="24"/>
                <w:lang w:val="sr-Cyrl-CS"/>
              </w:rPr>
              <w:t>7112</w:t>
            </w:r>
          </w:p>
        </w:tc>
        <w:tc>
          <w:tcPr>
            <w:tcW w:w="8080" w:type="dxa"/>
          </w:tcPr>
          <w:p w:rsidR="00AC7C66" w:rsidRPr="00F973FB" w:rsidRDefault="00AC7C66" w:rsidP="00406601">
            <w:pPr>
              <w:pStyle w:val="TableParagraph"/>
              <w:spacing w:line="20" w:lineRule="atLeast"/>
              <w:rPr>
                <w:sz w:val="24"/>
                <w:szCs w:val="24"/>
                <w:lang w:val="sr-Cyrl-CS"/>
              </w:rPr>
            </w:pPr>
            <w:r w:rsidRPr="00F973FB">
              <w:rPr>
                <w:sz w:val="24"/>
                <w:szCs w:val="24"/>
                <w:lang w:val="sr-Cyrl-CS"/>
              </w:rPr>
              <w:t>Инжењерске делатности и техничко саветовање</w:t>
            </w:r>
          </w:p>
        </w:tc>
      </w:tr>
      <w:tr w:rsidR="003C6C5E" w:rsidRPr="00F973FB" w:rsidTr="00E14382">
        <w:trPr>
          <w:trHeight w:val="275"/>
        </w:trPr>
        <w:tc>
          <w:tcPr>
            <w:tcW w:w="1418" w:type="dxa"/>
          </w:tcPr>
          <w:p w:rsidR="003C6C5E" w:rsidRPr="00F973FB" w:rsidRDefault="003C6C5E" w:rsidP="00406601">
            <w:pPr>
              <w:pStyle w:val="TableParagraph"/>
              <w:spacing w:line="20" w:lineRule="atLeast"/>
              <w:ind w:left="455" w:right="453"/>
              <w:jc w:val="center"/>
              <w:rPr>
                <w:sz w:val="24"/>
                <w:szCs w:val="24"/>
                <w:lang w:val="sr-Cyrl-CS"/>
              </w:rPr>
            </w:pPr>
            <w:r w:rsidRPr="00F973FB">
              <w:rPr>
                <w:sz w:val="24"/>
                <w:szCs w:val="24"/>
                <w:lang w:val="sr-Cyrl-CS"/>
              </w:rPr>
              <w:t>7410</w:t>
            </w:r>
          </w:p>
        </w:tc>
        <w:tc>
          <w:tcPr>
            <w:tcW w:w="8080" w:type="dxa"/>
          </w:tcPr>
          <w:p w:rsidR="003C6C5E" w:rsidRPr="00F973FB" w:rsidRDefault="003C6C5E" w:rsidP="00406601">
            <w:pPr>
              <w:pStyle w:val="TableParagraph"/>
              <w:spacing w:line="20" w:lineRule="atLeast"/>
              <w:rPr>
                <w:sz w:val="24"/>
                <w:szCs w:val="24"/>
                <w:lang w:val="sr-Cyrl-CS"/>
              </w:rPr>
            </w:pPr>
            <w:r w:rsidRPr="00F973FB">
              <w:rPr>
                <w:sz w:val="24"/>
                <w:szCs w:val="24"/>
                <w:lang w:val="sr-Cyrl-CS"/>
              </w:rPr>
              <w:t>Специјализоване дизајнерске активности</w:t>
            </w:r>
          </w:p>
        </w:tc>
      </w:tr>
      <w:tr w:rsidR="00AC7C66" w:rsidRPr="00F973FB" w:rsidTr="00E14382">
        <w:trPr>
          <w:trHeight w:val="278"/>
        </w:trPr>
        <w:tc>
          <w:tcPr>
            <w:tcW w:w="1418" w:type="dxa"/>
          </w:tcPr>
          <w:p w:rsidR="00AC7C66" w:rsidRPr="00F973FB" w:rsidRDefault="00AC7C66" w:rsidP="00406601">
            <w:pPr>
              <w:pStyle w:val="TableParagraph"/>
              <w:spacing w:line="20" w:lineRule="atLeast"/>
              <w:ind w:left="455" w:right="453"/>
              <w:jc w:val="center"/>
              <w:rPr>
                <w:sz w:val="24"/>
                <w:szCs w:val="24"/>
                <w:lang w:val="sr-Cyrl-CS"/>
              </w:rPr>
            </w:pPr>
            <w:r w:rsidRPr="00F973FB">
              <w:rPr>
                <w:sz w:val="24"/>
                <w:szCs w:val="24"/>
                <w:lang w:val="sr-Cyrl-CS"/>
              </w:rPr>
              <w:t>9001</w:t>
            </w:r>
          </w:p>
        </w:tc>
        <w:tc>
          <w:tcPr>
            <w:tcW w:w="8080" w:type="dxa"/>
          </w:tcPr>
          <w:p w:rsidR="00AC7C66" w:rsidRPr="00F973FB" w:rsidRDefault="00AC7C66" w:rsidP="00406601">
            <w:pPr>
              <w:pStyle w:val="TableParagraph"/>
              <w:spacing w:line="20" w:lineRule="atLeast"/>
              <w:rPr>
                <w:sz w:val="24"/>
                <w:szCs w:val="24"/>
                <w:lang w:val="sr-Cyrl-CS"/>
              </w:rPr>
            </w:pPr>
            <w:r w:rsidRPr="00F973FB">
              <w:rPr>
                <w:sz w:val="24"/>
                <w:szCs w:val="24"/>
                <w:lang w:val="sr-Cyrl-CS"/>
              </w:rPr>
              <w:t>Извођачка уметност</w:t>
            </w:r>
          </w:p>
        </w:tc>
      </w:tr>
      <w:tr w:rsidR="00AC7C66" w:rsidRPr="00F973FB" w:rsidTr="00E14382">
        <w:trPr>
          <w:trHeight w:val="241"/>
        </w:trPr>
        <w:tc>
          <w:tcPr>
            <w:tcW w:w="1418" w:type="dxa"/>
          </w:tcPr>
          <w:p w:rsidR="00AC7C66" w:rsidRPr="00F973FB" w:rsidRDefault="00AC7C66" w:rsidP="00406601">
            <w:pPr>
              <w:pStyle w:val="TableParagraph"/>
              <w:spacing w:line="20" w:lineRule="atLeast"/>
              <w:ind w:left="455" w:right="453"/>
              <w:jc w:val="center"/>
              <w:rPr>
                <w:sz w:val="24"/>
                <w:szCs w:val="24"/>
                <w:lang w:val="sr-Cyrl-CS"/>
              </w:rPr>
            </w:pPr>
            <w:r w:rsidRPr="00F973FB">
              <w:rPr>
                <w:sz w:val="24"/>
                <w:szCs w:val="24"/>
                <w:lang w:val="sr-Cyrl-CS"/>
              </w:rPr>
              <w:t>9002</w:t>
            </w:r>
          </w:p>
        </w:tc>
        <w:tc>
          <w:tcPr>
            <w:tcW w:w="8080" w:type="dxa"/>
          </w:tcPr>
          <w:p w:rsidR="00AC7C66" w:rsidRPr="00F973FB" w:rsidRDefault="00AC7C66" w:rsidP="00C53876">
            <w:pPr>
              <w:pStyle w:val="TableParagraph"/>
              <w:tabs>
                <w:tab w:val="left" w:pos="983"/>
                <w:tab w:val="left" w:pos="2336"/>
                <w:tab w:val="left" w:pos="3751"/>
                <w:tab w:val="left" w:pos="4140"/>
                <w:tab w:val="left" w:pos="5123"/>
              </w:tabs>
              <w:spacing w:line="20" w:lineRule="atLeast"/>
              <w:ind w:right="100"/>
              <w:rPr>
                <w:sz w:val="24"/>
                <w:szCs w:val="24"/>
                <w:lang w:val="sr-Cyrl-CS"/>
              </w:rPr>
            </w:pPr>
            <w:r w:rsidRPr="00F973FB">
              <w:rPr>
                <w:sz w:val="24"/>
                <w:szCs w:val="24"/>
                <w:lang w:val="sr-Cyrl-CS"/>
              </w:rPr>
              <w:t>Друге</w:t>
            </w:r>
            <w:r w:rsidR="00C53876" w:rsidRPr="00F973FB">
              <w:rPr>
                <w:sz w:val="24"/>
                <w:szCs w:val="24"/>
                <w:lang w:val="sr-Cyrl-CS"/>
              </w:rPr>
              <w:t xml:space="preserve"> </w:t>
            </w:r>
            <w:r w:rsidRPr="00F973FB">
              <w:rPr>
                <w:sz w:val="24"/>
                <w:szCs w:val="24"/>
                <w:lang w:val="sr-Cyrl-CS"/>
              </w:rPr>
              <w:t>уметничке</w:t>
            </w:r>
            <w:r w:rsidR="00C53876" w:rsidRPr="00F973FB">
              <w:rPr>
                <w:sz w:val="24"/>
                <w:szCs w:val="24"/>
                <w:lang w:val="sr-Cyrl-CS"/>
              </w:rPr>
              <w:t xml:space="preserve"> </w:t>
            </w:r>
            <w:r w:rsidRPr="00F973FB">
              <w:rPr>
                <w:sz w:val="24"/>
                <w:szCs w:val="24"/>
                <w:lang w:val="sr-Cyrl-CS"/>
              </w:rPr>
              <w:t>делатности</w:t>
            </w:r>
            <w:r w:rsidR="00C53876" w:rsidRPr="00F973FB">
              <w:rPr>
                <w:sz w:val="24"/>
                <w:szCs w:val="24"/>
                <w:lang w:val="sr-Cyrl-CS"/>
              </w:rPr>
              <w:t xml:space="preserve"> </w:t>
            </w:r>
            <w:r w:rsidRPr="00F973FB">
              <w:rPr>
                <w:sz w:val="24"/>
                <w:szCs w:val="24"/>
                <w:lang w:val="sr-Cyrl-CS"/>
              </w:rPr>
              <w:t>у</w:t>
            </w:r>
            <w:r w:rsidR="00C53876" w:rsidRPr="00F973FB">
              <w:rPr>
                <w:sz w:val="24"/>
                <w:szCs w:val="24"/>
                <w:lang w:val="sr-Cyrl-CS"/>
              </w:rPr>
              <w:t xml:space="preserve"> </w:t>
            </w:r>
            <w:r w:rsidRPr="00F973FB">
              <w:rPr>
                <w:sz w:val="24"/>
                <w:szCs w:val="24"/>
                <w:lang w:val="sr-Cyrl-CS"/>
              </w:rPr>
              <w:t>оквиру</w:t>
            </w:r>
            <w:r w:rsidR="00C53876" w:rsidRPr="00F973FB">
              <w:rPr>
                <w:sz w:val="24"/>
                <w:szCs w:val="24"/>
                <w:lang w:val="sr-Cyrl-CS"/>
              </w:rPr>
              <w:t xml:space="preserve"> </w:t>
            </w:r>
            <w:r w:rsidRPr="00F973FB">
              <w:rPr>
                <w:spacing w:val="-1"/>
                <w:sz w:val="24"/>
                <w:szCs w:val="24"/>
                <w:lang w:val="sr-Cyrl-CS"/>
              </w:rPr>
              <w:t xml:space="preserve">извођачке </w:t>
            </w:r>
            <w:r w:rsidRPr="00F973FB">
              <w:rPr>
                <w:sz w:val="24"/>
                <w:szCs w:val="24"/>
                <w:lang w:val="sr-Cyrl-CS"/>
              </w:rPr>
              <w:t>уметности</w:t>
            </w:r>
          </w:p>
        </w:tc>
      </w:tr>
    </w:tbl>
    <w:p w:rsidR="00AC7C66" w:rsidRPr="00F973FB" w:rsidRDefault="00AC7C66" w:rsidP="00406601">
      <w:pPr>
        <w:pStyle w:val="BodyText"/>
        <w:spacing w:line="20" w:lineRule="atLeast"/>
        <w:jc w:val="left"/>
        <w:rPr>
          <w:lang w:val="sr-Cyrl-CS"/>
        </w:rPr>
      </w:pPr>
    </w:p>
    <w:p w:rsidR="00E14382" w:rsidRPr="00F973FB" w:rsidRDefault="00E14382" w:rsidP="00406601">
      <w:pPr>
        <w:pStyle w:val="BodyText"/>
        <w:spacing w:line="20" w:lineRule="atLeast"/>
        <w:ind w:right="116" w:firstLine="720"/>
        <w:rPr>
          <w:lang w:val="sr-Cyrl-CS"/>
        </w:rPr>
      </w:pPr>
    </w:p>
    <w:p w:rsidR="00AC7C66" w:rsidRPr="00F973FB" w:rsidRDefault="004C5E64" w:rsidP="00406601">
      <w:pPr>
        <w:pStyle w:val="BodyText"/>
        <w:spacing w:line="20" w:lineRule="atLeast"/>
        <w:ind w:right="116" w:firstLine="720"/>
        <w:rPr>
          <w:lang w:val="sr-Cyrl-CS"/>
        </w:rPr>
      </w:pPr>
      <w:r w:rsidRPr="00F973FB">
        <w:rPr>
          <w:lang w:val="sr-Cyrl-CS"/>
        </w:rPr>
        <w:lastRenderedPageBreak/>
        <w:t>П</w:t>
      </w:r>
      <w:r w:rsidR="00DE7A57" w:rsidRPr="00F973FB">
        <w:rPr>
          <w:lang w:val="sr-Cyrl-CS"/>
        </w:rPr>
        <w:t>редузетнику паушалцу к</w:t>
      </w:r>
      <w:r w:rsidR="00AC7C66" w:rsidRPr="00F973FB">
        <w:rPr>
          <w:lang w:val="sr-Cyrl-CS"/>
        </w:rPr>
        <w:t>оме је регистрована претежна делатност у регистру привредних субјеката као делатност која није наведена у Прилогу 1, порески орган ће утврдити коефицијент делатности тако што ће ту регистровану делатност уподобити некој од наведених у Прилогу 1, полазећи од критеријума профитабилности и обима промета.</w:t>
      </w:r>
    </w:p>
    <w:p w:rsidR="00AC7C66" w:rsidRPr="00F973FB" w:rsidRDefault="00AC7C66" w:rsidP="00406601">
      <w:pPr>
        <w:pStyle w:val="BodyText"/>
        <w:spacing w:line="20" w:lineRule="atLeast"/>
        <w:jc w:val="left"/>
        <w:rPr>
          <w:lang w:val="sr-Cyrl-CS"/>
        </w:rPr>
      </w:pPr>
    </w:p>
    <w:p w:rsidR="00AC7C66" w:rsidRPr="00F973FB" w:rsidRDefault="00AC7C66" w:rsidP="004B7E93">
      <w:pPr>
        <w:pStyle w:val="Heading1"/>
        <w:tabs>
          <w:tab w:val="left" w:pos="952"/>
        </w:tabs>
        <w:spacing w:line="20" w:lineRule="atLeast"/>
        <w:ind w:left="0" w:right="0"/>
        <w:jc w:val="center"/>
        <w:rPr>
          <w:b w:val="0"/>
          <w:lang w:val="sr-Cyrl-CS"/>
        </w:rPr>
      </w:pPr>
      <w:r w:rsidRPr="00F973FB">
        <w:rPr>
          <w:b w:val="0"/>
          <w:lang w:val="sr-Cyrl-CS"/>
        </w:rPr>
        <w:t>Е</w:t>
      </w:r>
      <w:r w:rsidR="00B82E42" w:rsidRPr="00F973FB">
        <w:rPr>
          <w:b w:val="0"/>
          <w:lang w:val="sr-Cyrl-CS"/>
        </w:rPr>
        <w:t>лементи за утврђивање висине паушалног</w:t>
      </w:r>
      <w:r w:rsidR="00B82E42" w:rsidRPr="00F973FB">
        <w:rPr>
          <w:b w:val="0"/>
          <w:spacing w:val="-14"/>
          <w:lang w:val="sr-Cyrl-CS"/>
        </w:rPr>
        <w:t xml:space="preserve"> </w:t>
      </w:r>
      <w:r w:rsidR="00B82E42" w:rsidRPr="00F973FB">
        <w:rPr>
          <w:b w:val="0"/>
          <w:lang w:val="sr-Cyrl-CS"/>
        </w:rPr>
        <w:t>прихода</w:t>
      </w:r>
    </w:p>
    <w:p w:rsidR="00AC7C66" w:rsidRPr="00F973FB" w:rsidRDefault="00AC7C66" w:rsidP="00406601">
      <w:pPr>
        <w:spacing w:after="0" w:line="20" w:lineRule="atLeast"/>
        <w:ind w:left="4210"/>
        <w:rPr>
          <w:rFonts w:ascii="Times New Roman" w:hAnsi="Times New Roman" w:cs="Times New Roman"/>
          <w:sz w:val="24"/>
          <w:szCs w:val="24"/>
          <w:lang w:val="sr-Cyrl-CS"/>
        </w:rPr>
      </w:pPr>
      <w:r w:rsidRPr="00F973FB">
        <w:rPr>
          <w:rFonts w:ascii="Times New Roman" w:hAnsi="Times New Roman" w:cs="Times New Roman"/>
          <w:sz w:val="24"/>
          <w:szCs w:val="24"/>
          <w:lang w:val="sr-Cyrl-CS"/>
        </w:rPr>
        <w:t>Члан</w:t>
      </w:r>
      <w:r w:rsidRPr="00F973FB">
        <w:rPr>
          <w:rFonts w:ascii="Times New Roman" w:hAnsi="Times New Roman" w:cs="Times New Roman"/>
          <w:spacing w:val="-3"/>
          <w:sz w:val="24"/>
          <w:szCs w:val="24"/>
          <w:lang w:val="sr-Cyrl-CS"/>
        </w:rPr>
        <w:t xml:space="preserve"> </w:t>
      </w:r>
      <w:r w:rsidRPr="00F973FB">
        <w:rPr>
          <w:rFonts w:ascii="Times New Roman" w:hAnsi="Times New Roman" w:cs="Times New Roman"/>
          <w:sz w:val="24"/>
          <w:szCs w:val="24"/>
          <w:lang w:val="sr-Cyrl-CS"/>
        </w:rPr>
        <w:t>5.</w:t>
      </w:r>
    </w:p>
    <w:p w:rsidR="00AC7C66" w:rsidRPr="00F973FB" w:rsidRDefault="00AC7C66" w:rsidP="00406601">
      <w:pPr>
        <w:pStyle w:val="BodyText"/>
        <w:spacing w:line="20" w:lineRule="atLeast"/>
        <w:ind w:right="117" w:firstLine="720"/>
        <w:rPr>
          <w:lang w:val="sr-Cyrl-CS"/>
        </w:rPr>
      </w:pPr>
      <w:r w:rsidRPr="00F973FB">
        <w:rPr>
          <w:lang w:val="sr-Cyrl-CS"/>
        </w:rPr>
        <w:t xml:space="preserve">Полазна основица за утврђивање висине паушалног прихода одређена у складу са чланом 4. ове уредбе, умањује се, односно повећава, применом елемената из члана 41. став </w:t>
      </w:r>
      <w:r w:rsidR="009F464A" w:rsidRPr="00F973FB">
        <w:rPr>
          <w:lang w:val="sr-Cyrl-CS"/>
        </w:rPr>
        <w:t>4.</w:t>
      </w:r>
      <w:r w:rsidRPr="00F973FB">
        <w:rPr>
          <w:lang w:val="sr-Cyrl-CS"/>
        </w:rPr>
        <w:t xml:space="preserve"> Закона, и то:</w:t>
      </w:r>
    </w:p>
    <w:p w:rsidR="00E60438" w:rsidRPr="00F973FB" w:rsidRDefault="00373113" w:rsidP="00406601">
      <w:pPr>
        <w:widowControl w:val="0"/>
        <w:tabs>
          <w:tab w:val="left" w:pos="720"/>
        </w:tabs>
        <w:autoSpaceDE w:val="0"/>
        <w:autoSpaceDN w:val="0"/>
        <w:spacing w:after="0" w:line="20" w:lineRule="atLeast"/>
        <w:ind w:right="113"/>
        <w:jc w:val="both"/>
        <w:rPr>
          <w:rFonts w:ascii="Times New Roman" w:hAnsi="Times New Roman" w:cs="Times New Roman"/>
          <w:sz w:val="24"/>
          <w:szCs w:val="24"/>
          <w:lang w:val="sr-Cyrl-CS"/>
        </w:rPr>
      </w:pPr>
      <w:r w:rsidRPr="00F973FB">
        <w:rPr>
          <w:rFonts w:ascii="Times New Roman" w:hAnsi="Times New Roman" w:cs="Times New Roman"/>
          <w:sz w:val="24"/>
          <w:szCs w:val="24"/>
          <w:lang w:val="sr-Cyrl-CS"/>
        </w:rPr>
        <w:tab/>
        <w:t xml:space="preserve">1) </w:t>
      </w:r>
      <w:r w:rsidR="00AC7C66" w:rsidRPr="00F973FB">
        <w:rPr>
          <w:rFonts w:ascii="Times New Roman" w:hAnsi="Times New Roman" w:cs="Times New Roman"/>
          <w:sz w:val="24"/>
          <w:szCs w:val="24"/>
          <w:lang w:val="sr-Cyrl-CS"/>
        </w:rPr>
        <w:t>регистрован</w:t>
      </w:r>
      <w:r w:rsidR="00DE7A57" w:rsidRPr="00F973FB">
        <w:rPr>
          <w:rFonts w:ascii="Times New Roman" w:hAnsi="Times New Roman" w:cs="Times New Roman"/>
          <w:sz w:val="24"/>
          <w:szCs w:val="24"/>
          <w:lang w:val="sr-Cyrl-CS"/>
        </w:rPr>
        <w:t>о седиште обвезника</w:t>
      </w:r>
      <w:r w:rsidR="00AC7C66" w:rsidRPr="00F973FB">
        <w:rPr>
          <w:rFonts w:ascii="Times New Roman" w:hAnsi="Times New Roman" w:cs="Times New Roman"/>
          <w:sz w:val="24"/>
          <w:szCs w:val="24"/>
          <w:lang w:val="sr-Cyrl-CS"/>
        </w:rPr>
        <w:t>, тако што се полазна основица за следеће шифре</w:t>
      </w:r>
      <w:r w:rsidR="00AC7C66" w:rsidRPr="00F973FB">
        <w:rPr>
          <w:rFonts w:ascii="Times New Roman" w:hAnsi="Times New Roman" w:cs="Times New Roman"/>
          <w:spacing w:val="-4"/>
          <w:sz w:val="24"/>
          <w:szCs w:val="24"/>
          <w:lang w:val="sr-Cyrl-CS"/>
        </w:rPr>
        <w:t xml:space="preserve"> </w:t>
      </w:r>
      <w:r w:rsidR="00AC7C66" w:rsidRPr="00F973FB">
        <w:rPr>
          <w:rFonts w:ascii="Times New Roman" w:hAnsi="Times New Roman" w:cs="Times New Roman"/>
          <w:sz w:val="24"/>
          <w:szCs w:val="24"/>
          <w:lang w:val="sr-Cyrl-CS"/>
        </w:rPr>
        <w:t>делатности</w:t>
      </w:r>
      <w:r w:rsidR="00994BC2" w:rsidRPr="00F973FB">
        <w:rPr>
          <w:rFonts w:ascii="Times New Roman" w:hAnsi="Times New Roman" w:cs="Times New Roman"/>
          <w:sz w:val="24"/>
          <w:szCs w:val="24"/>
          <w:lang w:val="sr-Cyrl-CS"/>
        </w:rPr>
        <w:t>:</w:t>
      </w:r>
    </w:p>
    <w:p w:rsidR="00AC7C66" w:rsidRPr="00F973FB" w:rsidRDefault="00E60438" w:rsidP="00406601">
      <w:pPr>
        <w:widowControl w:val="0"/>
        <w:tabs>
          <w:tab w:val="left" w:pos="720"/>
        </w:tabs>
        <w:autoSpaceDE w:val="0"/>
        <w:autoSpaceDN w:val="0"/>
        <w:spacing w:after="0" w:line="20" w:lineRule="atLeast"/>
        <w:ind w:right="113"/>
        <w:jc w:val="both"/>
        <w:rPr>
          <w:rFonts w:ascii="Times New Roman" w:hAnsi="Times New Roman" w:cs="Times New Roman"/>
          <w:b/>
          <w:i/>
          <w:color w:val="FF0000"/>
          <w:sz w:val="24"/>
          <w:szCs w:val="24"/>
          <w:lang w:val="sr-Cyrl-CS"/>
        </w:rPr>
      </w:pPr>
      <w:r w:rsidRPr="00F973FB">
        <w:rPr>
          <w:rFonts w:ascii="Times New Roman" w:hAnsi="Times New Roman" w:cs="Times New Roman"/>
          <w:b/>
          <w:i/>
          <w:color w:val="FF0000"/>
          <w:sz w:val="24"/>
          <w:szCs w:val="24"/>
          <w:lang w:val="sr-Cyrl-CS"/>
        </w:rPr>
        <w:tab/>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30"/>
        <w:gridCol w:w="7968"/>
      </w:tblGrid>
      <w:tr w:rsidR="00AC7C66" w:rsidRPr="00F973FB" w:rsidTr="00E14382">
        <w:trPr>
          <w:trHeight w:val="551"/>
        </w:trPr>
        <w:tc>
          <w:tcPr>
            <w:tcW w:w="1530" w:type="dxa"/>
          </w:tcPr>
          <w:p w:rsidR="00AC7C66" w:rsidRPr="00F973FB" w:rsidRDefault="00AC7C66" w:rsidP="00406601">
            <w:pPr>
              <w:pStyle w:val="TableParagraph"/>
              <w:spacing w:line="20" w:lineRule="atLeast"/>
              <w:ind w:left="105" w:right="81" w:firstLine="199"/>
              <w:rPr>
                <w:b/>
                <w:sz w:val="24"/>
                <w:szCs w:val="24"/>
                <w:lang w:val="sr-Cyrl-CS"/>
              </w:rPr>
            </w:pPr>
            <w:r w:rsidRPr="00F973FB">
              <w:rPr>
                <w:b/>
                <w:sz w:val="24"/>
                <w:szCs w:val="24"/>
                <w:lang w:val="sr-Cyrl-CS"/>
              </w:rPr>
              <w:t>Шифра делатности</w:t>
            </w:r>
          </w:p>
        </w:tc>
        <w:tc>
          <w:tcPr>
            <w:tcW w:w="7968" w:type="dxa"/>
          </w:tcPr>
          <w:p w:rsidR="00AC7C66" w:rsidRPr="00F973FB" w:rsidRDefault="00AC7C66" w:rsidP="00406601">
            <w:pPr>
              <w:pStyle w:val="TableParagraph"/>
              <w:spacing w:line="20" w:lineRule="atLeast"/>
              <w:ind w:left="2130" w:right="2125"/>
              <w:jc w:val="center"/>
              <w:rPr>
                <w:b/>
                <w:sz w:val="24"/>
                <w:szCs w:val="24"/>
                <w:lang w:val="sr-Cyrl-CS"/>
              </w:rPr>
            </w:pPr>
            <w:r w:rsidRPr="00F973FB">
              <w:rPr>
                <w:b/>
                <w:sz w:val="24"/>
                <w:szCs w:val="24"/>
                <w:lang w:val="sr-Cyrl-CS"/>
              </w:rPr>
              <w:t>Назив делатности</w:t>
            </w:r>
          </w:p>
        </w:tc>
      </w:tr>
      <w:tr w:rsidR="00AC7C66" w:rsidRPr="00F973FB" w:rsidTr="00E14382">
        <w:trPr>
          <w:trHeight w:val="273"/>
        </w:trPr>
        <w:tc>
          <w:tcPr>
            <w:tcW w:w="1530" w:type="dxa"/>
          </w:tcPr>
          <w:p w:rsidR="00AC7C66" w:rsidRPr="00F973FB" w:rsidRDefault="00AC7C66" w:rsidP="00406601">
            <w:pPr>
              <w:pStyle w:val="TableParagraph"/>
              <w:spacing w:line="20" w:lineRule="atLeast"/>
              <w:ind w:left="455" w:right="453"/>
              <w:jc w:val="center"/>
              <w:rPr>
                <w:sz w:val="24"/>
                <w:szCs w:val="24"/>
                <w:lang w:val="sr-Cyrl-CS"/>
              </w:rPr>
            </w:pPr>
            <w:r w:rsidRPr="00F973FB">
              <w:rPr>
                <w:sz w:val="24"/>
                <w:szCs w:val="24"/>
                <w:lang w:val="sr-Cyrl-CS"/>
              </w:rPr>
              <w:t>1071</w:t>
            </w:r>
          </w:p>
        </w:tc>
        <w:tc>
          <w:tcPr>
            <w:tcW w:w="7968" w:type="dxa"/>
          </w:tcPr>
          <w:p w:rsidR="00AC7C66" w:rsidRPr="00F973FB" w:rsidRDefault="00AC7C66" w:rsidP="00406601">
            <w:pPr>
              <w:pStyle w:val="TableParagraph"/>
              <w:spacing w:line="20" w:lineRule="atLeast"/>
              <w:rPr>
                <w:sz w:val="24"/>
                <w:szCs w:val="24"/>
                <w:lang w:val="sr-Cyrl-CS"/>
              </w:rPr>
            </w:pPr>
            <w:r w:rsidRPr="00F973FB">
              <w:rPr>
                <w:sz w:val="24"/>
                <w:szCs w:val="24"/>
                <w:lang w:val="sr-Cyrl-CS"/>
              </w:rPr>
              <w:t>Производња хлеба, свежег пецива и колача</w:t>
            </w:r>
          </w:p>
        </w:tc>
      </w:tr>
      <w:tr w:rsidR="00AC7C66" w:rsidRPr="00F973FB" w:rsidTr="00E14382">
        <w:trPr>
          <w:trHeight w:val="265"/>
        </w:trPr>
        <w:tc>
          <w:tcPr>
            <w:tcW w:w="1530" w:type="dxa"/>
          </w:tcPr>
          <w:p w:rsidR="00AC7C66" w:rsidRPr="00F973FB" w:rsidRDefault="00AC7C66" w:rsidP="00406601">
            <w:pPr>
              <w:pStyle w:val="TableParagraph"/>
              <w:spacing w:line="20" w:lineRule="atLeast"/>
              <w:ind w:left="455" w:right="453"/>
              <w:jc w:val="center"/>
              <w:rPr>
                <w:sz w:val="24"/>
                <w:szCs w:val="24"/>
                <w:lang w:val="sr-Cyrl-CS"/>
              </w:rPr>
            </w:pPr>
            <w:r w:rsidRPr="00F973FB">
              <w:rPr>
                <w:sz w:val="24"/>
                <w:szCs w:val="24"/>
                <w:lang w:val="sr-Cyrl-CS"/>
              </w:rPr>
              <w:t>1512</w:t>
            </w:r>
          </w:p>
        </w:tc>
        <w:tc>
          <w:tcPr>
            <w:tcW w:w="7968" w:type="dxa"/>
          </w:tcPr>
          <w:p w:rsidR="00AC7C66" w:rsidRPr="00F973FB" w:rsidRDefault="00AC7C66" w:rsidP="00406601">
            <w:pPr>
              <w:pStyle w:val="TableParagraph"/>
              <w:spacing w:line="20" w:lineRule="atLeast"/>
              <w:rPr>
                <w:sz w:val="24"/>
                <w:szCs w:val="24"/>
                <w:lang w:val="sr-Cyrl-CS"/>
              </w:rPr>
            </w:pPr>
            <w:r w:rsidRPr="00F973FB">
              <w:rPr>
                <w:sz w:val="24"/>
                <w:szCs w:val="24"/>
                <w:lang w:val="sr-Cyrl-CS"/>
              </w:rPr>
              <w:t>Производња путних и ручних торби и сл., сарачких производа и каишева</w:t>
            </w:r>
          </w:p>
        </w:tc>
      </w:tr>
      <w:tr w:rsidR="00AC7C66" w:rsidRPr="00F973FB" w:rsidTr="00E14382">
        <w:trPr>
          <w:trHeight w:val="276"/>
        </w:trPr>
        <w:tc>
          <w:tcPr>
            <w:tcW w:w="1530" w:type="dxa"/>
          </w:tcPr>
          <w:p w:rsidR="00AC7C66" w:rsidRPr="00F973FB" w:rsidRDefault="00AC7C66" w:rsidP="00406601">
            <w:pPr>
              <w:pStyle w:val="TableParagraph"/>
              <w:spacing w:line="20" w:lineRule="atLeast"/>
              <w:ind w:left="455" w:right="453"/>
              <w:jc w:val="center"/>
              <w:rPr>
                <w:sz w:val="24"/>
                <w:szCs w:val="24"/>
                <w:lang w:val="sr-Cyrl-CS"/>
              </w:rPr>
            </w:pPr>
            <w:r w:rsidRPr="00F973FB">
              <w:rPr>
                <w:sz w:val="24"/>
                <w:szCs w:val="24"/>
                <w:lang w:val="sr-Cyrl-CS"/>
              </w:rPr>
              <w:t>1814</w:t>
            </w:r>
          </w:p>
        </w:tc>
        <w:tc>
          <w:tcPr>
            <w:tcW w:w="7968" w:type="dxa"/>
          </w:tcPr>
          <w:p w:rsidR="00AC7C66" w:rsidRPr="00F973FB" w:rsidRDefault="00AC7C66" w:rsidP="00406601">
            <w:pPr>
              <w:pStyle w:val="TableParagraph"/>
              <w:spacing w:line="20" w:lineRule="atLeast"/>
              <w:rPr>
                <w:sz w:val="24"/>
                <w:szCs w:val="24"/>
                <w:lang w:val="sr-Cyrl-CS"/>
              </w:rPr>
            </w:pPr>
            <w:r w:rsidRPr="00F973FB">
              <w:rPr>
                <w:sz w:val="24"/>
                <w:szCs w:val="24"/>
                <w:lang w:val="sr-Cyrl-CS"/>
              </w:rPr>
              <w:t>Књиговезачке и сродне услуге</w:t>
            </w:r>
          </w:p>
        </w:tc>
      </w:tr>
      <w:tr w:rsidR="00AC7C66" w:rsidRPr="00F973FB" w:rsidTr="00E14382">
        <w:trPr>
          <w:trHeight w:val="275"/>
        </w:trPr>
        <w:tc>
          <w:tcPr>
            <w:tcW w:w="1530" w:type="dxa"/>
          </w:tcPr>
          <w:p w:rsidR="00AC7C66" w:rsidRPr="00F973FB" w:rsidRDefault="00AC7C66" w:rsidP="00406601">
            <w:pPr>
              <w:pStyle w:val="TableParagraph"/>
              <w:spacing w:line="20" w:lineRule="atLeast"/>
              <w:ind w:left="455" w:right="453"/>
              <w:jc w:val="center"/>
              <w:rPr>
                <w:sz w:val="24"/>
                <w:szCs w:val="24"/>
                <w:lang w:val="sr-Cyrl-CS"/>
              </w:rPr>
            </w:pPr>
            <w:r w:rsidRPr="00F973FB">
              <w:rPr>
                <w:sz w:val="24"/>
                <w:szCs w:val="24"/>
                <w:lang w:val="sr-Cyrl-CS"/>
              </w:rPr>
              <w:t>3314</w:t>
            </w:r>
          </w:p>
        </w:tc>
        <w:tc>
          <w:tcPr>
            <w:tcW w:w="7968" w:type="dxa"/>
          </w:tcPr>
          <w:p w:rsidR="00AC7C66" w:rsidRPr="00F973FB" w:rsidRDefault="00AC7C66" w:rsidP="00406601">
            <w:pPr>
              <w:pStyle w:val="TableParagraph"/>
              <w:spacing w:line="20" w:lineRule="atLeast"/>
              <w:rPr>
                <w:sz w:val="24"/>
                <w:szCs w:val="24"/>
                <w:lang w:val="sr-Cyrl-CS"/>
              </w:rPr>
            </w:pPr>
            <w:r w:rsidRPr="00F973FB">
              <w:rPr>
                <w:sz w:val="24"/>
                <w:szCs w:val="24"/>
                <w:lang w:val="sr-Cyrl-CS"/>
              </w:rPr>
              <w:t>Поправка електричне опреме</w:t>
            </w:r>
          </w:p>
        </w:tc>
      </w:tr>
      <w:tr w:rsidR="00AC7C66" w:rsidRPr="00F973FB" w:rsidTr="00E14382">
        <w:trPr>
          <w:trHeight w:val="275"/>
        </w:trPr>
        <w:tc>
          <w:tcPr>
            <w:tcW w:w="1530" w:type="dxa"/>
          </w:tcPr>
          <w:p w:rsidR="00AC7C66" w:rsidRPr="00F973FB" w:rsidRDefault="00AC7C66" w:rsidP="00406601">
            <w:pPr>
              <w:pStyle w:val="TableParagraph"/>
              <w:spacing w:line="20" w:lineRule="atLeast"/>
              <w:ind w:left="455" w:right="453"/>
              <w:jc w:val="center"/>
              <w:rPr>
                <w:sz w:val="24"/>
                <w:szCs w:val="24"/>
                <w:lang w:val="sr-Cyrl-CS"/>
              </w:rPr>
            </w:pPr>
            <w:r w:rsidRPr="00F973FB">
              <w:rPr>
                <w:sz w:val="24"/>
                <w:szCs w:val="24"/>
                <w:lang w:val="sr-Cyrl-CS"/>
              </w:rPr>
              <w:t>5610</w:t>
            </w:r>
          </w:p>
        </w:tc>
        <w:tc>
          <w:tcPr>
            <w:tcW w:w="7968" w:type="dxa"/>
          </w:tcPr>
          <w:p w:rsidR="00AC7C66" w:rsidRPr="00F973FB" w:rsidRDefault="00AC7C66" w:rsidP="00406601">
            <w:pPr>
              <w:pStyle w:val="TableParagraph"/>
              <w:spacing w:line="20" w:lineRule="atLeast"/>
              <w:rPr>
                <w:sz w:val="24"/>
                <w:szCs w:val="24"/>
                <w:lang w:val="sr-Cyrl-CS"/>
              </w:rPr>
            </w:pPr>
            <w:r w:rsidRPr="00F973FB">
              <w:rPr>
                <w:sz w:val="24"/>
                <w:szCs w:val="24"/>
                <w:lang w:val="sr-Cyrl-CS"/>
              </w:rPr>
              <w:t>Делатности ресторана и покретних угоститељских објекта</w:t>
            </w:r>
          </w:p>
        </w:tc>
      </w:tr>
      <w:tr w:rsidR="00AC7C66" w:rsidRPr="00F973FB" w:rsidTr="00E14382">
        <w:trPr>
          <w:trHeight w:val="275"/>
        </w:trPr>
        <w:tc>
          <w:tcPr>
            <w:tcW w:w="1530" w:type="dxa"/>
          </w:tcPr>
          <w:p w:rsidR="00AC7C66" w:rsidRPr="00F973FB" w:rsidRDefault="00AC7C66" w:rsidP="00406601">
            <w:pPr>
              <w:pStyle w:val="TableParagraph"/>
              <w:spacing w:line="20" w:lineRule="atLeast"/>
              <w:ind w:left="455" w:right="453"/>
              <w:jc w:val="center"/>
              <w:rPr>
                <w:sz w:val="24"/>
                <w:szCs w:val="24"/>
                <w:lang w:val="sr-Cyrl-CS"/>
              </w:rPr>
            </w:pPr>
            <w:r w:rsidRPr="00F973FB">
              <w:rPr>
                <w:sz w:val="24"/>
                <w:szCs w:val="24"/>
                <w:lang w:val="sr-Cyrl-CS"/>
              </w:rPr>
              <w:t>7420</w:t>
            </w:r>
          </w:p>
        </w:tc>
        <w:tc>
          <w:tcPr>
            <w:tcW w:w="7968" w:type="dxa"/>
          </w:tcPr>
          <w:p w:rsidR="00AC7C66" w:rsidRPr="00F973FB" w:rsidRDefault="00AC7C66" w:rsidP="00406601">
            <w:pPr>
              <w:pStyle w:val="TableParagraph"/>
              <w:spacing w:line="20" w:lineRule="atLeast"/>
              <w:rPr>
                <w:sz w:val="24"/>
                <w:szCs w:val="24"/>
                <w:lang w:val="sr-Cyrl-CS"/>
              </w:rPr>
            </w:pPr>
            <w:r w:rsidRPr="00F973FB">
              <w:rPr>
                <w:sz w:val="24"/>
                <w:szCs w:val="24"/>
                <w:lang w:val="sr-Cyrl-CS"/>
              </w:rPr>
              <w:t>Фотографске услуге</w:t>
            </w:r>
          </w:p>
        </w:tc>
      </w:tr>
      <w:tr w:rsidR="00AC7C66" w:rsidRPr="00F973FB" w:rsidTr="00E14382">
        <w:trPr>
          <w:trHeight w:val="275"/>
        </w:trPr>
        <w:tc>
          <w:tcPr>
            <w:tcW w:w="1530" w:type="dxa"/>
          </w:tcPr>
          <w:p w:rsidR="00AC7C66" w:rsidRPr="00F973FB" w:rsidRDefault="00AC7C66" w:rsidP="00406601">
            <w:pPr>
              <w:pStyle w:val="TableParagraph"/>
              <w:spacing w:line="20" w:lineRule="atLeast"/>
              <w:ind w:left="455" w:right="453"/>
              <w:jc w:val="center"/>
              <w:rPr>
                <w:sz w:val="24"/>
                <w:szCs w:val="24"/>
                <w:lang w:val="sr-Cyrl-CS"/>
              </w:rPr>
            </w:pPr>
            <w:r w:rsidRPr="00F973FB">
              <w:rPr>
                <w:sz w:val="24"/>
                <w:szCs w:val="24"/>
                <w:lang w:val="sr-Cyrl-CS"/>
              </w:rPr>
              <w:t>8211</w:t>
            </w:r>
          </w:p>
        </w:tc>
        <w:tc>
          <w:tcPr>
            <w:tcW w:w="7968" w:type="dxa"/>
          </w:tcPr>
          <w:p w:rsidR="00AC7C66" w:rsidRPr="00F973FB" w:rsidRDefault="00AC7C66" w:rsidP="00406601">
            <w:pPr>
              <w:pStyle w:val="TableParagraph"/>
              <w:spacing w:line="20" w:lineRule="atLeast"/>
              <w:rPr>
                <w:sz w:val="24"/>
                <w:szCs w:val="24"/>
                <w:lang w:val="sr-Cyrl-CS"/>
              </w:rPr>
            </w:pPr>
            <w:r w:rsidRPr="00F973FB">
              <w:rPr>
                <w:sz w:val="24"/>
                <w:szCs w:val="24"/>
                <w:lang w:val="sr-Cyrl-CS"/>
              </w:rPr>
              <w:t>Комбиноване канцеларијско-административне услуге</w:t>
            </w:r>
          </w:p>
        </w:tc>
      </w:tr>
      <w:tr w:rsidR="00AC7C66" w:rsidRPr="00F973FB" w:rsidTr="00E14382">
        <w:trPr>
          <w:trHeight w:val="552"/>
        </w:trPr>
        <w:tc>
          <w:tcPr>
            <w:tcW w:w="1530" w:type="dxa"/>
          </w:tcPr>
          <w:p w:rsidR="00AC7C66" w:rsidRPr="00F973FB" w:rsidRDefault="00AC7C66" w:rsidP="00406601">
            <w:pPr>
              <w:pStyle w:val="TableParagraph"/>
              <w:spacing w:line="20" w:lineRule="atLeast"/>
              <w:ind w:left="455" w:right="453"/>
              <w:jc w:val="center"/>
              <w:rPr>
                <w:sz w:val="24"/>
                <w:szCs w:val="24"/>
                <w:lang w:val="sr-Cyrl-CS"/>
              </w:rPr>
            </w:pPr>
            <w:r w:rsidRPr="00F973FB">
              <w:rPr>
                <w:sz w:val="24"/>
                <w:szCs w:val="24"/>
                <w:lang w:val="sr-Cyrl-CS"/>
              </w:rPr>
              <w:t>8219</w:t>
            </w:r>
          </w:p>
        </w:tc>
        <w:tc>
          <w:tcPr>
            <w:tcW w:w="7968" w:type="dxa"/>
          </w:tcPr>
          <w:p w:rsidR="00AC7C66" w:rsidRPr="00F973FB" w:rsidRDefault="00AC7C66" w:rsidP="00E14382">
            <w:pPr>
              <w:pStyle w:val="TableParagraph"/>
              <w:tabs>
                <w:tab w:val="left" w:pos="2024"/>
                <w:tab w:val="left" w:pos="3617"/>
                <w:tab w:val="left" w:pos="5125"/>
                <w:tab w:val="left" w:pos="5578"/>
              </w:tabs>
              <w:spacing w:line="20" w:lineRule="atLeast"/>
              <w:ind w:right="99"/>
              <w:rPr>
                <w:sz w:val="24"/>
                <w:szCs w:val="24"/>
                <w:lang w:val="sr-Cyrl-CS"/>
              </w:rPr>
            </w:pPr>
            <w:r w:rsidRPr="00F973FB">
              <w:rPr>
                <w:sz w:val="24"/>
                <w:szCs w:val="24"/>
                <w:lang w:val="sr-Cyrl-CS"/>
              </w:rPr>
              <w:t>Фотокопирање,</w:t>
            </w:r>
            <w:r w:rsidR="00E14382" w:rsidRPr="00F973FB">
              <w:rPr>
                <w:sz w:val="24"/>
                <w:szCs w:val="24"/>
                <w:lang w:val="sr-Cyrl-CS"/>
              </w:rPr>
              <w:t xml:space="preserve"> </w:t>
            </w:r>
            <w:r w:rsidRPr="00F973FB">
              <w:rPr>
                <w:sz w:val="24"/>
                <w:szCs w:val="24"/>
                <w:lang w:val="sr-Cyrl-CS"/>
              </w:rPr>
              <w:t>припремање</w:t>
            </w:r>
            <w:r w:rsidR="00E14382" w:rsidRPr="00F973FB">
              <w:rPr>
                <w:sz w:val="24"/>
                <w:szCs w:val="24"/>
                <w:lang w:val="sr-Cyrl-CS"/>
              </w:rPr>
              <w:t xml:space="preserve"> </w:t>
            </w:r>
            <w:r w:rsidRPr="00F973FB">
              <w:rPr>
                <w:sz w:val="24"/>
                <w:szCs w:val="24"/>
                <w:lang w:val="sr-Cyrl-CS"/>
              </w:rPr>
              <w:t>докумената</w:t>
            </w:r>
            <w:r w:rsidR="00E14382" w:rsidRPr="00F973FB">
              <w:rPr>
                <w:sz w:val="24"/>
                <w:szCs w:val="24"/>
                <w:lang w:val="sr-Cyrl-CS"/>
              </w:rPr>
              <w:t xml:space="preserve"> </w:t>
            </w:r>
            <w:r w:rsidRPr="00F973FB">
              <w:rPr>
                <w:sz w:val="24"/>
                <w:szCs w:val="24"/>
                <w:lang w:val="sr-Cyrl-CS"/>
              </w:rPr>
              <w:t>и</w:t>
            </w:r>
            <w:r w:rsidR="00E14382" w:rsidRPr="00F973FB">
              <w:rPr>
                <w:sz w:val="24"/>
                <w:szCs w:val="24"/>
                <w:lang w:val="sr-Cyrl-CS"/>
              </w:rPr>
              <w:t xml:space="preserve"> </w:t>
            </w:r>
            <w:r w:rsidRPr="00F973FB">
              <w:rPr>
                <w:sz w:val="24"/>
                <w:szCs w:val="24"/>
                <w:lang w:val="sr-Cyrl-CS"/>
              </w:rPr>
              <w:t>друга специјализована канцеларијска</w:t>
            </w:r>
            <w:r w:rsidRPr="00F973FB">
              <w:rPr>
                <w:spacing w:val="-2"/>
                <w:sz w:val="24"/>
                <w:szCs w:val="24"/>
                <w:lang w:val="sr-Cyrl-CS"/>
              </w:rPr>
              <w:t xml:space="preserve"> </w:t>
            </w:r>
            <w:r w:rsidRPr="00F973FB">
              <w:rPr>
                <w:sz w:val="24"/>
                <w:szCs w:val="24"/>
                <w:lang w:val="sr-Cyrl-CS"/>
              </w:rPr>
              <w:t>подршка</w:t>
            </w:r>
          </w:p>
        </w:tc>
      </w:tr>
      <w:tr w:rsidR="00AC7C66" w:rsidRPr="00F973FB" w:rsidTr="00E14382">
        <w:trPr>
          <w:trHeight w:val="275"/>
        </w:trPr>
        <w:tc>
          <w:tcPr>
            <w:tcW w:w="1530" w:type="dxa"/>
          </w:tcPr>
          <w:p w:rsidR="00AC7C66" w:rsidRPr="00F973FB" w:rsidRDefault="00AC7C66" w:rsidP="00406601">
            <w:pPr>
              <w:pStyle w:val="TableParagraph"/>
              <w:spacing w:line="20" w:lineRule="atLeast"/>
              <w:ind w:left="455" w:right="453"/>
              <w:jc w:val="center"/>
              <w:rPr>
                <w:sz w:val="24"/>
                <w:szCs w:val="24"/>
                <w:lang w:val="sr-Cyrl-CS"/>
              </w:rPr>
            </w:pPr>
            <w:r w:rsidRPr="00F973FB">
              <w:rPr>
                <w:sz w:val="24"/>
                <w:szCs w:val="24"/>
                <w:lang w:val="sr-Cyrl-CS"/>
              </w:rPr>
              <w:t>8621</w:t>
            </w:r>
          </w:p>
        </w:tc>
        <w:tc>
          <w:tcPr>
            <w:tcW w:w="7968" w:type="dxa"/>
          </w:tcPr>
          <w:p w:rsidR="00AC7C66" w:rsidRPr="00F973FB" w:rsidRDefault="00AC7C66" w:rsidP="00406601">
            <w:pPr>
              <w:pStyle w:val="TableParagraph"/>
              <w:spacing w:line="20" w:lineRule="atLeast"/>
              <w:rPr>
                <w:sz w:val="24"/>
                <w:szCs w:val="24"/>
                <w:lang w:val="sr-Cyrl-CS"/>
              </w:rPr>
            </w:pPr>
            <w:r w:rsidRPr="00F973FB">
              <w:rPr>
                <w:sz w:val="24"/>
                <w:szCs w:val="24"/>
                <w:lang w:val="sr-Cyrl-CS"/>
              </w:rPr>
              <w:t>Општа медицинска пракса</w:t>
            </w:r>
          </w:p>
        </w:tc>
      </w:tr>
      <w:tr w:rsidR="00AC7C66" w:rsidRPr="00F973FB" w:rsidTr="00E14382">
        <w:trPr>
          <w:trHeight w:val="275"/>
        </w:trPr>
        <w:tc>
          <w:tcPr>
            <w:tcW w:w="1530" w:type="dxa"/>
          </w:tcPr>
          <w:p w:rsidR="00AC7C66" w:rsidRPr="00F973FB" w:rsidRDefault="00AC7C66" w:rsidP="00406601">
            <w:pPr>
              <w:pStyle w:val="TableParagraph"/>
              <w:spacing w:line="20" w:lineRule="atLeast"/>
              <w:ind w:left="455" w:right="453"/>
              <w:jc w:val="center"/>
              <w:rPr>
                <w:sz w:val="24"/>
                <w:szCs w:val="24"/>
                <w:lang w:val="sr-Cyrl-CS"/>
              </w:rPr>
            </w:pPr>
            <w:r w:rsidRPr="00F973FB">
              <w:rPr>
                <w:sz w:val="24"/>
                <w:szCs w:val="24"/>
                <w:lang w:val="sr-Cyrl-CS"/>
              </w:rPr>
              <w:t>8622</w:t>
            </w:r>
          </w:p>
        </w:tc>
        <w:tc>
          <w:tcPr>
            <w:tcW w:w="7968" w:type="dxa"/>
          </w:tcPr>
          <w:p w:rsidR="00AC7C66" w:rsidRPr="00F973FB" w:rsidRDefault="00AC7C66" w:rsidP="00406601">
            <w:pPr>
              <w:pStyle w:val="TableParagraph"/>
              <w:spacing w:line="20" w:lineRule="atLeast"/>
              <w:rPr>
                <w:sz w:val="24"/>
                <w:szCs w:val="24"/>
                <w:lang w:val="sr-Cyrl-CS"/>
              </w:rPr>
            </w:pPr>
            <w:r w:rsidRPr="00F973FB">
              <w:rPr>
                <w:sz w:val="24"/>
                <w:szCs w:val="24"/>
                <w:lang w:val="sr-Cyrl-CS"/>
              </w:rPr>
              <w:t>Специјалистичка медицинска пракса</w:t>
            </w:r>
          </w:p>
        </w:tc>
      </w:tr>
      <w:tr w:rsidR="00AC7C66" w:rsidRPr="00F973FB" w:rsidTr="00E14382">
        <w:trPr>
          <w:trHeight w:val="275"/>
        </w:trPr>
        <w:tc>
          <w:tcPr>
            <w:tcW w:w="1530" w:type="dxa"/>
          </w:tcPr>
          <w:p w:rsidR="00AC7C66" w:rsidRPr="00F973FB" w:rsidRDefault="00AC7C66" w:rsidP="00406601">
            <w:pPr>
              <w:pStyle w:val="TableParagraph"/>
              <w:spacing w:line="20" w:lineRule="atLeast"/>
              <w:ind w:left="455" w:right="453"/>
              <w:jc w:val="center"/>
              <w:rPr>
                <w:sz w:val="24"/>
                <w:szCs w:val="24"/>
                <w:lang w:val="sr-Cyrl-CS"/>
              </w:rPr>
            </w:pPr>
            <w:r w:rsidRPr="00F973FB">
              <w:rPr>
                <w:sz w:val="24"/>
                <w:szCs w:val="24"/>
                <w:lang w:val="sr-Cyrl-CS"/>
              </w:rPr>
              <w:t>8623</w:t>
            </w:r>
          </w:p>
        </w:tc>
        <w:tc>
          <w:tcPr>
            <w:tcW w:w="7968" w:type="dxa"/>
          </w:tcPr>
          <w:p w:rsidR="00AC7C66" w:rsidRPr="00F973FB" w:rsidRDefault="00AC7C66" w:rsidP="00406601">
            <w:pPr>
              <w:pStyle w:val="TableParagraph"/>
              <w:spacing w:line="20" w:lineRule="atLeast"/>
              <w:rPr>
                <w:sz w:val="24"/>
                <w:szCs w:val="24"/>
                <w:lang w:val="sr-Cyrl-CS"/>
              </w:rPr>
            </w:pPr>
            <w:r w:rsidRPr="00F973FB">
              <w:rPr>
                <w:sz w:val="24"/>
                <w:szCs w:val="24"/>
                <w:lang w:val="sr-Cyrl-CS"/>
              </w:rPr>
              <w:t>Стоматолошка пракса</w:t>
            </w:r>
          </w:p>
        </w:tc>
      </w:tr>
      <w:tr w:rsidR="00AC7C66" w:rsidRPr="00F973FB" w:rsidTr="00E14382">
        <w:trPr>
          <w:trHeight w:val="275"/>
        </w:trPr>
        <w:tc>
          <w:tcPr>
            <w:tcW w:w="1530" w:type="dxa"/>
          </w:tcPr>
          <w:p w:rsidR="00AC7C66" w:rsidRPr="00F973FB" w:rsidRDefault="00AC7C66" w:rsidP="00406601">
            <w:pPr>
              <w:pStyle w:val="TableParagraph"/>
              <w:spacing w:line="20" w:lineRule="atLeast"/>
              <w:ind w:left="455" w:right="453"/>
              <w:jc w:val="center"/>
              <w:rPr>
                <w:sz w:val="24"/>
                <w:szCs w:val="24"/>
                <w:lang w:val="sr-Cyrl-CS"/>
              </w:rPr>
            </w:pPr>
            <w:r w:rsidRPr="00F973FB">
              <w:rPr>
                <w:sz w:val="24"/>
                <w:szCs w:val="24"/>
                <w:lang w:val="sr-Cyrl-CS"/>
              </w:rPr>
              <w:t>8690</w:t>
            </w:r>
          </w:p>
        </w:tc>
        <w:tc>
          <w:tcPr>
            <w:tcW w:w="7968" w:type="dxa"/>
          </w:tcPr>
          <w:p w:rsidR="00AC7C66" w:rsidRPr="00F973FB" w:rsidRDefault="00AC7C66" w:rsidP="00406601">
            <w:pPr>
              <w:pStyle w:val="TableParagraph"/>
              <w:spacing w:line="20" w:lineRule="atLeast"/>
              <w:rPr>
                <w:sz w:val="24"/>
                <w:szCs w:val="24"/>
                <w:lang w:val="sr-Cyrl-CS"/>
              </w:rPr>
            </w:pPr>
            <w:r w:rsidRPr="00F973FB">
              <w:rPr>
                <w:sz w:val="24"/>
                <w:szCs w:val="24"/>
                <w:lang w:val="sr-Cyrl-CS"/>
              </w:rPr>
              <w:t>Остала здравствена заштита</w:t>
            </w:r>
          </w:p>
        </w:tc>
      </w:tr>
      <w:tr w:rsidR="00AC7C66" w:rsidRPr="00F973FB" w:rsidTr="00E14382">
        <w:trPr>
          <w:trHeight w:val="275"/>
        </w:trPr>
        <w:tc>
          <w:tcPr>
            <w:tcW w:w="1530" w:type="dxa"/>
          </w:tcPr>
          <w:p w:rsidR="00AC7C66" w:rsidRPr="00F973FB" w:rsidRDefault="00AC7C66" w:rsidP="00406601">
            <w:pPr>
              <w:pStyle w:val="TableParagraph"/>
              <w:spacing w:line="20" w:lineRule="atLeast"/>
              <w:ind w:left="455" w:right="453"/>
              <w:jc w:val="center"/>
              <w:rPr>
                <w:sz w:val="24"/>
                <w:szCs w:val="24"/>
                <w:lang w:val="sr-Cyrl-CS"/>
              </w:rPr>
            </w:pPr>
            <w:r w:rsidRPr="00F973FB">
              <w:rPr>
                <w:sz w:val="24"/>
                <w:szCs w:val="24"/>
                <w:lang w:val="sr-Cyrl-CS"/>
              </w:rPr>
              <w:t>9329</w:t>
            </w:r>
          </w:p>
        </w:tc>
        <w:tc>
          <w:tcPr>
            <w:tcW w:w="7968" w:type="dxa"/>
          </w:tcPr>
          <w:p w:rsidR="00AC7C66" w:rsidRPr="00F973FB" w:rsidRDefault="00AC7C66" w:rsidP="00406601">
            <w:pPr>
              <w:pStyle w:val="TableParagraph"/>
              <w:spacing w:line="20" w:lineRule="atLeast"/>
              <w:rPr>
                <w:sz w:val="24"/>
                <w:szCs w:val="24"/>
                <w:lang w:val="sr-Cyrl-CS"/>
              </w:rPr>
            </w:pPr>
            <w:r w:rsidRPr="00F973FB">
              <w:rPr>
                <w:sz w:val="24"/>
                <w:szCs w:val="24"/>
                <w:lang w:val="sr-Cyrl-CS"/>
              </w:rPr>
              <w:t>Остале забавне и рекреативне делатности</w:t>
            </w:r>
          </w:p>
        </w:tc>
      </w:tr>
      <w:tr w:rsidR="00AC7C66" w:rsidRPr="00F973FB" w:rsidTr="00E14382">
        <w:trPr>
          <w:trHeight w:val="275"/>
        </w:trPr>
        <w:tc>
          <w:tcPr>
            <w:tcW w:w="1530" w:type="dxa"/>
          </w:tcPr>
          <w:p w:rsidR="00AC7C66" w:rsidRPr="00F973FB" w:rsidRDefault="00AC7C66" w:rsidP="00406601">
            <w:pPr>
              <w:pStyle w:val="TableParagraph"/>
              <w:spacing w:line="20" w:lineRule="atLeast"/>
              <w:ind w:left="455" w:right="453"/>
              <w:jc w:val="center"/>
              <w:rPr>
                <w:sz w:val="24"/>
                <w:szCs w:val="24"/>
                <w:lang w:val="sr-Cyrl-CS"/>
              </w:rPr>
            </w:pPr>
            <w:r w:rsidRPr="00F973FB">
              <w:rPr>
                <w:sz w:val="24"/>
                <w:szCs w:val="24"/>
                <w:lang w:val="sr-Cyrl-CS"/>
              </w:rPr>
              <w:t>9511</w:t>
            </w:r>
          </w:p>
        </w:tc>
        <w:tc>
          <w:tcPr>
            <w:tcW w:w="7968" w:type="dxa"/>
          </w:tcPr>
          <w:p w:rsidR="00AC7C66" w:rsidRPr="00F973FB" w:rsidRDefault="00AC7C66" w:rsidP="00406601">
            <w:pPr>
              <w:pStyle w:val="TableParagraph"/>
              <w:spacing w:line="20" w:lineRule="atLeast"/>
              <w:rPr>
                <w:sz w:val="24"/>
                <w:szCs w:val="24"/>
                <w:lang w:val="sr-Cyrl-CS"/>
              </w:rPr>
            </w:pPr>
            <w:r w:rsidRPr="00F973FB">
              <w:rPr>
                <w:sz w:val="24"/>
                <w:szCs w:val="24"/>
                <w:lang w:val="sr-Cyrl-CS"/>
              </w:rPr>
              <w:t>Поправка рачунара и периферне опреме</w:t>
            </w:r>
          </w:p>
        </w:tc>
      </w:tr>
      <w:tr w:rsidR="00AC7C66" w:rsidRPr="00F973FB" w:rsidTr="00E14382">
        <w:trPr>
          <w:trHeight w:val="275"/>
        </w:trPr>
        <w:tc>
          <w:tcPr>
            <w:tcW w:w="1530" w:type="dxa"/>
          </w:tcPr>
          <w:p w:rsidR="00AC7C66" w:rsidRPr="00F973FB" w:rsidRDefault="00AC7C66" w:rsidP="00406601">
            <w:pPr>
              <w:pStyle w:val="TableParagraph"/>
              <w:spacing w:line="20" w:lineRule="atLeast"/>
              <w:ind w:left="455" w:right="453"/>
              <w:jc w:val="center"/>
              <w:rPr>
                <w:sz w:val="24"/>
                <w:szCs w:val="24"/>
                <w:lang w:val="sr-Cyrl-CS"/>
              </w:rPr>
            </w:pPr>
            <w:r w:rsidRPr="00F973FB">
              <w:rPr>
                <w:sz w:val="24"/>
                <w:szCs w:val="24"/>
                <w:lang w:val="sr-Cyrl-CS"/>
              </w:rPr>
              <w:t>9521</w:t>
            </w:r>
          </w:p>
        </w:tc>
        <w:tc>
          <w:tcPr>
            <w:tcW w:w="7968" w:type="dxa"/>
          </w:tcPr>
          <w:p w:rsidR="00AC7C66" w:rsidRPr="00F973FB" w:rsidRDefault="00AC7C66" w:rsidP="00406601">
            <w:pPr>
              <w:pStyle w:val="TableParagraph"/>
              <w:spacing w:line="20" w:lineRule="atLeast"/>
              <w:rPr>
                <w:sz w:val="24"/>
                <w:szCs w:val="24"/>
                <w:lang w:val="sr-Cyrl-CS"/>
              </w:rPr>
            </w:pPr>
            <w:r w:rsidRPr="00F973FB">
              <w:rPr>
                <w:sz w:val="24"/>
                <w:szCs w:val="24"/>
                <w:lang w:val="sr-Cyrl-CS"/>
              </w:rPr>
              <w:t>Поправка електронских апарата за широку употребу</w:t>
            </w:r>
          </w:p>
        </w:tc>
      </w:tr>
      <w:tr w:rsidR="00AC7C66" w:rsidRPr="00F973FB" w:rsidTr="00E14382">
        <w:trPr>
          <w:trHeight w:val="331"/>
        </w:trPr>
        <w:tc>
          <w:tcPr>
            <w:tcW w:w="1530" w:type="dxa"/>
          </w:tcPr>
          <w:p w:rsidR="00AC7C66" w:rsidRPr="00F973FB" w:rsidRDefault="00AC7C66" w:rsidP="00406601">
            <w:pPr>
              <w:pStyle w:val="TableParagraph"/>
              <w:spacing w:line="20" w:lineRule="atLeast"/>
              <w:ind w:left="455" w:right="453"/>
              <w:jc w:val="center"/>
              <w:rPr>
                <w:sz w:val="24"/>
                <w:szCs w:val="24"/>
                <w:lang w:val="sr-Cyrl-CS"/>
              </w:rPr>
            </w:pPr>
            <w:r w:rsidRPr="00F973FB">
              <w:rPr>
                <w:sz w:val="24"/>
                <w:szCs w:val="24"/>
                <w:lang w:val="sr-Cyrl-CS"/>
              </w:rPr>
              <w:t>9522</w:t>
            </w:r>
          </w:p>
        </w:tc>
        <w:tc>
          <w:tcPr>
            <w:tcW w:w="7968" w:type="dxa"/>
          </w:tcPr>
          <w:p w:rsidR="00AC7C66" w:rsidRPr="00F973FB" w:rsidRDefault="00AC7C66" w:rsidP="00406601">
            <w:pPr>
              <w:pStyle w:val="TableParagraph"/>
              <w:spacing w:line="20" w:lineRule="atLeast"/>
              <w:rPr>
                <w:sz w:val="24"/>
                <w:szCs w:val="24"/>
                <w:lang w:val="sr-Cyrl-CS"/>
              </w:rPr>
            </w:pPr>
            <w:r w:rsidRPr="00F973FB">
              <w:rPr>
                <w:sz w:val="24"/>
                <w:szCs w:val="24"/>
                <w:lang w:val="sr-Cyrl-CS"/>
              </w:rPr>
              <w:t>Поправка апарата за домаћинство и кућне и баштенске опреме</w:t>
            </w:r>
          </w:p>
        </w:tc>
      </w:tr>
      <w:tr w:rsidR="00AC7C66" w:rsidRPr="00F973FB" w:rsidTr="00E14382">
        <w:trPr>
          <w:trHeight w:val="275"/>
        </w:trPr>
        <w:tc>
          <w:tcPr>
            <w:tcW w:w="1530" w:type="dxa"/>
          </w:tcPr>
          <w:p w:rsidR="00AC7C66" w:rsidRPr="00F973FB" w:rsidRDefault="00AC7C66" w:rsidP="00406601">
            <w:pPr>
              <w:pStyle w:val="TableParagraph"/>
              <w:spacing w:line="20" w:lineRule="atLeast"/>
              <w:ind w:left="455" w:right="453"/>
              <w:jc w:val="center"/>
              <w:rPr>
                <w:sz w:val="24"/>
                <w:szCs w:val="24"/>
                <w:lang w:val="sr-Cyrl-CS"/>
              </w:rPr>
            </w:pPr>
            <w:r w:rsidRPr="00F973FB">
              <w:rPr>
                <w:sz w:val="24"/>
                <w:szCs w:val="24"/>
                <w:lang w:val="sr-Cyrl-CS"/>
              </w:rPr>
              <w:t>9523</w:t>
            </w:r>
          </w:p>
        </w:tc>
        <w:tc>
          <w:tcPr>
            <w:tcW w:w="7968" w:type="dxa"/>
          </w:tcPr>
          <w:p w:rsidR="00AC7C66" w:rsidRPr="00F973FB" w:rsidRDefault="00AC7C66" w:rsidP="00406601">
            <w:pPr>
              <w:pStyle w:val="TableParagraph"/>
              <w:spacing w:line="20" w:lineRule="atLeast"/>
              <w:rPr>
                <w:sz w:val="24"/>
                <w:szCs w:val="24"/>
                <w:lang w:val="sr-Cyrl-CS"/>
              </w:rPr>
            </w:pPr>
            <w:r w:rsidRPr="00F973FB">
              <w:rPr>
                <w:sz w:val="24"/>
                <w:szCs w:val="24"/>
                <w:lang w:val="sr-Cyrl-CS"/>
              </w:rPr>
              <w:t>Поправка обуће и предмета од коже</w:t>
            </w:r>
          </w:p>
        </w:tc>
      </w:tr>
      <w:tr w:rsidR="00AC7C66" w:rsidRPr="00F973FB" w:rsidTr="00E14382">
        <w:trPr>
          <w:trHeight w:val="275"/>
        </w:trPr>
        <w:tc>
          <w:tcPr>
            <w:tcW w:w="1530" w:type="dxa"/>
          </w:tcPr>
          <w:p w:rsidR="00AC7C66" w:rsidRPr="00F973FB" w:rsidRDefault="00AC7C66" w:rsidP="00406601">
            <w:pPr>
              <w:pStyle w:val="TableParagraph"/>
              <w:spacing w:line="20" w:lineRule="atLeast"/>
              <w:ind w:left="455" w:right="453"/>
              <w:jc w:val="center"/>
              <w:rPr>
                <w:sz w:val="24"/>
                <w:szCs w:val="24"/>
                <w:lang w:val="sr-Cyrl-CS"/>
              </w:rPr>
            </w:pPr>
            <w:r w:rsidRPr="00F973FB">
              <w:rPr>
                <w:sz w:val="24"/>
                <w:szCs w:val="24"/>
                <w:lang w:val="sr-Cyrl-CS"/>
              </w:rPr>
              <w:t>9525</w:t>
            </w:r>
          </w:p>
        </w:tc>
        <w:tc>
          <w:tcPr>
            <w:tcW w:w="7968" w:type="dxa"/>
          </w:tcPr>
          <w:p w:rsidR="00AC7C66" w:rsidRPr="00F973FB" w:rsidRDefault="00AC7C66" w:rsidP="00406601">
            <w:pPr>
              <w:pStyle w:val="TableParagraph"/>
              <w:spacing w:line="20" w:lineRule="atLeast"/>
              <w:rPr>
                <w:sz w:val="24"/>
                <w:szCs w:val="24"/>
                <w:lang w:val="sr-Cyrl-CS"/>
              </w:rPr>
            </w:pPr>
            <w:r w:rsidRPr="00F973FB">
              <w:rPr>
                <w:sz w:val="24"/>
                <w:szCs w:val="24"/>
                <w:lang w:val="sr-Cyrl-CS"/>
              </w:rPr>
              <w:t>Поправка сатова и накита</w:t>
            </w:r>
          </w:p>
        </w:tc>
      </w:tr>
      <w:tr w:rsidR="00AC7C66" w:rsidRPr="00F973FB" w:rsidTr="00E14382">
        <w:trPr>
          <w:trHeight w:val="183"/>
        </w:trPr>
        <w:tc>
          <w:tcPr>
            <w:tcW w:w="1530" w:type="dxa"/>
          </w:tcPr>
          <w:p w:rsidR="00AC7C66" w:rsidRPr="00F973FB" w:rsidRDefault="00AC7C66" w:rsidP="00406601">
            <w:pPr>
              <w:pStyle w:val="TableParagraph"/>
              <w:spacing w:line="20" w:lineRule="atLeast"/>
              <w:ind w:left="455" w:right="453"/>
              <w:jc w:val="center"/>
              <w:rPr>
                <w:sz w:val="24"/>
                <w:szCs w:val="24"/>
                <w:lang w:val="sr-Cyrl-CS"/>
              </w:rPr>
            </w:pPr>
            <w:r w:rsidRPr="00F973FB">
              <w:rPr>
                <w:sz w:val="24"/>
                <w:szCs w:val="24"/>
                <w:lang w:val="sr-Cyrl-CS"/>
              </w:rPr>
              <w:t>9529</w:t>
            </w:r>
          </w:p>
        </w:tc>
        <w:tc>
          <w:tcPr>
            <w:tcW w:w="7968" w:type="dxa"/>
          </w:tcPr>
          <w:p w:rsidR="00AC7C66" w:rsidRPr="00F973FB" w:rsidRDefault="00AC7C66" w:rsidP="00C53876">
            <w:pPr>
              <w:pStyle w:val="TableParagraph"/>
              <w:tabs>
                <w:tab w:val="left" w:pos="1304"/>
                <w:tab w:val="left" w:pos="2324"/>
                <w:tab w:val="left" w:pos="3283"/>
                <w:tab w:val="left" w:pos="4441"/>
                <w:tab w:val="left" w:pos="4784"/>
                <w:tab w:val="left" w:pos="5943"/>
              </w:tabs>
              <w:spacing w:line="20" w:lineRule="atLeast"/>
              <w:ind w:right="100"/>
              <w:rPr>
                <w:sz w:val="24"/>
                <w:szCs w:val="24"/>
                <w:lang w:val="sr-Cyrl-CS"/>
              </w:rPr>
            </w:pPr>
            <w:r w:rsidRPr="00F973FB">
              <w:rPr>
                <w:sz w:val="24"/>
                <w:szCs w:val="24"/>
                <w:lang w:val="sr-Cyrl-CS"/>
              </w:rPr>
              <w:t>Поправка</w:t>
            </w:r>
            <w:r w:rsidR="00C53876" w:rsidRPr="00F973FB">
              <w:rPr>
                <w:sz w:val="24"/>
                <w:szCs w:val="24"/>
                <w:lang w:val="sr-Cyrl-CS"/>
              </w:rPr>
              <w:t xml:space="preserve"> </w:t>
            </w:r>
            <w:r w:rsidRPr="00F973FB">
              <w:rPr>
                <w:sz w:val="24"/>
                <w:szCs w:val="24"/>
                <w:lang w:val="sr-Cyrl-CS"/>
              </w:rPr>
              <w:t>осталих</w:t>
            </w:r>
            <w:r w:rsidR="00C53876" w:rsidRPr="00F973FB">
              <w:rPr>
                <w:sz w:val="24"/>
                <w:szCs w:val="24"/>
                <w:lang w:val="sr-Cyrl-CS"/>
              </w:rPr>
              <w:t xml:space="preserve"> </w:t>
            </w:r>
            <w:r w:rsidRPr="00F973FB">
              <w:rPr>
                <w:sz w:val="24"/>
                <w:szCs w:val="24"/>
                <w:lang w:val="sr-Cyrl-CS"/>
              </w:rPr>
              <w:t>личних</w:t>
            </w:r>
            <w:r w:rsidR="00C53876" w:rsidRPr="00F973FB">
              <w:rPr>
                <w:sz w:val="24"/>
                <w:szCs w:val="24"/>
                <w:lang w:val="sr-Cyrl-CS"/>
              </w:rPr>
              <w:t xml:space="preserve"> </w:t>
            </w:r>
            <w:r w:rsidRPr="00F973FB">
              <w:rPr>
                <w:sz w:val="24"/>
                <w:szCs w:val="24"/>
                <w:lang w:val="sr-Cyrl-CS"/>
              </w:rPr>
              <w:t>предмета</w:t>
            </w:r>
            <w:r w:rsidR="00C53876" w:rsidRPr="00F973FB">
              <w:rPr>
                <w:sz w:val="24"/>
                <w:szCs w:val="24"/>
                <w:lang w:val="sr-Cyrl-CS"/>
              </w:rPr>
              <w:t xml:space="preserve"> </w:t>
            </w:r>
            <w:r w:rsidRPr="00F973FB">
              <w:rPr>
                <w:sz w:val="24"/>
                <w:szCs w:val="24"/>
                <w:lang w:val="sr-Cyrl-CS"/>
              </w:rPr>
              <w:t>и</w:t>
            </w:r>
            <w:r w:rsidR="00C53876" w:rsidRPr="00F973FB">
              <w:rPr>
                <w:sz w:val="24"/>
                <w:szCs w:val="24"/>
                <w:lang w:val="sr-Cyrl-CS"/>
              </w:rPr>
              <w:t xml:space="preserve"> </w:t>
            </w:r>
            <w:r w:rsidRPr="00F973FB">
              <w:rPr>
                <w:sz w:val="24"/>
                <w:szCs w:val="24"/>
                <w:lang w:val="sr-Cyrl-CS"/>
              </w:rPr>
              <w:t>предмета</w:t>
            </w:r>
            <w:r w:rsidR="00C53876" w:rsidRPr="00F973FB">
              <w:rPr>
                <w:sz w:val="24"/>
                <w:szCs w:val="24"/>
                <w:lang w:val="sr-Cyrl-CS"/>
              </w:rPr>
              <w:t xml:space="preserve"> </w:t>
            </w:r>
            <w:r w:rsidRPr="00F973FB">
              <w:rPr>
                <w:sz w:val="24"/>
                <w:szCs w:val="24"/>
                <w:lang w:val="sr-Cyrl-CS"/>
              </w:rPr>
              <w:t>за домаћинство</w:t>
            </w:r>
          </w:p>
        </w:tc>
      </w:tr>
      <w:tr w:rsidR="00AC7C66" w:rsidRPr="00F973FB" w:rsidTr="00E14382">
        <w:trPr>
          <w:trHeight w:val="173"/>
        </w:trPr>
        <w:tc>
          <w:tcPr>
            <w:tcW w:w="1530" w:type="dxa"/>
          </w:tcPr>
          <w:p w:rsidR="00AC7C66" w:rsidRPr="00F973FB" w:rsidRDefault="00AC7C66" w:rsidP="00406601">
            <w:pPr>
              <w:pStyle w:val="TableParagraph"/>
              <w:spacing w:line="20" w:lineRule="atLeast"/>
              <w:ind w:left="455" w:right="453"/>
              <w:jc w:val="center"/>
              <w:rPr>
                <w:sz w:val="24"/>
                <w:szCs w:val="24"/>
                <w:lang w:val="sr-Cyrl-CS"/>
              </w:rPr>
            </w:pPr>
            <w:r w:rsidRPr="00F973FB">
              <w:rPr>
                <w:sz w:val="24"/>
                <w:szCs w:val="24"/>
                <w:lang w:val="sr-Cyrl-CS"/>
              </w:rPr>
              <w:t>9601</w:t>
            </w:r>
          </w:p>
        </w:tc>
        <w:tc>
          <w:tcPr>
            <w:tcW w:w="7968" w:type="dxa"/>
          </w:tcPr>
          <w:p w:rsidR="00AC7C66" w:rsidRPr="00F973FB" w:rsidRDefault="00AC7C66" w:rsidP="00406601">
            <w:pPr>
              <w:pStyle w:val="TableParagraph"/>
              <w:spacing w:line="20" w:lineRule="atLeast"/>
              <w:rPr>
                <w:sz w:val="24"/>
                <w:szCs w:val="24"/>
                <w:lang w:val="sr-Cyrl-CS"/>
              </w:rPr>
            </w:pPr>
            <w:r w:rsidRPr="00F973FB">
              <w:rPr>
                <w:sz w:val="24"/>
                <w:szCs w:val="24"/>
                <w:lang w:val="sr-Cyrl-CS"/>
              </w:rPr>
              <w:t>Прање и хемијско чишћење текстилних и крзнених производа</w:t>
            </w:r>
          </w:p>
        </w:tc>
      </w:tr>
      <w:tr w:rsidR="00AC7C66" w:rsidRPr="00F973FB" w:rsidTr="00E14382">
        <w:trPr>
          <w:trHeight w:val="273"/>
        </w:trPr>
        <w:tc>
          <w:tcPr>
            <w:tcW w:w="1530" w:type="dxa"/>
          </w:tcPr>
          <w:p w:rsidR="00AC7C66" w:rsidRPr="00F973FB" w:rsidRDefault="00AC7C66" w:rsidP="00406601">
            <w:pPr>
              <w:pStyle w:val="TableParagraph"/>
              <w:spacing w:line="20" w:lineRule="atLeast"/>
              <w:ind w:left="455" w:right="453"/>
              <w:jc w:val="center"/>
              <w:rPr>
                <w:sz w:val="24"/>
                <w:szCs w:val="24"/>
                <w:lang w:val="sr-Cyrl-CS"/>
              </w:rPr>
            </w:pPr>
            <w:r w:rsidRPr="00F973FB">
              <w:rPr>
                <w:sz w:val="24"/>
                <w:szCs w:val="24"/>
                <w:lang w:val="sr-Cyrl-CS"/>
              </w:rPr>
              <w:t>9602</w:t>
            </w:r>
          </w:p>
        </w:tc>
        <w:tc>
          <w:tcPr>
            <w:tcW w:w="7968" w:type="dxa"/>
          </w:tcPr>
          <w:p w:rsidR="00AC7C66" w:rsidRPr="00F973FB" w:rsidRDefault="00AC7C66" w:rsidP="00406601">
            <w:pPr>
              <w:pStyle w:val="TableParagraph"/>
              <w:spacing w:line="20" w:lineRule="atLeast"/>
              <w:rPr>
                <w:sz w:val="24"/>
                <w:szCs w:val="24"/>
                <w:lang w:val="sr-Cyrl-CS"/>
              </w:rPr>
            </w:pPr>
            <w:r w:rsidRPr="00F973FB">
              <w:rPr>
                <w:sz w:val="24"/>
                <w:szCs w:val="24"/>
                <w:lang w:val="sr-Cyrl-CS"/>
              </w:rPr>
              <w:t>Делатност фризерских и козметичких салона</w:t>
            </w:r>
          </w:p>
        </w:tc>
      </w:tr>
      <w:tr w:rsidR="00AC7C66" w:rsidRPr="00F973FB" w:rsidTr="00E14382">
        <w:trPr>
          <w:trHeight w:val="277"/>
        </w:trPr>
        <w:tc>
          <w:tcPr>
            <w:tcW w:w="1530" w:type="dxa"/>
          </w:tcPr>
          <w:p w:rsidR="00AC7C66" w:rsidRPr="00F973FB" w:rsidRDefault="00AC7C66" w:rsidP="00406601">
            <w:pPr>
              <w:pStyle w:val="TableParagraph"/>
              <w:spacing w:line="20" w:lineRule="atLeast"/>
              <w:ind w:left="455" w:right="453"/>
              <w:jc w:val="center"/>
              <w:rPr>
                <w:sz w:val="24"/>
                <w:szCs w:val="24"/>
                <w:lang w:val="sr-Cyrl-CS"/>
              </w:rPr>
            </w:pPr>
            <w:r w:rsidRPr="00F973FB">
              <w:rPr>
                <w:sz w:val="24"/>
                <w:szCs w:val="24"/>
                <w:lang w:val="sr-Cyrl-CS"/>
              </w:rPr>
              <w:t>9604</w:t>
            </w:r>
          </w:p>
        </w:tc>
        <w:tc>
          <w:tcPr>
            <w:tcW w:w="7968" w:type="dxa"/>
          </w:tcPr>
          <w:p w:rsidR="00AC7C66" w:rsidRPr="00F973FB" w:rsidRDefault="00AC7C66" w:rsidP="00406601">
            <w:pPr>
              <w:pStyle w:val="TableParagraph"/>
              <w:spacing w:line="20" w:lineRule="atLeast"/>
              <w:rPr>
                <w:sz w:val="24"/>
                <w:szCs w:val="24"/>
                <w:lang w:val="sr-Cyrl-CS"/>
              </w:rPr>
            </w:pPr>
            <w:r w:rsidRPr="00F973FB">
              <w:rPr>
                <w:sz w:val="24"/>
                <w:szCs w:val="24"/>
                <w:lang w:val="sr-Cyrl-CS"/>
              </w:rPr>
              <w:t>Делатност неге и одржавања тела</w:t>
            </w:r>
          </w:p>
        </w:tc>
      </w:tr>
    </w:tbl>
    <w:p w:rsidR="00462197" w:rsidRPr="00F973FB" w:rsidRDefault="00462197" w:rsidP="00406601">
      <w:pPr>
        <w:pStyle w:val="BodyText"/>
        <w:spacing w:line="20" w:lineRule="atLeast"/>
        <w:jc w:val="left"/>
        <w:rPr>
          <w:lang w:val="sr-Cyrl-CS"/>
        </w:rPr>
      </w:pPr>
    </w:p>
    <w:p w:rsidR="00373113" w:rsidRPr="00F973FB" w:rsidRDefault="00AC7C66" w:rsidP="00994BC2">
      <w:pPr>
        <w:pStyle w:val="BodyText"/>
        <w:spacing w:line="20" w:lineRule="atLeast"/>
        <w:ind w:right="112"/>
        <w:rPr>
          <w:lang w:val="sr-Cyrl-CS"/>
        </w:rPr>
      </w:pPr>
      <w:r w:rsidRPr="00F973FB">
        <w:rPr>
          <w:lang w:val="sr-Cyrl-CS"/>
        </w:rPr>
        <w:t>помножи са коефицијентом зоне, према зонама утврђеним у складу са законом којим се уређуј</w:t>
      </w:r>
      <w:r w:rsidR="00373113" w:rsidRPr="00F973FB">
        <w:rPr>
          <w:lang w:val="sr-Cyrl-CS"/>
        </w:rPr>
        <w:t xml:space="preserve">е опорезивање имовине, тако </w:t>
      </w:r>
      <w:r w:rsidR="00994BC2" w:rsidRPr="00F973FB">
        <w:rPr>
          <w:lang w:val="sr-Cyrl-CS"/>
        </w:rPr>
        <w:t>да</w:t>
      </w:r>
      <w:r w:rsidR="00373113" w:rsidRPr="00F973FB">
        <w:rPr>
          <w:lang w:val="sr-Cyrl-CS"/>
        </w:rPr>
        <w:t xml:space="preserve"> </w:t>
      </w:r>
      <w:r w:rsidR="00186D84" w:rsidRPr="00F973FB">
        <w:rPr>
          <w:lang w:val="sr-Cyrl-CS"/>
        </w:rPr>
        <w:t>за град, општину, односно градску општину у којој је за потребе опорезивања имовине</w:t>
      </w:r>
      <w:r w:rsidR="004A1417" w:rsidRPr="00F973FB">
        <w:rPr>
          <w:lang w:val="sr-Cyrl-CS"/>
        </w:rPr>
        <w:t>:</w:t>
      </w:r>
      <w:r w:rsidR="00373113" w:rsidRPr="00F973FB">
        <w:rPr>
          <w:lang w:val="sr-Cyrl-CS"/>
        </w:rPr>
        <w:t xml:space="preserve"> </w:t>
      </w:r>
    </w:p>
    <w:p w:rsidR="0050572E" w:rsidRPr="00F973FB" w:rsidRDefault="00B5362B" w:rsidP="00406601">
      <w:pPr>
        <w:pStyle w:val="BodyText"/>
        <w:spacing w:line="20" w:lineRule="atLeast"/>
        <w:ind w:firstLine="720"/>
        <w:jc w:val="left"/>
        <w:rPr>
          <w:lang w:val="sr-Cyrl-CS"/>
        </w:rPr>
      </w:pPr>
      <w:r w:rsidRPr="00F973FB">
        <w:rPr>
          <w:lang w:val="sr-Cyrl-CS"/>
        </w:rPr>
        <w:t>(1)</w:t>
      </w:r>
      <w:r w:rsidR="0050572E" w:rsidRPr="00F973FB">
        <w:rPr>
          <w:lang w:val="sr-Cyrl-CS"/>
        </w:rPr>
        <w:t xml:space="preserve">  </w:t>
      </w:r>
      <w:r w:rsidR="00E65142" w:rsidRPr="00F973FB">
        <w:rPr>
          <w:lang w:val="sr-Cyrl-CS"/>
        </w:rPr>
        <w:t xml:space="preserve">утврђена једна зона </w:t>
      </w:r>
      <w:r w:rsidR="00994BC2" w:rsidRPr="00F973FB">
        <w:rPr>
          <w:lang w:val="sr-Cyrl-CS"/>
        </w:rPr>
        <w:t>–</w:t>
      </w:r>
      <w:r w:rsidR="0050572E" w:rsidRPr="00F973FB">
        <w:rPr>
          <w:lang w:val="sr-Cyrl-CS"/>
        </w:rPr>
        <w:t xml:space="preserve"> </w:t>
      </w:r>
      <w:r w:rsidR="00E65142" w:rsidRPr="00F973FB">
        <w:rPr>
          <w:lang w:val="sr-Cyrl-CS"/>
        </w:rPr>
        <w:t>коефицијент зоне износи 1</w:t>
      </w:r>
      <w:r w:rsidR="00C53876" w:rsidRPr="00F973FB">
        <w:rPr>
          <w:lang w:val="sr-Cyrl-CS"/>
        </w:rPr>
        <w:t>;</w:t>
      </w:r>
    </w:p>
    <w:p w:rsidR="00AC7C66" w:rsidRPr="00F973FB" w:rsidRDefault="00186D84" w:rsidP="00406601">
      <w:pPr>
        <w:widowControl w:val="0"/>
        <w:tabs>
          <w:tab w:val="left" w:pos="720"/>
          <w:tab w:val="left" w:pos="2449"/>
        </w:tabs>
        <w:autoSpaceDE w:val="0"/>
        <w:autoSpaceDN w:val="0"/>
        <w:spacing w:after="0" w:line="20" w:lineRule="atLeast"/>
        <w:ind w:right="116"/>
        <w:jc w:val="both"/>
        <w:rPr>
          <w:rFonts w:ascii="Times New Roman" w:hAnsi="Times New Roman" w:cs="Times New Roman"/>
          <w:sz w:val="24"/>
          <w:szCs w:val="24"/>
          <w:lang w:val="sr-Cyrl-CS"/>
        </w:rPr>
      </w:pPr>
      <w:r w:rsidRPr="00F973FB">
        <w:rPr>
          <w:rFonts w:ascii="Times New Roman" w:hAnsi="Times New Roman" w:cs="Times New Roman"/>
          <w:sz w:val="24"/>
          <w:szCs w:val="24"/>
          <w:lang w:val="sr-Cyrl-CS"/>
        </w:rPr>
        <w:t xml:space="preserve">  </w:t>
      </w:r>
      <w:r w:rsidR="00153A78" w:rsidRPr="00F973FB">
        <w:rPr>
          <w:rFonts w:ascii="Times New Roman" w:hAnsi="Times New Roman" w:cs="Times New Roman"/>
          <w:sz w:val="24"/>
          <w:szCs w:val="24"/>
          <w:lang w:val="sr-Cyrl-CS"/>
        </w:rPr>
        <w:t xml:space="preserve">          </w:t>
      </w:r>
      <w:r w:rsidR="00B5362B" w:rsidRPr="00F973FB">
        <w:rPr>
          <w:rFonts w:ascii="Times New Roman" w:hAnsi="Times New Roman" w:cs="Times New Roman"/>
          <w:sz w:val="24"/>
          <w:szCs w:val="24"/>
          <w:lang w:val="sr-Cyrl-CS"/>
        </w:rPr>
        <w:t>(2)</w:t>
      </w:r>
      <w:r w:rsidR="004A1417" w:rsidRPr="00F973FB">
        <w:rPr>
          <w:rFonts w:ascii="Times New Roman" w:hAnsi="Times New Roman" w:cs="Times New Roman"/>
          <w:sz w:val="24"/>
          <w:szCs w:val="24"/>
          <w:lang w:val="sr-Cyrl-CS"/>
        </w:rPr>
        <w:t xml:space="preserve">  </w:t>
      </w:r>
      <w:r w:rsidR="00E65142" w:rsidRPr="00F973FB">
        <w:rPr>
          <w:rFonts w:ascii="Times New Roman" w:hAnsi="Times New Roman" w:cs="Times New Roman"/>
          <w:sz w:val="24"/>
          <w:szCs w:val="24"/>
          <w:lang w:val="sr-Cyrl-CS"/>
        </w:rPr>
        <w:t>утврђене</w:t>
      </w:r>
      <w:r w:rsidR="004A1417" w:rsidRPr="00F973FB">
        <w:rPr>
          <w:rFonts w:ascii="Times New Roman" w:hAnsi="Times New Roman" w:cs="Times New Roman"/>
          <w:sz w:val="24"/>
          <w:szCs w:val="24"/>
          <w:lang w:val="sr-Cyrl-CS"/>
        </w:rPr>
        <w:t xml:space="preserve"> </w:t>
      </w:r>
      <w:r w:rsidR="00E65142" w:rsidRPr="00F973FB">
        <w:rPr>
          <w:rFonts w:ascii="Times New Roman" w:hAnsi="Times New Roman" w:cs="Times New Roman"/>
          <w:sz w:val="24"/>
          <w:szCs w:val="24"/>
          <w:lang w:val="sr-Cyrl-CS"/>
        </w:rPr>
        <w:t>две зоне</w:t>
      </w:r>
      <w:r w:rsidR="004A1417" w:rsidRPr="00F973FB">
        <w:rPr>
          <w:rFonts w:ascii="Times New Roman" w:hAnsi="Times New Roman" w:cs="Times New Roman"/>
          <w:sz w:val="24"/>
          <w:szCs w:val="24"/>
          <w:lang w:val="sr-Cyrl-CS"/>
        </w:rPr>
        <w:t xml:space="preserve"> </w:t>
      </w:r>
      <w:r w:rsidR="00994BC2" w:rsidRPr="00F973FB">
        <w:rPr>
          <w:rFonts w:ascii="Times New Roman" w:hAnsi="Times New Roman" w:cs="Times New Roman"/>
          <w:sz w:val="24"/>
          <w:szCs w:val="24"/>
          <w:lang w:val="sr-Cyrl-CS"/>
        </w:rPr>
        <w:t>–</w:t>
      </w:r>
      <w:r w:rsidR="004A1417" w:rsidRPr="00F973FB">
        <w:rPr>
          <w:rFonts w:ascii="Times New Roman" w:hAnsi="Times New Roman" w:cs="Times New Roman"/>
          <w:sz w:val="24"/>
          <w:szCs w:val="24"/>
          <w:lang w:val="sr-Cyrl-CS"/>
        </w:rPr>
        <w:t xml:space="preserve"> </w:t>
      </w:r>
      <w:r w:rsidR="00E65142" w:rsidRPr="00F973FB">
        <w:rPr>
          <w:rFonts w:ascii="Times New Roman" w:hAnsi="Times New Roman" w:cs="Times New Roman"/>
          <w:sz w:val="24"/>
          <w:szCs w:val="24"/>
          <w:lang w:val="sr-Cyrl-CS"/>
        </w:rPr>
        <w:t>коефицијенти зоне</w:t>
      </w:r>
      <w:r w:rsidR="004A1417" w:rsidRPr="00F973FB">
        <w:rPr>
          <w:rFonts w:ascii="Times New Roman" w:hAnsi="Times New Roman" w:cs="Times New Roman"/>
          <w:sz w:val="24"/>
          <w:szCs w:val="24"/>
          <w:lang w:val="sr-Cyrl-CS"/>
        </w:rPr>
        <w:t xml:space="preserve"> </w:t>
      </w:r>
      <w:r w:rsidR="00E65142" w:rsidRPr="00F973FB">
        <w:rPr>
          <w:rFonts w:ascii="Times New Roman" w:hAnsi="Times New Roman" w:cs="Times New Roman"/>
          <w:sz w:val="24"/>
          <w:szCs w:val="24"/>
          <w:lang w:val="sr-Cyrl-CS"/>
        </w:rPr>
        <w:t>износе 1,1</w:t>
      </w:r>
      <w:r w:rsidR="00C53876" w:rsidRPr="00F973FB">
        <w:rPr>
          <w:rFonts w:ascii="Times New Roman" w:hAnsi="Times New Roman" w:cs="Times New Roman"/>
          <w:sz w:val="24"/>
          <w:szCs w:val="24"/>
          <w:lang w:val="sr-Cyrl-CS"/>
        </w:rPr>
        <w:t>,</w:t>
      </w:r>
      <w:r w:rsidR="00E65142" w:rsidRPr="00F973FB">
        <w:rPr>
          <w:rFonts w:ascii="Times New Roman" w:hAnsi="Times New Roman" w:cs="Times New Roman"/>
          <w:sz w:val="24"/>
          <w:szCs w:val="24"/>
          <w:lang w:val="sr-Cyrl-CS"/>
        </w:rPr>
        <w:t xml:space="preserve"> односно 0,9, тако да се коефицијент 1,1 утврђује за зону више вредности</w:t>
      </w:r>
      <w:r w:rsidR="00153A78" w:rsidRPr="00F973FB">
        <w:rPr>
          <w:rFonts w:ascii="Times New Roman" w:hAnsi="Times New Roman" w:cs="Times New Roman"/>
          <w:spacing w:val="-14"/>
          <w:sz w:val="24"/>
          <w:szCs w:val="24"/>
          <w:lang w:val="sr-Cyrl-CS"/>
        </w:rPr>
        <w:t xml:space="preserve"> </w:t>
      </w:r>
      <w:r w:rsidR="00E65142" w:rsidRPr="00F973FB">
        <w:rPr>
          <w:rFonts w:ascii="Times New Roman" w:hAnsi="Times New Roman" w:cs="Times New Roman"/>
          <w:sz w:val="24"/>
          <w:szCs w:val="24"/>
          <w:lang w:val="sr-Cyrl-CS"/>
        </w:rPr>
        <w:t>непокретност</w:t>
      </w:r>
      <w:r w:rsidR="00C53876" w:rsidRPr="00F973FB">
        <w:rPr>
          <w:rFonts w:ascii="Times New Roman" w:hAnsi="Times New Roman" w:cs="Times New Roman"/>
          <w:sz w:val="24"/>
          <w:szCs w:val="24"/>
          <w:lang w:val="sr-Cyrl-CS"/>
        </w:rPr>
        <w:t>;</w:t>
      </w:r>
    </w:p>
    <w:p w:rsidR="00AC7C66" w:rsidRPr="00F973FB" w:rsidRDefault="00984AA5" w:rsidP="00984AA5">
      <w:pPr>
        <w:widowControl w:val="0"/>
        <w:tabs>
          <w:tab w:val="left" w:pos="709"/>
        </w:tabs>
        <w:autoSpaceDE w:val="0"/>
        <w:autoSpaceDN w:val="0"/>
        <w:spacing w:after="0" w:line="20" w:lineRule="atLeast"/>
        <w:ind w:right="117"/>
        <w:jc w:val="both"/>
        <w:rPr>
          <w:rFonts w:ascii="Times New Roman" w:hAnsi="Times New Roman" w:cs="Times New Roman"/>
          <w:sz w:val="24"/>
          <w:szCs w:val="24"/>
          <w:lang w:val="sr-Cyrl-CS"/>
        </w:rPr>
      </w:pPr>
      <w:r w:rsidRPr="00F973FB">
        <w:rPr>
          <w:rFonts w:ascii="Times New Roman" w:hAnsi="Times New Roman" w:cs="Times New Roman"/>
          <w:sz w:val="24"/>
          <w:szCs w:val="24"/>
          <w:lang w:val="sr-Cyrl-CS"/>
        </w:rPr>
        <w:tab/>
      </w:r>
      <w:r w:rsidR="00B5362B" w:rsidRPr="00F973FB">
        <w:rPr>
          <w:rFonts w:ascii="Times New Roman" w:hAnsi="Times New Roman" w:cs="Times New Roman"/>
          <w:sz w:val="24"/>
          <w:szCs w:val="24"/>
          <w:lang w:val="sr-Cyrl-CS"/>
        </w:rPr>
        <w:t>(3)</w:t>
      </w:r>
      <w:r w:rsidR="00153A78" w:rsidRPr="00F973FB">
        <w:rPr>
          <w:rFonts w:ascii="Times New Roman" w:hAnsi="Times New Roman" w:cs="Times New Roman"/>
          <w:sz w:val="24"/>
          <w:szCs w:val="24"/>
          <w:lang w:val="sr-Cyrl-CS"/>
        </w:rPr>
        <w:t xml:space="preserve">  </w:t>
      </w:r>
      <w:r w:rsidR="00E65142" w:rsidRPr="00F973FB">
        <w:rPr>
          <w:rFonts w:ascii="Times New Roman" w:hAnsi="Times New Roman" w:cs="Times New Roman"/>
          <w:sz w:val="24"/>
          <w:szCs w:val="24"/>
          <w:lang w:val="sr-Cyrl-CS"/>
        </w:rPr>
        <w:t>утврђене</w:t>
      </w:r>
      <w:r w:rsidR="00153A78" w:rsidRPr="00F973FB">
        <w:rPr>
          <w:rFonts w:ascii="Times New Roman" w:hAnsi="Times New Roman" w:cs="Times New Roman"/>
          <w:sz w:val="24"/>
          <w:szCs w:val="24"/>
          <w:lang w:val="sr-Cyrl-CS"/>
        </w:rPr>
        <w:t xml:space="preserve"> </w:t>
      </w:r>
      <w:r w:rsidR="00E65142" w:rsidRPr="00F973FB">
        <w:rPr>
          <w:rFonts w:ascii="Times New Roman" w:hAnsi="Times New Roman" w:cs="Times New Roman"/>
          <w:sz w:val="24"/>
          <w:szCs w:val="24"/>
          <w:lang w:val="sr-Cyrl-CS"/>
        </w:rPr>
        <w:t>три зоне</w:t>
      </w:r>
      <w:r w:rsidR="00153A78" w:rsidRPr="00F973FB">
        <w:rPr>
          <w:rFonts w:ascii="Times New Roman" w:hAnsi="Times New Roman" w:cs="Times New Roman"/>
          <w:sz w:val="24"/>
          <w:szCs w:val="24"/>
          <w:lang w:val="sr-Cyrl-CS"/>
        </w:rPr>
        <w:t xml:space="preserve"> </w:t>
      </w:r>
      <w:r w:rsidR="00994BC2" w:rsidRPr="00F973FB">
        <w:rPr>
          <w:rFonts w:ascii="Times New Roman" w:hAnsi="Times New Roman" w:cs="Times New Roman"/>
          <w:sz w:val="24"/>
          <w:szCs w:val="24"/>
          <w:lang w:val="sr-Cyrl-CS"/>
        </w:rPr>
        <w:t>–</w:t>
      </w:r>
      <w:r w:rsidR="00153A78" w:rsidRPr="00F973FB">
        <w:rPr>
          <w:rFonts w:ascii="Times New Roman" w:hAnsi="Times New Roman" w:cs="Times New Roman"/>
          <w:sz w:val="24"/>
          <w:szCs w:val="24"/>
          <w:lang w:val="sr-Cyrl-CS"/>
        </w:rPr>
        <w:t xml:space="preserve"> </w:t>
      </w:r>
      <w:r w:rsidR="00E65142" w:rsidRPr="00F973FB">
        <w:rPr>
          <w:rFonts w:ascii="Times New Roman" w:hAnsi="Times New Roman" w:cs="Times New Roman"/>
          <w:sz w:val="24"/>
          <w:szCs w:val="24"/>
          <w:lang w:val="sr-Cyrl-CS"/>
        </w:rPr>
        <w:t>коефицијенти зоне</w:t>
      </w:r>
      <w:r w:rsidR="00153A78" w:rsidRPr="00F973FB">
        <w:rPr>
          <w:rFonts w:ascii="Times New Roman" w:hAnsi="Times New Roman" w:cs="Times New Roman"/>
          <w:sz w:val="24"/>
          <w:szCs w:val="24"/>
          <w:lang w:val="sr-Cyrl-CS"/>
        </w:rPr>
        <w:t xml:space="preserve"> </w:t>
      </w:r>
      <w:r w:rsidR="00E65142" w:rsidRPr="00F973FB">
        <w:rPr>
          <w:rFonts w:ascii="Times New Roman" w:hAnsi="Times New Roman" w:cs="Times New Roman"/>
          <w:sz w:val="24"/>
          <w:szCs w:val="24"/>
          <w:lang w:val="sr-Cyrl-CS"/>
        </w:rPr>
        <w:t>износе 1,1,</w:t>
      </w:r>
      <w:r w:rsidR="00153A78" w:rsidRPr="00F973FB">
        <w:rPr>
          <w:rFonts w:ascii="Times New Roman" w:hAnsi="Times New Roman" w:cs="Times New Roman"/>
          <w:spacing w:val="32"/>
          <w:sz w:val="24"/>
          <w:szCs w:val="24"/>
          <w:lang w:val="sr-Cyrl-CS"/>
        </w:rPr>
        <w:t xml:space="preserve"> </w:t>
      </w:r>
      <w:r w:rsidR="00153A78" w:rsidRPr="00F973FB">
        <w:rPr>
          <w:rFonts w:ascii="Times New Roman" w:hAnsi="Times New Roman" w:cs="Times New Roman"/>
          <w:sz w:val="24"/>
          <w:szCs w:val="24"/>
          <w:lang w:val="sr-Cyrl-CS"/>
        </w:rPr>
        <w:t>0,9</w:t>
      </w:r>
      <w:r w:rsidR="00C53876" w:rsidRPr="00F973FB">
        <w:rPr>
          <w:rFonts w:ascii="Times New Roman" w:hAnsi="Times New Roman" w:cs="Times New Roman"/>
          <w:sz w:val="24"/>
          <w:szCs w:val="24"/>
          <w:lang w:val="sr-Cyrl-CS"/>
        </w:rPr>
        <w:t>,</w:t>
      </w:r>
      <w:r w:rsidR="00153A78" w:rsidRPr="00F973FB">
        <w:rPr>
          <w:rFonts w:ascii="Times New Roman" w:hAnsi="Times New Roman" w:cs="Times New Roman"/>
          <w:spacing w:val="31"/>
          <w:sz w:val="24"/>
          <w:szCs w:val="24"/>
          <w:lang w:val="sr-Cyrl-CS"/>
        </w:rPr>
        <w:t xml:space="preserve"> </w:t>
      </w:r>
      <w:r w:rsidR="00E65142" w:rsidRPr="00F973FB">
        <w:rPr>
          <w:rFonts w:ascii="Times New Roman" w:hAnsi="Times New Roman" w:cs="Times New Roman"/>
          <w:sz w:val="24"/>
          <w:szCs w:val="24"/>
          <w:lang w:val="sr-Cyrl-CS"/>
        </w:rPr>
        <w:t>односно</w:t>
      </w:r>
      <w:r w:rsidR="00153A78" w:rsidRPr="00F973FB">
        <w:rPr>
          <w:rFonts w:ascii="Times New Roman" w:hAnsi="Times New Roman" w:cs="Times New Roman"/>
          <w:spacing w:val="29"/>
          <w:sz w:val="24"/>
          <w:szCs w:val="24"/>
          <w:lang w:val="sr-Cyrl-CS"/>
        </w:rPr>
        <w:t xml:space="preserve"> </w:t>
      </w:r>
      <w:r w:rsidR="00B76AF4" w:rsidRPr="00F973FB">
        <w:rPr>
          <w:rFonts w:ascii="Times New Roman" w:hAnsi="Times New Roman" w:cs="Times New Roman"/>
          <w:sz w:val="24"/>
          <w:szCs w:val="24"/>
          <w:lang w:val="sr-Cyrl-CS"/>
        </w:rPr>
        <w:t xml:space="preserve">0,8, </w:t>
      </w:r>
      <w:r w:rsidR="00E65142" w:rsidRPr="00F973FB">
        <w:rPr>
          <w:rFonts w:ascii="Times New Roman" w:hAnsi="Times New Roman" w:cs="Times New Roman"/>
          <w:sz w:val="24"/>
          <w:szCs w:val="24"/>
          <w:lang w:val="sr-Cyrl-CS"/>
        </w:rPr>
        <w:t>тако</w:t>
      </w:r>
      <w:r w:rsidR="00153A78" w:rsidRPr="00F973FB">
        <w:rPr>
          <w:rFonts w:ascii="Times New Roman" w:hAnsi="Times New Roman" w:cs="Times New Roman"/>
          <w:spacing w:val="33"/>
          <w:sz w:val="24"/>
          <w:szCs w:val="24"/>
          <w:lang w:val="sr-Cyrl-CS"/>
        </w:rPr>
        <w:t xml:space="preserve"> </w:t>
      </w:r>
      <w:r w:rsidR="00E65142" w:rsidRPr="00F973FB">
        <w:rPr>
          <w:rFonts w:ascii="Times New Roman" w:hAnsi="Times New Roman" w:cs="Times New Roman"/>
          <w:sz w:val="24"/>
          <w:szCs w:val="24"/>
          <w:lang w:val="sr-Cyrl-CS"/>
        </w:rPr>
        <w:t>да</w:t>
      </w:r>
      <w:r w:rsidR="00153A78" w:rsidRPr="00F973FB">
        <w:rPr>
          <w:rFonts w:ascii="Times New Roman" w:hAnsi="Times New Roman" w:cs="Times New Roman"/>
          <w:spacing w:val="30"/>
          <w:sz w:val="24"/>
          <w:szCs w:val="24"/>
          <w:lang w:val="sr-Cyrl-CS"/>
        </w:rPr>
        <w:t xml:space="preserve"> </w:t>
      </w:r>
      <w:r w:rsidR="00E65142" w:rsidRPr="00F973FB">
        <w:rPr>
          <w:rFonts w:ascii="Times New Roman" w:hAnsi="Times New Roman" w:cs="Times New Roman"/>
          <w:sz w:val="24"/>
          <w:szCs w:val="24"/>
          <w:lang w:val="sr-Cyrl-CS"/>
        </w:rPr>
        <w:t>се</w:t>
      </w:r>
      <w:r w:rsidR="00153A78" w:rsidRPr="00F973FB">
        <w:rPr>
          <w:rFonts w:ascii="Times New Roman" w:hAnsi="Times New Roman" w:cs="Times New Roman"/>
          <w:sz w:val="24"/>
          <w:szCs w:val="24"/>
          <w:lang w:val="sr-Cyrl-CS"/>
        </w:rPr>
        <w:t xml:space="preserve"> </w:t>
      </w:r>
      <w:r w:rsidR="00E65142" w:rsidRPr="00F973FB">
        <w:rPr>
          <w:rFonts w:ascii="Times New Roman" w:hAnsi="Times New Roman" w:cs="Times New Roman"/>
          <w:sz w:val="24"/>
          <w:szCs w:val="24"/>
          <w:lang w:val="sr-Cyrl-CS"/>
        </w:rPr>
        <w:t>коефицијент 1,1 утврђује за зону највише вредности непокретности</w:t>
      </w:r>
      <w:r w:rsidR="00C53876" w:rsidRPr="00F973FB">
        <w:rPr>
          <w:rFonts w:ascii="Times New Roman" w:hAnsi="Times New Roman" w:cs="Times New Roman"/>
          <w:sz w:val="24"/>
          <w:szCs w:val="24"/>
          <w:lang w:val="sr-Cyrl-CS"/>
        </w:rPr>
        <w:t>;</w:t>
      </w:r>
    </w:p>
    <w:p w:rsidR="00B76AF4" w:rsidRPr="00F973FB" w:rsidRDefault="00B76AF4" w:rsidP="00406601">
      <w:pPr>
        <w:widowControl w:val="0"/>
        <w:tabs>
          <w:tab w:val="left" w:pos="2449"/>
        </w:tabs>
        <w:autoSpaceDE w:val="0"/>
        <w:autoSpaceDN w:val="0"/>
        <w:spacing w:after="0" w:line="20" w:lineRule="atLeast"/>
        <w:ind w:right="118"/>
        <w:jc w:val="both"/>
        <w:rPr>
          <w:rFonts w:ascii="Times New Roman" w:hAnsi="Times New Roman" w:cs="Times New Roman"/>
          <w:sz w:val="24"/>
          <w:szCs w:val="24"/>
          <w:lang w:val="sr-Cyrl-CS"/>
        </w:rPr>
      </w:pPr>
      <w:r w:rsidRPr="00F973FB">
        <w:rPr>
          <w:rFonts w:ascii="Times New Roman" w:hAnsi="Times New Roman" w:cs="Times New Roman"/>
          <w:sz w:val="24"/>
          <w:szCs w:val="24"/>
          <w:lang w:val="sr-Cyrl-CS"/>
        </w:rPr>
        <w:t xml:space="preserve">           </w:t>
      </w:r>
      <w:r w:rsidR="00B5362B" w:rsidRPr="00F973FB">
        <w:rPr>
          <w:rFonts w:ascii="Times New Roman" w:hAnsi="Times New Roman" w:cs="Times New Roman"/>
          <w:sz w:val="24"/>
          <w:szCs w:val="24"/>
          <w:lang w:val="sr-Cyrl-CS"/>
        </w:rPr>
        <w:t>(4)</w:t>
      </w:r>
      <w:r w:rsidRPr="00F973FB">
        <w:rPr>
          <w:rFonts w:ascii="Times New Roman" w:hAnsi="Times New Roman" w:cs="Times New Roman"/>
          <w:sz w:val="24"/>
          <w:szCs w:val="24"/>
          <w:lang w:val="sr-Cyrl-CS"/>
        </w:rPr>
        <w:t xml:space="preserve">  </w:t>
      </w:r>
      <w:r w:rsidR="00E65142" w:rsidRPr="00F973FB">
        <w:rPr>
          <w:rFonts w:ascii="Times New Roman" w:hAnsi="Times New Roman" w:cs="Times New Roman"/>
          <w:sz w:val="24"/>
          <w:szCs w:val="24"/>
          <w:lang w:val="sr-Cyrl-CS"/>
        </w:rPr>
        <w:t>утврђене</w:t>
      </w:r>
      <w:r w:rsidRPr="00F973FB">
        <w:rPr>
          <w:rFonts w:ascii="Times New Roman" w:hAnsi="Times New Roman" w:cs="Times New Roman"/>
          <w:sz w:val="24"/>
          <w:szCs w:val="24"/>
          <w:lang w:val="sr-Cyrl-CS"/>
        </w:rPr>
        <w:t xml:space="preserve"> </w:t>
      </w:r>
      <w:r w:rsidR="00E65142" w:rsidRPr="00F973FB">
        <w:rPr>
          <w:rFonts w:ascii="Times New Roman" w:hAnsi="Times New Roman" w:cs="Times New Roman"/>
          <w:sz w:val="24"/>
          <w:szCs w:val="24"/>
          <w:lang w:val="sr-Cyrl-CS"/>
        </w:rPr>
        <w:t>четири зоне</w:t>
      </w:r>
      <w:r w:rsidRPr="00F973FB">
        <w:rPr>
          <w:rFonts w:ascii="Times New Roman" w:hAnsi="Times New Roman" w:cs="Times New Roman"/>
          <w:sz w:val="24"/>
          <w:szCs w:val="24"/>
          <w:lang w:val="sr-Cyrl-CS"/>
        </w:rPr>
        <w:t xml:space="preserve"> </w:t>
      </w:r>
      <w:r w:rsidR="00994BC2" w:rsidRPr="00F973FB">
        <w:rPr>
          <w:rFonts w:ascii="Times New Roman" w:hAnsi="Times New Roman" w:cs="Times New Roman"/>
          <w:sz w:val="24"/>
          <w:szCs w:val="24"/>
          <w:lang w:val="sr-Cyrl-CS"/>
        </w:rPr>
        <w:t>–</w:t>
      </w:r>
      <w:r w:rsidRPr="00F973FB">
        <w:rPr>
          <w:rFonts w:ascii="Times New Roman" w:hAnsi="Times New Roman" w:cs="Times New Roman"/>
          <w:sz w:val="24"/>
          <w:szCs w:val="24"/>
          <w:lang w:val="sr-Cyrl-CS"/>
        </w:rPr>
        <w:t xml:space="preserve"> </w:t>
      </w:r>
      <w:r w:rsidR="00E65142" w:rsidRPr="00F973FB">
        <w:rPr>
          <w:rFonts w:ascii="Times New Roman" w:hAnsi="Times New Roman" w:cs="Times New Roman"/>
          <w:sz w:val="24"/>
          <w:szCs w:val="24"/>
          <w:lang w:val="sr-Cyrl-CS"/>
        </w:rPr>
        <w:t>коефицијенти зоне</w:t>
      </w:r>
      <w:r w:rsidRPr="00F973FB">
        <w:rPr>
          <w:rFonts w:ascii="Times New Roman" w:hAnsi="Times New Roman" w:cs="Times New Roman"/>
          <w:sz w:val="24"/>
          <w:szCs w:val="24"/>
          <w:lang w:val="sr-Cyrl-CS"/>
        </w:rPr>
        <w:t xml:space="preserve"> </w:t>
      </w:r>
      <w:r w:rsidR="00E65142" w:rsidRPr="00F973FB">
        <w:rPr>
          <w:rFonts w:ascii="Times New Roman" w:hAnsi="Times New Roman" w:cs="Times New Roman"/>
          <w:sz w:val="24"/>
          <w:szCs w:val="24"/>
          <w:lang w:val="sr-Cyrl-CS"/>
        </w:rPr>
        <w:t>износе 1,1, 1,0, 0,9</w:t>
      </w:r>
      <w:r w:rsidR="00C53876" w:rsidRPr="00F973FB">
        <w:rPr>
          <w:rFonts w:ascii="Times New Roman" w:hAnsi="Times New Roman" w:cs="Times New Roman"/>
          <w:sz w:val="24"/>
          <w:szCs w:val="24"/>
          <w:lang w:val="sr-Cyrl-CS"/>
        </w:rPr>
        <w:t>,</w:t>
      </w:r>
      <w:r w:rsidR="00E65142" w:rsidRPr="00F973FB">
        <w:rPr>
          <w:rFonts w:ascii="Times New Roman" w:hAnsi="Times New Roman" w:cs="Times New Roman"/>
          <w:sz w:val="24"/>
          <w:szCs w:val="24"/>
          <w:lang w:val="sr-Cyrl-CS"/>
        </w:rPr>
        <w:t xml:space="preserve"> односно 0,8, тако да се коефицијент 1,1 утврђује за зону највише вредности непокретности</w:t>
      </w:r>
      <w:r w:rsidR="00C53876" w:rsidRPr="00F973FB">
        <w:rPr>
          <w:rFonts w:ascii="Times New Roman" w:hAnsi="Times New Roman" w:cs="Times New Roman"/>
          <w:sz w:val="24"/>
          <w:szCs w:val="24"/>
          <w:lang w:val="sr-Cyrl-CS"/>
        </w:rPr>
        <w:t>;</w:t>
      </w:r>
    </w:p>
    <w:p w:rsidR="00B76AF4" w:rsidRPr="00F973FB" w:rsidRDefault="00B76AF4" w:rsidP="00406601">
      <w:pPr>
        <w:widowControl w:val="0"/>
        <w:tabs>
          <w:tab w:val="left" w:pos="2449"/>
        </w:tabs>
        <w:autoSpaceDE w:val="0"/>
        <w:autoSpaceDN w:val="0"/>
        <w:spacing w:after="0" w:line="20" w:lineRule="atLeast"/>
        <w:ind w:right="115"/>
        <w:jc w:val="both"/>
        <w:rPr>
          <w:rFonts w:ascii="Times New Roman" w:hAnsi="Times New Roman" w:cs="Times New Roman"/>
          <w:sz w:val="24"/>
          <w:szCs w:val="24"/>
          <w:lang w:val="sr-Cyrl-CS"/>
        </w:rPr>
      </w:pPr>
      <w:r w:rsidRPr="00F973FB">
        <w:rPr>
          <w:rFonts w:ascii="Times New Roman" w:hAnsi="Times New Roman" w:cs="Times New Roman"/>
          <w:sz w:val="24"/>
          <w:szCs w:val="24"/>
          <w:lang w:val="sr-Cyrl-CS"/>
        </w:rPr>
        <w:t xml:space="preserve">           </w:t>
      </w:r>
      <w:r w:rsidR="00B5362B" w:rsidRPr="00F973FB">
        <w:rPr>
          <w:rFonts w:ascii="Times New Roman" w:hAnsi="Times New Roman" w:cs="Times New Roman"/>
          <w:sz w:val="24"/>
          <w:szCs w:val="24"/>
          <w:lang w:val="sr-Cyrl-CS"/>
        </w:rPr>
        <w:t>(5)</w:t>
      </w:r>
      <w:r w:rsidRPr="00F973FB">
        <w:rPr>
          <w:rFonts w:ascii="Times New Roman" w:hAnsi="Times New Roman" w:cs="Times New Roman"/>
          <w:sz w:val="24"/>
          <w:szCs w:val="24"/>
          <w:lang w:val="sr-Cyrl-CS"/>
        </w:rPr>
        <w:t xml:space="preserve">  </w:t>
      </w:r>
      <w:r w:rsidR="00E65142" w:rsidRPr="00F973FB">
        <w:rPr>
          <w:rFonts w:ascii="Times New Roman" w:hAnsi="Times New Roman" w:cs="Times New Roman"/>
          <w:sz w:val="24"/>
          <w:szCs w:val="24"/>
          <w:lang w:val="sr-Cyrl-CS"/>
        </w:rPr>
        <w:t>утврђено пет до седам зона</w:t>
      </w:r>
      <w:r w:rsidRPr="00F973FB">
        <w:rPr>
          <w:rFonts w:ascii="Times New Roman" w:hAnsi="Times New Roman" w:cs="Times New Roman"/>
          <w:sz w:val="24"/>
          <w:szCs w:val="24"/>
          <w:lang w:val="sr-Cyrl-CS"/>
        </w:rPr>
        <w:t xml:space="preserve"> </w:t>
      </w:r>
      <w:r w:rsidR="00994BC2" w:rsidRPr="00F973FB">
        <w:rPr>
          <w:rFonts w:ascii="Times New Roman" w:hAnsi="Times New Roman" w:cs="Times New Roman"/>
          <w:sz w:val="24"/>
          <w:szCs w:val="24"/>
          <w:lang w:val="sr-Cyrl-CS"/>
        </w:rPr>
        <w:t>–</w:t>
      </w:r>
      <w:r w:rsidRPr="00F973FB">
        <w:rPr>
          <w:rFonts w:ascii="Times New Roman" w:hAnsi="Times New Roman" w:cs="Times New Roman"/>
          <w:sz w:val="24"/>
          <w:szCs w:val="24"/>
          <w:lang w:val="sr-Cyrl-CS"/>
        </w:rPr>
        <w:t xml:space="preserve"> </w:t>
      </w:r>
      <w:r w:rsidR="00E65142" w:rsidRPr="00F973FB">
        <w:rPr>
          <w:rFonts w:ascii="Times New Roman" w:hAnsi="Times New Roman" w:cs="Times New Roman"/>
          <w:sz w:val="24"/>
          <w:szCs w:val="24"/>
          <w:lang w:val="sr-Cyrl-CS"/>
        </w:rPr>
        <w:t>коефицијенти зоне</w:t>
      </w:r>
      <w:r w:rsidRPr="00F973FB">
        <w:rPr>
          <w:rFonts w:ascii="Times New Roman" w:hAnsi="Times New Roman" w:cs="Times New Roman"/>
          <w:sz w:val="24"/>
          <w:szCs w:val="24"/>
          <w:lang w:val="sr-Cyrl-CS"/>
        </w:rPr>
        <w:t xml:space="preserve"> </w:t>
      </w:r>
      <w:r w:rsidR="00E65142" w:rsidRPr="00F973FB">
        <w:rPr>
          <w:rFonts w:ascii="Times New Roman" w:hAnsi="Times New Roman" w:cs="Times New Roman"/>
          <w:sz w:val="24"/>
          <w:szCs w:val="24"/>
          <w:lang w:val="sr-Cyrl-CS"/>
        </w:rPr>
        <w:t>износе 1,1</w:t>
      </w:r>
      <w:r w:rsidR="004605AD" w:rsidRPr="00F973FB">
        <w:rPr>
          <w:rFonts w:ascii="Times New Roman" w:hAnsi="Times New Roman" w:cs="Times New Roman"/>
          <w:sz w:val="24"/>
          <w:szCs w:val="24"/>
          <w:lang w:val="sr-Cyrl-CS"/>
        </w:rPr>
        <w:t>, 1,0, 0,9, 0,8</w:t>
      </w:r>
      <w:r w:rsidR="00E65142" w:rsidRPr="00F973FB">
        <w:rPr>
          <w:rFonts w:ascii="Times New Roman" w:hAnsi="Times New Roman" w:cs="Times New Roman"/>
          <w:sz w:val="24"/>
          <w:szCs w:val="24"/>
          <w:lang w:val="sr-Cyrl-CS"/>
        </w:rPr>
        <w:t xml:space="preserve"> и 0,7, тако да се  коефицијент 1,1 утврђује за зону највише вредности непокретности, 1,0 за другу</w:t>
      </w:r>
      <w:r w:rsidR="004D05E0" w:rsidRPr="00F973FB">
        <w:rPr>
          <w:rFonts w:ascii="Times New Roman" w:hAnsi="Times New Roman" w:cs="Times New Roman"/>
          <w:sz w:val="24"/>
          <w:szCs w:val="24"/>
          <w:lang w:val="sr-Cyrl-CS"/>
        </w:rPr>
        <w:t>,</w:t>
      </w:r>
      <w:r w:rsidRPr="00F973FB">
        <w:rPr>
          <w:rFonts w:ascii="Times New Roman" w:hAnsi="Times New Roman" w:cs="Times New Roman"/>
          <w:sz w:val="24"/>
          <w:szCs w:val="24"/>
          <w:lang w:val="sr-Cyrl-CS"/>
        </w:rPr>
        <w:t xml:space="preserve"> </w:t>
      </w:r>
      <w:r w:rsidR="004D05E0" w:rsidRPr="00F973FB">
        <w:rPr>
          <w:rFonts w:ascii="Times New Roman" w:hAnsi="Times New Roman" w:cs="Times New Roman"/>
          <w:sz w:val="24"/>
          <w:szCs w:val="24"/>
          <w:lang w:val="sr-Cyrl-CS"/>
        </w:rPr>
        <w:t xml:space="preserve">0,9 </w:t>
      </w:r>
      <w:r w:rsidRPr="00F973FB">
        <w:rPr>
          <w:rFonts w:ascii="Times New Roman" w:hAnsi="Times New Roman" w:cs="Times New Roman"/>
          <w:sz w:val="24"/>
          <w:szCs w:val="24"/>
          <w:lang w:val="sr-Cyrl-CS"/>
        </w:rPr>
        <w:t xml:space="preserve"> </w:t>
      </w:r>
      <w:r w:rsidR="00E65142" w:rsidRPr="00F973FB">
        <w:rPr>
          <w:rFonts w:ascii="Times New Roman" w:hAnsi="Times New Roman" w:cs="Times New Roman"/>
          <w:sz w:val="24"/>
          <w:szCs w:val="24"/>
          <w:lang w:val="sr-Cyrl-CS"/>
        </w:rPr>
        <w:t xml:space="preserve">за </w:t>
      </w:r>
      <w:r w:rsidR="00E65142" w:rsidRPr="00F973FB">
        <w:rPr>
          <w:rFonts w:ascii="Times New Roman" w:hAnsi="Times New Roman" w:cs="Times New Roman"/>
          <w:sz w:val="24"/>
          <w:szCs w:val="24"/>
          <w:lang w:val="sr-Cyrl-CS"/>
        </w:rPr>
        <w:lastRenderedPageBreak/>
        <w:t>трећу, 0,8 за четврту и пету и 0,7 за шесту и седму зону</w:t>
      </w:r>
      <w:r w:rsidR="00186D84" w:rsidRPr="00F973FB">
        <w:rPr>
          <w:rFonts w:ascii="Times New Roman" w:hAnsi="Times New Roman" w:cs="Times New Roman"/>
          <w:sz w:val="24"/>
          <w:szCs w:val="24"/>
          <w:lang w:val="sr-Cyrl-CS"/>
        </w:rPr>
        <w:t xml:space="preserve"> према вредности непокретности</w:t>
      </w:r>
      <w:r w:rsidR="00C53876" w:rsidRPr="00F973FB">
        <w:rPr>
          <w:rFonts w:ascii="Times New Roman" w:hAnsi="Times New Roman" w:cs="Times New Roman"/>
          <w:sz w:val="24"/>
          <w:szCs w:val="24"/>
          <w:lang w:val="sr-Cyrl-CS"/>
        </w:rPr>
        <w:t>;</w:t>
      </w:r>
    </w:p>
    <w:p w:rsidR="00E65142" w:rsidRPr="00F973FB" w:rsidRDefault="004D05E0" w:rsidP="00994BC2">
      <w:pPr>
        <w:widowControl w:val="0"/>
        <w:tabs>
          <w:tab w:val="left" w:pos="2449"/>
        </w:tabs>
        <w:autoSpaceDE w:val="0"/>
        <w:autoSpaceDN w:val="0"/>
        <w:spacing w:after="0" w:line="20" w:lineRule="atLeast"/>
        <w:ind w:right="112"/>
        <w:jc w:val="both"/>
        <w:rPr>
          <w:rFonts w:ascii="Times New Roman" w:hAnsi="Times New Roman" w:cs="Times New Roman"/>
          <w:sz w:val="24"/>
          <w:szCs w:val="24"/>
          <w:lang w:val="sr-Cyrl-CS"/>
        </w:rPr>
      </w:pPr>
      <w:r w:rsidRPr="00F973FB">
        <w:rPr>
          <w:rFonts w:ascii="Times New Roman" w:hAnsi="Times New Roman" w:cs="Times New Roman"/>
          <w:sz w:val="24"/>
          <w:szCs w:val="24"/>
          <w:lang w:val="sr-Cyrl-CS"/>
        </w:rPr>
        <w:t xml:space="preserve">           </w:t>
      </w:r>
      <w:r w:rsidR="00B5362B" w:rsidRPr="00F973FB">
        <w:rPr>
          <w:rFonts w:ascii="Times New Roman" w:hAnsi="Times New Roman" w:cs="Times New Roman"/>
          <w:sz w:val="24"/>
          <w:szCs w:val="24"/>
          <w:lang w:val="sr-Cyrl-CS"/>
        </w:rPr>
        <w:t>(6)</w:t>
      </w:r>
      <w:r w:rsidRPr="00F973FB">
        <w:rPr>
          <w:rFonts w:ascii="Times New Roman" w:hAnsi="Times New Roman" w:cs="Times New Roman"/>
          <w:sz w:val="24"/>
          <w:szCs w:val="24"/>
          <w:lang w:val="sr-Cyrl-CS"/>
        </w:rPr>
        <w:t xml:space="preserve">  </w:t>
      </w:r>
      <w:r w:rsidR="00E65142" w:rsidRPr="00F973FB">
        <w:rPr>
          <w:rFonts w:ascii="Times New Roman" w:hAnsi="Times New Roman" w:cs="Times New Roman"/>
          <w:sz w:val="24"/>
          <w:szCs w:val="24"/>
          <w:lang w:val="sr-Cyrl-CS"/>
        </w:rPr>
        <w:t>утврђено осам или више зона</w:t>
      </w:r>
      <w:r w:rsidRPr="00F973FB">
        <w:rPr>
          <w:rFonts w:ascii="Times New Roman" w:hAnsi="Times New Roman" w:cs="Times New Roman"/>
          <w:sz w:val="24"/>
          <w:szCs w:val="24"/>
          <w:lang w:val="sr-Cyrl-CS"/>
        </w:rPr>
        <w:t xml:space="preserve"> </w:t>
      </w:r>
      <w:r w:rsidR="00994BC2" w:rsidRPr="00F973FB">
        <w:rPr>
          <w:rFonts w:ascii="Times New Roman" w:hAnsi="Times New Roman" w:cs="Times New Roman"/>
          <w:sz w:val="24"/>
          <w:szCs w:val="24"/>
          <w:lang w:val="sr-Cyrl-CS"/>
        </w:rPr>
        <w:t>–</w:t>
      </w:r>
      <w:r w:rsidRPr="00F973FB">
        <w:rPr>
          <w:rFonts w:ascii="Times New Roman" w:hAnsi="Times New Roman" w:cs="Times New Roman"/>
          <w:sz w:val="24"/>
          <w:szCs w:val="24"/>
          <w:lang w:val="sr-Cyrl-CS"/>
        </w:rPr>
        <w:t xml:space="preserve"> </w:t>
      </w:r>
      <w:r w:rsidR="00E65142" w:rsidRPr="00F973FB">
        <w:rPr>
          <w:rFonts w:ascii="Times New Roman" w:hAnsi="Times New Roman" w:cs="Times New Roman"/>
          <w:sz w:val="24"/>
          <w:szCs w:val="24"/>
          <w:lang w:val="sr-Cyrl-CS"/>
        </w:rPr>
        <w:t>коефицијенти зоне</w:t>
      </w:r>
      <w:r w:rsidR="004605AD" w:rsidRPr="00F973FB">
        <w:rPr>
          <w:rFonts w:ascii="Times New Roman" w:hAnsi="Times New Roman" w:cs="Times New Roman"/>
          <w:sz w:val="24"/>
          <w:szCs w:val="24"/>
          <w:lang w:val="sr-Cyrl-CS"/>
        </w:rPr>
        <w:t xml:space="preserve"> </w:t>
      </w:r>
      <w:r w:rsidR="00E65142" w:rsidRPr="00F973FB">
        <w:rPr>
          <w:rFonts w:ascii="Times New Roman" w:hAnsi="Times New Roman" w:cs="Times New Roman"/>
          <w:sz w:val="24"/>
          <w:szCs w:val="24"/>
          <w:lang w:val="sr-Cyrl-CS"/>
        </w:rPr>
        <w:t>износе 1,1</w:t>
      </w:r>
      <w:r w:rsidR="004605AD" w:rsidRPr="00F973FB">
        <w:rPr>
          <w:rFonts w:ascii="Times New Roman" w:hAnsi="Times New Roman" w:cs="Times New Roman"/>
          <w:sz w:val="24"/>
          <w:szCs w:val="24"/>
          <w:lang w:val="sr-Cyrl-CS"/>
        </w:rPr>
        <w:t>, 1,0, 0,9, 0,8</w:t>
      </w:r>
      <w:r w:rsidR="00E65142" w:rsidRPr="00F973FB">
        <w:rPr>
          <w:rFonts w:ascii="Times New Roman" w:hAnsi="Times New Roman" w:cs="Times New Roman"/>
          <w:sz w:val="24"/>
          <w:szCs w:val="24"/>
          <w:lang w:val="sr-Cyrl-CS"/>
        </w:rPr>
        <w:t xml:space="preserve"> и 0,7, тако да се  коефицијент 1,1 утврђује за зону највише вредности непокретности, 1,0 за другу и трећу,</w:t>
      </w:r>
      <w:r w:rsidRPr="00F973FB">
        <w:rPr>
          <w:rFonts w:ascii="Times New Roman" w:hAnsi="Times New Roman" w:cs="Times New Roman"/>
          <w:sz w:val="24"/>
          <w:szCs w:val="24"/>
          <w:lang w:val="sr-Cyrl-CS"/>
        </w:rPr>
        <w:t xml:space="preserve"> 0,9 </w:t>
      </w:r>
      <w:r w:rsidR="00E65142" w:rsidRPr="00F973FB">
        <w:rPr>
          <w:rFonts w:ascii="Times New Roman" w:hAnsi="Times New Roman" w:cs="Times New Roman"/>
          <w:sz w:val="24"/>
          <w:szCs w:val="24"/>
          <w:lang w:val="sr-Cyrl-CS"/>
        </w:rPr>
        <w:t>за четврту и пету, 0,8 за шесту и 0,7 за седму и остале</w:t>
      </w:r>
      <w:r w:rsidRPr="00F973FB">
        <w:rPr>
          <w:rFonts w:ascii="Times New Roman" w:hAnsi="Times New Roman" w:cs="Times New Roman"/>
          <w:sz w:val="24"/>
          <w:szCs w:val="24"/>
          <w:lang w:val="sr-Cyrl-CS"/>
        </w:rPr>
        <w:t xml:space="preserve"> </w:t>
      </w:r>
      <w:r w:rsidR="00E65142" w:rsidRPr="00F973FB">
        <w:rPr>
          <w:rFonts w:ascii="Times New Roman" w:hAnsi="Times New Roman" w:cs="Times New Roman"/>
          <w:sz w:val="24"/>
          <w:szCs w:val="24"/>
          <w:lang w:val="sr-Cyrl-CS"/>
        </w:rPr>
        <w:t>зоне према вредности непокретности;</w:t>
      </w:r>
    </w:p>
    <w:p w:rsidR="00AC7C66" w:rsidRPr="00F973FB" w:rsidRDefault="0050572E" w:rsidP="00994BC2">
      <w:pPr>
        <w:widowControl w:val="0"/>
        <w:tabs>
          <w:tab w:val="left" w:pos="720"/>
        </w:tabs>
        <w:autoSpaceDE w:val="0"/>
        <w:autoSpaceDN w:val="0"/>
        <w:spacing w:after="0" w:line="20" w:lineRule="atLeast"/>
        <w:ind w:right="112"/>
        <w:jc w:val="both"/>
        <w:rPr>
          <w:rFonts w:ascii="Times New Roman" w:hAnsi="Times New Roman" w:cs="Times New Roman"/>
          <w:sz w:val="24"/>
          <w:szCs w:val="24"/>
          <w:lang w:val="sr-Cyrl-CS"/>
        </w:rPr>
      </w:pPr>
      <w:r w:rsidRPr="00F973FB">
        <w:rPr>
          <w:rFonts w:ascii="Times New Roman" w:hAnsi="Times New Roman" w:cs="Times New Roman"/>
          <w:sz w:val="24"/>
          <w:szCs w:val="24"/>
          <w:lang w:val="sr-Cyrl-CS"/>
        </w:rPr>
        <w:tab/>
        <w:t xml:space="preserve">2) </w:t>
      </w:r>
      <w:r w:rsidR="00AC7C66" w:rsidRPr="00F973FB">
        <w:rPr>
          <w:rFonts w:ascii="Times New Roman" w:hAnsi="Times New Roman" w:cs="Times New Roman"/>
          <w:sz w:val="24"/>
          <w:szCs w:val="24"/>
          <w:lang w:val="sr-Cyrl-CS"/>
        </w:rPr>
        <w:t>време које је протекло од регистрације, и то тако што</w:t>
      </w:r>
      <w:r w:rsidR="00AC7C66" w:rsidRPr="00F973FB">
        <w:rPr>
          <w:rFonts w:ascii="Times New Roman" w:hAnsi="Times New Roman" w:cs="Times New Roman"/>
          <w:spacing w:val="-6"/>
          <w:sz w:val="24"/>
          <w:szCs w:val="24"/>
          <w:lang w:val="sr-Cyrl-CS"/>
        </w:rPr>
        <w:t xml:space="preserve"> </w:t>
      </w:r>
      <w:r w:rsidR="00AC7C66" w:rsidRPr="00F973FB">
        <w:rPr>
          <w:rFonts w:ascii="Times New Roman" w:hAnsi="Times New Roman" w:cs="Times New Roman"/>
          <w:sz w:val="24"/>
          <w:szCs w:val="24"/>
          <w:lang w:val="sr-Cyrl-CS"/>
        </w:rPr>
        <w:t>се</w:t>
      </w:r>
      <w:r w:rsidRPr="00F973FB">
        <w:rPr>
          <w:rFonts w:ascii="Times New Roman" w:hAnsi="Times New Roman" w:cs="Times New Roman"/>
          <w:sz w:val="24"/>
          <w:szCs w:val="24"/>
          <w:lang w:val="sr-Cyrl-CS"/>
        </w:rPr>
        <w:t xml:space="preserve"> </w:t>
      </w:r>
      <w:r w:rsidR="00E65142" w:rsidRPr="00F973FB">
        <w:rPr>
          <w:rFonts w:ascii="Times New Roman" w:hAnsi="Times New Roman" w:cs="Times New Roman"/>
          <w:sz w:val="24"/>
          <w:szCs w:val="24"/>
          <w:lang w:val="sr-Cyrl-CS"/>
        </w:rPr>
        <w:t>за предузетника код кога је на дан 31. децембра године која претходи години за коју се утврђује пореска основица од регистрације прошло</w:t>
      </w:r>
      <w:r w:rsidRPr="00F973FB">
        <w:rPr>
          <w:rFonts w:ascii="Times New Roman" w:hAnsi="Times New Roman" w:cs="Times New Roman"/>
          <w:sz w:val="24"/>
          <w:szCs w:val="24"/>
          <w:lang w:val="sr-Cyrl-CS"/>
        </w:rPr>
        <w:t>:</w:t>
      </w:r>
    </w:p>
    <w:p w:rsidR="0050572E" w:rsidRPr="00F973FB" w:rsidRDefault="0081743A" w:rsidP="00994BC2">
      <w:pPr>
        <w:pStyle w:val="BodyText"/>
        <w:spacing w:line="20" w:lineRule="atLeast"/>
        <w:ind w:right="112" w:firstLine="720"/>
        <w:rPr>
          <w:lang w:val="sr-Cyrl-CS"/>
        </w:rPr>
      </w:pPr>
      <w:r w:rsidRPr="00F973FB">
        <w:rPr>
          <w:lang w:val="sr-Cyrl-CS"/>
        </w:rPr>
        <w:t xml:space="preserve">(1) највише 12 месеци </w:t>
      </w:r>
      <w:r w:rsidR="00994BC2" w:rsidRPr="00F973FB">
        <w:rPr>
          <w:lang w:val="sr-Cyrl-CS"/>
        </w:rPr>
        <w:t>–</w:t>
      </w:r>
      <w:r w:rsidRPr="00F973FB">
        <w:rPr>
          <w:lang w:val="sr-Cyrl-CS"/>
        </w:rPr>
        <w:t xml:space="preserve"> полазна осно</w:t>
      </w:r>
      <w:r w:rsidR="00C53876" w:rsidRPr="00F973FB">
        <w:rPr>
          <w:lang w:val="sr-Cyrl-CS"/>
        </w:rPr>
        <w:t>вица множи са коефицијентом 0,8;</w:t>
      </w:r>
    </w:p>
    <w:p w:rsidR="0050572E" w:rsidRPr="00F973FB" w:rsidRDefault="0081743A" w:rsidP="00994BC2">
      <w:pPr>
        <w:pStyle w:val="BodyText"/>
        <w:spacing w:line="20" w:lineRule="atLeast"/>
        <w:ind w:right="112" w:firstLine="720"/>
        <w:rPr>
          <w:lang w:val="sr-Cyrl-CS"/>
        </w:rPr>
      </w:pPr>
      <w:r w:rsidRPr="00F973FB">
        <w:rPr>
          <w:lang w:val="sr-Cyrl-CS"/>
        </w:rPr>
        <w:t xml:space="preserve">(2) више од 12 али не више од 24 месеца </w:t>
      </w:r>
      <w:r w:rsidR="00994BC2" w:rsidRPr="00F973FB">
        <w:rPr>
          <w:lang w:val="sr-Cyrl-CS"/>
        </w:rPr>
        <w:t>–</w:t>
      </w:r>
      <w:r w:rsidRPr="00F973FB">
        <w:rPr>
          <w:lang w:val="sr-Cyrl-CS"/>
        </w:rPr>
        <w:t xml:space="preserve"> полазна основица множи са коефицијентом 0,85</w:t>
      </w:r>
      <w:r w:rsidR="00C53876" w:rsidRPr="00F973FB">
        <w:rPr>
          <w:lang w:val="sr-Cyrl-CS"/>
        </w:rPr>
        <w:t>;</w:t>
      </w:r>
    </w:p>
    <w:p w:rsidR="00AC7C66" w:rsidRPr="00F973FB" w:rsidRDefault="0081743A" w:rsidP="00994BC2">
      <w:pPr>
        <w:pStyle w:val="BodyText"/>
        <w:spacing w:line="20" w:lineRule="atLeast"/>
        <w:ind w:right="112" w:firstLine="720"/>
        <w:rPr>
          <w:lang w:val="sr-Cyrl-CS"/>
        </w:rPr>
      </w:pPr>
      <w:r w:rsidRPr="00F973FB">
        <w:rPr>
          <w:lang w:val="sr-Cyrl-CS"/>
        </w:rPr>
        <w:t xml:space="preserve">(3) више од 24 али не више од 36 месеца </w:t>
      </w:r>
      <w:r w:rsidR="00994BC2" w:rsidRPr="00F973FB">
        <w:rPr>
          <w:lang w:val="sr-Cyrl-CS"/>
        </w:rPr>
        <w:t>–</w:t>
      </w:r>
      <w:r w:rsidRPr="00F973FB">
        <w:rPr>
          <w:lang w:val="sr-Cyrl-CS"/>
        </w:rPr>
        <w:t xml:space="preserve"> полазна основица множи са коефицијентом 0,9</w:t>
      </w:r>
      <w:r w:rsidR="00C53876" w:rsidRPr="00F973FB">
        <w:rPr>
          <w:lang w:val="sr-Cyrl-CS"/>
        </w:rPr>
        <w:t>;</w:t>
      </w:r>
    </w:p>
    <w:p w:rsidR="0050572E" w:rsidRPr="00F973FB" w:rsidRDefault="0081743A" w:rsidP="00994BC2">
      <w:pPr>
        <w:pStyle w:val="BodyText"/>
        <w:spacing w:line="20" w:lineRule="atLeast"/>
        <w:ind w:right="112" w:firstLine="720"/>
        <w:rPr>
          <w:lang w:val="sr-Cyrl-CS"/>
        </w:rPr>
      </w:pPr>
      <w:r w:rsidRPr="00F973FB">
        <w:rPr>
          <w:lang w:val="sr-Cyrl-CS"/>
        </w:rPr>
        <w:t xml:space="preserve">(4) више од 36 месеци </w:t>
      </w:r>
      <w:r w:rsidR="00994BC2" w:rsidRPr="00F973FB">
        <w:rPr>
          <w:lang w:val="sr-Cyrl-CS"/>
        </w:rPr>
        <w:t>–</w:t>
      </w:r>
      <w:r w:rsidRPr="00F973FB">
        <w:rPr>
          <w:lang w:val="sr-Cyrl-CS"/>
        </w:rPr>
        <w:t xml:space="preserve"> полазна основица множи са коефицијентом 1</w:t>
      </w:r>
      <w:r w:rsidR="00C53876" w:rsidRPr="00F973FB">
        <w:rPr>
          <w:lang w:val="sr-Cyrl-CS"/>
        </w:rPr>
        <w:t>;</w:t>
      </w:r>
    </w:p>
    <w:p w:rsidR="00AC7C66" w:rsidRPr="00F973FB" w:rsidRDefault="00984AA5" w:rsidP="00984AA5">
      <w:pPr>
        <w:pStyle w:val="BodyText"/>
        <w:spacing w:line="20" w:lineRule="atLeast"/>
        <w:ind w:right="112"/>
        <w:rPr>
          <w:lang w:val="sr-Cyrl-CS"/>
        </w:rPr>
      </w:pPr>
      <w:r w:rsidRPr="00F973FB">
        <w:rPr>
          <w:lang w:val="sr-Cyrl-CS"/>
        </w:rPr>
        <w:t>а и</w:t>
      </w:r>
      <w:r w:rsidR="00AC7C66" w:rsidRPr="00F973FB">
        <w:rPr>
          <w:lang w:val="sr-Cyrl-CS"/>
        </w:rPr>
        <w:t>зузетно</w:t>
      </w:r>
      <w:r w:rsidRPr="00F973FB">
        <w:rPr>
          <w:lang w:val="sr-Cyrl-CS"/>
        </w:rPr>
        <w:t xml:space="preserve"> од подтач. (1)−(4) ове тачке</w:t>
      </w:r>
      <w:r w:rsidR="00AC7C66" w:rsidRPr="00F973FB">
        <w:rPr>
          <w:lang w:val="sr-Cyrl-CS"/>
        </w:rPr>
        <w:t xml:space="preserve">, за </w:t>
      </w:r>
      <w:r w:rsidR="009C10E2" w:rsidRPr="00F973FB">
        <w:rPr>
          <w:lang w:val="sr-Cyrl-CS"/>
        </w:rPr>
        <w:t>обвезника</w:t>
      </w:r>
      <w:r w:rsidR="00B5362B" w:rsidRPr="00F973FB">
        <w:rPr>
          <w:lang w:val="sr-Cyrl-CS"/>
        </w:rPr>
        <w:t xml:space="preserve"> </w:t>
      </w:r>
      <w:r w:rsidR="00AC7C66" w:rsidRPr="00F973FB">
        <w:rPr>
          <w:lang w:val="sr-Cyrl-CS"/>
        </w:rPr>
        <w:t xml:space="preserve">који је у периоду краћем од 18 </w:t>
      </w:r>
      <w:r w:rsidR="009C10E2" w:rsidRPr="00F973FB">
        <w:rPr>
          <w:lang w:val="sr-Cyrl-CS"/>
        </w:rPr>
        <w:t xml:space="preserve">месеци пре регистрације био регистрован код надлежне организације за обављање делатности, </w:t>
      </w:r>
      <w:r w:rsidR="00AC7C66" w:rsidRPr="00F973FB">
        <w:rPr>
          <w:lang w:val="sr-Cyrl-CS"/>
        </w:rPr>
        <w:t>полазна основица множи се</w:t>
      </w:r>
      <w:r w:rsidRPr="00F973FB">
        <w:rPr>
          <w:lang w:val="sr-Cyrl-CS"/>
        </w:rPr>
        <w:t xml:space="preserve"> са коефицијентом који износи 1;</w:t>
      </w:r>
    </w:p>
    <w:p w:rsidR="00AC7C66" w:rsidRPr="00F973FB" w:rsidRDefault="00B5362B" w:rsidP="00994BC2">
      <w:pPr>
        <w:widowControl w:val="0"/>
        <w:tabs>
          <w:tab w:val="left" w:pos="720"/>
        </w:tabs>
        <w:autoSpaceDE w:val="0"/>
        <w:autoSpaceDN w:val="0"/>
        <w:spacing w:after="0" w:line="20" w:lineRule="atLeast"/>
        <w:ind w:right="112"/>
        <w:jc w:val="both"/>
        <w:rPr>
          <w:rFonts w:ascii="Times New Roman" w:hAnsi="Times New Roman" w:cs="Times New Roman"/>
          <w:sz w:val="24"/>
          <w:szCs w:val="24"/>
          <w:lang w:val="sr-Cyrl-CS"/>
        </w:rPr>
      </w:pPr>
      <w:r w:rsidRPr="00F973FB">
        <w:rPr>
          <w:rFonts w:ascii="Times New Roman" w:hAnsi="Times New Roman" w:cs="Times New Roman"/>
          <w:sz w:val="24"/>
          <w:szCs w:val="24"/>
          <w:lang w:val="sr-Cyrl-CS"/>
        </w:rPr>
        <w:tab/>
      </w:r>
      <w:r w:rsidR="006B0B7D" w:rsidRPr="00F973FB">
        <w:rPr>
          <w:rFonts w:ascii="Times New Roman" w:hAnsi="Times New Roman" w:cs="Times New Roman"/>
          <w:sz w:val="24"/>
          <w:szCs w:val="24"/>
          <w:lang w:val="sr-Cyrl-CS"/>
        </w:rPr>
        <w:t>3</w:t>
      </w:r>
      <w:r w:rsidRPr="00F973FB">
        <w:rPr>
          <w:rFonts w:ascii="Times New Roman" w:hAnsi="Times New Roman" w:cs="Times New Roman"/>
          <w:sz w:val="24"/>
          <w:szCs w:val="24"/>
          <w:lang w:val="sr-Cyrl-CS"/>
        </w:rPr>
        <w:t xml:space="preserve">) </w:t>
      </w:r>
      <w:r w:rsidR="00AC7C66" w:rsidRPr="00F973FB">
        <w:rPr>
          <w:rFonts w:ascii="Times New Roman" w:hAnsi="Times New Roman" w:cs="Times New Roman"/>
          <w:sz w:val="24"/>
          <w:szCs w:val="24"/>
          <w:lang w:val="sr-Cyrl-CS"/>
        </w:rPr>
        <w:t>старост обвезника и његова радна способност, и то тако што</w:t>
      </w:r>
      <w:r w:rsidR="00AC7C66" w:rsidRPr="00F973FB">
        <w:rPr>
          <w:rFonts w:ascii="Times New Roman" w:hAnsi="Times New Roman" w:cs="Times New Roman"/>
          <w:spacing w:val="-9"/>
          <w:sz w:val="24"/>
          <w:szCs w:val="24"/>
          <w:lang w:val="sr-Cyrl-CS"/>
        </w:rPr>
        <w:t xml:space="preserve"> </w:t>
      </w:r>
      <w:r w:rsidR="00AC7C66" w:rsidRPr="00F973FB">
        <w:rPr>
          <w:rFonts w:ascii="Times New Roman" w:hAnsi="Times New Roman" w:cs="Times New Roman"/>
          <w:sz w:val="24"/>
          <w:szCs w:val="24"/>
          <w:lang w:val="sr-Cyrl-CS"/>
        </w:rPr>
        <w:t>се</w:t>
      </w:r>
      <w:r w:rsidR="00B418E0" w:rsidRPr="00F973FB">
        <w:rPr>
          <w:rFonts w:ascii="Times New Roman" w:hAnsi="Times New Roman" w:cs="Times New Roman"/>
          <w:sz w:val="24"/>
          <w:szCs w:val="24"/>
          <w:lang w:val="sr-Cyrl-CS"/>
        </w:rPr>
        <w:t>:</w:t>
      </w:r>
    </w:p>
    <w:p w:rsidR="00984AA5" w:rsidRPr="00F973FB" w:rsidRDefault="00B418E0" w:rsidP="00984AA5">
      <w:pPr>
        <w:pStyle w:val="BodyText"/>
        <w:spacing w:line="20" w:lineRule="atLeast"/>
        <w:ind w:right="112" w:firstLine="720"/>
        <w:rPr>
          <w:lang w:val="sr-Cyrl-CS"/>
        </w:rPr>
      </w:pPr>
      <w:r w:rsidRPr="00F973FB">
        <w:rPr>
          <w:lang w:val="sr-Cyrl-CS"/>
        </w:rPr>
        <w:t>(1)</w:t>
      </w:r>
      <w:r w:rsidR="00AC7C66" w:rsidRPr="00F973FB">
        <w:rPr>
          <w:lang w:val="sr-Cyrl-CS"/>
        </w:rPr>
        <w:t xml:space="preserve"> </w:t>
      </w:r>
      <w:r w:rsidR="009178D1" w:rsidRPr="00F973FB">
        <w:rPr>
          <w:lang w:val="sr-Cyrl-CS"/>
        </w:rPr>
        <w:t>з</w:t>
      </w:r>
      <w:r w:rsidR="00AC7C66" w:rsidRPr="00F973FB">
        <w:rPr>
          <w:lang w:val="sr-Cyrl-CS"/>
        </w:rPr>
        <w:t>а обвезнике који су на дан 31. децембра године која претходи години за коју се утврђује пореска основица млађи од 30 година, као и на обвезнике који су на дан 31. децембар године за коју се утврђује пореска основица старији од 55 година, примењује коефициј</w:t>
      </w:r>
      <w:r w:rsidR="00984AA5" w:rsidRPr="00F973FB">
        <w:rPr>
          <w:lang w:val="sr-Cyrl-CS"/>
        </w:rPr>
        <w:t>ент који износи 0</w:t>
      </w:r>
      <w:r w:rsidR="00C53876" w:rsidRPr="00F973FB">
        <w:rPr>
          <w:lang w:val="sr-Cyrl-CS"/>
        </w:rPr>
        <w:t>,</w:t>
      </w:r>
      <w:r w:rsidR="00984AA5" w:rsidRPr="00F973FB">
        <w:rPr>
          <w:lang w:val="sr-Cyrl-CS"/>
        </w:rPr>
        <w:t>9;</w:t>
      </w:r>
    </w:p>
    <w:p w:rsidR="00AC7C66" w:rsidRPr="00F973FB" w:rsidRDefault="00984AA5" w:rsidP="00984AA5">
      <w:pPr>
        <w:pStyle w:val="BodyText"/>
        <w:spacing w:line="20" w:lineRule="atLeast"/>
        <w:ind w:right="112" w:firstLine="720"/>
        <w:rPr>
          <w:lang w:val="sr-Cyrl-CS"/>
        </w:rPr>
      </w:pPr>
      <w:r w:rsidRPr="00F973FB">
        <w:rPr>
          <w:lang w:val="sr-Cyrl-CS"/>
        </w:rPr>
        <w:t>(2) и</w:t>
      </w:r>
      <w:r w:rsidR="00AC7C66" w:rsidRPr="00F973FB">
        <w:rPr>
          <w:lang w:val="sr-Cyrl-CS"/>
        </w:rPr>
        <w:t>зузетно</w:t>
      </w:r>
      <w:r w:rsidRPr="00F973FB">
        <w:rPr>
          <w:lang w:val="sr-Cyrl-CS"/>
        </w:rPr>
        <w:t xml:space="preserve"> од подтачке (1) ове тачке</w:t>
      </w:r>
      <w:r w:rsidR="00AC7C66" w:rsidRPr="00F973FB">
        <w:rPr>
          <w:lang w:val="sr-Cyrl-CS"/>
        </w:rPr>
        <w:t xml:space="preserve">, </w:t>
      </w:r>
      <w:r w:rsidR="00EC58B1" w:rsidRPr="00F973FB">
        <w:rPr>
          <w:lang w:val="sr-Cyrl-CS"/>
        </w:rPr>
        <w:t>з</w:t>
      </w:r>
      <w:r w:rsidR="00AC7C66" w:rsidRPr="00F973FB">
        <w:rPr>
          <w:lang w:val="sr-Cyrl-CS"/>
        </w:rPr>
        <w:t xml:space="preserve">а обвезнике који су на дан 31. децембра године која претходи години за коју се утврђује пореска основица млађи од 30 година, као и </w:t>
      </w:r>
      <w:r w:rsidR="00EC58B1" w:rsidRPr="00F973FB">
        <w:rPr>
          <w:lang w:val="sr-Cyrl-CS"/>
        </w:rPr>
        <w:t>з</w:t>
      </w:r>
      <w:r w:rsidR="00AC7C66" w:rsidRPr="00F973FB">
        <w:rPr>
          <w:lang w:val="sr-Cyrl-CS"/>
        </w:rPr>
        <w:t>а обвезнике који су на дан 31. децембра године за коју се утврђује пореска основица старији од 60 година, примењује коефицијент који износи 0,7 ако су регистровани за обављање следећих делатности:</w:t>
      </w:r>
    </w:p>
    <w:p w:rsidR="00AC7C66" w:rsidRPr="00F973FB" w:rsidRDefault="00AC7C66" w:rsidP="00406601">
      <w:pPr>
        <w:pStyle w:val="BodyText"/>
        <w:spacing w:line="20" w:lineRule="atLeast"/>
        <w:jc w:val="left"/>
        <w:rPr>
          <w:lang w:val="sr-Cyrl-CS"/>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60"/>
        <w:gridCol w:w="7938"/>
      </w:tblGrid>
      <w:tr w:rsidR="00AC7C66" w:rsidRPr="00F973FB" w:rsidTr="00E14382">
        <w:trPr>
          <w:trHeight w:val="506"/>
        </w:trPr>
        <w:tc>
          <w:tcPr>
            <w:tcW w:w="1560" w:type="dxa"/>
          </w:tcPr>
          <w:p w:rsidR="00AC7C66" w:rsidRPr="00F973FB" w:rsidRDefault="00AC7C66" w:rsidP="00406601">
            <w:pPr>
              <w:pStyle w:val="TableParagraph"/>
              <w:spacing w:line="20" w:lineRule="atLeast"/>
              <w:ind w:left="107" w:right="80" w:firstLine="182"/>
              <w:rPr>
                <w:b/>
                <w:sz w:val="24"/>
                <w:szCs w:val="24"/>
                <w:lang w:val="sr-Cyrl-CS"/>
              </w:rPr>
            </w:pPr>
            <w:r w:rsidRPr="00F973FB">
              <w:rPr>
                <w:b/>
                <w:sz w:val="24"/>
                <w:szCs w:val="24"/>
                <w:lang w:val="sr-Cyrl-CS"/>
              </w:rPr>
              <w:t>Шифра делатности</w:t>
            </w:r>
          </w:p>
        </w:tc>
        <w:tc>
          <w:tcPr>
            <w:tcW w:w="7938" w:type="dxa"/>
          </w:tcPr>
          <w:p w:rsidR="00AC7C66" w:rsidRPr="00F973FB" w:rsidRDefault="00AC7C66" w:rsidP="00E14382">
            <w:pPr>
              <w:pStyle w:val="TableParagraph"/>
              <w:spacing w:line="20" w:lineRule="atLeast"/>
              <w:jc w:val="center"/>
              <w:rPr>
                <w:b/>
                <w:sz w:val="24"/>
                <w:szCs w:val="24"/>
                <w:lang w:val="sr-Cyrl-CS"/>
              </w:rPr>
            </w:pPr>
            <w:r w:rsidRPr="00F973FB">
              <w:rPr>
                <w:b/>
                <w:sz w:val="24"/>
                <w:szCs w:val="24"/>
                <w:lang w:val="sr-Cyrl-CS"/>
              </w:rPr>
              <w:t>Назив делатности</w:t>
            </w:r>
          </w:p>
        </w:tc>
      </w:tr>
      <w:tr w:rsidR="00AC7C66" w:rsidRPr="00F973FB" w:rsidTr="00E14382">
        <w:trPr>
          <w:trHeight w:val="290"/>
        </w:trPr>
        <w:tc>
          <w:tcPr>
            <w:tcW w:w="1560" w:type="dxa"/>
          </w:tcPr>
          <w:p w:rsidR="00AC7C66" w:rsidRPr="00F973FB" w:rsidRDefault="00AC7C66" w:rsidP="00406601">
            <w:pPr>
              <w:pStyle w:val="TableParagraph"/>
              <w:spacing w:line="20" w:lineRule="atLeast"/>
              <w:ind w:left="430" w:right="417"/>
              <w:jc w:val="center"/>
              <w:rPr>
                <w:sz w:val="24"/>
                <w:szCs w:val="24"/>
                <w:lang w:val="sr-Cyrl-CS"/>
              </w:rPr>
            </w:pPr>
            <w:r w:rsidRPr="00F973FB">
              <w:rPr>
                <w:sz w:val="24"/>
                <w:szCs w:val="24"/>
                <w:lang w:val="sr-Cyrl-CS"/>
              </w:rPr>
              <w:t>6910</w:t>
            </w:r>
          </w:p>
        </w:tc>
        <w:tc>
          <w:tcPr>
            <w:tcW w:w="7938" w:type="dxa"/>
          </w:tcPr>
          <w:p w:rsidR="00AC7C66" w:rsidRPr="00F973FB" w:rsidRDefault="00AC7C66" w:rsidP="00406601">
            <w:pPr>
              <w:pStyle w:val="TableParagraph"/>
              <w:spacing w:line="20" w:lineRule="atLeast"/>
              <w:rPr>
                <w:sz w:val="24"/>
                <w:szCs w:val="24"/>
                <w:lang w:val="sr-Cyrl-CS"/>
              </w:rPr>
            </w:pPr>
            <w:r w:rsidRPr="00F973FB">
              <w:rPr>
                <w:sz w:val="24"/>
                <w:szCs w:val="24"/>
                <w:lang w:val="sr-Cyrl-CS"/>
              </w:rPr>
              <w:t>Правни послови</w:t>
            </w:r>
          </w:p>
        </w:tc>
      </w:tr>
      <w:tr w:rsidR="00AC7C66" w:rsidRPr="00F973FB" w:rsidTr="00E14382">
        <w:trPr>
          <w:trHeight w:val="290"/>
        </w:trPr>
        <w:tc>
          <w:tcPr>
            <w:tcW w:w="1560" w:type="dxa"/>
          </w:tcPr>
          <w:p w:rsidR="00AC7C66" w:rsidRPr="00F973FB" w:rsidRDefault="00AC7C66" w:rsidP="00406601">
            <w:pPr>
              <w:pStyle w:val="TableParagraph"/>
              <w:spacing w:line="20" w:lineRule="atLeast"/>
              <w:ind w:left="430" w:right="417"/>
              <w:jc w:val="center"/>
              <w:rPr>
                <w:sz w:val="24"/>
                <w:szCs w:val="24"/>
                <w:lang w:val="sr-Cyrl-CS"/>
              </w:rPr>
            </w:pPr>
            <w:r w:rsidRPr="00F973FB">
              <w:rPr>
                <w:sz w:val="24"/>
                <w:szCs w:val="24"/>
                <w:lang w:val="sr-Cyrl-CS"/>
              </w:rPr>
              <w:t>7111</w:t>
            </w:r>
          </w:p>
        </w:tc>
        <w:tc>
          <w:tcPr>
            <w:tcW w:w="7938" w:type="dxa"/>
          </w:tcPr>
          <w:p w:rsidR="00AC7C66" w:rsidRPr="00F973FB" w:rsidRDefault="00AC7C66" w:rsidP="00406601">
            <w:pPr>
              <w:pStyle w:val="TableParagraph"/>
              <w:spacing w:line="20" w:lineRule="atLeast"/>
              <w:rPr>
                <w:sz w:val="24"/>
                <w:szCs w:val="24"/>
                <w:lang w:val="sr-Cyrl-CS"/>
              </w:rPr>
            </w:pPr>
            <w:r w:rsidRPr="00F973FB">
              <w:rPr>
                <w:sz w:val="24"/>
                <w:szCs w:val="24"/>
                <w:lang w:val="sr-Cyrl-CS"/>
              </w:rPr>
              <w:t>Архитектонска делатност</w:t>
            </w:r>
          </w:p>
        </w:tc>
      </w:tr>
      <w:tr w:rsidR="00AC7C66" w:rsidRPr="00F973FB" w:rsidTr="00E14382">
        <w:trPr>
          <w:trHeight w:val="290"/>
        </w:trPr>
        <w:tc>
          <w:tcPr>
            <w:tcW w:w="1560" w:type="dxa"/>
          </w:tcPr>
          <w:p w:rsidR="00AC7C66" w:rsidRPr="00F973FB" w:rsidRDefault="00AC7C66" w:rsidP="00406601">
            <w:pPr>
              <w:pStyle w:val="TableParagraph"/>
              <w:spacing w:line="20" w:lineRule="atLeast"/>
              <w:ind w:left="430" w:right="417"/>
              <w:jc w:val="center"/>
              <w:rPr>
                <w:sz w:val="24"/>
                <w:szCs w:val="24"/>
                <w:lang w:val="sr-Cyrl-CS"/>
              </w:rPr>
            </w:pPr>
            <w:r w:rsidRPr="00F973FB">
              <w:rPr>
                <w:sz w:val="24"/>
                <w:szCs w:val="24"/>
                <w:lang w:val="sr-Cyrl-CS"/>
              </w:rPr>
              <w:t>7112</w:t>
            </w:r>
          </w:p>
        </w:tc>
        <w:tc>
          <w:tcPr>
            <w:tcW w:w="7938" w:type="dxa"/>
          </w:tcPr>
          <w:p w:rsidR="00AC7C66" w:rsidRPr="00F973FB" w:rsidRDefault="00AC7C66" w:rsidP="00406601">
            <w:pPr>
              <w:pStyle w:val="TableParagraph"/>
              <w:spacing w:line="20" w:lineRule="atLeast"/>
              <w:rPr>
                <w:sz w:val="24"/>
                <w:szCs w:val="24"/>
                <w:lang w:val="sr-Cyrl-CS"/>
              </w:rPr>
            </w:pPr>
            <w:r w:rsidRPr="00F973FB">
              <w:rPr>
                <w:sz w:val="24"/>
                <w:szCs w:val="24"/>
                <w:lang w:val="sr-Cyrl-CS"/>
              </w:rPr>
              <w:t>Инжењерске делатности и техничко саветовање</w:t>
            </w:r>
          </w:p>
        </w:tc>
      </w:tr>
      <w:tr w:rsidR="00AC7C66" w:rsidRPr="00F973FB" w:rsidTr="00E14382">
        <w:trPr>
          <w:trHeight w:val="290"/>
        </w:trPr>
        <w:tc>
          <w:tcPr>
            <w:tcW w:w="1560" w:type="dxa"/>
          </w:tcPr>
          <w:p w:rsidR="00AC7C66" w:rsidRPr="00F973FB" w:rsidRDefault="00AC7C66" w:rsidP="00406601">
            <w:pPr>
              <w:pStyle w:val="TableParagraph"/>
              <w:spacing w:line="20" w:lineRule="atLeast"/>
              <w:ind w:left="430" w:right="417"/>
              <w:jc w:val="center"/>
              <w:rPr>
                <w:sz w:val="24"/>
                <w:szCs w:val="24"/>
                <w:lang w:val="sr-Cyrl-CS"/>
              </w:rPr>
            </w:pPr>
            <w:r w:rsidRPr="00F973FB">
              <w:rPr>
                <w:sz w:val="24"/>
                <w:szCs w:val="24"/>
                <w:lang w:val="sr-Cyrl-CS"/>
              </w:rPr>
              <w:t>7500</w:t>
            </w:r>
          </w:p>
        </w:tc>
        <w:tc>
          <w:tcPr>
            <w:tcW w:w="7938" w:type="dxa"/>
          </w:tcPr>
          <w:p w:rsidR="00AC7C66" w:rsidRPr="00F973FB" w:rsidRDefault="00AC7C66" w:rsidP="00406601">
            <w:pPr>
              <w:pStyle w:val="TableParagraph"/>
              <w:spacing w:line="20" w:lineRule="atLeast"/>
              <w:rPr>
                <w:sz w:val="24"/>
                <w:szCs w:val="24"/>
                <w:lang w:val="sr-Cyrl-CS"/>
              </w:rPr>
            </w:pPr>
            <w:r w:rsidRPr="00F973FB">
              <w:rPr>
                <w:sz w:val="24"/>
                <w:szCs w:val="24"/>
                <w:lang w:val="sr-Cyrl-CS"/>
              </w:rPr>
              <w:t>Ветеринарска делатност</w:t>
            </w:r>
          </w:p>
        </w:tc>
      </w:tr>
      <w:tr w:rsidR="00AC7C66" w:rsidRPr="00F973FB" w:rsidTr="00E14382">
        <w:trPr>
          <w:trHeight w:val="290"/>
        </w:trPr>
        <w:tc>
          <w:tcPr>
            <w:tcW w:w="1560" w:type="dxa"/>
          </w:tcPr>
          <w:p w:rsidR="00AC7C66" w:rsidRPr="00F973FB" w:rsidRDefault="00AC7C66" w:rsidP="00406601">
            <w:pPr>
              <w:pStyle w:val="TableParagraph"/>
              <w:spacing w:line="20" w:lineRule="atLeast"/>
              <w:ind w:left="430" w:right="417"/>
              <w:jc w:val="center"/>
              <w:rPr>
                <w:sz w:val="24"/>
                <w:szCs w:val="24"/>
                <w:lang w:val="sr-Cyrl-CS"/>
              </w:rPr>
            </w:pPr>
            <w:r w:rsidRPr="00F973FB">
              <w:rPr>
                <w:sz w:val="24"/>
                <w:szCs w:val="24"/>
                <w:lang w:val="sr-Cyrl-CS"/>
              </w:rPr>
              <w:t>8621</w:t>
            </w:r>
          </w:p>
        </w:tc>
        <w:tc>
          <w:tcPr>
            <w:tcW w:w="7938" w:type="dxa"/>
          </w:tcPr>
          <w:p w:rsidR="00AC7C66" w:rsidRPr="00F973FB" w:rsidRDefault="00AC7C66" w:rsidP="00406601">
            <w:pPr>
              <w:pStyle w:val="TableParagraph"/>
              <w:spacing w:line="20" w:lineRule="atLeast"/>
              <w:rPr>
                <w:sz w:val="24"/>
                <w:szCs w:val="24"/>
                <w:lang w:val="sr-Cyrl-CS"/>
              </w:rPr>
            </w:pPr>
            <w:r w:rsidRPr="00F973FB">
              <w:rPr>
                <w:sz w:val="24"/>
                <w:szCs w:val="24"/>
                <w:lang w:val="sr-Cyrl-CS"/>
              </w:rPr>
              <w:t>Општа медицинска пракса</w:t>
            </w:r>
          </w:p>
        </w:tc>
      </w:tr>
      <w:tr w:rsidR="00AC7C66" w:rsidRPr="00F973FB" w:rsidTr="00E14382">
        <w:trPr>
          <w:trHeight w:val="290"/>
        </w:trPr>
        <w:tc>
          <w:tcPr>
            <w:tcW w:w="1560" w:type="dxa"/>
          </w:tcPr>
          <w:p w:rsidR="00AC7C66" w:rsidRPr="00F973FB" w:rsidRDefault="00AC7C66" w:rsidP="00406601">
            <w:pPr>
              <w:pStyle w:val="TableParagraph"/>
              <w:spacing w:line="20" w:lineRule="atLeast"/>
              <w:ind w:left="430" w:right="417"/>
              <w:jc w:val="center"/>
              <w:rPr>
                <w:sz w:val="24"/>
                <w:szCs w:val="24"/>
                <w:lang w:val="sr-Cyrl-CS"/>
              </w:rPr>
            </w:pPr>
            <w:r w:rsidRPr="00F973FB">
              <w:rPr>
                <w:sz w:val="24"/>
                <w:szCs w:val="24"/>
                <w:lang w:val="sr-Cyrl-CS"/>
              </w:rPr>
              <w:t>8622</w:t>
            </w:r>
          </w:p>
        </w:tc>
        <w:tc>
          <w:tcPr>
            <w:tcW w:w="7938" w:type="dxa"/>
          </w:tcPr>
          <w:p w:rsidR="00AC7C66" w:rsidRPr="00F973FB" w:rsidRDefault="00AC7C66" w:rsidP="00406601">
            <w:pPr>
              <w:pStyle w:val="TableParagraph"/>
              <w:spacing w:line="20" w:lineRule="atLeast"/>
              <w:rPr>
                <w:sz w:val="24"/>
                <w:szCs w:val="24"/>
                <w:lang w:val="sr-Cyrl-CS"/>
              </w:rPr>
            </w:pPr>
            <w:r w:rsidRPr="00F973FB">
              <w:rPr>
                <w:sz w:val="24"/>
                <w:szCs w:val="24"/>
                <w:lang w:val="sr-Cyrl-CS"/>
              </w:rPr>
              <w:t>Специјалистичка медицинска пракса</w:t>
            </w:r>
          </w:p>
        </w:tc>
      </w:tr>
      <w:tr w:rsidR="00AC7C66" w:rsidRPr="00F973FB" w:rsidTr="00E14382">
        <w:trPr>
          <w:trHeight w:val="290"/>
        </w:trPr>
        <w:tc>
          <w:tcPr>
            <w:tcW w:w="1560" w:type="dxa"/>
          </w:tcPr>
          <w:p w:rsidR="00AC7C66" w:rsidRPr="00F973FB" w:rsidRDefault="00AC7C66" w:rsidP="00406601">
            <w:pPr>
              <w:pStyle w:val="TableParagraph"/>
              <w:spacing w:line="20" w:lineRule="atLeast"/>
              <w:ind w:left="430" w:right="417"/>
              <w:jc w:val="center"/>
              <w:rPr>
                <w:sz w:val="24"/>
                <w:szCs w:val="24"/>
                <w:lang w:val="sr-Cyrl-CS"/>
              </w:rPr>
            </w:pPr>
            <w:r w:rsidRPr="00F973FB">
              <w:rPr>
                <w:sz w:val="24"/>
                <w:szCs w:val="24"/>
                <w:lang w:val="sr-Cyrl-CS"/>
              </w:rPr>
              <w:t>8623</w:t>
            </w:r>
          </w:p>
        </w:tc>
        <w:tc>
          <w:tcPr>
            <w:tcW w:w="7938" w:type="dxa"/>
          </w:tcPr>
          <w:p w:rsidR="00AC7C66" w:rsidRPr="00F973FB" w:rsidRDefault="00AC7C66" w:rsidP="00406601">
            <w:pPr>
              <w:pStyle w:val="TableParagraph"/>
              <w:spacing w:line="20" w:lineRule="atLeast"/>
              <w:rPr>
                <w:sz w:val="24"/>
                <w:szCs w:val="24"/>
                <w:lang w:val="sr-Cyrl-CS"/>
              </w:rPr>
            </w:pPr>
            <w:r w:rsidRPr="00F973FB">
              <w:rPr>
                <w:sz w:val="24"/>
                <w:szCs w:val="24"/>
                <w:lang w:val="sr-Cyrl-CS"/>
              </w:rPr>
              <w:t>Стоматолошка пракса</w:t>
            </w:r>
          </w:p>
        </w:tc>
      </w:tr>
      <w:tr w:rsidR="00AC7C66" w:rsidRPr="00F973FB" w:rsidTr="00E14382">
        <w:trPr>
          <w:trHeight w:val="290"/>
        </w:trPr>
        <w:tc>
          <w:tcPr>
            <w:tcW w:w="1560" w:type="dxa"/>
          </w:tcPr>
          <w:p w:rsidR="00AC7C66" w:rsidRPr="00F973FB" w:rsidRDefault="00AC7C66" w:rsidP="00406601">
            <w:pPr>
              <w:pStyle w:val="TableParagraph"/>
              <w:spacing w:line="20" w:lineRule="atLeast"/>
              <w:ind w:left="430" w:right="417"/>
              <w:jc w:val="center"/>
              <w:rPr>
                <w:sz w:val="24"/>
                <w:szCs w:val="24"/>
                <w:lang w:val="sr-Cyrl-CS"/>
              </w:rPr>
            </w:pPr>
            <w:r w:rsidRPr="00F973FB">
              <w:rPr>
                <w:sz w:val="24"/>
                <w:szCs w:val="24"/>
                <w:lang w:val="sr-Cyrl-CS"/>
              </w:rPr>
              <w:t>8690</w:t>
            </w:r>
          </w:p>
        </w:tc>
        <w:tc>
          <w:tcPr>
            <w:tcW w:w="7938" w:type="dxa"/>
          </w:tcPr>
          <w:p w:rsidR="00AC7C66" w:rsidRPr="00F973FB" w:rsidRDefault="00AC7C66" w:rsidP="00406601">
            <w:pPr>
              <w:pStyle w:val="TableParagraph"/>
              <w:spacing w:line="20" w:lineRule="atLeast"/>
              <w:rPr>
                <w:sz w:val="24"/>
                <w:szCs w:val="24"/>
                <w:lang w:val="sr-Cyrl-CS"/>
              </w:rPr>
            </w:pPr>
            <w:r w:rsidRPr="00F973FB">
              <w:rPr>
                <w:sz w:val="24"/>
                <w:szCs w:val="24"/>
                <w:lang w:val="sr-Cyrl-CS"/>
              </w:rPr>
              <w:t>Остала здравствена заштита</w:t>
            </w:r>
          </w:p>
        </w:tc>
      </w:tr>
    </w:tbl>
    <w:p w:rsidR="00AC7C66" w:rsidRPr="00F973FB" w:rsidRDefault="00AC7C66" w:rsidP="00406601">
      <w:pPr>
        <w:pStyle w:val="BodyText"/>
        <w:spacing w:line="20" w:lineRule="atLeast"/>
        <w:jc w:val="left"/>
        <w:rPr>
          <w:lang w:val="sr-Cyrl-CS"/>
        </w:rPr>
      </w:pPr>
    </w:p>
    <w:p w:rsidR="00AC7C66" w:rsidRPr="00F973FB" w:rsidRDefault="00EC58B1" w:rsidP="00EC58B1">
      <w:pPr>
        <w:pStyle w:val="BodyText"/>
        <w:spacing w:line="20" w:lineRule="atLeast"/>
        <w:ind w:right="121" w:firstLine="710"/>
        <w:rPr>
          <w:lang w:val="sr-Cyrl-CS"/>
        </w:rPr>
      </w:pPr>
      <w:r w:rsidRPr="00F973FB">
        <w:rPr>
          <w:lang w:val="sr-Cyrl-CS"/>
        </w:rPr>
        <w:t>(3</w:t>
      </w:r>
      <w:r w:rsidR="00AC7C66" w:rsidRPr="00F973FB">
        <w:rPr>
          <w:lang w:val="sr-Cyrl-CS"/>
        </w:rPr>
        <w:t>) за</w:t>
      </w:r>
      <w:r w:rsidRPr="00F973FB">
        <w:rPr>
          <w:lang w:val="sr-Cyrl-CS"/>
        </w:rPr>
        <w:t xml:space="preserve"> обвезнике</w:t>
      </w:r>
      <w:r w:rsidR="00AC7C66" w:rsidRPr="00F973FB">
        <w:rPr>
          <w:lang w:val="sr-Cyrl-CS"/>
        </w:rPr>
        <w:t xml:space="preserve"> кој</w:t>
      </w:r>
      <w:r w:rsidRPr="00F973FB">
        <w:rPr>
          <w:lang w:val="sr-Cyrl-CS"/>
        </w:rPr>
        <w:t>има</w:t>
      </w:r>
      <w:r w:rsidR="00AC7C66" w:rsidRPr="00F973FB">
        <w:rPr>
          <w:lang w:val="sr-Cyrl-CS"/>
        </w:rPr>
        <w:t xml:space="preserve"> је утврђена смањена радна способност који има</w:t>
      </w:r>
      <w:r w:rsidRPr="00F973FB">
        <w:rPr>
          <w:lang w:val="sr-Cyrl-CS"/>
        </w:rPr>
        <w:t>ју статус особа</w:t>
      </w:r>
      <w:r w:rsidR="00AC7C66" w:rsidRPr="00F973FB">
        <w:rPr>
          <w:lang w:val="sr-Cyrl-CS"/>
        </w:rPr>
        <w:t xml:space="preserve"> са инвалидитетом, п</w:t>
      </w:r>
      <w:r w:rsidRPr="00F973FB">
        <w:rPr>
          <w:lang w:val="sr-Cyrl-CS"/>
        </w:rPr>
        <w:t>римењује се коефицијент од 0,85 (с</w:t>
      </w:r>
      <w:r w:rsidR="00AC7C66" w:rsidRPr="00F973FB">
        <w:rPr>
          <w:lang w:val="sr-Cyrl-CS"/>
        </w:rPr>
        <w:t xml:space="preserve">татус особе са инвалидитетом доказује </w:t>
      </w:r>
      <w:r w:rsidR="005A3ADB" w:rsidRPr="00F973FB">
        <w:rPr>
          <w:lang w:val="sr-Cyrl-CS"/>
        </w:rPr>
        <w:t xml:space="preserve">се </w:t>
      </w:r>
      <w:r w:rsidR="00AC7C66" w:rsidRPr="00F973FB">
        <w:rPr>
          <w:lang w:val="sr-Cyrl-CS"/>
        </w:rPr>
        <w:t>решењем надлежне институције</w:t>
      </w:r>
      <w:r w:rsidRPr="00F973FB">
        <w:rPr>
          <w:lang w:val="sr-Cyrl-CS"/>
        </w:rPr>
        <w:t>)</w:t>
      </w:r>
      <w:r w:rsidR="00C53876" w:rsidRPr="00F973FB">
        <w:rPr>
          <w:lang w:val="sr-Cyrl-CS"/>
        </w:rPr>
        <w:t>;</w:t>
      </w:r>
    </w:p>
    <w:p w:rsidR="00AC7C66" w:rsidRPr="00F973FB" w:rsidRDefault="00EC58B1" w:rsidP="00406601">
      <w:pPr>
        <w:pStyle w:val="BodyText"/>
        <w:spacing w:line="20" w:lineRule="atLeast"/>
        <w:ind w:right="115" w:firstLine="710"/>
        <w:rPr>
          <w:lang w:val="sr-Cyrl-CS"/>
        </w:rPr>
      </w:pPr>
      <w:r w:rsidRPr="00F973FB">
        <w:rPr>
          <w:lang w:val="sr-Cyrl-CS"/>
        </w:rPr>
        <w:t>(4</w:t>
      </w:r>
      <w:r w:rsidR="00AC7C66" w:rsidRPr="00F973FB">
        <w:rPr>
          <w:lang w:val="sr-Cyrl-CS"/>
        </w:rPr>
        <w:t xml:space="preserve">) </w:t>
      </w:r>
      <w:r w:rsidRPr="00F973FB">
        <w:rPr>
          <w:lang w:val="sr-Cyrl-CS"/>
        </w:rPr>
        <w:t>з</w:t>
      </w:r>
      <w:r w:rsidR="00AC7C66" w:rsidRPr="00F973FB">
        <w:rPr>
          <w:lang w:val="sr-Cyrl-CS"/>
        </w:rPr>
        <w:t>а обвезнике који одсуств</w:t>
      </w:r>
      <w:r w:rsidRPr="00F973FB">
        <w:rPr>
          <w:lang w:val="sr-Cyrl-CS"/>
        </w:rPr>
        <w:t>ују</w:t>
      </w:r>
      <w:r w:rsidR="00AC7C66" w:rsidRPr="00F973FB">
        <w:rPr>
          <w:lang w:val="sr-Cyrl-CS"/>
        </w:rPr>
        <w:t xml:space="preserve"> дуже од 90 дана због трудничког боловања, породиљског одсуства, одсуства са рада ради неге детета и одсуства са рада ради посебне неге детета, примењује се коефицијент од 0,85 током </w:t>
      </w:r>
      <w:r w:rsidR="009C10E2" w:rsidRPr="00F973FB">
        <w:rPr>
          <w:lang w:val="sr-Cyrl-CS"/>
        </w:rPr>
        <w:t>трајања одсуства из наведених разлога</w:t>
      </w:r>
      <w:r w:rsidRPr="00F973FB">
        <w:rPr>
          <w:lang w:val="sr-Cyrl-CS"/>
        </w:rPr>
        <w:t>;</w:t>
      </w:r>
    </w:p>
    <w:p w:rsidR="00AC7C66" w:rsidRPr="00F973FB" w:rsidRDefault="009178D1" w:rsidP="00406601">
      <w:pPr>
        <w:widowControl w:val="0"/>
        <w:tabs>
          <w:tab w:val="left" w:pos="1130"/>
        </w:tabs>
        <w:autoSpaceDE w:val="0"/>
        <w:autoSpaceDN w:val="0"/>
        <w:spacing w:after="0" w:line="20" w:lineRule="atLeast"/>
        <w:ind w:right="113"/>
        <w:jc w:val="both"/>
        <w:rPr>
          <w:rFonts w:ascii="Times New Roman" w:hAnsi="Times New Roman" w:cs="Times New Roman"/>
          <w:sz w:val="24"/>
          <w:szCs w:val="24"/>
          <w:lang w:val="sr-Cyrl-CS"/>
        </w:rPr>
      </w:pPr>
      <w:r w:rsidRPr="00F973FB">
        <w:rPr>
          <w:rFonts w:ascii="Times New Roman" w:hAnsi="Times New Roman" w:cs="Times New Roman"/>
          <w:sz w:val="24"/>
          <w:szCs w:val="24"/>
          <w:lang w:val="sr-Cyrl-CS"/>
        </w:rPr>
        <w:t xml:space="preserve">            4) </w:t>
      </w:r>
      <w:r w:rsidR="00AC7C66" w:rsidRPr="00F973FB">
        <w:rPr>
          <w:rFonts w:ascii="Times New Roman" w:hAnsi="Times New Roman" w:cs="Times New Roman"/>
          <w:sz w:val="24"/>
          <w:szCs w:val="24"/>
          <w:lang w:val="sr-Cyrl-CS"/>
        </w:rPr>
        <w:t xml:space="preserve">остале околности које утичу на остваривање добити, и то тако што се за </w:t>
      </w:r>
      <w:r w:rsidR="00066D3C" w:rsidRPr="00F973FB">
        <w:rPr>
          <w:rFonts w:ascii="Times New Roman" w:hAnsi="Times New Roman" w:cs="Times New Roman"/>
          <w:sz w:val="24"/>
          <w:szCs w:val="24"/>
          <w:lang w:val="sr-Cyrl-CS"/>
        </w:rPr>
        <w:t>обвезнике</w:t>
      </w:r>
      <w:r w:rsidR="006B6FD0" w:rsidRPr="00F973FB">
        <w:rPr>
          <w:rFonts w:ascii="Times New Roman" w:hAnsi="Times New Roman" w:cs="Times New Roman"/>
          <w:sz w:val="24"/>
          <w:szCs w:val="24"/>
          <w:lang w:val="sr-Cyrl-CS"/>
        </w:rPr>
        <w:t xml:space="preserve"> </w:t>
      </w:r>
      <w:r w:rsidR="00AC7C66" w:rsidRPr="00F973FB">
        <w:rPr>
          <w:rFonts w:ascii="Times New Roman" w:hAnsi="Times New Roman" w:cs="Times New Roman"/>
          <w:sz w:val="24"/>
          <w:szCs w:val="24"/>
          <w:lang w:val="sr-Cyrl-CS"/>
        </w:rPr>
        <w:t>који обављају делатности које спадају у старе занате, у складу са прописима који регулишу сертификацију старих заната, уметничких заната и послова домаће радиности, примењује коефицијент у износу од</w:t>
      </w:r>
      <w:r w:rsidR="00AC7C66" w:rsidRPr="00F973FB">
        <w:rPr>
          <w:rFonts w:ascii="Times New Roman" w:hAnsi="Times New Roman" w:cs="Times New Roman"/>
          <w:spacing w:val="-7"/>
          <w:sz w:val="24"/>
          <w:szCs w:val="24"/>
          <w:lang w:val="sr-Cyrl-CS"/>
        </w:rPr>
        <w:t xml:space="preserve"> </w:t>
      </w:r>
      <w:r w:rsidR="00AC7C66" w:rsidRPr="00F973FB">
        <w:rPr>
          <w:rFonts w:ascii="Times New Roman" w:hAnsi="Times New Roman" w:cs="Times New Roman"/>
          <w:sz w:val="24"/>
          <w:szCs w:val="24"/>
          <w:lang w:val="sr-Cyrl-CS"/>
        </w:rPr>
        <w:t>0,5.</w:t>
      </w:r>
    </w:p>
    <w:p w:rsidR="00AC7C66" w:rsidRPr="00F973FB" w:rsidRDefault="00AC7C66" w:rsidP="00E14382">
      <w:pPr>
        <w:pStyle w:val="BodyText"/>
        <w:spacing w:line="20" w:lineRule="atLeast"/>
        <w:ind w:left="100" w:firstLine="620"/>
        <w:rPr>
          <w:lang w:val="sr-Cyrl-CS"/>
        </w:rPr>
      </w:pPr>
      <w:r w:rsidRPr="00F973FB">
        <w:rPr>
          <w:lang w:val="sr-Cyrl-CS"/>
        </w:rPr>
        <w:t>Кумулативни производ коефицијената из става 1. овог члана не може бити мањи од 0,5.</w:t>
      </w:r>
    </w:p>
    <w:p w:rsidR="00AC7C66" w:rsidRPr="00F973FB" w:rsidRDefault="00AC7C66" w:rsidP="00CE01FE">
      <w:pPr>
        <w:pStyle w:val="BodyText"/>
        <w:spacing w:line="20" w:lineRule="atLeast"/>
        <w:ind w:left="100" w:firstLine="620"/>
        <w:rPr>
          <w:lang w:val="sr-Cyrl-CS"/>
        </w:rPr>
      </w:pPr>
      <w:r w:rsidRPr="00F973FB">
        <w:rPr>
          <w:lang w:val="sr-Cyrl-CS"/>
        </w:rPr>
        <w:t>Коефицијенти из става 1. овог члана не примењују се на делатност 4932 (такси превоз).</w:t>
      </w:r>
    </w:p>
    <w:p w:rsidR="00AC7C66" w:rsidRPr="00F973FB" w:rsidRDefault="00AC7C66" w:rsidP="00406601">
      <w:pPr>
        <w:pStyle w:val="BodyText"/>
        <w:spacing w:line="20" w:lineRule="atLeast"/>
        <w:jc w:val="left"/>
        <w:rPr>
          <w:lang w:val="sr-Cyrl-CS"/>
        </w:rPr>
      </w:pPr>
    </w:p>
    <w:p w:rsidR="00AC7C66" w:rsidRPr="00F973FB" w:rsidRDefault="00AC7C66" w:rsidP="00B82E42">
      <w:pPr>
        <w:pStyle w:val="Heading1"/>
        <w:spacing w:line="20" w:lineRule="atLeast"/>
        <w:ind w:left="0" w:right="0"/>
        <w:jc w:val="center"/>
        <w:rPr>
          <w:b w:val="0"/>
          <w:lang w:val="sr-Cyrl-CS"/>
        </w:rPr>
      </w:pPr>
      <w:r w:rsidRPr="00F973FB">
        <w:rPr>
          <w:b w:val="0"/>
          <w:lang w:val="sr-Cyrl-CS"/>
        </w:rPr>
        <w:t>П</w:t>
      </w:r>
      <w:r w:rsidR="00B82E42" w:rsidRPr="00F973FB">
        <w:rPr>
          <w:b w:val="0"/>
          <w:lang w:val="sr-Cyrl-CS"/>
        </w:rPr>
        <w:t>релазне одредбе</w:t>
      </w:r>
    </w:p>
    <w:p w:rsidR="00AC7C66" w:rsidRPr="00F973FB" w:rsidRDefault="00AC7C66" w:rsidP="00406601">
      <w:pPr>
        <w:spacing w:after="0" w:line="20" w:lineRule="atLeast"/>
        <w:ind w:left="4104" w:right="4119"/>
        <w:jc w:val="center"/>
        <w:rPr>
          <w:rFonts w:ascii="Times New Roman" w:hAnsi="Times New Roman" w:cs="Times New Roman"/>
          <w:sz w:val="24"/>
          <w:szCs w:val="24"/>
          <w:lang w:val="sr-Cyrl-CS"/>
        </w:rPr>
      </w:pPr>
      <w:r w:rsidRPr="00F973FB">
        <w:rPr>
          <w:rFonts w:ascii="Times New Roman" w:hAnsi="Times New Roman" w:cs="Times New Roman"/>
          <w:sz w:val="24"/>
          <w:szCs w:val="24"/>
          <w:lang w:val="sr-Cyrl-CS"/>
        </w:rPr>
        <w:t>Члан 6.</w:t>
      </w:r>
    </w:p>
    <w:p w:rsidR="00EE03CB" w:rsidRPr="00F973FB" w:rsidRDefault="00AC7C66" w:rsidP="00406601">
      <w:pPr>
        <w:pStyle w:val="BodyText"/>
        <w:spacing w:line="20" w:lineRule="atLeast"/>
        <w:ind w:left="100" w:right="114" w:firstLine="620"/>
        <w:rPr>
          <w:lang w:val="sr-Cyrl-CS"/>
        </w:rPr>
      </w:pPr>
      <w:r w:rsidRPr="00F973FB">
        <w:rPr>
          <w:lang w:val="sr-Cyrl-CS"/>
        </w:rPr>
        <w:t xml:space="preserve">У случају да се као резултат промене начина утврђивања паушалног пореза </w:t>
      </w:r>
      <w:r w:rsidR="00C52539" w:rsidRPr="00F973FB">
        <w:rPr>
          <w:lang w:val="sr-Cyrl-CS"/>
        </w:rPr>
        <w:t>утврђени</w:t>
      </w:r>
      <w:r w:rsidR="008C2CED" w:rsidRPr="00F973FB">
        <w:rPr>
          <w:lang w:val="sr-Cyrl-CS"/>
        </w:rPr>
        <w:t xml:space="preserve"> </w:t>
      </w:r>
      <w:r w:rsidRPr="00F973FB">
        <w:rPr>
          <w:lang w:val="sr-Cyrl-CS"/>
        </w:rPr>
        <w:t>износ основице повећа за више од 10</w:t>
      </w:r>
      <w:r w:rsidR="008C2CED" w:rsidRPr="00F973FB">
        <w:rPr>
          <w:lang w:val="sr-Cyrl-CS"/>
        </w:rPr>
        <w:t xml:space="preserve">% </w:t>
      </w:r>
      <w:r w:rsidRPr="00F973FB">
        <w:rPr>
          <w:lang w:val="sr-Cyrl-CS"/>
        </w:rPr>
        <w:t>у односу на износ утврђен за претходну годину, примењиваће се повећање од 10</w:t>
      </w:r>
      <w:r w:rsidR="008C2CED" w:rsidRPr="00F973FB">
        <w:rPr>
          <w:lang w:val="sr-Cyrl-CS"/>
        </w:rPr>
        <w:t>%</w:t>
      </w:r>
      <w:r w:rsidRPr="00F973FB">
        <w:rPr>
          <w:lang w:val="sr-Cyrl-CS"/>
        </w:rPr>
        <w:t xml:space="preserve"> годишње док износ обавезе не достигне износ који је у складу са новим начином обрачуна, </w:t>
      </w:r>
      <w:r w:rsidR="009C10E2" w:rsidRPr="00F973FB">
        <w:rPr>
          <w:lang w:val="sr-Cyrl-CS"/>
        </w:rPr>
        <w:t>закључно за</w:t>
      </w:r>
      <w:r w:rsidRPr="00F973FB">
        <w:rPr>
          <w:lang w:val="sr-Cyrl-CS"/>
        </w:rPr>
        <w:t xml:space="preserve"> 2022.</w:t>
      </w:r>
      <w:r w:rsidRPr="00F973FB">
        <w:rPr>
          <w:spacing w:val="-1"/>
          <w:lang w:val="sr-Cyrl-CS"/>
        </w:rPr>
        <w:t xml:space="preserve"> </w:t>
      </w:r>
      <w:r w:rsidRPr="00F973FB">
        <w:rPr>
          <w:lang w:val="sr-Cyrl-CS"/>
        </w:rPr>
        <w:t>годин</w:t>
      </w:r>
      <w:r w:rsidR="009C10E2" w:rsidRPr="00F973FB">
        <w:rPr>
          <w:lang w:val="sr-Cyrl-CS"/>
        </w:rPr>
        <w:t>у</w:t>
      </w:r>
      <w:r w:rsidRPr="00F973FB">
        <w:rPr>
          <w:lang w:val="sr-Cyrl-CS"/>
        </w:rPr>
        <w:t>.</w:t>
      </w:r>
      <w:r w:rsidR="008C2CED" w:rsidRPr="00F973FB">
        <w:rPr>
          <w:lang w:val="sr-Cyrl-CS"/>
        </w:rPr>
        <w:t xml:space="preserve"> </w:t>
      </w:r>
    </w:p>
    <w:p w:rsidR="00AC7C66" w:rsidRPr="00F973FB" w:rsidRDefault="00AC7C66" w:rsidP="00406601">
      <w:pPr>
        <w:pStyle w:val="BodyText"/>
        <w:spacing w:line="20" w:lineRule="atLeast"/>
        <w:ind w:left="100" w:right="115" w:firstLine="620"/>
        <w:rPr>
          <w:lang w:val="sr-Cyrl-CS"/>
        </w:rPr>
      </w:pPr>
      <w:r w:rsidRPr="00F973FB">
        <w:rPr>
          <w:lang w:val="sr-Cyrl-CS"/>
        </w:rPr>
        <w:t>Изузетно од става 1. овог члана, повећања обавезе веће од 10</w:t>
      </w:r>
      <w:r w:rsidR="008C2CED" w:rsidRPr="00F973FB">
        <w:rPr>
          <w:lang w:val="sr-Cyrl-CS"/>
        </w:rPr>
        <w:t xml:space="preserve">% </w:t>
      </w:r>
      <w:r w:rsidRPr="00F973FB">
        <w:rPr>
          <w:lang w:val="sr-Cyrl-CS"/>
        </w:rPr>
        <w:t xml:space="preserve">ће се применити </w:t>
      </w:r>
      <w:r w:rsidR="009C10E2" w:rsidRPr="00F973FB">
        <w:rPr>
          <w:lang w:val="sr-Cyrl-CS"/>
        </w:rPr>
        <w:t xml:space="preserve">у случају када </w:t>
      </w:r>
      <w:r w:rsidRPr="00F973FB">
        <w:rPr>
          <w:lang w:val="sr-Cyrl-CS"/>
        </w:rPr>
        <w:t>је резултат промене шифре делатности, општине и</w:t>
      </w:r>
      <w:r w:rsidR="00EC58B1" w:rsidRPr="00F973FB">
        <w:rPr>
          <w:lang w:val="sr-Cyrl-CS"/>
        </w:rPr>
        <w:t>/или</w:t>
      </w:r>
      <w:r w:rsidRPr="00F973FB">
        <w:rPr>
          <w:lang w:val="sr-Cyrl-CS"/>
        </w:rPr>
        <w:t xml:space="preserve"> места на којем је </w:t>
      </w:r>
      <w:r w:rsidR="009C10E2" w:rsidRPr="00F973FB">
        <w:rPr>
          <w:lang w:val="sr-Cyrl-CS"/>
        </w:rPr>
        <w:t>обвезник</w:t>
      </w:r>
      <w:r w:rsidR="00B06BDC" w:rsidRPr="00F973FB">
        <w:rPr>
          <w:lang w:val="sr-Cyrl-CS"/>
        </w:rPr>
        <w:t xml:space="preserve"> </w:t>
      </w:r>
      <w:r w:rsidRPr="00F973FB">
        <w:rPr>
          <w:lang w:val="sr-Cyrl-CS"/>
        </w:rPr>
        <w:t>регистрован.</w:t>
      </w:r>
    </w:p>
    <w:p w:rsidR="00EE03CB" w:rsidRPr="00F973FB" w:rsidRDefault="00AC7C66" w:rsidP="00406601">
      <w:pPr>
        <w:pStyle w:val="BodyText"/>
        <w:spacing w:line="20" w:lineRule="atLeast"/>
        <w:ind w:left="100" w:right="112" w:firstLine="620"/>
        <w:rPr>
          <w:lang w:val="sr-Cyrl-CS"/>
        </w:rPr>
      </w:pPr>
      <w:r w:rsidRPr="00F973FB">
        <w:rPr>
          <w:lang w:val="sr-Cyrl-CS"/>
        </w:rPr>
        <w:t xml:space="preserve">За </w:t>
      </w:r>
      <w:r w:rsidR="009C10E2" w:rsidRPr="00F973FB">
        <w:rPr>
          <w:lang w:val="sr-Cyrl-CS"/>
        </w:rPr>
        <w:t>обвезника</w:t>
      </w:r>
      <w:r w:rsidR="00B06BDC" w:rsidRPr="00F973FB">
        <w:rPr>
          <w:lang w:val="sr-Cyrl-CS"/>
        </w:rPr>
        <w:t xml:space="preserve"> </w:t>
      </w:r>
      <w:r w:rsidRPr="00F973FB">
        <w:rPr>
          <w:lang w:val="sr-Cyrl-CS"/>
        </w:rPr>
        <w:t>код кога је на дан 1. јануара године за коју се утврђује пореска основица од прве регистрације прошло мање од 36 месеци и који је на дан 31. децембра године за коју се утврђује пореска основица млађи од 30 година, коефицијент делатности за 2020, 2021. и 2022. годину се утврђује у износу коефицијента делатности који је утврђен за 2023. и наредне године.</w:t>
      </w:r>
      <w:r w:rsidR="00B06BDC" w:rsidRPr="00F973FB">
        <w:rPr>
          <w:lang w:val="sr-Cyrl-CS"/>
        </w:rPr>
        <w:t xml:space="preserve"> </w:t>
      </w:r>
    </w:p>
    <w:p w:rsidR="00AC7C66" w:rsidRPr="00F973FB" w:rsidRDefault="00AC7C66" w:rsidP="00406601">
      <w:pPr>
        <w:pStyle w:val="BodyText"/>
        <w:spacing w:line="20" w:lineRule="atLeast"/>
        <w:ind w:left="100" w:right="119" w:firstLine="620"/>
        <w:rPr>
          <w:lang w:val="sr-Cyrl-CS"/>
        </w:rPr>
      </w:pPr>
      <w:r w:rsidRPr="00F973FB">
        <w:rPr>
          <w:lang w:val="sr-Cyrl-CS"/>
        </w:rPr>
        <w:t>Предузетнику паушалцу који након прекида обављања делатности</w:t>
      </w:r>
      <w:r w:rsidR="00C52539" w:rsidRPr="00F973FB">
        <w:rPr>
          <w:lang w:val="sr-Cyrl-CS"/>
        </w:rPr>
        <w:t>, а који прекид је започео најкасније 2017. године,</w:t>
      </w:r>
      <w:r w:rsidRPr="00F973FB">
        <w:rPr>
          <w:lang w:val="sr-Cyrl-CS"/>
        </w:rPr>
        <w:t xml:space="preserve"> подноси пријаву за наставак обављања делатности, основица се утврђује тако што се ограничење повећања основице из става 1. овог члана од 10</w:t>
      </w:r>
      <w:r w:rsidR="002F5D95" w:rsidRPr="00F973FB">
        <w:rPr>
          <w:lang w:val="sr-Cyrl-CS"/>
        </w:rPr>
        <w:t>%</w:t>
      </w:r>
      <w:r w:rsidR="00C52539" w:rsidRPr="00F973FB">
        <w:rPr>
          <w:lang w:val="sr-Cyrl-CS"/>
        </w:rPr>
        <w:t xml:space="preserve"> </w:t>
      </w:r>
      <w:r w:rsidRPr="00F973FB">
        <w:rPr>
          <w:lang w:val="sr-Cyrl-CS"/>
        </w:rPr>
        <w:t>примењује на последњи износ основице који је утврђен пре прекида обављања делатности.</w:t>
      </w:r>
    </w:p>
    <w:p w:rsidR="00B82E42" w:rsidRPr="00F973FB" w:rsidRDefault="00B82E42" w:rsidP="00406601">
      <w:pPr>
        <w:pStyle w:val="BodyText"/>
        <w:spacing w:line="20" w:lineRule="atLeast"/>
        <w:ind w:left="100" w:right="119" w:firstLine="620"/>
        <w:rPr>
          <w:lang w:val="sr-Cyrl-CS"/>
        </w:rPr>
      </w:pPr>
    </w:p>
    <w:p w:rsidR="00B82E42" w:rsidRPr="00F973FB" w:rsidRDefault="00B82E42" w:rsidP="00B82E42">
      <w:pPr>
        <w:pStyle w:val="BodyText"/>
        <w:spacing w:line="20" w:lineRule="atLeast"/>
        <w:ind w:right="119"/>
        <w:jc w:val="center"/>
        <w:rPr>
          <w:lang w:val="sr-Cyrl-CS"/>
        </w:rPr>
      </w:pPr>
      <w:r w:rsidRPr="00F973FB">
        <w:rPr>
          <w:lang w:val="sr-Cyrl-CS"/>
        </w:rPr>
        <w:t xml:space="preserve">Престанак важења </w:t>
      </w:r>
      <w:r w:rsidR="00DD36F9" w:rsidRPr="00F973FB">
        <w:rPr>
          <w:lang w:val="sr-Cyrl-CS"/>
        </w:rPr>
        <w:t>уредбе</w:t>
      </w:r>
    </w:p>
    <w:p w:rsidR="00AC7C66" w:rsidRPr="00F973FB" w:rsidRDefault="00AC7C66" w:rsidP="00406601">
      <w:pPr>
        <w:pStyle w:val="Heading1"/>
        <w:spacing w:line="20" w:lineRule="atLeast"/>
        <w:jc w:val="center"/>
        <w:rPr>
          <w:b w:val="0"/>
          <w:lang w:val="sr-Cyrl-CS"/>
        </w:rPr>
      </w:pPr>
      <w:r w:rsidRPr="00F973FB">
        <w:rPr>
          <w:b w:val="0"/>
          <w:lang w:val="sr-Cyrl-CS"/>
        </w:rPr>
        <w:t>Члан 7.</w:t>
      </w:r>
    </w:p>
    <w:p w:rsidR="00AC7C66" w:rsidRPr="00F973FB" w:rsidRDefault="00AC7C66" w:rsidP="00406601">
      <w:pPr>
        <w:pStyle w:val="BodyText"/>
        <w:spacing w:line="20" w:lineRule="atLeast"/>
        <w:ind w:left="100" w:right="114" w:firstLine="620"/>
        <w:rPr>
          <w:lang w:val="sr-Cyrl-CS"/>
        </w:rPr>
      </w:pPr>
      <w:r w:rsidRPr="00F973FB">
        <w:rPr>
          <w:lang w:val="sr-Cyrl-CS"/>
        </w:rPr>
        <w:t>Ступањем на снагу ове уредбе престаје да важи Уредба о ближим условима, критеријумима и елементима за паушално опорезивање обвезника пореза на приходе од самосталне делатно</w:t>
      </w:r>
      <w:r w:rsidR="009178D1" w:rsidRPr="00F973FB">
        <w:rPr>
          <w:lang w:val="sr-Cyrl-CS"/>
        </w:rPr>
        <w:t>сти („Службени гласник РС”, бр.</w:t>
      </w:r>
      <w:r w:rsidRPr="00F973FB">
        <w:rPr>
          <w:lang w:val="sr-Cyrl-CS"/>
        </w:rPr>
        <w:t xml:space="preserve"> 65/01, 45/02, 47/02, 91/02, 23/03, 16/04, 76/04, 31/05, 25/13, 119/13, 135/14, 80/17, 98/17, 86/18 и</w:t>
      </w:r>
      <w:r w:rsidRPr="00F973FB">
        <w:rPr>
          <w:spacing w:val="-3"/>
          <w:lang w:val="sr-Cyrl-CS"/>
        </w:rPr>
        <w:t xml:space="preserve"> </w:t>
      </w:r>
      <w:r w:rsidR="009178D1" w:rsidRPr="00F973FB">
        <w:rPr>
          <w:lang w:val="sr-Cyrl-CS"/>
        </w:rPr>
        <w:t>69/</w:t>
      </w:r>
      <w:r w:rsidRPr="00F973FB">
        <w:rPr>
          <w:lang w:val="sr-Cyrl-CS"/>
        </w:rPr>
        <w:t>19).</w:t>
      </w:r>
    </w:p>
    <w:p w:rsidR="00AC7C66" w:rsidRPr="00F973FB" w:rsidRDefault="00AC7C66" w:rsidP="00406601">
      <w:pPr>
        <w:pStyle w:val="BodyText"/>
        <w:spacing w:line="20" w:lineRule="atLeast"/>
        <w:jc w:val="left"/>
        <w:rPr>
          <w:lang w:val="sr-Cyrl-CS"/>
        </w:rPr>
      </w:pPr>
    </w:p>
    <w:p w:rsidR="00B82E42" w:rsidRPr="00F973FB" w:rsidRDefault="00C53876" w:rsidP="00B82E42">
      <w:pPr>
        <w:pStyle w:val="BodyText"/>
        <w:spacing w:line="20" w:lineRule="atLeast"/>
        <w:jc w:val="center"/>
        <w:rPr>
          <w:lang w:val="sr-Cyrl-CS"/>
        </w:rPr>
      </w:pPr>
      <w:r w:rsidRPr="00F973FB">
        <w:rPr>
          <w:lang w:val="sr-Cyrl-CS"/>
        </w:rPr>
        <w:t>Ступање на снагу</w:t>
      </w:r>
    </w:p>
    <w:p w:rsidR="00AC7C66" w:rsidRPr="00F973FB" w:rsidRDefault="00AC7C66" w:rsidP="00406601">
      <w:pPr>
        <w:pStyle w:val="Heading1"/>
        <w:spacing w:line="20" w:lineRule="atLeast"/>
        <w:jc w:val="center"/>
        <w:rPr>
          <w:b w:val="0"/>
          <w:lang w:val="sr-Cyrl-CS"/>
        </w:rPr>
      </w:pPr>
      <w:r w:rsidRPr="00F973FB">
        <w:rPr>
          <w:b w:val="0"/>
          <w:lang w:val="sr-Cyrl-CS"/>
        </w:rPr>
        <w:t>Члан 8.</w:t>
      </w:r>
    </w:p>
    <w:p w:rsidR="00CF4D2C" w:rsidRPr="00F973FB" w:rsidRDefault="00AC7C66" w:rsidP="00406601">
      <w:pPr>
        <w:pStyle w:val="BodyText"/>
        <w:spacing w:line="20" w:lineRule="atLeast"/>
        <w:ind w:left="100" w:right="122" w:firstLine="620"/>
        <w:rPr>
          <w:lang w:val="sr-Cyrl-CS"/>
        </w:rPr>
      </w:pPr>
      <w:r w:rsidRPr="00F973FB">
        <w:rPr>
          <w:lang w:val="sr-Cyrl-CS"/>
        </w:rPr>
        <w:t xml:space="preserve">Ова уредба ступа на </w:t>
      </w:r>
      <w:r w:rsidR="00CE01FE" w:rsidRPr="00F973FB">
        <w:rPr>
          <w:lang w:val="sr-Cyrl-CS"/>
        </w:rPr>
        <w:t>снагу 1. јануара 2020. године.</w:t>
      </w:r>
    </w:p>
    <w:p w:rsidR="00CF4D2C" w:rsidRPr="00F973FB" w:rsidRDefault="00CF4D2C" w:rsidP="00D65ED0">
      <w:pPr>
        <w:pStyle w:val="BodyText"/>
        <w:spacing w:line="20" w:lineRule="atLeast"/>
        <w:ind w:right="122"/>
        <w:rPr>
          <w:lang w:val="sr-Cyrl-CS"/>
        </w:rPr>
      </w:pPr>
    </w:p>
    <w:p w:rsidR="00B82E42" w:rsidRPr="00F973FB" w:rsidRDefault="00B82E42" w:rsidP="00D65ED0">
      <w:pPr>
        <w:pStyle w:val="BodyText"/>
        <w:spacing w:line="20" w:lineRule="atLeast"/>
        <w:ind w:right="122"/>
        <w:rPr>
          <w:lang w:val="sr-Cyrl-CS"/>
        </w:rPr>
      </w:pPr>
    </w:p>
    <w:p w:rsidR="00D65ED0" w:rsidRPr="00F973FB" w:rsidRDefault="00D65ED0" w:rsidP="00D65ED0">
      <w:pPr>
        <w:pStyle w:val="BodyText"/>
        <w:spacing w:line="20" w:lineRule="atLeast"/>
        <w:ind w:right="122"/>
        <w:rPr>
          <w:lang w:val="sr-Cyrl-CS"/>
        </w:rPr>
      </w:pPr>
      <w:r w:rsidRPr="00F973FB">
        <w:rPr>
          <w:lang w:val="sr-Cyrl-CS"/>
        </w:rPr>
        <w:t>05 Број:</w:t>
      </w:r>
    </w:p>
    <w:p w:rsidR="00D65ED0" w:rsidRPr="00F973FB" w:rsidRDefault="00D65ED0" w:rsidP="00D65ED0">
      <w:pPr>
        <w:pStyle w:val="BodyText"/>
        <w:spacing w:line="20" w:lineRule="atLeast"/>
        <w:ind w:right="122"/>
        <w:rPr>
          <w:lang w:val="sr-Cyrl-CS"/>
        </w:rPr>
      </w:pPr>
      <w:r w:rsidRPr="00F973FB">
        <w:rPr>
          <w:lang w:val="sr-Cyrl-CS"/>
        </w:rPr>
        <w:t>У Београду,   децембра 2019. године</w:t>
      </w:r>
    </w:p>
    <w:p w:rsidR="00D65ED0" w:rsidRPr="00F973FB" w:rsidRDefault="00D65ED0" w:rsidP="00D65ED0">
      <w:pPr>
        <w:pStyle w:val="BodyText"/>
        <w:spacing w:line="20" w:lineRule="atLeast"/>
        <w:ind w:right="122"/>
        <w:rPr>
          <w:lang w:val="sr-Cyrl-CS"/>
        </w:rPr>
      </w:pPr>
    </w:p>
    <w:p w:rsidR="00D65ED0" w:rsidRPr="00F973FB" w:rsidRDefault="00D65ED0" w:rsidP="00D65ED0">
      <w:pPr>
        <w:pStyle w:val="BodyText"/>
        <w:spacing w:line="20" w:lineRule="atLeast"/>
        <w:ind w:right="122"/>
        <w:jc w:val="center"/>
        <w:rPr>
          <w:lang w:val="sr-Cyrl-CS"/>
        </w:rPr>
      </w:pPr>
      <w:r w:rsidRPr="00F973FB">
        <w:rPr>
          <w:lang w:val="sr-Cyrl-CS"/>
        </w:rPr>
        <w:t>В Л А Д А</w:t>
      </w:r>
    </w:p>
    <w:p w:rsidR="00D65ED0" w:rsidRPr="00F973FB" w:rsidRDefault="00D65ED0" w:rsidP="00D65ED0">
      <w:pPr>
        <w:spacing w:after="0" w:line="20" w:lineRule="atLeast"/>
        <w:jc w:val="center"/>
        <w:rPr>
          <w:rFonts w:ascii="Times New Roman" w:hAnsi="Times New Roman" w:cs="Times New Roman"/>
          <w:sz w:val="24"/>
          <w:szCs w:val="24"/>
          <w:lang w:val="sr-Cyrl-CS"/>
        </w:rPr>
      </w:pPr>
      <w:r w:rsidRPr="00F973FB">
        <w:rPr>
          <w:rFonts w:ascii="Times New Roman" w:hAnsi="Times New Roman" w:cs="Times New Roman"/>
          <w:sz w:val="24"/>
          <w:szCs w:val="24"/>
          <w:lang w:val="sr-Cyrl-CS"/>
        </w:rPr>
        <w:t xml:space="preserve">                            </w:t>
      </w:r>
    </w:p>
    <w:p w:rsidR="00D65ED0" w:rsidRPr="00F973FB" w:rsidRDefault="00D65ED0" w:rsidP="00D65ED0">
      <w:pPr>
        <w:spacing w:after="0" w:line="20" w:lineRule="atLeast"/>
        <w:jc w:val="center"/>
        <w:rPr>
          <w:rFonts w:ascii="Times New Roman" w:hAnsi="Times New Roman" w:cs="Times New Roman"/>
          <w:sz w:val="24"/>
          <w:szCs w:val="24"/>
          <w:lang w:val="sr-Cyrl-CS"/>
        </w:rPr>
      </w:pPr>
      <w:r w:rsidRPr="00F973FB">
        <w:rPr>
          <w:rFonts w:ascii="Times New Roman" w:hAnsi="Times New Roman" w:cs="Times New Roman"/>
          <w:sz w:val="24"/>
          <w:szCs w:val="24"/>
          <w:lang w:val="sr-Cyrl-CS"/>
        </w:rPr>
        <w:t xml:space="preserve">                                                                                                          ПРЕДСЕДНИК</w:t>
      </w:r>
    </w:p>
    <w:p w:rsidR="00D65ED0" w:rsidRPr="00F973FB" w:rsidRDefault="00D65ED0" w:rsidP="00D65ED0">
      <w:pPr>
        <w:spacing w:after="0" w:line="20" w:lineRule="atLeast"/>
        <w:jc w:val="right"/>
        <w:rPr>
          <w:rFonts w:ascii="Times New Roman" w:hAnsi="Times New Roman" w:cs="Times New Roman"/>
          <w:sz w:val="24"/>
          <w:szCs w:val="24"/>
          <w:lang w:val="sr-Cyrl-CS"/>
        </w:rPr>
      </w:pPr>
    </w:p>
    <w:p w:rsidR="00D65ED0" w:rsidRPr="00F973FB" w:rsidRDefault="00D65ED0" w:rsidP="00D65ED0">
      <w:pPr>
        <w:spacing w:after="0" w:line="20" w:lineRule="atLeast"/>
        <w:jc w:val="center"/>
        <w:rPr>
          <w:rFonts w:ascii="Times New Roman" w:hAnsi="Times New Roman" w:cs="Times New Roman"/>
          <w:sz w:val="24"/>
          <w:szCs w:val="24"/>
          <w:lang w:val="sr-Cyrl-CS"/>
        </w:rPr>
      </w:pPr>
      <w:r w:rsidRPr="00F973FB">
        <w:rPr>
          <w:rFonts w:ascii="Times New Roman" w:hAnsi="Times New Roman" w:cs="Times New Roman"/>
          <w:sz w:val="24"/>
          <w:szCs w:val="24"/>
          <w:lang w:val="sr-Cyrl-CS"/>
        </w:rPr>
        <w:t xml:space="preserve">                                                                                                          Ана Брнабић</w:t>
      </w:r>
    </w:p>
    <w:sectPr w:rsidR="00D65ED0" w:rsidRPr="00F973FB" w:rsidSect="004B7E93">
      <w:headerReference w:type="default" r:id="rId8"/>
      <w:pgSz w:w="11907" w:h="16839" w:code="9"/>
      <w:pgMar w:top="1135" w:right="1134" w:bottom="1135" w:left="1134"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4370" w:rsidRDefault="00FA4370" w:rsidP="00994BC2">
      <w:pPr>
        <w:spacing w:after="0" w:line="240" w:lineRule="auto"/>
      </w:pPr>
      <w:r>
        <w:separator/>
      </w:r>
    </w:p>
  </w:endnote>
  <w:endnote w:type="continuationSeparator" w:id="0">
    <w:p w:rsidR="00FA4370" w:rsidRDefault="00FA4370" w:rsidP="00994B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4370" w:rsidRDefault="00FA4370" w:rsidP="00994BC2">
      <w:pPr>
        <w:spacing w:after="0" w:line="240" w:lineRule="auto"/>
      </w:pPr>
      <w:r>
        <w:separator/>
      </w:r>
    </w:p>
  </w:footnote>
  <w:footnote w:type="continuationSeparator" w:id="0">
    <w:p w:rsidR="00FA4370" w:rsidRDefault="00FA4370" w:rsidP="00994B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7021715"/>
      <w:docPartObj>
        <w:docPartGallery w:val="Page Numbers (Top of Page)"/>
        <w:docPartUnique/>
      </w:docPartObj>
    </w:sdtPr>
    <w:sdtEndPr>
      <w:rPr>
        <w:rFonts w:ascii="Times New Roman" w:hAnsi="Times New Roman" w:cs="Times New Roman"/>
        <w:noProof/>
      </w:rPr>
    </w:sdtEndPr>
    <w:sdtContent>
      <w:p w:rsidR="00994BC2" w:rsidRPr="004B7E93" w:rsidRDefault="00994BC2">
        <w:pPr>
          <w:pStyle w:val="Header"/>
          <w:jc w:val="center"/>
          <w:rPr>
            <w:rFonts w:ascii="Times New Roman" w:hAnsi="Times New Roman" w:cs="Times New Roman"/>
          </w:rPr>
        </w:pPr>
        <w:r w:rsidRPr="004B7E93">
          <w:rPr>
            <w:rFonts w:ascii="Times New Roman" w:hAnsi="Times New Roman" w:cs="Times New Roman"/>
          </w:rPr>
          <w:fldChar w:fldCharType="begin"/>
        </w:r>
        <w:r w:rsidRPr="004B7E93">
          <w:rPr>
            <w:rFonts w:ascii="Times New Roman" w:hAnsi="Times New Roman" w:cs="Times New Roman"/>
          </w:rPr>
          <w:instrText xml:space="preserve"> PAGE   \* MERGEFORMAT </w:instrText>
        </w:r>
        <w:r w:rsidRPr="004B7E93">
          <w:rPr>
            <w:rFonts w:ascii="Times New Roman" w:hAnsi="Times New Roman" w:cs="Times New Roman"/>
          </w:rPr>
          <w:fldChar w:fldCharType="separate"/>
        </w:r>
        <w:r w:rsidR="006C7CAA">
          <w:rPr>
            <w:rFonts w:ascii="Times New Roman" w:hAnsi="Times New Roman" w:cs="Times New Roman"/>
            <w:noProof/>
          </w:rPr>
          <w:t>5</w:t>
        </w:r>
        <w:r w:rsidRPr="004B7E93">
          <w:rPr>
            <w:rFonts w:ascii="Times New Roman" w:hAnsi="Times New Roman" w:cs="Times New Roman"/>
            <w:noProof/>
          </w:rPr>
          <w:fldChar w:fldCharType="end"/>
        </w:r>
      </w:p>
    </w:sdtContent>
  </w:sdt>
  <w:p w:rsidR="00994BC2" w:rsidRDefault="00994B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D301E"/>
    <w:multiLevelType w:val="hybridMultilevel"/>
    <w:tmpl w:val="4086CEA0"/>
    <w:lvl w:ilvl="0" w:tplc="6264FC14">
      <w:numFmt w:val="bullet"/>
      <w:lvlText w:val="о"/>
      <w:lvlJc w:val="left"/>
      <w:pPr>
        <w:ind w:left="414" w:hanging="180"/>
      </w:pPr>
      <w:rPr>
        <w:rFonts w:ascii="Times New Roman" w:eastAsia="Times New Roman" w:hAnsi="Times New Roman" w:cs="Times New Roman" w:hint="default"/>
        <w:b/>
        <w:bCs/>
        <w:spacing w:val="-2"/>
        <w:w w:val="100"/>
        <w:sz w:val="24"/>
        <w:szCs w:val="24"/>
        <w:lang w:val="en-US" w:eastAsia="en-US" w:bidi="en-US"/>
      </w:rPr>
    </w:lvl>
    <w:lvl w:ilvl="1" w:tplc="45A2E77A">
      <w:start w:val="1"/>
      <w:numFmt w:val="upperRoman"/>
      <w:lvlText w:val="%2."/>
      <w:lvlJc w:val="left"/>
      <w:pPr>
        <w:ind w:left="4210" w:hanging="214"/>
        <w:jc w:val="right"/>
      </w:pPr>
      <w:rPr>
        <w:rFonts w:ascii="Times New Roman" w:eastAsia="Times New Roman" w:hAnsi="Times New Roman" w:cs="Times New Roman" w:hint="default"/>
        <w:b/>
        <w:bCs/>
        <w:spacing w:val="-1"/>
        <w:w w:val="100"/>
        <w:sz w:val="24"/>
        <w:szCs w:val="24"/>
        <w:lang w:val="en-US" w:eastAsia="en-US" w:bidi="en-US"/>
      </w:rPr>
    </w:lvl>
    <w:lvl w:ilvl="2" w:tplc="B60470B2">
      <w:start w:val="1"/>
      <w:numFmt w:val="decimal"/>
      <w:lvlText w:val="%3)"/>
      <w:lvlJc w:val="left"/>
      <w:pPr>
        <w:ind w:left="1540" w:hanging="343"/>
        <w:jc w:val="right"/>
      </w:pPr>
      <w:rPr>
        <w:rFonts w:ascii="Times New Roman" w:eastAsia="Times New Roman" w:hAnsi="Times New Roman" w:cs="Times New Roman" w:hint="default"/>
        <w:spacing w:val="-4"/>
        <w:w w:val="100"/>
        <w:sz w:val="24"/>
        <w:szCs w:val="24"/>
        <w:lang w:val="en-US" w:eastAsia="en-US" w:bidi="en-US"/>
      </w:rPr>
    </w:lvl>
    <w:lvl w:ilvl="3" w:tplc="C31CAFE2">
      <w:numFmt w:val="bullet"/>
      <w:lvlText w:val="•"/>
      <w:lvlJc w:val="left"/>
      <w:pPr>
        <w:ind w:left="4848" w:hanging="343"/>
      </w:pPr>
      <w:rPr>
        <w:rFonts w:hint="default"/>
        <w:lang w:val="en-US" w:eastAsia="en-US" w:bidi="en-US"/>
      </w:rPr>
    </w:lvl>
    <w:lvl w:ilvl="4" w:tplc="E06631FC">
      <w:numFmt w:val="bullet"/>
      <w:lvlText w:val="•"/>
      <w:lvlJc w:val="left"/>
      <w:pPr>
        <w:ind w:left="5476" w:hanging="343"/>
      </w:pPr>
      <w:rPr>
        <w:rFonts w:hint="default"/>
        <w:lang w:val="en-US" w:eastAsia="en-US" w:bidi="en-US"/>
      </w:rPr>
    </w:lvl>
    <w:lvl w:ilvl="5" w:tplc="F5A8DB4A">
      <w:numFmt w:val="bullet"/>
      <w:lvlText w:val="•"/>
      <w:lvlJc w:val="left"/>
      <w:pPr>
        <w:ind w:left="6104" w:hanging="343"/>
      </w:pPr>
      <w:rPr>
        <w:rFonts w:hint="default"/>
        <w:lang w:val="en-US" w:eastAsia="en-US" w:bidi="en-US"/>
      </w:rPr>
    </w:lvl>
    <w:lvl w:ilvl="6" w:tplc="31CA8FA4">
      <w:numFmt w:val="bullet"/>
      <w:lvlText w:val="•"/>
      <w:lvlJc w:val="left"/>
      <w:pPr>
        <w:ind w:left="6733" w:hanging="343"/>
      </w:pPr>
      <w:rPr>
        <w:rFonts w:hint="default"/>
        <w:lang w:val="en-US" w:eastAsia="en-US" w:bidi="en-US"/>
      </w:rPr>
    </w:lvl>
    <w:lvl w:ilvl="7" w:tplc="28883828">
      <w:numFmt w:val="bullet"/>
      <w:lvlText w:val="•"/>
      <w:lvlJc w:val="left"/>
      <w:pPr>
        <w:ind w:left="7361" w:hanging="343"/>
      </w:pPr>
      <w:rPr>
        <w:rFonts w:hint="default"/>
        <w:lang w:val="en-US" w:eastAsia="en-US" w:bidi="en-US"/>
      </w:rPr>
    </w:lvl>
    <w:lvl w:ilvl="8" w:tplc="CB62EC80">
      <w:numFmt w:val="bullet"/>
      <w:lvlText w:val="•"/>
      <w:lvlJc w:val="left"/>
      <w:pPr>
        <w:ind w:left="7989" w:hanging="343"/>
      </w:pPr>
      <w:rPr>
        <w:rFonts w:hint="default"/>
        <w:lang w:val="en-US" w:eastAsia="en-US" w:bidi="en-US"/>
      </w:rPr>
    </w:lvl>
  </w:abstractNum>
  <w:abstractNum w:abstractNumId="1" w15:restartNumberingAfterBreak="0">
    <w:nsid w:val="244D4DBC"/>
    <w:multiLevelType w:val="hybridMultilevel"/>
    <w:tmpl w:val="5B02AF9A"/>
    <w:lvl w:ilvl="0" w:tplc="6DA608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9F81BE9"/>
    <w:multiLevelType w:val="hybridMultilevel"/>
    <w:tmpl w:val="BDE46202"/>
    <w:lvl w:ilvl="0" w:tplc="55F62AA8">
      <w:numFmt w:val="bullet"/>
      <w:lvlText w:val="–"/>
      <w:lvlJc w:val="left"/>
      <w:pPr>
        <w:ind w:left="2261" w:hanging="188"/>
      </w:pPr>
      <w:rPr>
        <w:rFonts w:ascii="Times New Roman" w:eastAsia="Times New Roman" w:hAnsi="Times New Roman" w:cs="Times New Roman" w:hint="default"/>
        <w:w w:val="100"/>
        <w:sz w:val="24"/>
        <w:szCs w:val="24"/>
        <w:lang w:val="en-US" w:eastAsia="en-US" w:bidi="en-US"/>
      </w:rPr>
    </w:lvl>
    <w:lvl w:ilvl="1" w:tplc="F6D60760">
      <w:numFmt w:val="bullet"/>
      <w:lvlText w:val="•"/>
      <w:lvlJc w:val="left"/>
      <w:pPr>
        <w:ind w:left="2958" w:hanging="188"/>
      </w:pPr>
      <w:rPr>
        <w:rFonts w:hint="default"/>
        <w:lang w:val="en-US" w:eastAsia="en-US" w:bidi="en-US"/>
      </w:rPr>
    </w:lvl>
    <w:lvl w:ilvl="2" w:tplc="50D6A6BC">
      <w:numFmt w:val="bullet"/>
      <w:lvlText w:val="•"/>
      <w:lvlJc w:val="left"/>
      <w:pPr>
        <w:ind w:left="3657" w:hanging="188"/>
      </w:pPr>
      <w:rPr>
        <w:rFonts w:hint="default"/>
        <w:lang w:val="en-US" w:eastAsia="en-US" w:bidi="en-US"/>
      </w:rPr>
    </w:lvl>
    <w:lvl w:ilvl="3" w:tplc="1D909ADE">
      <w:numFmt w:val="bullet"/>
      <w:lvlText w:val="•"/>
      <w:lvlJc w:val="left"/>
      <w:pPr>
        <w:ind w:left="4355" w:hanging="188"/>
      </w:pPr>
      <w:rPr>
        <w:rFonts w:hint="default"/>
        <w:lang w:val="en-US" w:eastAsia="en-US" w:bidi="en-US"/>
      </w:rPr>
    </w:lvl>
    <w:lvl w:ilvl="4" w:tplc="A05EC270">
      <w:numFmt w:val="bullet"/>
      <w:lvlText w:val="•"/>
      <w:lvlJc w:val="left"/>
      <w:pPr>
        <w:ind w:left="5054" w:hanging="188"/>
      </w:pPr>
      <w:rPr>
        <w:rFonts w:hint="default"/>
        <w:lang w:val="en-US" w:eastAsia="en-US" w:bidi="en-US"/>
      </w:rPr>
    </w:lvl>
    <w:lvl w:ilvl="5" w:tplc="B4140A6C">
      <w:numFmt w:val="bullet"/>
      <w:lvlText w:val="•"/>
      <w:lvlJc w:val="left"/>
      <w:pPr>
        <w:ind w:left="5753" w:hanging="188"/>
      </w:pPr>
      <w:rPr>
        <w:rFonts w:hint="default"/>
        <w:lang w:val="en-US" w:eastAsia="en-US" w:bidi="en-US"/>
      </w:rPr>
    </w:lvl>
    <w:lvl w:ilvl="6" w:tplc="535ECB68">
      <w:numFmt w:val="bullet"/>
      <w:lvlText w:val="•"/>
      <w:lvlJc w:val="left"/>
      <w:pPr>
        <w:ind w:left="6451" w:hanging="188"/>
      </w:pPr>
      <w:rPr>
        <w:rFonts w:hint="default"/>
        <w:lang w:val="en-US" w:eastAsia="en-US" w:bidi="en-US"/>
      </w:rPr>
    </w:lvl>
    <w:lvl w:ilvl="7" w:tplc="FD6E239A">
      <w:numFmt w:val="bullet"/>
      <w:lvlText w:val="•"/>
      <w:lvlJc w:val="left"/>
      <w:pPr>
        <w:ind w:left="7150" w:hanging="188"/>
      </w:pPr>
      <w:rPr>
        <w:rFonts w:hint="default"/>
        <w:lang w:val="en-US" w:eastAsia="en-US" w:bidi="en-US"/>
      </w:rPr>
    </w:lvl>
    <w:lvl w:ilvl="8" w:tplc="4D9AA67A">
      <w:numFmt w:val="bullet"/>
      <w:lvlText w:val="•"/>
      <w:lvlJc w:val="left"/>
      <w:pPr>
        <w:ind w:left="7849" w:hanging="188"/>
      </w:pPr>
      <w:rPr>
        <w:rFonts w:hint="default"/>
        <w:lang w:val="en-US" w:eastAsia="en-US" w:bidi="en-U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FFA"/>
    <w:rsid w:val="000363D4"/>
    <w:rsid w:val="00060B7F"/>
    <w:rsid w:val="00066D3C"/>
    <w:rsid w:val="0008297F"/>
    <w:rsid w:val="000D2B17"/>
    <w:rsid w:val="000F3F6E"/>
    <w:rsid w:val="000F4ADE"/>
    <w:rsid w:val="00116F9D"/>
    <w:rsid w:val="001177BC"/>
    <w:rsid w:val="00120DEB"/>
    <w:rsid w:val="00127D8A"/>
    <w:rsid w:val="001429D3"/>
    <w:rsid w:val="00153A78"/>
    <w:rsid w:val="001540E0"/>
    <w:rsid w:val="00172885"/>
    <w:rsid w:val="00186D84"/>
    <w:rsid w:val="001873E0"/>
    <w:rsid w:val="001A4B4C"/>
    <w:rsid w:val="001A6E53"/>
    <w:rsid w:val="001C2E6A"/>
    <w:rsid w:val="00200ADA"/>
    <w:rsid w:val="002155DF"/>
    <w:rsid w:val="002259D7"/>
    <w:rsid w:val="0024559D"/>
    <w:rsid w:val="0025794C"/>
    <w:rsid w:val="00265178"/>
    <w:rsid w:val="00276D42"/>
    <w:rsid w:val="00277492"/>
    <w:rsid w:val="0028192B"/>
    <w:rsid w:val="00290E16"/>
    <w:rsid w:val="002B4B83"/>
    <w:rsid w:val="002D2085"/>
    <w:rsid w:val="002F5D95"/>
    <w:rsid w:val="00310A60"/>
    <w:rsid w:val="003439C7"/>
    <w:rsid w:val="00370A48"/>
    <w:rsid w:val="00373113"/>
    <w:rsid w:val="00375E5A"/>
    <w:rsid w:val="003C6C5E"/>
    <w:rsid w:val="00406601"/>
    <w:rsid w:val="004132ED"/>
    <w:rsid w:val="0041463E"/>
    <w:rsid w:val="004605AD"/>
    <w:rsid w:val="00462197"/>
    <w:rsid w:val="00464647"/>
    <w:rsid w:val="0048166C"/>
    <w:rsid w:val="004A1417"/>
    <w:rsid w:val="004B6F99"/>
    <w:rsid w:val="004B7E93"/>
    <w:rsid w:val="004C5E64"/>
    <w:rsid w:val="004D05E0"/>
    <w:rsid w:val="0050572E"/>
    <w:rsid w:val="005129FB"/>
    <w:rsid w:val="005331EC"/>
    <w:rsid w:val="00561F52"/>
    <w:rsid w:val="0056399C"/>
    <w:rsid w:val="00565B88"/>
    <w:rsid w:val="00575ED3"/>
    <w:rsid w:val="005961EC"/>
    <w:rsid w:val="005A3ADB"/>
    <w:rsid w:val="005B5BB6"/>
    <w:rsid w:val="005D019A"/>
    <w:rsid w:val="005D33C6"/>
    <w:rsid w:val="005D7B6E"/>
    <w:rsid w:val="005F5BD1"/>
    <w:rsid w:val="00626F78"/>
    <w:rsid w:val="00641FC0"/>
    <w:rsid w:val="00657201"/>
    <w:rsid w:val="006646AA"/>
    <w:rsid w:val="00664F64"/>
    <w:rsid w:val="00667336"/>
    <w:rsid w:val="006708DC"/>
    <w:rsid w:val="006A5AAF"/>
    <w:rsid w:val="006B0B7D"/>
    <w:rsid w:val="006B6FD0"/>
    <w:rsid w:val="006C7CAA"/>
    <w:rsid w:val="006F0DB0"/>
    <w:rsid w:val="00707FD2"/>
    <w:rsid w:val="007111C5"/>
    <w:rsid w:val="007154D2"/>
    <w:rsid w:val="0072126D"/>
    <w:rsid w:val="00735023"/>
    <w:rsid w:val="007417EA"/>
    <w:rsid w:val="00790D93"/>
    <w:rsid w:val="00791D86"/>
    <w:rsid w:val="007B3661"/>
    <w:rsid w:val="007B6DEB"/>
    <w:rsid w:val="007B725A"/>
    <w:rsid w:val="007E6BFA"/>
    <w:rsid w:val="007F0BD1"/>
    <w:rsid w:val="00803D21"/>
    <w:rsid w:val="00812E8C"/>
    <w:rsid w:val="0081743A"/>
    <w:rsid w:val="0082253F"/>
    <w:rsid w:val="008316AB"/>
    <w:rsid w:val="00833EB8"/>
    <w:rsid w:val="00855712"/>
    <w:rsid w:val="008607B2"/>
    <w:rsid w:val="008657ED"/>
    <w:rsid w:val="008C2CED"/>
    <w:rsid w:val="008C43EC"/>
    <w:rsid w:val="009178D1"/>
    <w:rsid w:val="009249AB"/>
    <w:rsid w:val="00931220"/>
    <w:rsid w:val="00937CDC"/>
    <w:rsid w:val="00956849"/>
    <w:rsid w:val="00971694"/>
    <w:rsid w:val="00984AA5"/>
    <w:rsid w:val="00992AD8"/>
    <w:rsid w:val="00994BC2"/>
    <w:rsid w:val="009A3A9F"/>
    <w:rsid w:val="009B656F"/>
    <w:rsid w:val="009C10E2"/>
    <w:rsid w:val="009D1A40"/>
    <w:rsid w:val="009F464A"/>
    <w:rsid w:val="00A153A3"/>
    <w:rsid w:val="00A57024"/>
    <w:rsid w:val="00A6542E"/>
    <w:rsid w:val="00A734F0"/>
    <w:rsid w:val="00A84D09"/>
    <w:rsid w:val="00A85695"/>
    <w:rsid w:val="00A977AF"/>
    <w:rsid w:val="00A9785C"/>
    <w:rsid w:val="00AC025F"/>
    <w:rsid w:val="00AC7C66"/>
    <w:rsid w:val="00AD2DD0"/>
    <w:rsid w:val="00B06BDC"/>
    <w:rsid w:val="00B07C2A"/>
    <w:rsid w:val="00B21206"/>
    <w:rsid w:val="00B258D0"/>
    <w:rsid w:val="00B31FE4"/>
    <w:rsid w:val="00B418E0"/>
    <w:rsid w:val="00B51FF8"/>
    <w:rsid w:val="00B5362B"/>
    <w:rsid w:val="00B76AF4"/>
    <w:rsid w:val="00B82E42"/>
    <w:rsid w:val="00B87F3B"/>
    <w:rsid w:val="00B912CF"/>
    <w:rsid w:val="00B94960"/>
    <w:rsid w:val="00BA2D28"/>
    <w:rsid w:val="00BA4A1B"/>
    <w:rsid w:val="00BD6946"/>
    <w:rsid w:val="00BD70CF"/>
    <w:rsid w:val="00C23D9F"/>
    <w:rsid w:val="00C46205"/>
    <w:rsid w:val="00C52539"/>
    <w:rsid w:val="00C53876"/>
    <w:rsid w:val="00C656B2"/>
    <w:rsid w:val="00C70FFA"/>
    <w:rsid w:val="00C81248"/>
    <w:rsid w:val="00C935A1"/>
    <w:rsid w:val="00CA7CAC"/>
    <w:rsid w:val="00CB2633"/>
    <w:rsid w:val="00CB4C73"/>
    <w:rsid w:val="00CC15C9"/>
    <w:rsid w:val="00CC7983"/>
    <w:rsid w:val="00CE01FE"/>
    <w:rsid w:val="00CF1230"/>
    <w:rsid w:val="00CF4D2C"/>
    <w:rsid w:val="00D13A0B"/>
    <w:rsid w:val="00D568A0"/>
    <w:rsid w:val="00D65ED0"/>
    <w:rsid w:val="00DA3284"/>
    <w:rsid w:val="00DA7794"/>
    <w:rsid w:val="00DB02A5"/>
    <w:rsid w:val="00DC07F2"/>
    <w:rsid w:val="00DD36F9"/>
    <w:rsid w:val="00DE0B77"/>
    <w:rsid w:val="00DE25C0"/>
    <w:rsid w:val="00DE7A57"/>
    <w:rsid w:val="00DF3E22"/>
    <w:rsid w:val="00DF687E"/>
    <w:rsid w:val="00DF756E"/>
    <w:rsid w:val="00E11FA6"/>
    <w:rsid w:val="00E14382"/>
    <w:rsid w:val="00E218DD"/>
    <w:rsid w:val="00E5413E"/>
    <w:rsid w:val="00E60438"/>
    <w:rsid w:val="00E621B9"/>
    <w:rsid w:val="00E65142"/>
    <w:rsid w:val="00EA55C9"/>
    <w:rsid w:val="00EB43AB"/>
    <w:rsid w:val="00EC39CD"/>
    <w:rsid w:val="00EC58B1"/>
    <w:rsid w:val="00ED2484"/>
    <w:rsid w:val="00EE03CB"/>
    <w:rsid w:val="00EF2063"/>
    <w:rsid w:val="00F4329E"/>
    <w:rsid w:val="00F46594"/>
    <w:rsid w:val="00F47F37"/>
    <w:rsid w:val="00F76592"/>
    <w:rsid w:val="00F973FB"/>
    <w:rsid w:val="00FA4370"/>
    <w:rsid w:val="00FB1631"/>
    <w:rsid w:val="00FB5A16"/>
    <w:rsid w:val="00FE7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351DB0-79D6-4CB9-9A5D-4B0D5A47A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FFA"/>
    <w:pPr>
      <w:spacing w:after="200" w:line="276" w:lineRule="auto"/>
    </w:pPr>
    <w:rPr>
      <w:rFonts w:ascii="Verdana" w:hAnsi="Verdana" w:cs="Verdana"/>
    </w:rPr>
  </w:style>
  <w:style w:type="paragraph" w:styleId="Heading1">
    <w:name w:val="heading 1"/>
    <w:basedOn w:val="Normal"/>
    <w:link w:val="Heading1Char"/>
    <w:uiPriority w:val="1"/>
    <w:qFormat/>
    <w:rsid w:val="00AC7C66"/>
    <w:pPr>
      <w:widowControl w:val="0"/>
      <w:autoSpaceDE w:val="0"/>
      <w:autoSpaceDN w:val="0"/>
      <w:spacing w:after="0" w:line="240" w:lineRule="auto"/>
      <w:ind w:left="4104" w:right="4119"/>
      <w:outlineLvl w:val="0"/>
    </w:pPr>
    <w:rPr>
      <w:rFonts w:ascii="Times New Roman" w:eastAsia="Times New Roman" w:hAnsi="Times New Roman" w:cs="Times New Roman"/>
      <w:b/>
      <w:bCs/>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0FF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1"/>
    <w:qFormat/>
    <w:rsid w:val="00C70FFA"/>
    <w:pPr>
      <w:ind w:left="720"/>
      <w:contextualSpacing/>
    </w:pPr>
  </w:style>
  <w:style w:type="paragraph" w:styleId="BodyText">
    <w:name w:val="Body Text"/>
    <w:basedOn w:val="Normal"/>
    <w:link w:val="BodyTextChar"/>
    <w:uiPriority w:val="1"/>
    <w:qFormat/>
    <w:rsid w:val="00A153A3"/>
    <w:pPr>
      <w:widowControl w:val="0"/>
      <w:autoSpaceDE w:val="0"/>
      <w:autoSpaceDN w:val="0"/>
      <w:spacing w:after="0" w:line="240" w:lineRule="auto"/>
      <w:jc w:val="both"/>
    </w:pPr>
    <w:rPr>
      <w:rFonts w:ascii="Times New Roman" w:eastAsia="Times New Roman" w:hAnsi="Times New Roman" w:cs="Times New Roman"/>
      <w:sz w:val="24"/>
      <w:szCs w:val="24"/>
      <w:lang w:bidi="en-US"/>
    </w:rPr>
  </w:style>
  <w:style w:type="character" w:customStyle="1" w:styleId="BodyTextChar">
    <w:name w:val="Body Text Char"/>
    <w:basedOn w:val="DefaultParagraphFont"/>
    <w:link w:val="BodyText"/>
    <w:uiPriority w:val="1"/>
    <w:rsid w:val="00A153A3"/>
    <w:rPr>
      <w:rFonts w:ascii="Times New Roman" w:eastAsia="Times New Roman" w:hAnsi="Times New Roman" w:cs="Times New Roman"/>
      <w:sz w:val="24"/>
      <w:szCs w:val="24"/>
      <w:lang w:bidi="en-US"/>
    </w:rPr>
  </w:style>
  <w:style w:type="character" w:customStyle="1" w:styleId="Heading1Char">
    <w:name w:val="Heading 1 Char"/>
    <w:basedOn w:val="DefaultParagraphFont"/>
    <w:link w:val="Heading1"/>
    <w:uiPriority w:val="1"/>
    <w:rsid w:val="00AC7C66"/>
    <w:rPr>
      <w:rFonts w:ascii="Times New Roman" w:eastAsia="Times New Roman" w:hAnsi="Times New Roman" w:cs="Times New Roman"/>
      <w:b/>
      <w:bCs/>
      <w:sz w:val="24"/>
      <w:szCs w:val="24"/>
      <w:lang w:bidi="en-US"/>
    </w:rPr>
  </w:style>
  <w:style w:type="paragraph" w:customStyle="1" w:styleId="TableParagraph">
    <w:name w:val="Table Paragraph"/>
    <w:basedOn w:val="Normal"/>
    <w:uiPriority w:val="1"/>
    <w:qFormat/>
    <w:rsid w:val="00AC7C66"/>
    <w:pPr>
      <w:widowControl w:val="0"/>
      <w:autoSpaceDE w:val="0"/>
      <w:autoSpaceDN w:val="0"/>
      <w:spacing w:after="0" w:line="256" w:lineRule="exact"/>
      <w:ind w:left="108"/>
    </w:pPr>
    <w:rPr>
      <w:rFonts w:ascii="Times New Roman" w:eastAsia="Times New Roman" w:hAnsi="Times New Roman" w:cs="Times New Roman"/>
      <w:lang w:bidi="en-US"/>
    </w:rPr>
  </w:style>
  <w:style w:type="paragraph" w:styleId="BalloonText">
    <w:name w:val="Balloon Text"/>
    <w:basedOn w:val="Normal"/>
    <w:link w:val="BalloonTextChar"/>
    <w:uiPriority w:val="99"/>
    <w:semiHidden/>
    <w:unhideWhenUsed/>
    <w:rsid w:val="00C23D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3D9F"/>
    <w:rPr>
      <w:rFonts w:ascii="Segoe UI" w:hAnsi="Segoe UI" w:cs="Segoe UI"/>
      <w:sz w:val="18"/>
      <w:szCs w:val="18"/>
    </w:rPr>
  </w:style>
  <w:style w:type="paragraph" w:styleId="Header">
    <w:name w:val="header"/>
    <w:basedOn w:val="Normal"/>
    <w:link w:val="HeaderChar"/>
    <w:uiPriority w:val="99"/>
    <w:unhideWhenUsed/>
    <w:rsid w:val="00994B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4BC2"/>
    <w:rPr>
      <w:rFonts w:ascii="Verdana" w:hAnsi="Verdana" w:cs="Verdana"/>
    </w:rPr>
  </w:style>
  <w:style w:type="paragraph" w:styleId="Footer">
    <w:name w:val="footer"/>
    <w:basedOn w:val="Normal"/>
    <w:link w:val="FooterChar"/>
    <w:uiPriority w:val="99"/>
    <w:unhideWhenUsed/>
    <w:rsid w:val="00994B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4BC2"/>
    <w:rPr>
      <w:rFonts w:ascii="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A4E5F-3E85-4D94-9126-CFAB2176B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2038</Words>
  <Characters>11621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Биљана Бауцал Рајић</dc:creator>
  <cp:keywords/>
  <dc:description/>
  <cp:lastModifiedBy>Bojan Grgic</cp:lastModifiedBy>
  <cp:revision>2</cp:revision>
  <cp:lastPrinted>2019-12-25T13:28:00Z</cp:lastPrinted>
  <dcterms:created xsi:type="dcterms:W3CDTF">2019-12-27T10:19:00Z</dcterms:created>
  <dcterms:modified xsi:type="dcterms:W3CDTF">2019-12-27T10:19:00Z</dcterms:modified>
</cp:coreProperties>
</file>