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CCC" w:rsidRPr="007616B0" w:rsidRDefault="00316CCC" w:rsidP="00316CCC">
      <w:pPr>
        <w:pStyle w:val="2"/>
        <w:jc w:val="right"/>
        <w:rPr>
          <w:lang w:val="sr-Cyrl-CS"/>
        </w:rPr>
      </w:pPr>
      <w:bookmarkStart w:id="0" w:name="_GoBack"/>
      <w:bookmarkEnd w:id="0"/>
      <w:r w:rsidRPr="007616B0">
        <w:rPr>
          <w:lang w:val="sr-Cyrl-CS"/>
        </w:rPr>
        <w:t>ПРИЛОГ 3.</w:t>
      </w:r>
    </w:p>
    <w:p w:rsidR="00316CCC" w:rsidRPr="007616B0" w:rsidRDefault="00316CCC" w:rsidP="00316CCC">
      <w:pPr>
        <w:ind w:left="180" w:firstLine="720"/>
        <w:rPr>
          <w:rFonts w:ascii="Times New Roman" w:hAnsi="Times New Roman"/>
          <w:sz w:val="24"/>
          <w:szCs w:val="24"/>
          <w:lang w:val="sr-Cyrl-CS"/>
        </w:rPr>
      </w:pPr>
    </w:p>
    <w:p w:rsidR="00316CCC" w:rsidRPr="007616B0" w:rsidRDefault="00316CCC" w:rsidP="00316CCC">
      <w:pPr>
        <w:ind w:left="180" w:firstLine="720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7616B0">
        <w:rPr>
          <w:rFonts w:ascii="Times New Roman" w:hAnsi="Times New Roman"/>
          <w:sz w:val="24"/>
          <w:szCs w:val="24"/>
          <w:lang w:val="sr-Cyrl-CS"/>
        </w:rPr>
        <w:t xml:space="preserve">Пошиљка број </w:t>
      </w:r>
      <w:r w:rsidR="00DC37F5">
        <w:rPr>
          <w:rFonts w:ascii="Times New Roman" w:hAnsi="Times New Roman"/>
          <w:sz w:val="24"/>
          <w:szCs w:val="24"/>
        </w:rPr>
        <w:t xml:space="preserve">_____________________     </w:t>
      </w:r>
      <w:r w:rsidR="002C4A21" w:rsidRPr="007616B0">
        <w:rPr>
          <w:rFonts w:ascii="Times New Roman" w:hAnsi="Times New Roman"/>
          <w:sz w:val="24"/>
          <w:szCs w:val="24"/>
          <w:lang w:val="sr-Cyrl-CS"/>
        </w:rPr>
        <w:t>г</w:t>
      </w:r>
      <w:r w:rsidRPr="007616B0">
        <w:rPr>
          <w:rFonts w:ascii="Times New Roman" w:hAnsi="Times New Roman"/>
          <w:sz w:val="24"/>
          <w:szCs w:val="24"/>
          <w:lang w:val="sr-Cyrl-CS"/>
        </w:rPr>
        <w:t xml:space="preserve">одина </w:t>
      </w:r>
      <w:r w:rsidRPr="007616B0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7616B0">
        <w:rPr>
          <w:rFonts w:ascii="Times New Roman" w:hAnsi="Times New Roman"/>
          <w:sz w:val="24"/>
          <w:szCs w:val="24"/>
          <w:u w:val="single"/>
          <w:lang w:val="sr-Cyrl-CS"/>
        </w:rPr>
        <w:tab/>
      </w:r>
      <w:r w:rsidRPr="007616B0">
        <w:rPr>
          <w:rFonts w:ascii="Times New Roman" w:hAnsi="Times New Roman"/>
          <w:sz w:val="24"/>
          <w:szCs w:val="24"/>
          <w:u w:val="single"/>
          <w:lang w:val="sr-Cyrl-CS"/>
        </w:rPr>
        <w:tab/>
      </w:r>
    </w:p>
    <w:p w:rsidR="00316CCC" w:rsidRPr="007616B0" w:rsidRDefault="00316CCC" w:rsidP="00316CC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16CCC" w:rsidRPr="007616B0" w:rsidRDefault="00316CCC" w:rsidP="00316CCC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7616B0">
        <w:rPr>
          <w:rFonts w:ascii="Times New Roman" w:hAnsi="Times New Roman"/>
          <w:b/>
          <w:sz w:val="28"/>
          <w:szCs w:val="24"/>
          <w:lang w:val="sr-Cyrl-CS"/>
        </w:rPr>
        <w:t>ИЗЈАВА О ПРОИЗВОДУ ПРОИЗВОЂАЧА БИОГОРИВА</w:t>
      </w:r>
      <w:r w:rsidRPr="007616B0">
        <w:rPr>
          <w:rFonts w:ascii="Times New Roman" w:hAnsi="Times New Roman"/>
          <w:b/>
          <w:sz w:val="28"/>
          <w:szCs w:val="24"/>
          <w:lang w:val="sr-Cyrl-CS"/>
        </w:rPr>
        <w:br/>
      </w:r>
      <w:r w:rsidRPr="007616B0">
        <w:rPr>
          <w:rFonts w:ascii="Times New Roman" w:hAnsi="Times New Roman"/>
          <w:b/>
          <w:bCs/>
          <w:iCs/>
          <w:sz w:val="24"/>
          <w:szCs w:val="24"/>
          <w:lang w:val="sr-Cyrl-CS"/>
        </w:rPr>
        <w:t>да биогорива обухваћена пошиљком испуњавају критеријуме одрживости</w:t>
      </w: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250"/>
        <w:gridCol w:w="6475"/>
      </w:tblGrid>
      <w:tr w:rsidR="00316CCC" w:rsidRPr="007616B0" w:rsidTr="001B4CC2">
        <w:tc>
          <w:tcPr>
            <w:tcW w:w="9350" w:type="dxa"/>
            <w:gridSpan w:val="3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произвођачу биогорива</w:t>
            </w: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1.1.</w:t>
            </w:r>
          </w:p>
        </w:tc>
        <w:tc>
          <w:tcPr>
            <w:tcW w:w="22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Назив</w:t>
            </w:r>
          </w:p>
        </w:tc>
        <w:tc>
          <w:tcPr>
            <w:tcW w:w="647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1.2.</w:t>
            </w:r>
          </w:p>
        </w:tc>
        <w:tc>
          <w:tcPr>
            <w:tcW w:w="22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647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1.3.</w:t>
            </w:r>
          </w:p>
        </w:tc>
        <w:tc>
          <w:tcPr>
            <w:tcW w:w="22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647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1.4.</w:t>
            </w:r>
          </w:p>
        </w:tc>
        <w:tc>
          <w:tcPr>
            <w:tcW w:w="22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Број лиценце</w:t>
            </w:r>
          </w:p>
        </w:tc>
        <w:tc>
          <w:tcPr>
            <w:tcW w:w="647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1.5.</w:t>
            </w:r>
          </w:p>
        </w:tc>
        <w:tc>
          <w:tcPr>
            <w:tcW w:w="22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Евиденциони број </w:t>
            </w:r>
            <w:r w:rsidRPr="007616B0">
              <w:rPr>
                <w:rFonts w:ascii="Times New Roman" w:hAnsi="Times New Roman"/>
                <w:sz w:val="24"/>
                <w:szCs w:val="24"/>
                <w:vertAlign w:val="superscript"/>
                <w:lang w:val="sr-Cyrl-CS"/>
              </w:rPr>
              <w:t>1)</w:t>
            </w:r>
          </w:p>
        </w:tc>
        <w:tc>
          <w:tcPr>
            <w:tcW w:w="647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316CCC" w:rsidRPr="007616B0" w:rsidRDefault="00316CCC" w:rsidP="00316CC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0"/>
          <w:szCs w:val="24"/>
          <w:lang w:val="sr-Cyrl-CS"/>
        </w:rPr>
      </w:pPr>
      <w:r w:rsidRPr="007616B0">
        <w:rPr>
          <w:rFonts w:ascii="Times New Roman" w:hAnsi="Times New Roman"/>
          <w:szCs w:val="24"/>
          <w:lang w:val="sr-Cyrl-CS"/>
        </w:rPr>
        <w:t>Евиденциони број у регистру произвођача биогорива и учесника у трговини  биогорива.</w:t>
      </w: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"/>
        <w:gridCol w:w="3603"/>
        <w:gridCol w:w="4821"/>
      </w:tblGrid>
      <w:tr w:rsidR="00316CCC" w:rsidRPr="007616B0" w:rsidTr="001B4CC2">
        <w:tc>
          <w:tcPr>
            <w:tcW w:w="9350" w:type="dxa"/>
            <w:gridSpan w:val="3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верификатору </w:t>
            </w:r>
          </w:p>
        </w:tc>
      </w:tr>
      <w:tr w:rsidR="00316CCC" w:rsidRPr="007616B0" w:rsidTr="001B4CC2">
        <w:tc>
          <w:tcPr>
            <w:tcW w:w="926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2.1.</w:t>
            </w:r>
          </w:p>
        </w:tc>
        <w:tc>
          <w:tcPr>
            <w:tcW w:w="3603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Назив верификатора</w:t>
            </w:r>
          </w:p>
        </w:tc>
        <w:tc>
          <w:tcPr>
            <w:tcW w:w="4821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926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2.2.</w:t>
            </w:r>
          </w:p>
        </w:tc>
        <w:tc>
          <w:tcPr>
            <w:tcW w:w="3603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4821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926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2.3.</w:t>
            </w:r>
          </w:p>
        </w:tc>
        <w:tc>
          <w:tcPr>
            <w:tcW w:w="3603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4821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926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2.4.</w:t>
            </w:r>
          </w:p>
        </w:tc>
        <w:tc>
          <w:tcPr>
            <w:tcW w:w="3603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4821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3690"/>
        <w:gridCol w:w="5035"/>
      </w:tblGrid>
      <w:tr w:rsidR="00316CCC" w:rsidRPr="007616B0" w:rsidTr="001B4CC2">
        <w:tc>
          <w:tcPr>
            <w:tcW w:w="9350" w:type="dxa"/>
            <w:gridSpan w:val="3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шеми верификације чијом применом је утврђено да биогорива испуњавају критеријуме одржиовсти</w:t>
            </w: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3.1.</w:t>
            </w:r>
          </w:p>
        </w:tc>
        <w:tc>
          <w:tcPr>
            <w:tcW w:w="369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Назив шеме верификације</w:t>
            </w:r>
          </w:p>
        </w:tc>
        <w:tc>
          <w:tcPr>
            <w:tcW w:w="503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62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3.2.</w:t>
            </w:r>
          </w:p>
        </w:tc>
        <w:tc>
          <w:tcPr>
            <w:tcW w:w="369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  <w:t>Подаци о сертификату на основу кога је стечено овлашћење да се примењује шема верификације</w:t>
            </w:r>
          </w:p>
        </w:tc>
        <w:tc>
          <w:tcPr>
            <w:tcW w:w="5035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316CCC" w:rsidRDefault="00316CCC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Pr="008B5CA2" w:rsidRDefault="00871BED" w:rsidP="00316CCC">
      <w:pPr>
        <w:jc w:val="both"/>
        <w:rPr>
          <w:rFonts w:ascii="Times New Roman" w:hAnsi="Times New Roman"/>
          <w:sz w:val="24"/>
          <w:szCs w:val="24"/>
        </w:rPr>
        <w:sectPr w:rsidR="00871BED" w:rsidRPr="008B5CA2" w:rsidSect="00114240">
          <w:footerReference w:type="even" r:id="rId9"/>
          <w:footerReference w:type="defaul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12955" w:type="dxa"/>
        <w:tblLayout w:type="fixed"/>
        <w:tblLook w:val="04A0" w:firstRow="1" w:lastRow="0" w:firstColumn="1" w:lastColumn="0" w:noHBand="0" w:noVBand="1"/>
      </w:tblPr>
      <w:tblGrid>
        <w:gridCol w:w="1345"/>
        <w:gridCol w:w="3420"/>
        <w:gridCol w:w="1620"/>
        <w:gridCol w:w="1350"/>
        <w:gridCol w:w="1440"/>
        <w:gridCol w:w="1080"/>
        <w:gridCol w:w="2700"/>
      </w:tblGrid>
      <w:tr w:rsidR="00316CCC" w:rsidRPr="007616B0" w:rsidTr="001B4CC2">
        <w:tc>
          <w:tcPr>
            <w:tcW w:w="12955" w:type="dxa"/>
            <w:gridSpan w:val="7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>ода</w:t>
            </w: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ци</w:t>
            </w:r>
            <w:r w:rsidRPr="007616B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sr-Cyrl-CS"/>
              </w:rPr>
              <w:t xml:space="preserve"> о пошиљци биогорива</w:t>
            </w: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1</w:t>
            </w:r>
          </w:p>
        </w:tc>
        <w:tc>
          <w:tcPr>
            <w:tcW w:w="34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2</w:t>
            </w: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3</w:t>
            </w: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4</w:t>
            </w: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5</w:t>
            </w: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6</w:t>
            </w: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7</w:t>
            </w: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Врстa биогорива</w:t>
            </w:r>
          </w:p>
        </w:tc>
        <w:tc>
          <w:tcPr>
            <w:tcW w:w="34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Технологијa прераде сировине</w:t>
            </w: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 xml:space="preserve">Количинa биогорива </w:t>
            </w: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br/>
              <w:t>(l)</w:t>
            </w: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 xml:space="preserve">Количинa биогорива </w:t>
            </w: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br/>
              <w:t>(t)</w:t>
            </w: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Укупне емисије (gCO2eq/</w:t>
            </w: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br/>
              <w:t>MJ)</w:t>
            </w: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Укупне уштеде емисија</w:t>
            </w: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br/>
              <w:t>(%)</w:t>
            </w: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bCs/>
                <w:iCs/>
                <w:szCs w:val="20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Метода прорачуна </w:t>
            </w:r>
            <w:r w:rsidRPr="007616B0">
              <w:rPr>
                <w:rFonts w:ascii="Times New Roman" w:hAnsi="Times New Roman"/>
                <w:bCs/>
                <w:iCs/>
                <w:szCs w:val="20"/>
                <w:vertAlign w:val="superscript"/>
                <w:lang w:val="sr-Cyrl-CS"/>
              </w:rPr>
              <w:t>2)</w:t>
            </w: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345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8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7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316CCC" w:rsidRPr="007616B0" w:rsidRDefault="00316CCC" w:rsidP="00316CC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0"/>
          <w:szCs w:val="24"/>
          <w:lang w:val="sr-Cyrl-CS"/>
        </w:rPr>
      </w:pPr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 xml:space="preserve">Метода из тачке 4. </w:t>
      </w:r>
      <w:r w:rsidR="00DA1622" w:rsidRPr="007616B0">
        <w:rPr>
          <w:rFonts w:ascii="Times New Roman" w:hAnsi="Times New Roman"/>
          <w:bCs/>
          <w:iCs/>
          <w:sz w:val="20"/>
          <w:szCs w:val="24"/>
          <w:lang w:val="sr-Cyrl-CS"/>
        </w:rPr>
        <w:t xml:space="preserve">Методологије за рачунање уштеде емисија гасова са ефектом стаклене баште </w:t>
      </w:r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>која је коришћена за рачунање емисија гасова са ефектом стаклене баште.</w:t>
      </w:r>
    </w:p>
    <w:p w:rsidR="00316CCC" w:rsidRPr="009D6DDE" w:rsidRDefault="00316CCC" w:rsidP="00316CCC">
      <w:pPr>
        <w:jc w:val="both"/>
        <w:rPr>
          <w:rFonts w:ascii="Times New Roman" w:hAnsi="Times New Roman"/>
          <w:sz w:val="24"/>
          <w:szCs w:val="24"/>
        </w:rPr>
        <w:sectPr w:rsidR="00316CCC" w:rsidRPr="009D6DDE" w:rsidSect="009D6DDE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2"/>
        <w:gridCol w:w="6998"/>
      </w:tblGrid>
      <w:tr w:rsidR="00316CCC" w:rsidRPr="007616B0" w:rsidTr="001B4CC2">
        <w:tc>
          <w:tcPr>
            <w:tcW w:w="9350" w:type="dxa"/>
            <w:gridSpan w:val="2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 xml:space="preserve">утврђивањЕ усклађености </w:t>
            </w: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vertAlign w:val="superscript"/>
                <w:lang w:val="sr-Cyrl-CS"/>
              </w:rPr>
              <w:t>3)</w:t>
            </w: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 xml:space="preserve"> </w:t>
            </w:r>
            <w:r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ако се у прорачуну утицаја пошиљке на емисије гасова са ефектом стаклене баште користи формула из </w:t>
            </w:r>
            <w:r w:rsidR="00DA1622"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Методологије за рачунање уштеде емисија гасова за ефектом стаклене баште</w:t>
            </w:r>
          </w:p>
        </w:tc>
      </w:tr>
      <w:tr w:rsidR="00316CCC" w:rsidRPr="007616B0" w:rsidTr="001B4CC2">
        <w:tc>
          <w:tcPr>
            <w:tcW w:w="9350" w:type="dxa"/>
            <w:gridSpan w:val="2"/>
          </w:tcPr>
          <w:p w:rsidR="00316CCC" w:rsidRPr="007616B0" w:rsidRDefault="00316CCC" w:rsidP="00316CCC">
            <w:pPr>
              <w:pStyle w:val="ListParagraph"/>
              <w:numPr>
                <w:ilvl w:val="1"/>
                <w:numId w:val="1"/>
              </w:numPr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 xml:space="preserve"> Утврђивање усклађености пошиљке биогорива са критеријумима одрживости у случају примене додатног </w:t>
            </w:r>
            <w:proofErr w:type="spellStart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бонуса</w:t>
            </w:r>
            <w:proofErr w:type="spellEnd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 xml:space="preserve"> (</w:t>
            </w:r>
            <w:proofErr w:type="spellStart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eB</w:t>
            </w:r>
            <w:proofErr w:type="spellEnd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 xml:space="preserve">) из тачке 8. Методологије </w:t>
            </w:r>
            <w:r w:rsidR="00DA1622"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за рачунање уштеде емисија г</w:t>
            </w:r>
            <w:r w:rsidR="00120875"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асова за ефектом стаклене баште</w:t>
            </w:r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, ако се у прорачуну утицаја пошиљке на емисије гасова са ефектом стаклене баште користи формула из тачке 1. Методологије</w:t>
            </w:r>
            <w:r w:rsidR="00DA1622"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DA1622"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за рачунање уштеде емисија гасова за ефектом стаклене баште</w:t>
            </w:r>
          </w:p>
        </w:tc>
      </w:tr>
      <w:tr w:rsidR="00316CCC" w:rsidRPr="007616B0" w:rsidTr="001B4CC2">
        <w:tc>
          <w:tcPr>
            <w:tcW w:w="2352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Усклађено </w:t>
            </w: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br/>
              <w:t>ДА или НЕ</w:t>
            </w:r>
          </w:p>
        </w:tc>
        <w:tc>
          <w:tcPr>
            <w:tcW w:w="699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Напомена</w:t>
            </w:r>
          </w:p>
        </w:tc>
      </w:tr>
      <w:tr w:rsidR="00316CCC" w:rsidRPr="007616B0" w:rsidTr="001B4CC2">
        <w:tc>
          <w:tcPr>
            <w:tcW w:w="2352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998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16CCC" w:rsidRPr="007616B0" w:rsidTr="001B4CC2">
        <w:tc>
          <w:tcPr>
            <w:tcW w:w="9350" w:type="dxa"/>
            <w:gridSpan w:val="2"/>
          </w:tcPr>
          <w:p w:rsidR="00316CCC" w:rsidRPr="007616B0" w:rsidRDefault="00316CCC" w:rsidP="00316CCC">
            <w:pPr>
              <w:pStyle w:val="ListParagraph"/>
              <w:numPr>
                <w:ilvl w:val="1"/>
                <w:numId w:val="1"/>
              </w:numPr>
              <w:spacing w:before="120" w:after="12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 xml:space="preserve"> Утврђивање усклађености пошиљке </w:t>
            </w:r>
            <w:proofErr w:type="spellStart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биогорива</w:t>
            </w:r>
            <w:proofErr w:type="spellEnd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 xml:space="preserve"> са критеријумима одрживости ако је приликом коришћења формуле из тачке 1. Методологије </w:t>
            </w:r>
            <w:r w:rsidR="00DA1622"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 xml:space="preserve">за рачунање уштеде емисија гасова за ефектом стаклене баште </w:t>
            </w:r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извршено рачунање уштеда емисија из акумулације угљеника у земљишту применом унапређеног пољопривредног управљања (</w:t>
            </w:r>
            <w:proofErr w:type="spellStart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е</w:t>
            </w:r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vertAlign w:val="subscript"/>
                <w:lang w:val="sr-Cyrl-CS"/>
              </w:rPr>
              <w:t>sca</w:t>
            </w:r>
            <w:proofErr w:type="spellEnd"/>
            <w:r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)  из тачке 1. Методологије</w:t>
            </w:r>
            <w:r w:rsidR="00DA1622"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DA1622" w:rsidRPr="007616B0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sr-Cyrl-CS"/>
              </w:rPr>
              <w:t>за рачунање уштеде емисија гасова за ефектом стаклене баште</w:t>
            </w:r>
          </w:p>
        </w:tc>
      </w:tr>
      <w:tr w:rsidR="00316CCC" w:rsidRPr="007616B0" w:rsidTr="001B4CC2">
        <w:tc>
          <w:tcPr>
            <w:tcW w:w="2352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Усклађено</w:t>
            </w: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br/>
              <w:t>ДА или НЕ</w:t>
            </w:r>
          </w:p>
        </w:tc>
        <w:tc>
          <w:tcPr>
            <w:tcW w:w="699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 w:val="24"/>
                <w:szCs w:val="24"/>
                <w:lang w:val="sr-Cyrl-CS"/>
              </w:rPr>
              <w:t>Напомена</w:t>
            </w:r>
          </w:p>
        </w:tc>
      </w:tr>
      <w:tr w:rsidR="00316CCC" w:rsidRPr="007616B0" w:rsidTr="001B4CC2">
        <w:tc>
          <w:tcPr>
            <w:tcW w:w="2352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998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316CCC" w:rsidRPr="007616B0" w:rsidRDefault="00316CCC" w:rsidP="00316CC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Cs/>
          <w:iCs/>
          <w:sz w:val="20"/>
          <w:szCs w:val="24"/>
          <w:lang w:val="sr-Cyrl-CS"/>
        </w:rPr>
      </w:pPr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 xml:space="preserve">Табела 5 се не попуњава ако се пошиљка односи на </w:t>
      </w:r>
      <w:proofErr w:type="spellStart"/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>биогорива</w:t>
      </w:r>
      <w:proofErr w:type="spellEnd"/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 xml:space="preserve"> произведена из отпада и остатака.</w:t>
      </w:r>
    </w:p>
    <w:p w:rsidR="00316CCC" w:rsidRDefault="00316CCC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Default="00871BED" w:rsidP="00871BE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</w:p>
    <w:p w:rsidR="00871BED" w:rsidRDefault="00871BED" w:rsidP="00316CCC">
      <w:pPr>
        <w:jc w:val="both"/>
        <w:rPr>
          <w:rFonts w:ascii="Times New Roman" w:hAnsi="Times New Roman"/>
          <w:sz w:val="24"/>
          <w:szCs w:val="24"/>
        </w:rPr>
      </w:pPr>
    </w:p>
    <w:p w:rsidR="00871BED" w:rsidRPr="00871BED" w:rsidRDefault="00871BED" w:rsidP="00316CCC">
      <w:pPr>
        <w:jc w:val="both"/>
        <w:rPr>
          <w:rFonts w:ascii="Times New Roman" w:hAnsi="Times New Roman"/>
          <w:sz w:val="24"/>
          <w:szCs w:val="24"/>
        </w:rPr>
        <w:sectPr w:rsidR="00871BED" w:rsidRPr="00871BED" w:rsidSect="00871BED"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316CCC" w:rsidRPr="007616B0" w:rsidRDefault="00871BED" w:rsidP="00871BED">
      <w:pPr>
        <w:tabs>
          <w:tab w:val="left" w:pos="1815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ab/>
      </w:r>
    </w:p>
    <w:tbl>
      <w:tblPr>
        <w:tblStyle w:val="TableGrid"/>
        <w:tblW w:w="12865" w:type="dxa"/>
        <w:tblLayout w:type="fixed"/>
        <w:tblLook w:val="04A0" w:firstRow="1" w:lastRow="0" w:firstColumn="1" w:lastColumn="0" w:noHBand="0" w:noVBand="1"/>
      </w:tblPr>
      <w:tblGrid>
        <w:gridCol w:w="1143"/>
        <w:gridCol w:w="1634"/>
        <w:gridCol w:w="1350"/>
        <w:gridCol w:w="1628"/>
        <w:gridCol w:w="1440"/>
        <w:gridCol w:w="1260"/>
        <w:gridCol w:w="1800"/>
        <w:gridCol w:w="2610"/>
      </w:tblGrid>
      <w:tr w:rsidR="00316CCC" w:rsidRPr="007616B0" w:rsidTr="001B4CC2">
        <w:tc>
          <w:tcPr>
            <w:tcW w:w="12865" w:type="dxa"/>
            <w:gridSpan w:val="8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подаци о пореклу и врстама сировине везано за пошиљку биогорива</w:t>
            </w: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1</w:t>
            </w:r>
          </w:p>
        </w:tc>
        <w:tc>
          <w:tcPr>
            <w:tcW w:w="1634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2</w:t>
            </w: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3</w:t>
            </w: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4</w:t>
            </w: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5</w:t>
            </w: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6</w:t>
            </w:r>
          </w:p>
        </w:tc>
        <w:tc>
          <w:tcPr>
            <w:tcW w:w="18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7</w:t>
            </w:r>
          </w:p>
        </w:tc>
        <w:tc>
          <w:tcPr>
            <w:tcW w:w="261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8</w:t>
            </w: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Врста сировине</w:t>
            </w:r>
          </w:p>
        </w:tc>
        <w:tc>
          <w:tcPr>
            <w:tcW w:w="1634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Произвођач сировине</w:t>
            </w: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 xml:space="preserve">Енергетска вредност сировине </w:t>
            </w:r>
            <w:r w:rsidRPr="007616B0">
              <w:rPr>
                <w:rFonts w:ascii="Times New Roman" w:hAnsi="Times New Roman"/>
                <w:szCs w:val="24"/>
                <w:lang w:val="sr-Cyrl-CS"/>
              </w:rPr>
              <w:br/>
              <w:t>(MJ/kg)</w:t>
            </w: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 xml:space="preserve">Количина сировине </w:t>
            </w:r>
            <w:r w:rsidRPr="007616B0">
              <w:rPr>
                <w:rFonts w:ascii="Times New Roman" w:hAnsi="Times New Roman"/>
                <w:szCs w:val="24"/>
                <w:lang w:val="sr-Cyrl-CS"/>
              </w:rPr>
              <w:br/>
              <w:t>(t)</w:t>
            </w: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highlight w:val="yellow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Земља порекла сировине</w:t>
            </w: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 xml:space="preserve">Укупне емисије </w:t>
            </w:r>
            <w:r w:rsidRPr="007616B0">
              <w:rPr>
                <w:rFonts w:ascii="Times New Roman" w:hAnsi="Times New Roman"/>
                <w:szCs w:val="24"/>
                <w:lang w:val="sr-Cyrl-CS"/>
              </w:rPr>
              <w:br/>
              <w:t>(gCO2eq/MJ)</w:t>
            </w:r>
          </w:p>
        </w:tc>
        <w:tc>
          <w:tcPr>
            <w:tcW w:w="18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szCs w:val="24"/>
                <w:lang w:val="sr-Cyrl-CS"/>
              </w:rPr>
              <w:t>Датум и број уговора о откупу сировине</w:t>
            </w:r>
          </w:p>
        </w:tc>
        <w:tc>
          <w:tcPr>
            <w:tcW w:w="261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Cs/>
                <w:iCs/>
                <w:szCs w:val="20"/>
                <w:lang w:val="sr-Cyrl-CS"/>
              </w:rPr>
              <w:t>Метода прорачуна </w:t>
            </w:r>
            <w:r w:rsidRPr="007616B0">
              <w:rPr>
                <w:rFonts w:ascii="Times New Roman" w:hAnsi="Times New Roman"/>
                <w:bCs/>
                <w:iCs/>
                <w:szCs w:val="20"/>
                <w:vertAlign w:val="superscript"/>
                <w:lang w:val="sr-Cyrl-CS"/>
              </w:rPr>
              <w:t>4)</w:t>
            </w: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16CCC" w:rsidRPr="007616B0" w:rsidTr="001B4CC2">
        <w:tc>
          <w:tcPr>
            <w:tcW w:w="1143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34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28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0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316CCC" w:rsidRPr="00871BED" w:rsidRDefault="00316CCC" w:rsidP="00316CC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0"/>
          <w:szCs w:val="24"/>
          <w:lang w:val="sr-Cyrl-CS"/>
        </w:rPr>
      </w:pPr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>Метода из</w:t>
      </w:r>
      <w:r w:rsidR="00DA1622" w:rsidRPr="007616B0">
        <w:rPr>
          <w:rFonts w:ascii="Times New Roman" w:hAnsi="Times New Roman"/>
          <w:bCs/>
          <w:iCs/>
          <w:sz w:val="20"/>
          <w:szCs w:val="24"/>
          <w:lang w:val="sr-Cyrl-CS"/>
        </w:rPr>
        <w:t xml:space="preserve"> тачке 4. Методологије за рачунање уштеде емисија гасова за ефектом стаклене баште </w:t>
      </w:r>
      <w:r w:rsidRPr="007616B0">
        <w:rPr>
          <w:rFonts w:ascii="Times New Roman" w:hAnsi="Times New Roman"/>
          <w:bCs/>
          <w:iCs/>
          <w:sz w:val="20"/>
          <w:szCs w:val="24"/>
          <w:lang w:val="sr-Cyrl-CS"/>
        </w:rPr>
        <w:t>која је коришћена за рачунање емисија гасова са ефектом стаклене баште.</w:t>
      </w: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Default="00871BED" w:rsidP="00871BED">
      <w:pPr>
        <w:jc w:val="both"/>
        <w:rPr>
          <w:rFonts w:ascii="Times New Roman" w:hAnsi="Times New Roman"/>
          <w:sz w:val="20"/>
          <w:szCs w:val="24"/>
        </w:rPr>
      </w:pPr>
    </w:p>
    <w:p w:rsidR="00871BED" w:rsidRPr="00871BED" w:rsidRDefault="00871BED" w:rsidP="00871BED">
      <w:pPr>
        <w:jc w:val="right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4</w:t>
      </w: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  <w:sectPr w:rsidR="00316CCC" w:rsidRPr="007616B0" w:rsidSect="00871BED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5"/>
      </w:tblGrid>
      <w:tr w:rsidR="00316CCC" w:rsidRPr="007616B0" w:rsidTr="001B4CC2">
        <w:tc>
          <w:tcPr>
            <w:tcW w:w="9350" w:type="dxa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попис приложених докумената</w:t>
            </w:r>
          </w:p>
        </w:tc>
      </w:tr>
      <w:tr w:rsidR="00316CCC" w:rsidRPr="007616B0" w:rsidTr="001B4CC2">
        <w:tc>
          <w:tcPr>
            <w:tcW w:w="93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5"/>
      </w:tblGrid>
      <w:tr w:rsidR="00316CCC" w:rsidRPr="007616B0" w:rsidTr="001B4CC2">
        <w:tc>
          <w:tcPr>
            <w:tcW w:w="9350" w:type="dxa"/>
            <w:shd w:val="clear" w:color="auto" w:fill="E7E6E6" w:themeFill="background2"/>
          </w:tcPr>
          <w:p w:rsidR="00316CCC" w:rsidRPr="007616B0" w:rsidRDefault="00316CCC" w:rsidP="00316CCC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  <w:t>напомена о тајним подацима из изјаве о производу</w:t>
            </w:r>
          </w:p>
        </w:tc>
      </w:tr>
      <w:tr w:rsidR="00316CCC" w:rsidRPr="007616B0" w:rsidTr="001B4CC2">
        <w:tc>
          <w:tcPr>
            <w:tcW w:w="9350" w:type="dxa"/>
          </w:tcPr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6CCC" w:rsidRPr="007616B0" w:rsidRDefault="00316CCC" w:rsidP="00316CCC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</w:tblGrid>
      <w:tr w:rsidR="00316CCC" w:rsidRPr="007616B0" w:rsidTr="001B4CC2">
        <w:tc>
          <w:tcPr>
            <w:tcW w:w="3116" w:type="dxa"/>
            <w:shd w:val="clear" w:color="auto" w:fill="E7E6E6" w:themeFill="background2"/>
          </w:tcPr>
          <w:p w:rsidR="00316CCC" w:rsidRPr="007616B0" w:rsidRDefault="00316CCC" w:rsidP="001B4CC2">
            <w:pPr>
              <w:spacing w:before="120" w:after="120"/>
              <w:jc w:val="center"/>
              <w:rPr>
                <w:rFonts w:ascii="Times New Roman" w:hAnsi="Times New Roman"/>
                <w:b/>
                <w:caps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Име и презиме одговорног лица за произвођача </w:t>
            </w:r>
            <w:proofErr w:type="spellStart"/>
            <w:r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биогорива</w:t>
            </w:r>
            <w:proofErr w:type="spellEnd"/>
          </w:p>
        </w:tc>
        <w:tc>
          <w:tcPr>
            <w:tcW w:w="3117" w:type="dxa"/>
            <w:shd w:val="clear" w:color="auto" w:fill="E7E6E6" w:themeFill="background2"/>
          </w:tcPr>
          <w:p w:rsidR="00316CCC" w:rsidRPr="007616B0" w:rsidRDefault="00316CCC" w:rsidP="001B4CC2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7616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Потпис</w:t>
            </w:r>
          </w:p>
        </w:tc>
      </w:tr>
      <w:tr w:rsidR="00316CCC" w:rsidRPr="007616B0" w:rsidTr="001B4CC2">
        <w:tc>
          <w:tcPr>
            <w:tcW w:w="3116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117" w:type="dxa"/>
          </w:tcPr>
          <w:p w:rsidR="00316CCC" w:rsidRPr="007616B0" w:rsidRDefault="00316CCC" w:rsidP="001B4CC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871BED" w:rsidRDefault="00871BED" w:rsidP="00316CC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:rsidR="00871BED" w:rsidRPr="00871BED" w:rsidRDefault="00871BED" w:rsidP="00871BED">
      <w:pPr>
        <w:rPr>
          <w:rFonts w:ascii="Times New Roman" w:hAnsi="Times New Roman"/>
          <w:sz w:val="24"/>
          <w:szCs w:val="24"/>
          <w:lang w:val="sr-Cyrl-CS"/>
        </w:rPr>
      </w:pPr>
    </w:p>
    <w:p w:rsidR="00871BED" w:rsidRPr="00871BED" w:rsidRDefault="00871BED" w:rsidP="00871BED">
      <w:pPr>
        <w:rPr>
          <w:rFonts w:ascii="Times New Roman" w:hAnsi="Times New Roman"/>
          <w:sz w:val="24"/>
          <w:szCs w:val="24"/>
          <w:lang w:val="sr-Cyrl-CS"/>
        </w:rPr>
      </w:pPr>
    </w:p>
    <w:p w:rsidR="00871BED" w:rsidRPr="00871BED" w:rsidRDefault="00871BED" w:rsidP="00871BED">
      <w:pPr>
        <w:rPr>
          <w:rFonts w:ascii="Times New Roman" w:hAnsi="Times New Roman"/>
          <w:sz w:val="24"/>
          <w:szCs w:val="24"/>
          <w:lang w:val="sr-Cyrl-CS"/>
        </w:rPr>
      </w:pPr>
    </w:p>
    <w:p w:rsidR="00871BED" w:rsidRDefault="00871BED" w:rsidP="00871BED">
      <w:pPr>
        <w:rPr>
          <w:rFonts w:ascii="Times New Roman" w:hAnsi="Times New Roman"/>
          <w:sz w:val="24"/>
          <w:szCs w:val="24"/>
          <w:lang w:val="sr-Cyrl-CS"/>
        </w:rPr>
      </w:pPr>
    </w:p>
    <w:p w:rsidR="00E7187C" w:rsidRDefault="00E7187C" w:rsidP="00871BED">
      <w:pPr>
        <w:jc w:val="center"/>
        <w:rPr>
          <w:rFonts w:ascii="Times New Roman" w:hAnsi="Times New Roman"/>
          <w:sz w:val="24"/>
          <w:szCs w:val="24"/>
        </w:rPr>
      </w:pPr>
    </w:p>
    <w:p w:rsidR="00871BED" w:rsidRDefault="00871BED" w:rsidP="00871BED">
      <w:pPr>
        <w:jc w:val="center"/>
        <w:rPr>
          <w:rFonts w:ascii="Times New Roman" w:hAnsi="Times New Roman"/>
          <w:sz w:val="24"/>
          <w:szCs w:val="24"/>
        </w:rPr>
      </w:pPr>
    </w:p>
    <w:p w:rsidR="00871BED" w:rsidRDefault="00871BED" w:rsidP="00871BED">
      <w:pPr>
        <w:jc w:val="center"/>
        <w:rPr>
          <w:rFonts w:ascii="Times New Roman" w:hAnsi="Times New Roman"/>
          <w:sz w:val="24"/>
          <w:szCs w:val="24"/>
        </w:rPr>
      </w:pPr>
    </w:p>
    <w:p w:rsidR="00871BED" w:rsidRDefault="00871BED" w:rsidP="00871BED">
      <w:pPr>
        <w:jc w:val="center"/>
        <w:rPr>
          <w:rFonts w:ascii="Times New Roman" w:hAnsi="Times New Roman"/>
          <w:sz w:val="24"/>
          <w:szCs w:val="24"/>
        </w:rPr>
      </w:pPr>
    </w:p>
    <w:p w:rsidR="00871BED" w:rsidRDefault="00871BED" w:rsidP="00871BED">
      <w:pPr>
        <w:jc w:val="center"/>
        <w:rPr>
          <w:rFonts w:ascii="Times New Roman" w:hAnsi="Times New Roman"/>
          <w:sz w:val="24"/>
          <w:szCs w:val="24"/>
        </w:rPr>
      </w:pPr>
    </w:p>
    <w:p w:rsidR="00871BED" w:rsidRPr="00871BED" w:rsidRDefault="00871BED" w:rsidP="00871BE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</w:p>
    <w:sectPr w:rsidR="00871BED" w:rsidRPr="00871BED" w:rsidSect="00A01819">
      <w:pgSz w:w="11909" w:h="16834" w:code="9"/>
      <w:pgMar w:top="1440" w:right="1440" w:bottom="1440" w:left="144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225" w:rsidRDefault="00437225" w:rsidP="00A06C2C">
      <w:pPr>
        <w:spacing w:after="0" w:line="240" w:lineRule="auto"/>
      </w:pPr>
      <w:r>
        <w:separator/>
      </w:r>
    </w:p>
  </w:endnote>
  <w:endnote w:type="continuationSeparator" w:id="0">
    <w:p w:rsidR="00437225" w:rsidRDefault="00437225" w:rsidP="00A0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DDE" w:rsidRDefault="009D6DDE" w:rsidP="009D6DDE">
    <w:pPr>
      <w:pStyle w:val="Footer"/>
      <w:jc w:val="right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691742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:rsidR="00871BED" w:rsidRPr="00871BED" w:rsidRDefault="00871BED">
        <w:pPr>
          <w:pStyle w:val="Footer"/>
          <w:jc w:val="right"/>
          <w:rPr>
            <w:color w:val="FFFFFF" w:themeColor="background1"/>
          </w:rPr>
        </w:pPr>
        <w:r w:rsidRPr="00871BED">
          <w:rPr>
            <w:color w:val="FFFFFF" w:themeColor="background1"/>
          </w:rPr>
          <w:fldChar w:fldCharType="begin"/>
        </w:r>
        <w:r w:rsidRPr="00871BED">
          <w:rPr>
            <w:color w:val="FFFFFF" w:themeColor="background1"/>
          </w:rPr>
          <w:instrText xml:space="preserve"> PAGE   \* MERGEFORMAT </w:instrText>
        </w:r>
        <w:r w:rsidRPr="00871BED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871BED">
          <w:rPr>
            <w:noProof/>
            <w:color w:val="FFFFFF" w:themeColor="background1"/>
          </w:rPr>
          <w:fldChar w:fldCharType="end"/>
        </w:r>
      </w:p>
    </w:sdtContent>
  </w:sdt>
  <w:p w:rsidR="003E6A8F" w:rsidRDefault="003E6A8F" w:rsidP="009D6DDE">
    <w:pPr>
      <w:pStyle w:val="Footer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2C" w:rsidRDefault="00A06C2C" w:rsidP="009D6DD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225" w:rsidRDefault="00437225" w:rsidP="00A06C2C">
      <w:pPr>
        <w:spacing w:after="0" w:line="240" w:lineRule="auto"/>
      </w:pPr>
      <w:r>
        <w:separator/>
      </w:r>
    </w:p>
  </w:footnote>
  <w:footnote w:type="continuationSeparator" w:id="0">
    <w:p w:rsidR="00437225" w:rsidRDefault="00437225" w:rsidP="00A06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539F6"/>
    <w:multiLevelType w:val="multilevel"/>
    <w:tmpl w:val="43FC7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1">
    <w:nsid w:val="4B484188"/>
    <w:multiLevelType w:val="hybridMultilevel"/>
    <w:tmpl w:val="7DEAEA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E2"/>
    <w:rsid w:val="00050780"/>
    <w:rsid w:val="00114240"/>
    <w:rsid w:val="00120875"/>
    <w:rsid w:val="00137281"/>
    <w:rsid w:val="001E4BE2"/>
    <w:rsid w:val="001F1DEB"/>
    <w:rsid w:val="002C2AD6"/>
    <w:rsid w:val="002C4A21"/>
    <w:rsid w:val="00316CCC"/>
    <w:rsid w:val="00383161"/>
    <w:rsid w:val="003E6A8F"/>
    <w:rsid w:val="00437225"/>
    <w:rsid w:val="00466ED1"/>
    <w:rsid w:val="00571360"/>
    <w:rsid w:val="006539B9"/>
    <w:rsid w:val="007616B0"/>
    <w:rsid w:val="00871BED"/>
    <w:rsid w:val="008B5CA2"/>
    <w:rsid w:val="009D6DDE"/>
    <w:rsid w:val="00A01819"/>
    <w:rsid w:val="00A06C2C"/>
    <w:rsid w:val="00A66BE2"/>
    <w:rsid w:val="00AF7B1F"/>
    <w:rsid w:val="00B449D7"/>
    <w:rsid w:val="00B768C4"/>
    <w:rsid w:val="00BC4F37"/>
    <w:rsid w:val="00C2011E"/>
    <w:rsid w:val="00C46176"/>
    <w:rsid w:val="00CB03E1"/>
    <w:rsid w:val="00D12A0B"/>
    <w:rsid w:val="00D15B2B"/>
    <w:rsid w:val="00D17F28"/>
    <w:rsid w:val="00DA1622"/>
    <w:rsid w:val="00DC37F5"/>
    <w:rsid w:val="00E7187C"/>
    <w:rsid w:val="00F4109D"/>
    <w:rsid w:val="00F70861"/>
    <w:rsid w:val="00FA20EB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CC"/>
    <w:rPr>
      <w:rFonts w:ascii="Calibri" w:eastAsia="Calibri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6C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CCC"/>
    <w:pPr>
      <w:ind w:left="720"/>
      <w:contextualSpacing/>
    </w:pPr>
  </w:style>
  <w:style w:type="paragraph" w:customStyle="1" w:styleId="2">
    <w:name w:val="НАСЛОВ 2"/>
    <w:basedOn w:val="Heading1"/>
    <w:next w:val="Normal"/>
    <w:link w:val="2Char"/>
    <w:qFormat/>
    <w:rsid w:val="00316CCC"/>
    <w:pPr>
      <w:keepLines w:val="0"/>
      <w:spacing w:before="0" w:after="240" w:line="240" w:lineRule="auto"/>
      <w:jc w:val="both"/>
    </w:pPr>
    <w:rPr>
      <w:rFonts w:ascii="Times New Roman" w:eastAsia="Times New Roman" w:hAnsi="Times New Roman" w:cs="Arial"/>
      <w:bCs/>
      <w:color w:val="auto"/>
      <w:kern w:val="32"/>
      <w:sz w:val="24"/>
    </w:rPr>
  </w:style>
  <w:style w:type="character" w:customStyle="1" w:styleId="2Char">
    <w:name w:val="НАСЛОВ 2 Char"/>
    <w:basedOn w:val="DefaultParagraphFont"/>
    <w:link w:val="2"/>
    <w:rsid w:val="00316CCC"/>
    <w:rPr>
      <w:rFonts w:eastAsia="Times New Roman" w:cs="Arial"/>
      <w:bCs/>
      <w:kern w:val="32"/>
      <w:szCs w:val="32"/>
    </w:rPr>
  </w:style>
  <w:style w:type="table" w:styleId="TableGrid">
    <w:name w:val="Table Grid"/>
    <w:basedOn w:val="TableNormal"/>
    <w:uiPriority w:val="39"/>
    <w:rsid w:val="00316CC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6C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6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C2C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A06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C2C"/>
    <w:rPr>
      <w:rFonts w:ascii="Calibri" w:eastAsia="Calibri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A16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6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6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6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62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62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CC"/>
    <w:rPr>
      <w:rFonts w:ascii="Calibri" w:eastAsia="Calibri" w:hAnsi="Calibri"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6C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CCC"/>
    <w:pPr>
      <w:ind w:left="720"/>
      <w:contextualSpacing/>
    </w:pPr>
  </w:style>
  <w:style w:type="paragraph" w:customStyle="1" w:styleId="2">
    <w:name w:val="НАСЛОВ 2"/>
    <w:basedOn w:val="Heading1"/>
    <w:next w:val="Normal"/>
    <w:link w:val="2Char"/>
    <w:qFormat/>
    <w:rsid w:val="00316CCC"/>
    <w:pPr>
      <w:keepLines w:val="0"/>
      <w:spacing w:before="0" w:after="240" w:line="240" w:lineRule="auto"/>
      <w:jc w:val="both"/>
    </w:pPr>
    <w:rPr>
      <w:rFonts w:ascii="Times New Roman" w:eastAsia="Times New Roman" w:hAnsi="Times New Roman" w:cs="Arial"/>
      <w:bCs/>
      <w:color w:val="auto"/>
      <w:kern w:val="32"/>
      <w:sz w:val="24"/>
    </w:rPr>
  </w:style>
  <w:style w:type="character" w:customStyle="1" w:styleId="2Char">
    <w:name w:val="НАСЛОВ 2 Char"/>
    <w:basedOn w:val="DefaultParagraphFont"/>
    <w:link w:val="2"/>
    <w:rsid w:val="00316CCC"/>
    <w:rPr>
      <w:rFonts w:eastAsia="Times New Roman" w:cs="Arial"/>
      <w:bCs/>
      <w:kern w:val="32"/>
      <w:szCs w:val="32"/>
    </w:rPr>
  </w:style>
  <w:style w:type="table" w:styleId="TableGrid">
    <w:name w:val="Table Grid"/>
    <w:basedOn w:val="TableNormal"/>
    <w:uiPriority w:val="39"/>
    <w:rsid w:val="00316CC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16C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6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C2C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A06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C2C"/>
    <w:rPr>
      <w:rFonts w:ascii="Calibri" w:eastAsia="Calibri" w:hAnsi="Calibri" w:cs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A16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6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6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6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62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6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D68CC-D861-4492-BCEA-C00D36A9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Markovic</dc:creator>
  <cp:lastModifiedBy>Marija Gacanovic</cp:lastModifiedBy>
  <cp:revision>13</cp:revision>
  <cp:lastPrinted>2019-12-13T11:50:00Z</cp:lastPrinted>
  <dcterms:created xsi:type="dcterms:W3CDTF">2019-12-13T11:12:00Z</dcterms:created>
  <dcterms:modified xsi:type="dcterms:W3CDTF">2019-12-13T12:21:00Z</dcterms:modified>
</cp:coreProperties>
</file>