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5E7" w:rsidRPr="00D81708" w:rsidRDefault="00A665E7" w:rsidP="00A665E7">
      <w:pPr>
        <w:suppressAutoHyphens/>
        <w:spacing w:line="240" w:lineRule="auto"/>
        <w:jc w:val="right"/>
        <w:rPr>
          <w:b/>
          <w:sz w:val="22"/>
          <w:szCs w:val="22"/>
          <w:lang w:val="sr-Cyrl-CS"/>
        </w:rPr>
      </w:pPr>
    </w:p>
    <w:p w:rsidR="00007FA3" w:rsidRPr="00D81708" w:rsidRDefault="00007FA3" w:rsidP="00A665E7">
      <w:pPr>
        <w:suppressAutoHyphens/>
        <w:spacing w:line="240" w:lineRule="auto"/>
        <w:jc w:val="right"/>
        <w:rPr>
          <w:b/>
          <w:sz w:val="22"/>
          <w:szCs w:val="22"/>
          <w:lang w:val="sr-Cyrl-CS"/>
        </w:rPr>
      </w:pPr>
    </w:p>
    <w:p w:rsidR="0021552A" w:rsidRPr="00D81708" w:rsidRDefault="00EA2F1F" w:rsidP="0021552A">
      <w:pPr>
        <w:spacing w:line="240" w:lineRule="auto"/>
        <w:jc w:val="center"/>
        <w:rPr>
          <w:szCs w:val="24"/>
          <w:lang w:val="sr-Cyrl-CS"/>
        </w:rPr>
      </w:pPr>
      <w:r w:rsidRPr="00D81708">
        <w:rPr>
          <w:szCs w:val="24"/>
          <w:lang w:val="sr-Cyrl-CS"/>
        </w:rPr>
        <w:t>ПРЕДЛОГ ЗАКОНА</w:t>
      </w:r>
    </w:p>
    <w:p w:rsidR="0021552A" w:rsidRPr="00D81708" w:rsidRDefault="0021552A" w:rsidP="0021552A">
      <w:pPr>
        <w:spacing w:line="240" w:lineRule="auto"/>
        <w:jc w:val="center"/>
        <w:rPr>
          <w:szCs w:val="24"/>
          <w:lang w:val="sr-Cyrl-CS"/>
        </w:rPr>
      </w:pPr>
      <w:r w:rsidRPr="00D81708">
        <w:rPr>
          <w:szCs w:val="24"/>
          <w:lang w:val="sr-Cyrl-CS"/>
        </w:rPr>
        <w:t xml:space="preserve">О ПОТВРЂИВАЊУ </w:t>
      </w:r>
      <w:bookmarkStart w:id="0" w:name="SADRZAJ_002"/>
      <w:r w:rsidRPr="00D81708">
        <w:rPr>
          <w:szCs w:val="24"/>
          <w:lang w:val="sr-Cyrl-CS"/>
        </w:rPr>
        <w:t>СПОРАЗУМА О ЗАЈМУ (</w:t>
      </w:r>
      <w:r w:rsidR="00C622CC" w:rsidRPr="00D81708">
        <w:rPr>
          <w:lang w:val="sr-Cyrl-CS"/>
        </w:rPr>
        <w:t>ПРОЈЕКАТ ЗА КОНКУРЕНТНУ ПОЉОПРИВРЕДУ</w:t>
      </w:r>
      <w:r w:rsidR="008D57CD" w:rsidRPr="00D81708">
        <w:rPr>
          <w:szCs w:val="24"/>
          <w:lang w:val="sr-Cyrl-CS"/>
        </w:rPr>
        <w:t xml:space="preserve">) </w:t>
      </w:r>
      <w:r w:rsidRPr="00D81708">
        <w:rPr>
          <w:szCs w:val="24"/>
          <w:lang w:val="sr-Cyrl-CS"/>
        </w:rPr>
        <w:t>ИЗМЕЂУ РЕПУБЛИКЕ СРБИЈЕ И МЕЂУНАРОДНЕ БАНКЕ ЗА ОБНОВУ И РАЗВОЈ</w:t>
      </w:r>
    </w:p>
    <w:p w:rsidR="0021552A" w:rsidRPr="00D81708" w:rsidRDefault="0021552A" w:rsidP="0021552A">
      <w:pPr>
        <w:pStyle w:val="2zakon"/>
        <w:rPr>
          <w:rFonts w:ascii="Times New Roman" w:hAnsi="Times New Roman" w:cs="Times New Roman"/>
          <w:b/>
          <w:color w:val="auto"/>
          <w:sz w:val="24"/>
          <w:szCs w:val="24"/>
          <w:lang w:val="sr-Cyrl-CS"/>
        </w:rPr>
      </w:pPr>
      <w:bookmarkStart w:id="1" w:name="SADRZAJ_003"/>
      <w:bookmarkStart w:id="2" w:name="_GoBack"/>
      <w:bookmarkEnd w:id="0"/>
      <w:bookmarkEnd w:id="2"/>
    </w:p>
    <w:p w:rsidR="0021552A" w:rsidRPr="00D81708" w:rsidRDefault="0021552A" w:rsidP="0021552A">
      <w:pPr>
        <w:pStyle w:val="NoSpacing"/>
        <w:jc w:val="center"/>
        <w:rPr>
          <w:lang w:val="sr-Cyrl-CS"/>
        </w:rPr>
      </w:pPr>
      <w:r w:rsidRPr="00D81708">
        <w:rPr>
          <w:lang w:val="sr-Cyrl-CS"/>
        </w:rPr>
        <w:t>Члан 1.</w:t>
      </w:r>
    </w:p>
    <w:p w:rsidR="0021552A" w:rsidRPr="00D81708" w:rsidRDefault="0021552A" w:rsidP="00C622CC">
      <w:pPr>
        <w:pStyle w:val="NoSpacing"/>
        <w:ind w:firstLine="709"/>
        <w:jc w:val="both"/>
        <w:rPr>
          <w:lang w:val="sr-Cyrl-CS"/>
        </w:rPr>
      </w:pPr>
      <w:bookmarkStart w:id="3" w:name="SADRZAJ_004"/>
      <w:bookmarkEnd w:id="1"/>
      <w:r w:rsidRPr="00D81708">
        <w:rPr>
          <w:lang w:val="sr-Cyrl-CS"/>
        </w:rPr>
        <w:t>Потврђује се Споразум о зајму (</w:t>
      </w:r>
      <w:r w:rsidR="00C622CC" w:rsidRPr="00D81708">
        <w:rPr>
          <w:lang w:val="sr-Cyrl-CS"/>
        </w:rPr>
        <w:t>Пројекат за конкурентну пољопривреду</w:t>
      </w:r>
      <w:r w:rsidRPr="00D81708">
        <w:rPr>
          <w:lang w:val="sr-Cyrl-CS"/>
        </w:rPr>
        <w:t xml:space="preserve">) између Републике Србије и Међународне банке за обнову и развој, који је потписан </w:t>
      </w:r>
      <w:r w:rsidR="002D1645" w:rsidRPr="00D81708">
        <w:rPr>
          <w:lang w:val="sr-Cyrl-CS"/>
        </w:rPr>
        <w:t xml:space="preserve">у Београду </w:t>
      </w:r>
      <w:r w:rsidR="00C622CC" w:rsidRPr="00D81708">
        <w:rPr>
          <w:lang w:val="sr-Cyrl-CS"/>
        </w:rPr>
        <w:t>9</w:t>
      </w:r>
      <w:r w:rsidRPr="00D81708">
        <w:rPr>
          <w:lang w:val="sr-Cyrl-CS"/>
        </w:rPr>
        <w:t xml:space="preserve">. </w:t>
      </w:r>
      <w:r w:rsidR="00C622CC" w:rsidRPr="00D81708">
        <w:rPr>
          <w:lang w:val="sr-Cyrl-CS"/>
        </w:rPr>
        <w:t>децембра</w:t>
      </w:r>
      <w:r w:rsidRPr="00D81708">
        <w:rPr>
          <w:lang w:val="sr-Cyrl-CS"/>
        </w:rPr>
        <w:t xml:space="preserve"> 201</w:t>
      </w:r>
      <w:r w:rsidR="009C0E50" w:rsidRPr="00D81708">
        <w:rPr>
          <w:lang w:val="sr-Cyrl-CS"/>
        </w:rPr>
        <w:t>9</w:t>
      </w:r>
      <w:r w:rsidRPr="00D81708">
        <w:rPr>
          <w:lang w:val="sr-Cyrl-CS"/>
        </w:rPr>
        <w:t>. године, у оригиналу на енглеском језику.</w:t>
      </w:r>
    </w:p>
    <w:p w:rsidR="0021552A" w:rsidRPr="00D81708" w:rsidRDefault="0021552A" w:rsidP="0021552A">
      <w:pPr>
        <w:pStyle w:val="NoSpacing"/>
        <w:jc w:val="both"/>
        <w:rPr>
          <w:lang w:val="sr-Cyrl-CS"/>
        </w:rPr>
      </w:pPr>
    </w:p>
    <w:p w:rsidR="0021552A" w:rsidRPr="00D81708" w:rsidRDefault="0021552A" w:rsidP="0021552A">
      <w:pPr>
        <w:pStyle w:val="NoSpacing"/>
        <w:jc w:val="center"/>
        <w:rPr>
          <w:b/>
          <w:lang w:val="sr-Cyrl-CS"/>
        </w:rPr>
      </w:pPr>
      <w:r w:rsidRPr="00D81708">
        <w:rPr>
          <w:lang w:val="sr-Cyrl-CS"/>
        </w:rPr>
        <w:t>Члан 2.</w:t>
      </w:r>
      <w:bookmarkEnd w:id="3"/>
    </w:p>
    <w:p w:rsidR="0021552A" w:rsidRPr="00D81708" w:rsidRDefault="0021552A" w:rsidP="0021552A">
      <w:pPr>
        <w:pStyle w:val="NoSpacing"/>
        <w:ind w:firstLine="709"/>
        <w:jc w:val="both"/>
        <w:rPr>
          <w:b/>
          <w:u w:val="single"/>
          <w:lang w:val="sr-Cyrl-CS"/>
        </w:rPr>
      </w:pPr>
      <w:r w:rsidRPr="00D81708">
        <w:rPr>
          <w:lang w:val="sr-Cyrl-CS"/>
        </w:rPr>
        <w:t>Текст Споразума о зајму (</w:t>
      </w:r>
      <w:r w:rsidR="006879D2" w:rsidRPr="00D81708">
        <w:rPr>
          <w:lang w:val="sr-Cyrl-CS"/>
        </w:rPr>
        <w:t>Пројекат за конкурентну пољопривреду</w:t>
      </w:r>
      <w:r w:rsidRPr="00D81708">
        <w:rPr>
          <w:lang w:val="sr-Cyrl-CS"/>
        </w:rPr>
        <w:t xml:space="preserve">) између Републике Србије и Међународне банке за обнову и развој, у оригиналу на енглеском језику и </w:t>
      </w:r>
      <w:bookmarkStart w:id="4" w:name="SADRZAJ_013"/>
      <w:r w:rsidRPr="00D81708">
        <w:rPr>
          <w:lang w:val="sr-Cyrl-CS"/>
        </w:rPr>
        <w:t>у преводу на српски језик гласи</w:t>
      </w:r>
      <w:bookmarkEnd w:id="4"/>
      <w:r w:rsidRPr="00D81708">
        <w:rPr>
          <w:lang w:val="sr-Cyrl-CS"/>
        </w:rPr>
        <w:t xml:space="preserve">: </w:t>
      </w:r>
    </w:p>
    <w:p w:rsidR="008D57CD" w:rsidRPr="00D81708" w:rsidRDefault="003848A0" w:rsidP="008D57CD">
      <w:pPr>
        <w:spacing w:line="240" w:lineRule="auto"/>
        <w:rPr>
          <w:b/>
          <w:bCs/>
          <w:color w:val="FF0000"/>
          <w:sz w:val="22"/>
          <w:szCs w:val="22"/>
          <w:lang w:val="sr-Cyrl-CS"/>
        </w:rPr>
      </w:pPr>
      <w:r w:rsidRPr="00D81708">
        <w:rPr>
          <w:b/>
          <w:bCs/>
          <w:color w:val="FF0000"/>
          <w:sz w:val="22"/>
          <w:szCs w:val="22"/>
          <w:lang w:val="sr-Cyrl-CS"/>
        </w:rPr>
        <w:br w:type="page"/>
      </w:r>
    </w:p>
    <w:p w:rsidR="008D57CD" w:rsidRPr="00D81708" w:rsidRDefault="008D57CD" w:rsidP="008D57CD">
      <w:pPr>
        <w:suppressAutoHyphens/>
        <w:spacing w:line="240" w:lineRule="auto"/>
        <w:jc w:val="right"/>
        <w:rPr>
          <w:b/>
          <w:sz w:val="22"/>
          <w:szCs w:val="22"/>
          <w:lang w:val="sr-Cyrl-CS"/>
        </w:rPr>
      </w:pPr>
    </w:p>
    <w:p w:rsidR="006A5DA8" w:rsidRPr="00D81708" w:rsidRDefault="006A5DA8" w:rsidP="006A5DA8">
      <w:pPr>
        <w:suppressAutoHyphens/>
        <w:spacing w:line="240" w:lineRule="auto"/>
        <w:jc w:val="right"/>
        <w:rPr>
          <w:b/>
          <w:sz w:val="22"/>
          <w:szCs w:val="22"/>
          <w:lang w:val="sr-Cyrl-CS"/>
        </w:rPr>
      </w:pPr>
      <w:r w:rsidRPr="00D81708">
        <w:rPr>
          <w:b/>
          <w:sz w:val="22"/>
          <w:szCs w:val="22"/>
          <w:lang w:val="sr-Cyrl-CS"/>
        </w:rPr>
        <w:t xml:space="preserve">LOAN NUMBER </w:t>
      </w:r>
      <w:r w:rsidR="006879D2" w:rsidRPr="00D81708">
        <w:rPr>
          <w:b/>
          <w:sz w:val="22"/>
          <w:szCs w:val="22"/>
          <w:lang w:val="sr-Cyrl-CS"/>
        </w:rPr>
        <w:t>9023-YF</w:t>
      </w: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6A5DA8" w:rsidRPr="00D81708" w:rsidRDefault="006A5DA8" w:rsidP="006A5DA8">
      <w:pPr>
        <w:suppressAutoHyphens/>
        <w:spacing w:line="240" w:lineRule="auto"/>
        <w:jc w:val="center"/>
        <w:rPr>
          <w:b/>
          <w:sz w:val="50"/>
          <w:lang w:val="sr-Cyrl-CS"/>
        </w:rPr>
      </w:pPr>
      <w:r w:rsidRPr="00D81708">
        <w:rPr>
          <w:b/>
          <w:sz w:val="50"/>
          <w:lang w:val="sr-Cyrl-CS"/>
        </w:rPr>
        <w:t>Loan Agreement</w:t>
      </w:r>
    </w:p>
    <w:p w:rsidR="006A5DA8" w:rsidRPr="00D81708" w:rsidRDefault="006A5DA8" w:rsidP="006A5DA8">
      <w:pPr>
        <w:suppressAutoHyphens/>
        <w:spacing w:line="240" w:lineRule="auto"/>
        <w:jc w:val="center"/>
        <w:rPr>
          <w:b/>
          <w:lang w:val="sr-Cyrl-CS"/>
        </w:rPr>
      </w:pPr>
    </w:p>
    <w:p w:rsidR="006A5DA8" w:rsidRPr="00D81708" w:rsidRDefault="006A5DA8" w:rsidP="006A5DA8">
      <w:pPr>
        <w:suppressAutoHyphens/>
        <w:spacing w:line="240" w:lineRule="auto"/>
        <w:jc w:val="center"/>
        <w:rPr>
          <w:b/>
          <w:lang w:val="sr-Cyrl-CS"/>
        </w:rPr>
      </w:pPr>
    </w:p>
    <w:p w:rsidR="006879D2" w:rsidRPr="00D81708" w:rsidRDefault="006879D2" w:rsidP="006879D2">
      <w:pPr>
        <w:suppressAutoHyphens/>
        <w:spacing w:line="240" w:lineRule="auto"/>
        <w:jc w:val="center"/>
        <w:rPr>
          <w:b/>
          <w:sz w:val="22"/>
          <w:szCs w:val="22"/>
          <w:lang w:val="sr-Cyrl-CS"/>
        </w:rPr>
      </w:pPr>
      <w:r w:rsidRPr="00D81708">
        <w:rPr>
          <w:b/>
          <w:sz w:val="22"/>
          <w:szCs w:val="22"/>
          <w:lang w:val="sr-Cyrl-CS"/>
        </w:rPr>
        <w:t>(Competitive Agriculture Project)</w:t>
      </w:r>
    </w:p>
    <w:p w:rsidR="006A5DA8" w:rsidRPr="00D81708" w:rsidRDefault="006879D2" w:rsidP="006A5DA8">
      <w:pPr>
        <w:suppressAutoHyphens/>
        <w:spacing w:line="240" w:lineRule="auto"/>
        <w:jc w:val="center"/>
        <w:rPr>
          <w:b/>
          <w:sz w:val="22"/>
          <w:szCs w:val="22"/>
          <w:lang w:val="sr-Cyrl-CS"/>
        </w:rPr>
      </w:pPr>
      <w:r w:rsidRPr="00D81708">
        <w:rPr>
          <w:b/>
          <w:sz w:val="22"/>
          <w:szCs w:val="22"/>
          <w:lang w:val="sr-Cyrl-CS"/>
        </w:rPr>
        <w:tab/>
      </w:r>
    </w:p>
    <w:p w:rsidR="006A5DA8" w:rsidRPr="00D81708" w:rsidRDefault="006A5DA8" w:rsidP="006A5DA8">
      <w:pPr>
        <w:suppressAutoHyphens/>
        <w:spacing w:line="240" w:lineRule="auto"/>
        <w:jc w:val="center"/>
        <w:rPr>
          <w:b/>
          <w:sz w:val="22"/>
          <w:szCs w:val="22"/>
          <w:lang w:val="sr-Cyrl-CS"/>
        </w:rPr>
      </w:pPr>
    </w:p>
    <w:p w:rsidR="006A5DA8" w:rsidRPr="00D81708" w:rsidRDefault="006A5DA8" w:rsidP="006A5DA8">
      <w:pPr>
        <w:suppressAutoHyphens/>
        <w:spacing w:line="240" w:lineRule="auto"/>
        <w:jc w:val="center"/>
        <w:rPr>
          <w:b/>
          <w:sz w:val="22"/>
          <w:szCs w:val="22"/>
          <w:lang w:val="sr-Cyrl-CS"/>
        </w:rPr>
      </w:pPr>
    </w:p>
    <w:p w:rsidR="006A5DA8" w:rsidRPr="00D81708" w:rsidRDefault="006A5DA8" w:rsidP="006A5DA8">
      <w:pPr>
        <w:suppressAutoHyphens/>
        <w:spacing w:line="240" w:lineRule="auto"/>
        <w:jc w:val="center"/>
        <w:rPr>
          <w:b/>
          <w:sz w:val="22"/>
          <w:szCs w:val="22"/>
          <w:lang w:val="sr-Cyrl-CS"/>
        </w:rPr>
      </w:pPr>
      <w:r w:rsidRPr="00D81708">
        <w:rPr>
          <w:b/>
          <w:sz w:val="22"/>
          <w:szCs w:val="22"/>
          <w:lang w:val="sr-Cyrl-CS"/>
        </w:rPr>
        <w:t>between</w:t>
      </w:r>
    </w:p>
    <w:p w:rsidR="006A5DA8" w:rsidRPr="00D81708" w:rsidRDefault="006A5DA8" w:rsidP="006A5DA8">
      <w:pPr>
        <w:suppressAutoHyphens/>
        <w:spacing w:line="240" w:lineRule="auto"/>
        <w:jc w:val="center"/>
        <w:rPr>
          <w:b/>
          <w:sz w:val="22"/>
          <w:szCs w:val="22"/>
          <w:lang w:val="sr-Cyrl-CS"/>
        </w:rPr>
      </w:pPr>
    </w:p>
    <w:p w:rsidR="006A5DA8" w:rsidRPr="00D81708" w:rsidRDefault="006A5DA8" w:rsidP="006A5DA8">
      <w:pPr>
        <w:suppressAutoHyphens/>
        <w:spacing w:line="240" w:lineRule="auto"/>
        <w:jc w:val="center"/>
        <w:rPr>
          <w:b/>
          <w:sz w:val="22"/>
          <w:szCs w:val="22"/>
          <w:lang w:val="sr-Cyrl-CS"/>
        </w:rPr>
      </w:pPr>
    </w:p>
    <w:p w:rsidR="006A5DA8" w:rsidRPr="00D81708" w:rsidRDefault="006A5DA8" w:rsidP="006A5DA8">
      <w:pPr>
        <w:suppressAutoHyphens/>
        <w:spacing w:line="240" w:lineRule="auto"/>
        <w:jc w:val="center"/>
        <w:rPr>
          <w:b/>
          <w:sz w:val="22"/>
          <w:szCs w:val="22"/>
          <w:lang w:val="sr-Cyrl-CS"/>
        </w:rPr>
      </w:pPr>
    </w:p>
    <w:p w:rsidR="006A5DA8" w:rsidRPr="00D81708" w:rsidRDefault="006A5DA8" w:rsidP="006A5DA8">
      <w:pPr>
        <w:suppressAutoHyphens/>
        <w:spacing w:line="240" w:lineRule="auto"/>
        <w:jc w:val="center"/>
        <w:rPr>
          <w:b/>
          <w:sz w:val="22"/>
          <w:szCs w:val="22"/>
          <w:lang w:val="sr-Cyrl-CS"/>
        </w:rPr>
      </w:pPr>
      <w:r w:rsidRPr="00D81708">
        <w:rPr>
          <w:b/>
          <w:sz w:val="22"/>
          <w:szCs w:val="22"/>
          <w:lang w:val="sr-Cyrl-CS"/>
        </w:rPr>
        <w:t>REPUBLIC OF SERBIA</w:t>
      </w:r>
    </w:p>
    <w:p w:rsidR="006A5DA8" w:rsidRPr="00D81708" w:rsidRDefault="006A5DA8" w:rsidP="006A5DA8">
      <w:pPr>
        <w:suppressAutoHyphens/>
        <w:spacing w:line="240" w:lineRule="auto"/>
        <w:jc w:val="center"/>
        <w:rPr>
          <w:b/>
          <w:sz w:val="22"/>
          <w:szCs w:val="22"/>
          <w:lang w:val="sr-Cyrl-CS"/>
        </w:rPr>
      </w:pPr>
    </w:p>
    <w:p w:rsidR="006A5DA8" w:rsidRPr="00D81708" w:rsidRDefault="006A5DA8" w:rsidP="006A5DA8">
      <w:pPr>
        <w:suppressAutoHyphens/>
        <w:spacing w:line="240" w:lineRule="auto"/>
        <w:jc w:val="center"/>
        <w:rPr>
          <w:b/>
          <w:sz w:val="22"/>
          <w:szCs w:val="22"/>
          <w:lang w:val="sr-Cyrl-CS"/>
        </w:rPr>
      </w:pPr>
    </w:p>
    <w:p w:rsidR="006A5DA8" w:rsidRPr="00D81708" w:rsidRDefault="006A5DA8" w:rsidP="006A5DA8">
      <w:pPr>
        <w:suppressAutoHyphens/>
        <w:spacing w:line="240" w:lineRule="auto"/>
        <w:jc w:val="center"/>
        <w:rPr>
          <w:b/>
          <w:sz w:val="22"/>
          <w:szCs w:val="22"/>
          <w:lang w:val="sr-Cyrl-CS"/>
        </w:rPr>
      </w:pPr>
      <w:r w:rsidRPr="00D81708">
        <w:rPr>
          <w:b/>
          <w:sz w:val="22"/>
          <w:szCs w:val="22"/>
          <w:lang w:val="sr-Cyrl-CS"/>
        </w:rPr>
        <w:t>and</w:t>
      </w:r>
    </w:p>
    <w:p w:rsidR="006A5DA8" w:rsidRPr="00D81708" w:rsidRDefault="006A5DA8" w:rsidP="006A5DA8">
      <w:pPr>
        <w:tabs>
          <w:tab w:val="left" w:pos="3435"/>
        </w:tabs>
        <w:suppressAutoHyphens/>
        <w:spacing w:line="240" w:lineRule="auto"/>
        <w:rPr>
          <w:b/>
          <w:sz w:val="22"/>
          <w:szCs w:val="22"/>
          <w:lang w:val="sr-Cyrl-CS"/>
        </w:rPr>
      </w:pPr>
      <w:r w:rsidRPr="00D81708">
        <w:rPr>
          <w:b/>
          <w:sz w:val="22"/>
          <w:szCs w:val="22"/>
          <w:lang w:val="sr-Cyrl-CS"/>
        </w:rPr>
        <w:tab/>
      </w:r>
    </w:p>
    <w:p w:rsidR="006A5DA8" w:rsidRPr="00D81708" w:rsidRDefault="006A5DA8" w:rsidP="006A5DA8">
      <w:pPr>
        <w:suppressAutoHyphens/>
        <w:spacing w:line="240" w:lineRule="auto"/>
        <w:jc w:val="center"/>
        <w:rPr>
          <w:b/>
          <w:sz w:val="22"/>
          <w:szCs w:val="22"/>
          <w:lang w:val="sr-Cyrl-CS"/>
        </w:rPr>
      </w:pPr>
    </w:p>
    <w:p w:rsidR="006A5DA8" w:rsidRPr="00D81708" w:rsidRDefault="006A5DA8" w:rsidP="006A5DA8">
      <w:pPr>
        <w:suppressAutoHyphens/>
        <w:spacing w:line="240" w:lineRule="auto"/>
        <w:jc w:val="center"/>
        <w:rPr>
          <w:b/>
          <w:sz w:val="22"/>
          <w:szCs w:val="22"/>
          <w:lang w:val="sr-Cyrl-CS"/>
        </w:rPr>
      </w:pPr>
      <w:r w:rsidRPr="00D81708">
        <w:rPr>
          <w:b/>
          <w:sz w:val="22"/>
          <w:szCs w:val="22"/>
          <w:lang w:val="sr-Cyrl-CS"/>
        </w:rPr>
        <w:t>INTERNATIONAL BANK FOR RECONSTRUCTION</w:t>
      </w:r>
    </w:p>
    <w:p w:rsidR="006A5DA8" w:rsidRPr="00D81708" w:rsidRDefault="006A5DA8" w:rsidP="006A5DA8">
      <w:pPr>
        <w:suppressAutoHyphens/>
        <w:spacing w:line="240" w:lineRule="auto"/>
        <w:jc w:val="center"/>
        <w:rPr>
          <w:b/>
          <w:sz w:val="22"/>
          <w:szCs w:val="22"/>
          <w:lang w:val="sr-Cyrl-CS"/>
        </w:rPr>
      </w:pPr>
      <w:r w:rsidRPr="00D81708">
        <w:rPr>
          <w:b/>
          <w:sz w:val="22"/>
          <w:szCs w:val="22"/>
          <w:lang w:val="sr-Cyrl-CS"/>
        </w:rPr>
        <w:t>AND DEVELOPMENT</w:t>
      </w:r>
    </w:p>
    <w:p w:rsidR="006A5DA8" w:rsidRPr="00D81708" w:rsidRDefault="006A5DA8" w:rsidP="006A5DA8">
      <w:pPr>
        <w:suppressAutoHyphens/>
        <w:spacing w:line="240" w:lineRule="auto"/>
        <w:rPr>
          <w:b/>
          <w:sz w:val="22"/>
          <w:szCs w:val="22"/>
          <w:lang w:val="sr-Cyrl-CS"/>
        </w:rPr>
      </w:pPr>
    </w:p>
    <w:p w:rsidR="008D57CD" w:rsidRPr="00D81708" w:rsidRDefault="008D57CD" w:rsidP="008D57CD">
      <w:pPr>
        <w:suppressAutoHyphens/>
        <w:spacing w:line="240" w:lineRule="auto"/>
        <w:rPr>
          <w:b/>
          <w:sz w:val="22"/>
          <w:szCs w:val="22"/>
          <w:lang w:val="sr-Cyrl-CS"/>
        </w:rPr>
      </w:pPr>
    </w:p>
    <w:p w:rsidR="008D57CD" w:rsidRPr="00D81708" w:rsidRDefault="008D57CD" w:rsidP="008D57CD">
      <w:pPr>
        <w:suppressAutoHyphens/>
        <w:spacing w:line="240" w:lineRule="auto"/>
        <w:jc w:val="center"/>
        <w:rPr>
          <w:b/>
          <w:sz w:val="22"/>
          <w:szCs w:val="22"/>
          <w:lang w:val="sr-Cyrl-CS"/>
        </w:rPr>
      </w:pPr>
    </w:p>
    <w:p w:rsidR="008D57CD" w:rsidRPr="00D81708" w:rsidRDefault="008D57CD" w:rsidP="008D57CD">
      <w:pPr>
        <w:suppressAutoHyphens/>
        <w:spacing w:line="240" w:lineRule="auto"/>
        <w:jc w:val="center"/>
        <w:rPr>
          <w:b/>
          <w:sz w:val="22"/>
          <w:szCs w:val="22"/>
          <w:lang w:val="sr-Cyrl-CS"/>
        </w:rPr>
        <w:sectPr w:rsidR="008D57CD" w:rsidRPr="00D81708" w:rsidSect="00130606">
          <w:headerReference w:type="default" r:id="rId13"/>
          <w:footerReference w:type="default" r:id="rId14"/>
          <w:pgSz w:w="12240" w:h="15840"/>
          <w:pgMar w:top="1800" w:right="1800" w:bottom="1440" w:left="1800" w:header="720" w:footer="720" w:gutter="0"/>
          <w:cols w:space="720"/>
          <w:titlePg/>
          <w:docGrid w:linePitch="326"/>
        </w:sectPr>
      </w:pPr>
    </w:p>
    <w:p w:rsidR="006879D2" w:rsidRPr="00D81708" w:rsidRDefault="006879D2" w:rsidP="006879D2">
      <w:pPr>
        <w:pStyle w:val="Title"/>
        <w:spacing w:line="240" w:lineRule="auto"/>
        <w:rPr>
          <w:sz w:val="22"/>
          <w:szCs w:val="22"/>
          <w:lang w:val="sr-Cyrl-CS"/>
        </w:rPr>
      </w:pPr>
      <w:r w:rsidRPr="00D81708">
        <w:rPr>
          <w:sz w:val="22"/>
          <w:szCs w:val="22"/>
          <w:lang w:val="sr-Cyrl-CS"/>
        </w:rPr>
        <w:lastRenderedPageBreak/>
        <w:t>LOAN AGREEMENT</w:t>
      </w:r>
    </w:p>
    <w:p w:rsidR="006879D2" w:rsidRPr="00D81708" w:rsidRDefault="006879D2" w:rsidP="006879D2">
      <w:pPr>
        <w:spacing w:line="240" w:lineRule="auto"/>
        <w:jc w:val="center"/>
        <w:rPr>
          <w:sz w:val="22"/>
          <w:szCs w:val="22"/>
          <w:lang w:val="sr-Cyrl-CS"/>
        </w:rPr>
      </w:pPr>
    </w:p>
    <w:p w:rsidR="006879D2" w:rsidRPr="00D81708" w:rsidRDefault="006879D2" w:rsidP="006879D2">
      <w:pPr>
        <w:spacing w:line="240" w:lineRule="auto"/>
        <w:jc w:val="both"/>
        <w:rPr>
          <w:sz w:val="22"/>
          <w:szCs w:val="22"/>
          <w:lang w:val="sr-Cyrl-CS"/>
        </w:rPr>
      </w:pPr>
      <w:r w:rsidRPr="00D81708">
        <w:rPr>
          <w:sz w:val="22"/>
          <w:szCs w:val="22"/>
          <w:lang w:val="sr-Cyrl-CS"/>
        </w:rPr>
        <w:tab/>
        <w:t>AGREEMENT dated as of the Signature Date between REPUBLIC OF SERBIA (“Borrower”) and INTERNATIONAL BANK FOR RECONSTRUCTION AND DEVELOPMENT (“Bank”).  The Borrower and the Bank hereby agree as follows:</w:t>
      </w:r>
    </w:p>
    <w:p w:rsidR="006879D2" w:rsidRPr="00D81708" w:rsidRDefault="006879D2" w:rsidP="006879D2">
      <w:pPr>
        <w:spacing w:line="240" w:lineRule="auto"/>
        <w:jc w:val="both"/>
        <w:rPr>
          <w:sz w:val="22"/>
          <w:szCs w:val="22"/>
          <w:lang w:val="sr-Cyrl-CS"/>
        </w:rPr>
      </w:pPr>
    </w:p>
    <w:p w:rsidR="006879D2" w:rsidRPr="00D81708" w:rsidRDefault="006879D2" w:rsidP="006879D2">
      <w:pPr>
        <w:pStyle w:val="Heading1"/>
        <w:spacing w:line="240" w:lineRule="auto"/>
        <w:rPr>
          <w:sz w:val="22"/>
          <w:szCs w:val="22"/>
          <w:lang w:val="sr-Cyrl-CS"/>
        </w:rPr>
      </w:pPr>
    </w:p>
    <w:p w:rsidR="006879D2" w:rsidRPr="00D81708" w:rsidRDefault="006879D2" w:rsidP="006879D2">
      <w:pPr>
        <w:pStyle w:val="Heading1"/>
        <w:spacing w:line="240" w:lineRule="auto"/>
        <w:rPr>
          <w:sz w:val="22"/>
          <w:szCs w:val="22"/>
          <w:lang w:val="sr-Cyrl-CS"/>
        </w:rPr>
      </w:pPr>
      <w:r w:rsidRPr="00D81708">
        <w:rPr>
          <w:sz w:val="22"/>
          <w:szCs w:val="22"/>
          <w:lang w:val="sr-Cyrl-CS"/>
        </w:rPr>
        <w:t>ARTICLE I — GENERAL CONDITIONS; DEFINITIONS</w:t>
      </w:r>
    </w:p>
    <w:p w:rsidR="006879D2" w:rsidRPr="00D81708" w:rsidRDefault="006879D2" w:rsidP="006879D2">
      <w:pPr>
        <w:spacing w:line="240" w:lineRule="auto"/>
        <w:rPr>
          <w:sz w:val="22"/>
          <w:szCs w:val="22"/>
          <w:lang w:val="sr-Cyrl-CS"/>
        </w:rPr>
      </w:pPr>
    </w:p>
    <w:p w:rsidR="006879D2" w:rsidRPr="00D81708" w:rsidRDefault="006879D2" w:rsidP="006879D2">
      <w:pPr>
        <w:pStyle w:val="BodyText"/>
        <w:numPr>
          <w:ilvl w:val="1"/>
          <w:numId w:val="2"/>
        </w:numPr>
        <w:tabs>
          <w:tab w:val="clear" w:pos="1485"/>
          <w:tab w:val="num" w:pos="720"/>
        </w:tabs>
        <w:ind w:left="720" w:hanging="720"/>
        <w:rPr>
          <w:sz w:val="22"/>
          <w:szCs w:val="22"/>
          <w:lang w:val="sr-Cyrl-CS"/>
        </w:rPr>
      </w:pPr>
      <w:r w:rsidRPr="00D81708">
        <w:rPr>
          <w:sz w:val="22"/>
          <w:szCs w:val="22"/>
          <w:lang w:val="sr-Cyrl-CS"/>
        </w:rPr>
        <w:t>The General Conditions (as defined in the Appendix to this Agreement) apply to and form part of this Agreement.</w:t>
      </w:r>
    </w:p>
    <w:p w:rsidR="006879D2" w:rsidRPr="00D81708" w:rsidRDefault="006879D2" w:rsidP="006879D2">
      <w:pPr>
        <w:pStyle w:val="BodyText"/>
        <w:tabs>
          <w:tab w:val="num" w:pos="720"/>
        </w:tabs>
        <w:ind w:left="720" w:hanging="720"/>
        <w:rPr>
          <w:sz w:val="22"/>
          <w:szCs w:val="22"/>
          <w:lang w:val="sr-Cyrl-CS"/>
        </w:rPr>
      </w:pPr>
    </w:p>
    <w:p w:rsidR="006879D2" w:rsidRPr="00D81708" w:rsidRDefault="006879D2" w:rsidP="006879D2">
      <w:pPr>
        <w:pStyle w:val="BodyText"/>
        <w:numPr>
          <w:ilvl w:val="1"/>
          <w:numId w:val="2"/>
        </w:numPr>
        <w:tabs>
          <w:tab w:val="clear" w:pos="1485"/>
          <w:tab w:val="num" w:pos="720"/>
        </w:tabs>
        <w:ind w:left="720" w:hanging="720"/>
        <w:rPr>
          <w:sz w:val="22"/>
          <w:szCs w:val="22"/>
          <w:lang w:val="sr-Cyrl-CS"/>
        </w:rPr>
      </w:pPr>
      <w:r w:rsidRPr="00D81708">
        <w:rPr>
          <w:sz w:val="22"/>
          <w:szCs w:val="22"/>
          <w:lang w:val="sr-Cyrl-CS"/>
        </w:rPr>
        <w:t>Unless the context requires otherwise, the capitalized terms used in this Agreement have the meanings ascribed to them in the General Conditions or in the Appendix to this Agreement.</w:t>
      </w:r>
    </w:p>
    <w:p w:rsidR="006879D2" w:rsidRPr="00D81708" w:rsidRDefault="006879D2" w:rsidP="006879D2">
      <w:pPr>
        <w:pStyle w:val="BodyText"/>
        <w:rPr>
          <w:sz w:val="22"/>
          <w:szCs w:val="22"/>
          <w:lang w:val="sr-Cyrl-CS"/>
        </w:rPr>
      </w:pPr>
    </w:p>
    <w:p w:rsidR="006879D2" w:rsidRPr="00D81708" w:rsidRDefault="006879D2" w:rsidP="006879D2">
      <w:pPr>
        <w:pStyle w:val="BodyText"/>
        <w:jc w:val="center"/>
        <w:rPr>
          <w:b/>
          <w:bCs/>
          <w:sz w:val="22"/>
          <w:szCs w:val="22"/>
          <w:lang w:val="sr-Cyrl-CS"/>
        </w:rPr>
      </w:pPr>
      <w:r w:rsidRPr="00D81708">
        <w:rPr>
          <w:b/>
          <w:bCs/>
          <w:sz w:val="22"/>
          <w:szCs w:val="22"/>
          <w:lang w:val="sr-Cyrl-CS"/>
        </w:rPr>
        <w:t>ARTICLE II — LOAN</w:t>
      </w:r>
    </w:p>
    <w:p w:rsidR="006879D2" w:rsidRPr="00D81708" w:rsidRDefault="006879D2" w:rsidP="006879D2">
      <w:pPr>
        <w:pStyle w:val="BodyText"/>
        <w:jc w:val="center"/>
        <w:rPr>
          <w:b/>
          <w:bCs/>
          <w:sz w:val="22"/>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2.01.</w:t>
      </w:r>
      <w:r w:rsidRPr="00D81708">
        <w:rPr>
          <w:sz w:val="22"/>
          <w:szCs w:val="22"/>
          <w:lang w:val="sr-Cyrl-CS"/>
        </w:rPr>
        <w:tab/>
        <w:t>The Bank agrees to lend to the Borrower the amount of forty-five million eight hundred thousand Euros, (EUR 45,800,000), as such amount may be converted from time to time through a Currency Conversion (“Loan”), to assist in financing the project described in Schedule 1 to this Agreement (“Project”).</w:t>
      </w:r>
    </w:p>
    <w:p w:rsidR="006879D2" w:rsidRPr="00D81708" w:rsidRDefault="006879D2" w:rsidP="006879D2">
      <w:pPr>
        <w:pStyle w:val="BodyText"/>
        <w:tabs>
          <w:tab w:val="num" w:pos="720"/>
        </w:tabs>
        <w:ind w:left="720" w:hanging="720"/>
        <w:rPr>
          <w:sz w:val="22"/>
          <w:szCs w:val="22"/>
          <w:lang w:val="sr-Cyrl-CS"/>
        </w:rPr>
      </w:pPr>
    </w:p>
    <w:p w:rsidR="006879D2" w:rsidRPr="00D81708" w:rsidRDefault="006879D2" w:rsidP="006879D2">
      <w:pPr>
        <w:pStyle w:val="BodyText"/>
        <w:numPr>
          <w:ilvl w:val="1"/>
          <w:numId w:val="6"/>
        </w:numPr>
        <w:tabs>
          <w:tab w:val="clear" w:pos="480"/>
        </w:tabs>
        <w:ind w:left="720" w:hanging="720"/>
        <w:rPr>
          <w:sz w:val="22"/>
          <w:szCs w:val="22"/>
          <w:lang w:val="sr-Cyrl-CS"/>
        </w:rPr>
      </w:pPr>
      <w:r w:rsidRPr="00D81708">
        <w:rPr>
          <w:sz w:val="22"/>
          <w:szCs w:val="22"/>
          <w:lang w:val="sr-Cyrl-CS"/>
        </w:rPr>
        <w:t>The Borrower may withdraw the proceeds of the Loan in accordance with Section III of Schedule 2 to this Agreement.</w:t>
      </w:r>
      <w:r w:rsidRPr="00D81708">
        <w:rPr>
          <w:rStyle w:val="FootnoteReference"/>
          <w:sz w:val="22"/>
          <w:szCs w:val="22"/>
          <w:lang w:val="sr-Cyrl-CS"/>
        </w:rPr>
        <w:t xml:space="preserve"> </w:t>
      </w:r>
      <w:r w:rsidRPr="00D81708">
        <w:rPr>
          <w:sz w:val="22"/>
          <w:szCs w:val="22"/>
          <w:lang w:val="sr-Cyrl-CS"/>
        </w:rPr>
        <w:t xml:space="preserve"> </w:t>
      </w:r>
    </w:p>
    <w:p w:rsidR="006879D2" w:rsidRPr="00D81708" w:rsidRDefault="006879D2" w:rsidP="006879D2">
      <w:pPr>
        <w:pStyle w:val="BodyText"/>
        <w:ind w:left="720"/>
        <w:rPr>
          <w:sz w:val="22"/>
          <w:szCs w:val="22"/>
          <w:lang w:val="sr-Cyrl-CS"/>
        </w:rPr>
      </w:pPr>
    </w:p>
    <w:p w:rsidR="006879D2" w:rsidRPr="00D81708" w:rsidRDefault="006879D2" w:rsidP="006879D2">
      <w:pPr>
        <w:pStyle w:val="BodyText"/>
        <w:numPr>
          <w:ilvl w:val="1"/>
          <w:numId w:val="6"/>
        </w:numPr>
        <w:tabs>
          <w:tab w:val="clear" w:pos="480"/>
        </w:tabs>
        <w:ind w:left="720" w:hanging="720"/>
        <w:rPr>
          <w:sz w:val="22"/>
          <w:szCs w:val="22"/>
          <w:lang w:val="sr-Cyrl-CS"/>
        </w:rPr>
      </w:pPr>
      <w:r w:rsidRPr="00D81708">
        <w:rPr>
          <w:sz w:val="22"/>
          <w:szCs w:val="22"/>
          <w:lang w:val="sr-Cyrl-CS"/>
        </w:rPr>
        <w:t>The Front-end Fee is one quarter of one percent (0.25%) of the Loan amount.</w:t>
      </w:r>
    </w:p>
    <w:p w:rsidR="006879D2" w:rsidRPr="00D81708" w:rsidRDefault="006879D2" w:rsidP="006879D2">
      <w:pPr>
        <w:pStyle w:val="BodyText"/>
        <w:ind w:left="720" w:hanging="720"/>
        <w:rPr>
          <w:sz w:val="22"/>
          <w:szCs w:val="22"/>
          <w:lang w:val="sr-Cyrl-CS"/>
        </w:rPr>
      </w:pPr>
    </w:p>
    <w:p w:rsidR="006879D2" w:rsidRPr="00D81708" w:rsidRDefault="006879D2" w:rsidP="006879D2">
      <w:pPr>
        <w:pStyle w:val="BodyText"/>
        <w:numPr>
          <w:ilvl w:val="1"/>
          <w:numId w:val="6"/>
        </w:numPr>
        <w:tabs>
          <w:tab w:val="clear" w:pos="480"/>
        </w:tabs>
        <w:ind w:left="720" w:hanging="720"/>
        <w:rPr>
          <w:sz w:val="22"/>
          <w:szCs w:val="22"/>
          <w:lang w:val="sr-Cyrl-CS"/>
        </w:rPr>
      </w:pPr>
      <w:r w:rsidRPr="00D81708">
        <w:rPr>
          <w:sz w:val="22"/>
          <w:szCs w:val="22"/>
          <w:lang w:val="sr-Cyrl-CS"/>
        </w:rPr>
        <w:t>The Commitment Charge is one quarter of one percent (0.25%) per annum on the Unwithdrawn Loan Balance.</w:t>
      </w:r>
    </w:p>
    <w:p w:rsidR="006879D2" w:rsidRPr="00D81708" w:rsidRDefault="006879D2" w:rsidP="006879D2">
      <w:pPr>
        <w:pStyle w:val="BodyText"/>
        <w:ind w:left="720" w:hanging="720"/>
        <w:rPr>
          <w:sz w:val="22"/>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2.05.</w:t>
      </w:r>
      <w:r w:rsidRPr="00D81708">
        <w:rPr>
          <w:sz w:val="22"/>
          <w:szCs w:val="22"/>
          <w:lang w:val="sr-Cyrl-CS"/>
        </w:rPr>
        <w:tab/>
        <w:t>The interest rate is the Reference Rate plus the Fixed Spread or such rate as may apply following a Conversion; subject to Section 3.02(e) of the General Conditions.</w:t>
      </w:r>
    </w:p>
    <w:p w:rsidR="006879D2" w:rsidRPr="00D81708" w:rsidRDefault="006879D2" w:rsidP="006879D2">
      <w:pPr>
        <w:pStyle w:val="BodyText"/>
        <w:ind w:left="720" w:hanging="720"/>
        <w:rPr>
          <w:sz w:val="22"/>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2.06.</w:t>
      </w:r>
      <w:r w:rsidRPr="00D81708">
        <w:rPr>
          <w:sz w:val="22"/>
          <w:szCs w:val="22"/>
          <w:lang w:val="sr-Cyrl-CS"/>
        </w:rPr>
        <w:tab/>
        <w:t>The Payment Dates are May 15 and November 15 in each year.</w:t>
      </w:r>
    </w:p>
    <w:p w:rsidR="006879D2" w:rsidRPr="00D81708" w:rsidRDefault="006879D2" w:rsidP="006879D2">
      <w:pPr>
        <w:pStyle w:val="BodyText"/>
        <w:ind w:left="720" w:hanging="720"/>
        <w:rPr>
          <w:sz w:val="22"/>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2.07.</w:t>
      </w:r>
      <w:r w:rsidRPr="00D81708">
        <w:rPr>
          <w:sz w:val="22"/>
          <w:szCs w:val="22"/>
          <w:lang w:val="sr-Cyrl-CS"/>
        </w:rPr>
        <w:tab/>
        <w:t>The principal amount of the Loan shall be repaid in accordance with Schedule 3 to this Agreement.</w:t>
      </w:r>
    </w:p>
    <w:p w:rsidR="008D57CD" w:rsidRPr="00D81708" w:rsidRDefault="008D57CD" w:rsidP="008D57CD">
      <w:pPr>
        <w:pStyle w:val="BodyText"/>
        <w:jc w:val="center"/>
        <w:rPr>
          <w:b/>
          <w:bCs/>
          <w:sz w:val="22"/>
          <w:szCs w:val="22"/>
          <w:lang w:val="sr-Cyrl-CS"/>
        </w:rPr>
      </w:pPr>
    </w:p>
    <w:p w:rsidR="006879D2" w:rsidRPr="00D81708" w:rsidRDefault="006879D2" w:rsidP="008D57CD">
      <w:pPr>
        <w:pStyle w:val="BodyText"/>
        <w:jc w:val="center"/>
        <w:rPr>
          <w:b/>
          <w:bCs/>
          <w:sz w:val="22"/>
          <w:szCs w:val="22"/>
          <w:lang w:val="sr-Cyrl-CS"/>
        </w:rPr>
      </w:pPr>
    </w:p>
    <w:p w:rsidR="006879D2" w:rsidRPr="00D81708" w:rsidRDefault="006879D2" w:rsidP="006879D2">
      <w:pPr>
        <w:pStyle w:val="BodyText"/>
        <w:jc w:val="center"/>
        <w:rPr>
          <w:b/>
          <w:bCs/>
          <w:sz w:val="22"/>
          <w:szCs w:val="22"/>
          <w:lang w:val="sr-Cyrl-CS"/>
        </w:rPr>
      </w:pPr>
      <w:r w:rsidRPr="00D81708">
        <w:rPr>
          <w:b/>
          <w:bCs/>
          <w:sz w:val="22"/>
          <w:szCs w:val="22"/>
          <w:lang w:val="sr-Cyrl-CS"/>
        </w:rPr>
        <w:t>ARTICLE III — PROJECT</w:t>
      </w:r>
    </w:p>
    <w:p w:rsidR="006879D2" w:rsidRPr="00D81708" w:rsidRDefault="006879D2" w:rsidP="006879D2">
      <w:pPr>
        <w:pStyle w:val="Story"/>
        <w:spacing w:line="240" w:lineRule="auto"/>
        <w:rPr>
          <w:sz w:val="22"/>
          <w:szCs w:val="22"/>
          <w:lang w:val="sr-Cyrl-CS"/>
        </w:rPr>
      </w:pPr>
    </w:p>
    <w:p w:rsidR="0006460C" w:rsidRPr="0006460C" w:rsidRDefault="006879D2" w:rsidP="006879D2">
      <w:pPr>
        <w:numPr>
          <w:ilvl w:val="1"/>
          <w:numId w:val="1"/>
        </w:numPr>
        <w:tabs>
          <w:tab w:val="clear" w:pos="1320"/>
          <w:tab w:val="num" w:pos="720"/>
        </w:tabs>
        <w:spacing w:line="240" w:lineRule="auto"/>
        <w:ind w:left="720" w:hanging="720"/>
        <w:jc w:val="both"/>
        <w:rPr>
          <w:sz w:val="22"/>
          <w:szCs w:val="22"/>
          <w:lang w:val="sr-Cyrl-CS"/>
        </w:rPr>
      </w:pPr>
      <w:r w:rsidRPr="00D81708">
        <w:rPr>
          <w:sz w:val="22"/>
          <w:szCs w:val="22"/>
          <w:lang w:val="sr-Cyrl-CS"/>
        </w:rPr>
        <w:t>The Borrower declares its commitment to the objectives of the Project.  To this end, the Borrower, through MAFWM, with the assistance of DAP for Part 1.2 of</w:t>
      </w:r>
    </w:p>
    <w:p w:rsidR="0006460C" w:rsidRPr="0006460C" w:rsidRDefault="0006460C" w:rsidP="0006460C">
      <w:pPr>
        <w:spacing w:line="240" w:lineRule="auto"/>
        <w:ind w:left="720"/>
        <w:jc w:val="both"/>
        <w:rPr>
          <w:sz w:val="22"/>
          <w:szCs w:val="22"/>
          <w:lang w:val="sr-Cyrl-CS"/>
        </w:rPr>
      </w:pPr>
    </w:p>
    <w:p w:rsidR="0006460C" w:rsidRPr="0006460C" w:rsidRDefault="0006460C" w:rsidP="0006460C">
      <w:pPr>
        <w:spacing w:line="240" w:lineRule="auto"/>
        <w:jc w:val="both"/>
        <w:rPr>
          <w:sz w:val="22"/>
          <w:szCs w:val="22"/>
          <w:lang w:val="sr-Cyrl-CS"/>
        </w:rPr>
      </w:pPr>
    </w:p>
    <w:p w:rsidR="0006460C" w:rsidRPr="0006460C" w:rsidRDefault="0006460C" w:rsidP="0006460C">
      <w:pPr>
        <w:spacing w:line="240" w:lineRule="auto"/>
        <w:ind w:left="720"/>
        <w:jc w:val="both"/>
        <w:rPr>
          <w:sz w:val="22"/>
          <w:szCs w:val="22"/>
          <w:lang w:val="sr-Cyrl-CS"/>
        </w:rPr>
      </w:pPr>
    </w:p>
    <w:p w:rsidR="0006460C" w:rsidRPr="0006460C" w:rsidRDefault="0006460C" w:rsidP="0006460C">
      <w:pPr>
        <w:spacing w:line="240" w:lineRule="auto"/>
        <w:ind w:left="720"/>
        <w:jc w:val="both"/>
        <w:rPr>
          <w:sz w:val="22"/>
          <w:szCs w:val="22"/>
          <w:lang w:val="sr-Cyrl-CS"/>
        </w:rPr>
      </w:pPr>
    </w:p>
    <w:p w:rsidR="006879D2" w:rsidRPr="00D81708" w:rsidRDefault="006879D2" w:rsidP="0006460C">
      <w:pPr>
        <w:spacing w:line="240" w:lineRule="auto"/>
        <w:ind w:left="720"/>
        <w:jc w:val="both"/>
        <w:rPr>
          <w:sz w:val="22"/>
          <w:szCs w:val="22"/>
          <w:lang w:val="sr-Cyrl-CS"/>
        </w:rPr>
      </w:pPr>
      <w:r w:rsidRPr="00D81708">
        <w:rPr>
          <w:sz w:val="22"/>
          <w:szCs w:val="22"/>
          <w:lang w:val="sr-Cyrl-CS"/>
        </w:rPr>
        <w:lastRenderedPageBreak/>
        <w:t xml:space="preserve"> the Project, shall carry out the Project in accordance with the provisions of Article V of the General Conditions and Schedule 2 to this Agreement.</w:t>
      </w:r>
    </w:p>
    <w:p w:rsidR="006879D2" w:rsidRPr="00D81708" w:rsidRDefault="006879D2" w:rsidP="006A5DA8">
      <w:pPr>
        <w:pStyle w:val="BodyText"/>
        <w:jc w:val="center"/>
        <w:rPr>
          <w:b/>
          <w:bCs/>
          <w:sz w:val="22"/>
          <w:szCs w:val="22"/>
          <w:lang w:val="sr-Cyrl-CS"/>
        </w:rPr>
      </w:pPr>
    </w:p>
    <w:p w:rsidR="006879D2" w:rsidRPr="00D81708" w:rsidRDefault="006879D2" w:rsidP="006A5DA8">
      <w:pPr>
        <w:pStyle w:val="BodyText"/>
        <w:jc w:val="center"/>
        <w:rPr>
          <w:b/>
          <w:bCs/>
          <w:sz w:val="22"/>
          <w:szCs w:val="22"/>
          <w:lang w:val="sr-Cyrl-CS"/>
        </w:rPr>
      </w:pPr>
    </w:p>
    <w:p w:rsidR="006879D2" w:rsidRPr="00D81708" w:rsidRDefault="006879D2" w:rsidP="006A5DA8">
      <w:pPr>
        <w:pStyle w:val="BodyText"/>
        <w:jc w:val="center"/>
        <w:rPr>
          <w:b/>
          <w:bCs/>
          <w:sz w:val="22"/>
          <w:szCs w:val="22"/>
          <w:lang w:val="sr-Cyrl-CS"/>
        </w:rPr>
      </w:pPr>
    </w:p>
    <w:p w:rsidR="006879D2" w:rsidRPr="00D81708" w:rsidRDefault="006879D2" w:rsidP="006879D2">
      <w:pPr>
        <w:pStyle w:val="BodyText"/>
        <w:jc w:val="center"/>
        <w:rPr>
          <w:sz w:val="22"/>
          <w:szCs w:val="22"/>
          <w:lang w:val="sr-Cyrl-CS"/>
        </w:rPr>
      </w:pPr>
      <w:r w:rsidRPr="00D81708">
        <w:rPr>
          <w:b/>
          <w:bCs/>
          <w:sz w:val="22"/>
          <w:szCs w:val="22"/>
          <w:lang w:val="sr-Cyrl-CS"/>
        </w:rPr>
        <w:t>ARTICLE IV — EFFECTIVENESS; TERMINATION</w:t>
      </w:r>
    </w:p>
    <w:p w:rsidR="006879D2" w:rsidRPr="00D81708" w:rsidRDefault="006879D2" w:rsidP="006879D2">
      <w:pPr>
        <w:pStyle w:val="BodyText"/>
        <w:ind w:left="720" w:hanging="720"/>
        <w:rPr>
          <w:sz w:val="22"/>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4.01.</w:t>
      </w:r>
      <w:r w:rsidRPr="00D81708">
        <w:rPr>
          <w:sz w:val="22"/>
          <w:szCs w:val="22"/>
          <w:lang w:val="sr-Cyrl-CS"/>
        </w:rPr>
        <w:tab/>
        <w:t>The Effectiveness Deadline is the date one hundred and eighty (180) days after the Signature Date.</w:t>
      </w:r>
    </w:p>
    <w:p w:rsidR="006A5DA8" w:rsidRPr="00D81708" w:rsidRDefault="006A5DA8" w:rsidP="006A5DA8">
      <w:pPr>
        <w:spacing w:after="160" w:line="259" w:lineRule="auto"/>
        <w:rPr>
          <w:b/>
          <w:bCs/>
          <w:sz w:val="22"/>
          <w:szCs w:val="22"/>
          <w:lang w:val="sr-Cyrl-CS"/>
        </w:rPr>
      </w:pPr>
    </w:p>
    <w:p w:rsidR="006879D2" w:rsidRPr="00D81708" w:rsidRDefault="006879D2" w:rsidP="006879D2">
      <w:pPr>
        <w:pStyle w:val="BodyText"/>
        <w:jc w:val="center"/>
        <w:rPr>
          <w:sz w:val="22"/>
          <w:szCs w:val="22"/>
          <w:lang w:val="sr-Cyrl-CS"/>
        </w:rPr>
      </w:pPr>
      <w:r w:rsidRPr="00D81708">
        <w:rPr>
          <w:b/>
          <w:bCs/>
          <w:sz w:val="22"/>
          <w:szCs w:val="22"/>
          <w:lang w:val="sr-Cyrl-CS"/>
        </w:rPr>
        <w:t>ARTICLE V — REPRESENTATIVE; ADDRESSES</w:t>
      </w:r>
    </w:p>
    <w:p w:rsidR="006879D2" w:rsidRPr="00D81708" w:rsidRDefault="006879D2" w:rsidP="006879D2">
      <w:pPr>
        <w:pStyle w:val="BodyText"/>
        <w:jc w:val="center"/>
        <w:rPr>
          <w:sz w:val="22"/>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5.01.</w:t>
      </w:r>
      <w:r w:rsidRPr="00D81708">
        <w:rPr>
          <w:sz w:val="22"/>
          <w:szCs w:val="22"/>
          <w:lang w:val="sr-Cyrl-CS"/>
        </w:rPr>
        <w:tab/>
        <w:t xml:space="preserve">The Borrower’s Representative, who, </w:t>
      </w:r>
      <w:r w:rsidRPr="00D81708">
        <w:rPr>
          <w:i/>
          <w:sz w:val="22"/>
          <w:szCs w:val="22"/>
          <w:lang w:val="sr-Cyrl-CS"/>
        </w:rPr>
        <w:t>inter alia</w:t>
      </w:r>
      <w:r w:rsidRPr="00D81708">
        <w:rPr>
          <w:sz w:val="22"/>
          <w:szCs w:val="22"/>
          <w:lang w:val="sr-Cyrl-CS"/>
        </w:rPr>
        <w:t xml:space="preserve">, may agree to modification of the provisions of this Agreement on behalf of the Borrower through exchange of letters (unless otherwise determined by the Borrower and the Bank), is its Minister of Finance.  </w:t>
      </w:r>
    </w:p>
    <w:p w:rsidR="006879D2" w:rsidRPr="00D81708" w:rsidRDefault="006879D2" w:rsidP="006879D2">
      <w:pPr>
        <w:pStyle w:val="BodyText"/>
        <w:ind w:left="720" w:hanging="720"/>
        <w:rPr>
          <w:sz w:val="22"/>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5.02.</w:t>
      </w:r>
      <w:r w:rsidRPr="00D81708">
        <w:rPr>
          <w:sz w:val="22"/>
          <w:szCs w:val="22"/>
          <w:lang w:val="sr-Cyrl-CS"/>
        </w:rPr>
        <w:tab/>
        <w:t>For purposes of Section 10.01 of the General Conditions: (a) the Borrower’s address is:</w:t>
      </w:r>
    </w:p>
    <w:p w:rsidR="006879D2" w:rsidRPr="00D81708" w:rsidRDefault="006879D2" w:rsidP="006879D2">
      <w:pPr>
        <w:pStyle w:val="BodyText"/>
        <w:ind w:left="720"/>
        <w:rPr>
          <w:sz w:val="22"/>
          <w:szCs w:val="22"/>
          <w:lang w:val="sr-Cyrl-CS"/>
        </w:rPr>
      </w:pPr>
    </w:p>
    <w:p w:rsidR="006879D2" w:rsidRPr="00D81708" w:rsidRDefault="006879D2" w:rsidP="006879D2">
      <w:pPr>
        <w:pStyle w:val="BodyText"/>
        <w:ind w:left="1440"/>
        <w:rPr>
          <w:sz w:val="22"/>
          <w:szCs w:val="22"/>
          <w:lang w:val="sr-Cyrl-CS"/>
        </w:rPr>
      </w:pPr>
      <w:r w:rsidRPr="00D81708">
        <w:rPr>
          <w:sz w:val="22"/>
          <w:szCs w:val="22"/>
          <w:lang w:val="sr-Cyrl-CS"/>
        </w:rPr>
        <w:t>Ministry of Finance</w:t>
      </w:r>
    </w:p>
    <w:p w:rsidR="006879D2" w:rsidRPr="00D81708" w:rsidRDefault="006879D2" w:rsidP="006879D2">
      <w:pPr>
        <w:pStyle w:val="BodyText"/>
        <w:ind w:left="1440"/>
        <w:rPr>
          <w:sz w:val="22"/>
          <w:szCs w:val="22"/>
          <w:lang w:val="sr-Cyrl-CS"/>
        </w:rPr>
      </w:pPr>
      <w:r w:rsidRPr="00D81708">
        <w:rPr>
          <w:sz w:val="22"/>
          <w:szCs w:val="22"/>
          <w:lang w:val="sr-Cyrl-CS"/>
        </w:rPr>
        <w:t>20 Kneza Milosa St.</w:t>
      </w:r>
    </w:p>
    <w:p w:rsidR="006879D2" w:rsidRPr="00D81708" w:rsidRDefault="006879D2" w:rsidP="006879D2">
      <w:pPr>
        <w:pStyle w:val="BodyText"/>
        <w:ind w:left="1440"/>
        <w:rPr>
          <w:sz w:val="22"/>
          <w:szCs w:val="22"/>
          <w:lang w:val="sr-Cyrl-CS"/>
        </w:rPr>
      </w:pPr>
      <w:r w:rsidRPr="00D81708">
        <w:rPr>
          <w:sz w:val="22"/>
          <w:szCs w:val="22"/>
          <w:lang w:val="sr-Cyrl-CS"/>
        </w:rPr>
        <w:t>11000 Belgrade</w:t>
      </w:r>
    </w:p>
    <w:p w:rsidR="006879D2" w:rsidRPr="00D81708" w:rsidRDefault="006879D2" w:rsidP="006879D2">
      <w:pPr>
        <w:pStyle w:val="BodyText"/>
        <w:ind w:left="1440"/>
        <w:rPr>
          <w:sz w:val="22"/>
          <w:szCs w:val="22"/>
          <w:lang w:val="sr-Cyrl-CS"/>
        </w:rPr>
      </w:pPr>
      <w:r w:rsidRPr="00D81708">
        <w:rPr>
          <w:sz w:val="22"/>
          <w:szCs w:val="22"/>
          <w:lang w:val="sr-Cyrl-CS"/>
        </w:rPr>
        <w:t>Republic of Serbia; and</w:t>
      </w:r>
    </w:p>
    <w:p w:rsidR="006879D2" w:rsidRPr="00D81708" w:rsidRDefault="006879D2" w:rsidP="006879D2">
      <w:pPr>
        <w:pStyle w:val="BodyText"/>
        <w:ind w:left="720"/>
        <w:rPr>
          <w:sz w:val="22"/>
          <w:szCs w:val="22"/>
          <w:lang w:val="sr-Cyrl-CS"/>
        </w:rPr>
      </w:pPr>
    </w:p>
    <w:p w:rsidR="006879D2" w:rsidRPr="00D81708" w:rsidRDefault="006879D2" w:rsidP="006879D2">
      <w:pPr>
        <w:pStyle w:val="BodyText"/>
        <w:ind w:left="720"/>
        <w:rPr>
          <w:sz w:val="22"/>
          <w:szCs w:val="22"/>
          <w:lang w:val="sr-Cyrl-CS"/>
        </w:rPr>
      </w:pPr>
      <w:r w:rsidRPr="00D81708">
        <w:rPr>
          <w:sz w:val="22"/>
          <w:szCs w:val="22"/>
          <w:lang w:val="sr-Cyrl-CS"/>
        </w:rPr>
        <w:t>(b) the Borrower’s Electronic Address is:</w:t>
      </w:r>
    </w:p>
    <w:p w:rsidR="006879D2" w:rsidRPr="00D81708" w:rsidRDefault="006879D2" w:rsidP="006879D2">
      <w:pPr>
        <w:pStyle w:val="BodyText"/>
        <w:ind w:left="720"/>
        <w:rPr>
          <w:sz w:val="22"/>
          <w:szCs w:val="22"/>
          <w:lang w:val="sr-Cyrl-CS"/>
        </w:rPr>
      </w:pPr>
    </w:p>
    <w:p w:rsidR="006879D2" w:rsidRPr="00D81708" w:rsidRDefault="006879D2" w:rsidP="006879D2">
      <w:pPr>
        <w:pStyle w:val="BodyText"/>
        <w:ind w:left="1440"/>
        <w:rPr>
          <w:sz w:val="22"/>
          <w:szCs w:val="22"/>
          <w:lang w:val="sr-Cyrl-CS"/>
        </w:rPr>
      </w:pPr>
      <w:r w:rsidRPr="00D81708">
        <w:rPr>
          <w:sz w:val="22"/>
          <w:szCs w:val="22"/>
          <w:lang w:val="sr-Cyrl-CS"/>
        </w:rPr>
        <w:t>Facsimile:</w:t>
      </w:r>
      <w:r w:rsidRPr="00D81708">
        <w:rPr>
          <w:sz w:val="22"/>
          <w:szCs w:val="22"/>
          <w:lang w:val="sr-Cyrl-CS"/>
        </w:rPr>
        <w:tab/>
      </w:r>
      <w:r w:rsidRPr="00D81708">
        <w:rPr>
          <w:sz w:val="22"/>
          <w:szCs w:val="22"/>
          <w:lang w:val="sr-Cyrl-CS"/>
        </w:rPr>
        <w:tab/>
        <w:t>E-mail:</w:t>
      </w:r>
    </w:p>
    <w:p w:rsidR="006879D2" w:rsidRPr="00D81708" w:rsidRDefault="006879D2" w:rsidP="006879D2">
      <w:pPr>
        <w:pStyle w:val="BodyText"/>
        <w:ind w:left="1440"/>
        <w:rPr>
          <w:sz w:val="22"/>
          <w:szCs w:val="22"/>
          <w:lang w:val="sr-Cyrl-CS"/>
        </w:rPr>
      </w:pPr>
      <w:r w:rsidRPr="00D81708">
        <w:rPr>
          <w:sz w:val="22"/>
          <w:szCs w:val="22"/>
          <w:lang w:val="sr-Cyrl-CS"/>
        </w:rPr>
        <w:t>(381-11) 3618-961</w:t>
      </w:r>
      <w:r w:rsidRPr="00D81708">
        <w:rPr>
          <w:sz w:val="22"/>
          <w:szCs w:val="22"/>
          <w:lang w:val="sr-Cyrl-CS"/>
        </w:rPr>
        <w:tab/>
      </w:r>
      <w:hyperlink r:id="rId15" w:history="1">
        <w:r w:rsidRPr="00D81708">
          <w:rPr>
            <w:rStyle w:val="Hyperlink"/>
            <w:sz w:val="22"/>
            <w:szCs w:val="22"/>
            <w:lang w:val="sr-Cyrl-CS"/>
          </w:rPr>
          <w:t>kabinet@mfin.gov.rs</w:t>
        </w:r>
      </w:hyperlink>
    </w:p>
    <w:p w:rsidR="006879D2" w:rsidRPr="00D81708" w:rsidRDefault="006879D2" w:rsidP="006879D2">
      <w:pPr>
        <w:pStyle w:val="BodyText"/>
        <w:rPr>
          <w:sz w:val="22"/>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5.03.</w:t>
      </w:r>
      <w:r w:rsidRPr="00D81708">
        <w:rPr>
          <w:sz w:val="22"/>
          <w:szCs w:val="22"/>
          <w:lang w:val="sr-Cyrl-CS"/>
        </w:rPr>
        <w:tab/>
        <w:t>For purposes of Section 10.01 of the General Conditions: (a) the Bank’s address is:</w:t>
      </w:r>
    </w:p>
    <w:p w:rsidR="006879D2" w:rsidRPr="00D81708" w:rsidRDefault="006879D2" w:rsidP="006879D2">
      <w:pPr>
        <w:pStyle w:val="BodyText"/>
        <w:ind w:left="720"/>
        <w:rPr>
          <w:sz w:val="22"/>
          <w:szCs w:val="22"/>
          <w:lang w:val="sr-Cyrl-CS"/>
        </w:rPr>
      </w:pPr>
    </w:p>
    <w:p w:rsidR="006879D2" w:rsidRPr="00D81708" w:rsidRDefault="006879D2" w:rsidP="006879D2">
      <w:pPr>
        <w:pStyle w:val="BodyText"/>
        <w:ind w:left="1440"/>
        <w:rPr>
          <w:sz w:val="22"/>
          <w:szCs w:val="22"/>
          <w:lang w:val="sr-Cyrl-CS"/>
        </w:rPr>
      </w:pPr>
      <w:r w:rsidRPr="00D81708">
        <w:rPr>
          <w:sz w:val="22"/>
          <w:szCs w:val="22"/>
          <w:lang w:val="sr-Cyrl-CS"/>
        </w:rPr>
        <w:t>International Bank for Reconstruction and Development</w:t>
      </w:r>
    </w:p>
    <w:p w:rsidR="006879D2" w:rsidRPr="00D81708" w:rsidRDefault="006879D2" w:rsidP="006879D2">
      <w:pPr>
        <w:pStyle w:val="BodyText"/>
        <w:ind w:left="1440"/>
        <w:rPr>
          <w:sz w:val="22"/>
          <w:szCs w:val="22"/>
          <w:lang w:val="sr-Cyrl-CS"/>
        </w:rPr>
      </w:pPr>
      <w:r w:rsidRPr="00D81708">
        <w:rPr>
          <w:sz w:val="22"/>
          <w:szCs w:val="22"/>
          <w:lang w:val="sr-Cyrl-CS"/>
        </w:rPr>
        <w:t>1818 H Street, N.W.</w:t>
      </w:r>
    </w:p>
    <w:p w:rsidR="006879D2" w:rsidRPr="00D81708" w:rsidRDefault="006879D2" w:rsidP="006879D2">
      <w:pPr>
        <w:pStyle w:val="BodyText"/>
        <w:ind w:left="1440"/>
        <w:rPr>
          <w:sz w:val="22"/>
          <w:szCs w:val="22"/>
          <w:lang w:val="sr-Cyrl-CS"/>
        </w:rPr>
      </w:pPr>
      <w:r w:rsidRPr="00D81708">
        <w:rPr>
          <w:sz w:val="22"/>
          <w:szCs w:val="22"/>
          <w:lang w:val="sr-Cyrl-CS"/>
        </w:rPr>
        <w:t>Washington, D.C. 20433</w:t>
      </w:r>
    </w:p>
    <w:p w:rsidR="006879D2" w:rsidRPr="00D81708" w:rsidRDefault="006879D2" w:rsidP="006879D2">
      <w:pPr>
        <w:pStyle w:val="BodyText"/>
        <w:ind w:left="1440"/>
        <w:rPr>
          <w:sz w:val="22"/>
          <w:szCs w:val="22"/>
          <w:lang w:val="sr-Cyrl-CS"/>
        </w:rPr>
      </w:pPr>
      <w:r w:rsidRPr="00D81708">
        <w:rPr>
          <w:sz w:val="22"/>
          <w:szCs w:val="22"/>
          <w:lang w:val="sr-Cyrl-CS"/>
        </w:rPr>
        <w:t>United States of America; and</w:t>
      </w:r>
    </w:p>
    <w:p w:rsidR="006879D2" w:rsidRPr="00D81708" w:rsidRDefault="006879D2" w:rsidP="006879D2">
      <w:pPr>
        <w:pStyle w:val="BodyText"/>
        <w:ind w:left="720"/>
        <w:rPr>
          <w:sz w:val="22"/>
          <w:szCs w:val="22"/>
          <w:lang w:val="sr-Cyrl-CS"/>
        </w:rPr>
      </w:pPr>
    </w:p>
    <w:p w:rsidR="006879D2" w:rsidRPr="00D81708" w:rsidRDefault="006879D2" w:rsidP="006879D2">
      <w:pPr>
        <w:pStyle w:val="BodyText"/>
        <w:ind w:left="720"/>
        <w:rPr>
          <w:sz w:val="22"/>
          <w:szCs w:val="22"/>
          <w:lang w:val="sr-Cyrl-CS"/>
        </w:rPr>
      </w:pPr>
      <w:r w:rsidRPr="00D81708">
        <w:rPr>
          <w:sz w:val="22"/>
          <w:szCs w:val="22"/>
          <w:lang w:val="sr-Cyrl-CS"/>
        </w:rPr>
        <w:t>(b) the Bank’s Electronic Address is:</w:t>
      </w:r>
    </w:p>
    <w:p w:rsidR="006879D2" w:rsidRPr="00D81708" w:rsidRDefault="006879D2" w:rsidP="006879D2">
      <w:pPr>
        <w:pStyle w:val="BodyText"/>
        <w:ind w:left="720"/>
        <w:rPr>
          <w:sz w:val="22"/>
          <w:szCs w:val="22"/>
          <w:lang w:val="sr-Cyrl-CS"/>
        </w:rPr>
      </w:pPr>
    </w:p>
    <w:p w:rsidR="006879D2" w:rsidRPr="00D81708" w:rsidRDefault="006879D2" w:rsidP="006879D2">
      <w:pPr>
        <w:pStyle w:val="BodyText"/>
        <w:tabs>
          <w:tab w:val="left" w:pos="3240"/>
        </w:tabs>
        <w:ind w:left="1440"/>
        <w:rPr>
          <w:sz w:val="22"/>
          <w:szCs w:val="22"/>
          <w:lang w:val="sr-Cyrl-CS"/>
        </w:rPr>
      </w:pPr>
      <w:r w:rsidRPr="00D81708">
        <w:rPr>
          <w:sz w:val="22"/>
          <w:szCs w:val="22"/>
          <w:lang w:val="sr-Cyrl-CS"/>
        </w:rPr>
        <w:t>Telex:</w:t>
      </w:r>
      <w:r w:rsidRPr="00D81708">
        <w:rPr>
          <w:sz w:val="22"/>
          <w:szCs w:val="22"/>
          <w:lang w:val="sr-Cyrl-CS"/>
        </w:rPr>
        <w:tab/>
        <w:t>Facsimile:</w:t>
      </w:r>
      <w:r w:rsidRPr="00D81708">
        <w:rPr>
          <w:sz w:val="22"/>
          <w:szCs w:val="22"/>
          <w:lang w:val="sr-Cyrl-CS"/>
        </w:rPr>
        <w:tab/>
      </w:r>
      <w:r w:rsidRPr="00D81708">
        <w:rPr>
          <w:sz w:val="22"/>
          <w:szCs w:val="22"/>
          <w:lang w:val="sr-Cyrl-CS"/>
        </w:rPr>
        <w:tab/>
        <w:t>E-mail:</w:t>
      </w:r>
    </w:p>
    <w:p w:rsidR="006879D2" w:rsidRPr="00D81708" w:rsidRDefault="006879D2" w:rsidP="006879D2">
      <w:pPr>
        <w:pStyle w:val="BodyText"/>
        <w:ind w:left="1440"/>
        <w:rPr>
          <w:sz w:val="22"/>
          <w:szCs w:val="22"/>
          <w:lang w:val="sr-Cyrl-CS"/>
        </w:rPr>
      </w:pPr>
    </w:p>
    <w:p w:rsidR="006879D2" w:rsidRPr="00D81708" w:rsidRDefault="006879D2" w:rsidP="006879D2">
      <w:pPr>
        <w:pStyle w:val="BodyText"/>
        <w:tabs>
          <w:tab w:val="left" w:pos="3240"/>
        </w:tabs>
        <w:ind w:left="1440"/>
        <w:rPr>
          <w:sz w:val="22"/>
          <w:szCs w:val="22"/>
          <w:lang w:val="sr-Cyrl-CS"/>
        </w:rPr>
      </w:pPr>
      <w:r w:rsidRPr="00D81708">
        <w:rPr>
          <w:sz w:val="22"/>
          <w:szCs w:val="22"/>
          <w:lang w:val="sr-Cyrl-CS"/>
        </w:rPr>
        <w:t>248423(MCI) or</w:t>
      </w:r>
      <w:r w:rsidRPr="00D81708">
        <w:rPr>
          <w:sz w:val="22"/>
          <w:szCs w:val="22"/>
          <w:lang w:val="sr-Cyrl-CS"/>
        </w:rPr>
        <w:tab/>
        <w:t>1-202-477-6391</w:t>
      </w:r>
      <w:r w:rsidRPr="00D81708">
        <w:rPr>
          <w:sz w:val="22"/>
          <w:szCs w:val="22"/>
          <w:lang w:val="sr-Cyrl-CS"/>
        </w:rPr>
        <w:tab/>
        <w:t>sndegwa@worldbank.org</w:t>
      </w:r>
    </w:p>
    <w:p w:rsidR="006879D2" w:rsidRPr="00D81708" w:rsidRDefault="006879D2" w:rsidP="006879D2">
      <w:pPr>
        <w:pStyle w:val="BodyText"/>
        <w:ind w:left="1440"/>
        <w:rPr>
          <w:sz w:val="22"/>
          <w:szCs w:val="22"/>
          <w:lang w:val="sr-Cyrl-CS"/>
        </w:rPr>
      </w:pPr>
      <w:r w:rsidRPr="00D81708">
        <w:rPr>
          <w:sz w:val="22"/>
          <w:szCs w:val="22"/>
          <w:lang w:val="sr-Cyrl-CS"/>
        </w:rPr>
        <w:t xml:space="preserve">  64145(MCI)</w:t>
      </w:r>
    </w:p>
    <w:p w:rsidR="008D57CD" w:rsidRPr="00D81708" w:rsidRDefault="008D57CD" w:rsidP="008D57CD">
      <w:pPr>
        <w:pStyle w:val="BodyText"/>
        <w:rPr>
          <w:sz w:val="22"/>
          <w:szCs w:val="22"/>
          <w:lang w:val="sr-Cyrl-CS"/>
        </w:rPr>
      </w:pPr>
    </w:p>
    <w:p w:rsidR="006879D2" w:rsidRPr="00D81708" w:rsidRDefault="008D57CD" w:rsidP="006879D2">
      <w:pPr>
        <w:pStyle w:val="BodyText"/>
        <w:rPr>
          <w:sz w:val="22"/>
          <w:szCs w:val="22"/>
          <w:lang w:val="sr-Cyrl-CS"/>
        </w:rPr>
      </w:pPr>
      <w:r w:rsidRPr="00D81708">
        <w:rPr>
          <w:sz w:val="22"/>
          <w:szCs w:val="22"/>
          <w:lang w:val="sr-Cyrl-CS"/>
        </w:rPr>
        <w:br w:type="page"/>
      </w:r>
      <w:r w:rsidR="006879D2" w:rsidRPr="00D81708">
        <w:rPr>
          <w:sz w:val="22"/>
          <w:szCs w:val="22"/>
          <w:lang w:val="sr-Cyrl-CS"/>
        </w:rPr>
        <w:lastRenderedPageBreak/>
        <w:t>AGREED and signed in English as of the Signature Date.</w:t>
      </w:r>
    </w:p>
    <w:p w:rsidR="008D57CD" w:rsidRPr="00D81708" w:rsidRDefault="008D57CD" w:rsidP="006879D2">
      <w:pPr>
        <w:spacing w:line="240" w:lineRule="auto"/>
        <w:rPr>
          <w:sz w:val="22"/>
          <w:szCs w:val="22"/>
          <w:lang w:val="sr-Cyrl-CS"/>
        </w:rPr>
      </w:pPr>
    </w:p>
    <w:p w:rsidR="008D57CD" w:rsidRPr="00D81708" w:rsidRDefault="008D57CD" w:rsidP="008D57CD">
      <w:pPr>
        <w:pStyle w:val="BodyText"/>
        <w:rPr>
          <w:sz w:val="22"/>
          <w:szCs w:val="22"/>
          <w:lang w:val="sr-Cyrl-CS"/>
        </w:rPr>
      </w:pPr>
    </w:p>
    <w:p w:rsidR="008D57CD" w:rsidRPr="00D81708" w:rsidRDefault="008D57CD" w:rsidP="008D57CD">
      <w:pPr>
        <w:pStyle w:val="BodyText"/>
        <w:ind w:left="2880" w:firstLine="720"/>
        <w:rPr>
          <w:b/>
          <w:sz w:val="22"/>
          <w:szCs w:val="22"/>
          <w:lang w:val="sr-Cyrl-CS"/>
        </w:rPr>
      </w:pPr>
      <w:r w:rsidRPr="00D81708">
        <w:rPr>
          <w:b/>
          <w:sz w:val="22"/>
          <w:szCs w:val="22"/>
          <w:lang w:val="sr-Cyrl-CS"/>
        </w:rPr>
        <w:t>REPUBLIC OF SERBIA</w:t>
      </w:r>
    </w:p>
    <w:p w:rsidR="008D57CD" w:rsidRPr="00D81708" w:rsidRDefault="008D57CD" w:rsidP="008D57CD">
      <w:pPr>
        <w:spacing w:line="240" w:lineRule="auto"/>
        <w:rPr>
          <w:b/>
          <w:sz w:val="22"/>
          <w:szCs w:val="22"/>
          <w:lang w:val="sr-Cyrl-CS"/>
        </w:rPr>
      </w:pPr>
    </w:p>
    <w:p w:rsidR="008D57CD" w:rsidRPr="00D81708" w:rsidRDefault="008D57CD" w:rsidP="008D57CD">
      <w:pPr>
        <w:spacing w:line="240" w:lineRule="auto"/>
        <w:rPr>
          <w:b/>
          <w:sz w:val="22"/>
          <w:szCs w:val="22"/>
          <w:lang w:val="sr-Cyrl-CS"/>
        </w:rPr>
      </w:pPr>
    </w:p>
    <w:p w:rsidR="008D57CD" w:rsidRPr="00D81708" w:rsidRDefault="008D57CD" w:rsidP="008D57CD">
      <w:pPr>
        <w:pStyle w:val="BodyText"/>
        <w:ind w:left="2160" w:firstLine="720"/>
        <w:rPr>
          <w:b/>
          <w:sz w:val="22"/>
          <w:szCs w:val="22"/>
          <w:lang w:val="sr-Cyrl-CS"/>
        </w:rPr>
      </w:pPr>
      <w:r w:rsidRPr="00D81708">
        <w:rPr>
          <w:b/>
          <w:sz w:val="22"/>
          <w:szCs w:val="22"/>
          <w:lang w:val="sr-Cyrl-CS"/>
        </w:rPr>
        <w:tab/>
      </w:r>
      <w:r w:rsidRPr="00D81708">
        <w:rPr>
          <w:b/>
          <w:sz w:val="22"/>
          <w:szCs w:val="22"/>
          <w:lang w:val="sr-Cyrl-CS"/>
        </w:rPr>
        <w:tab/>
        <w:t>By</w:t>
      </w:r>
    </w:p>
    <w:p w:rsidR="008D57CD" w:rsidRPr="00D81708" w:rsidRDefault="008D57CD" w:rsidP="008D57CD">
      <w:pPr>
        <w:spacing w:line="240" w:lineRule="auto"/>
        <w:jc w:val="right"/>
        <w:rPr>
          <w:b/>
          <w:sz w:val="22"/>
          <w:szCs w:val="22"/>
          <w:lang w:val="sr-Cyrl-CS"/>
        </w:rPr>
      </w:pPr>
      <w:r w:rsidRPr="00D81708">
        <w:rPr>
          <w:b/>
          <w:sz w:val="22"/>
          <w:szCs w:val="22"/>
          <w:lang w:val="sr-Cyrl-CS"/>
        </w:rPr>
        <w:t>_____________________________________</w:t>
      </w:r>
    </w:p>
    <w:p w:rsidR="008D57CD" w:rsidRPr="00D81708" w:rsidRDefault="008D57CD" w:rsidP="008D57CD">
      <w:pPr>
        <w:pStyle w:val="BodyText"/>
        <w:rPr>
          <w:b/>
          <w:sz w:val="22"/>
          <w:szCs w:val="22"/>
          <w:lang w:val="sr-Cyrl-CS"/>
        </w:rPr>
      </w:pPr>
      <w:r w:rsidRPr="00D81708">
        <w:rPr>
          <w:b/>
          <w:sz w:val="22"/>
          <w:szCs w:val="22"/>
          <w:lang w:val="sr-Cyrl-CS"/>
        </w:rPr>
        <w:t xml:space="preserve">                                                                                Authorized Representative</w:t>
      </w:r>
    </w:p>
    <w:p w:rsidR="008D57CD" w:rsidRPr="00D81708" w:rsidRDefault="008D57CD" w:rsidP="008D57CD">
      <w:pPr>
        <w:pStyle w:val="BodyText"/>
        <w:rPr>
          <w:b/>
          <w:sz w:val="22"/>
          <w:szCs w:val="22"/>
          <w:lang w:val="sr-Cyrl-CS"/>
        </w:rPr>
      </w:pPr>
    </w:p>
    <w:p w:rsidR="008D57CD" w:rsidRPr="00D81708" w:rsidRDefault="000B4ADE" w:rsidP="000B4ADE">
      <w:pPr>
        <w:spacing w:line="240" w:lineRule="auto"/>
        <w:jc w:val="center"/>
        <w:rPr>
          <w:b/>
          <w:sz w:val="22"/>
          <w:szCs w:val="22"/>
          <w:lang w:val="sr-Cyrl-CS"/>
        </w:rPr>
      </w:pPr>
      <w:r w:rsidRPr="00D81708">
        <w:rPr>
          <w:b/>
          <w:sz w:val="22"/>
          <w:szCs w:val="22"/>
          <w:lang w:val="sr-Cyrl-CS"/>
        </w:rPr>
        <w:t xml:space="preserve">                                       Name: </w:t>
      </w:r>
      <w:r w:rsidRPr="00D81708">
        <w:rPr>
          <w:b/>
          <w:bCs/>
          <w:lang w:val="sr-Cyrl-CS"/>
        </w:rPr>
        <w:t>Siniša Mali     </w:t>
      </w:r>
    </w:p>
    <w:p w:rsidR="008D57CD" w:rsidRPr="00D81708" w:rsidRDefault="008D57CD" w:rsidP="008D57CD">
      <w:pPr>
        <w:spacing w:line="240" w:lineRule="auto"/>
        <w:jc w:val="right"/>
        <w:rPr>
          <w:b/>
          <w:sz w:val="22"/>
          <w:szCs w:val="22"/>
          <w:lang w:val="sr-Cyrl-CS"/>
        </w:rPr>
      </w:pPr>
    </w:p>
    <w:p w:rsidR="008D57CD" w:rsidRPr="00D81708" w:rsidRDefault="000B4ADE" w:rsidP="000B4ADE">
      <w:pPr>
        <w:spacing w:line="240" w:lineRule="auto"/>
        <w:jc w:val="center"/>
        <w:rPr>
          <w:b/>
          <w:sz w:val="22"/>
          <w:szCs w:val="22"/>
          <w:lang w:val="sr-Cyrl-CS"/>
        </w:rPr>
      </w:pPr>
      <w:r w:rsidRPr="00D81708">
        <w:rPr>
          <w:b/>
          <w:sz w:val="22"/>
          <w:szCs w:val="22"/>
          <w:lang w:val="sr-Cyrl-CS"/>
        </w:rPr>
        <w:t xml:space="preserve">                                            </w:t>
      </w:r>
      <w:r w:rsidR="008D57CD" w:rsidRPr="00D81708">
        <w:rPr>
          <w:b/>
          <w:sz w:val="22"/>
          <w:szCs w:val="22"/>
          <w:lang w:val="sr-Cyrl-CS"/>
        </w:rPr>
        <w:t xml:space="preserve">Title: </w:t>
      </w:r>
      <w:r w:rsidRPr="00D81708">
        <w:rPr>
          <w:b/>
          <w:sz w:val="22"/>
          <w:szCs w:val="22"/>
          <w:lang w:val="sr-Cyrl-CS"/>
        </w:rPr>
        <w:t>Minister of Finance</w:t>
      </w:r>
    </w:p>
    <w:p w:rsidR="008D57CD" w:rsidRPr="00D81708" w:rsidRDefault="008D57CD" w:rsidP="008D57CD">
      <w:pPr>
        <w:spacing w:line="240" w:lineRule="auto"/>
        <w:jc w:val="right"/>
        <w:rPr>
          <w:b/>
          <w:sz w:val="22"/>
          <w:szCs w:val="22"/>
          <w:lang w:val="sr-Cyrl-CS"/>
        </w:rPr>
      </w:pPr>
    </w:p>
    <w:p w:rsidR="008D57CD" w:rsidRPr="00D81708" w:rsidRDefault="000B4ADE" w:rsidP="000B4ADE">
      <w:pPr>
        <w:spacing w:line="240" w:lineRule="auto"/>
        <w:jc w:val="center"/>
        <w:rPr>
          <w:b/>
          <w:sz w:val="22"/>
          <w:szCs w:val="22"/>
          <w:lang w:val="sr-Cyrl-CS"/>
        </w:rPr>
      </w:pPr>
      <w:r w:rsidRPr="00D81708">
        <w:rPr>
          <w:b/>
          <w:sz w:val="22"/>
          <w:szCs w:val="22"/>
          <w:lang w:val="sr-Cyrl-CS"/>
        </w:rPr>
        <w:t xml:space="preserve">                              </w:t>
      </w:r>
      <w:r w:rsidR="007B607D" w:rsidRPr="00D81708">
        <w:rPr>
          <w:b/>
          <w:sz w:val="22"/>
          <w:szCs w:val="22"/>
          <w:lang w:val="sr-Cyrl-CS"/>
        </w:rPr>
        <w:t xml:space="preserve">            </w:t>
      </w:r>
      <w:r w:rsidRPr="00D81708">
        <w:rPr>
          <w:b/>
          <w:sz w:val="22"/>
          <w:szCs w:val="22"/>
          <w:lang w:val="sr-Cyrl-CS"/>
        </w:rPr>
        <w:t xml:space="preserve">Date: </w:t>
      </w:r>
      <w:r w:rsidR="006672E8" w:rsidRPr="00D81708">
        <w:rPr>
          <w:b/>
          <w:sz w:val="22"/>
          <w:szCs w:val="22"/>
          <w:lang w:val="sr-Cyrl-CS"/>
        </w:rPr>
        <w:t>9</w:t>
      </w:r>
      <w:r w:rsidRPr="00D81708">
        <w:rPr>
          <w:b/>
          <w:sz w:val="22"/>
          <w:szCs w:val="22"/>
          <w:lang w:val="sr-Cyrl-CS"/>
        </w:rPr>
        <w:t xml:space="preserve"> </w:t>
      </w:r>
      <w:r w:rsidR="006672E8" w:rsidRPr="00D81708">
        <w:rPr>
          <w:b/>
          <w:sz w:val="22"/>
          <w:szCs w:val="22"/>
          <w:lang w:val="sr-Cyrl-CS"/>
        </w:rPr>
        <w:t>December</w:t>
      </w:r>
      <w:r w:rsidR="007B607D" w:rsidRPr="00D81708">
        <w:rPr>
          <w:b/>
          <w:sz w:val="22"/>
          <w:szCs w:val="22"/>
          <w:lang w:val="sr-Cyrl-CS"/>
        </w:rPr>
        <w:t xml:space="preserve"> 2019</w:t>
      </w:r>
    </w:p>
    <w:p w:rsidR="008D57CD" w:rsidRPr="00D81708" w:rsidRDefault="008D57CD" w:rsidP="008D57CD">
      <w:pPr>
        <w:spacing w:line="240" w:lineRule="auto"/>
        <w:rPr>
          <w:b/>
          <w:sz w:val="22"/>
          <w:szCs w:val="22"/>
          <w:lang w:val="sr-Cyrl-CS"/>
        </w:rPr>
      </w:pPr>
    </w:p>
    <w:p w:rsidR="008D57CD" w:rsidRPr="00D81708" w:rsidRDefault="008D57CD" w:rsidP="008D57CD">
      <w:pPr>
        <w:pStyle w:val="BodyText"/>
        <w:ind w:left="3600" w:right="-360" w:firstLine="720"/>
        <w:jc w:val="left"/>
        <w:rPr>
          <w:b/>
          <w:sz w:val="22"/>
          <w:szCs w:val="22"/>
          <w:lang w:val="sr-Cyrl-CS"/>
        </w:rPr>
      </w:pPr>
    </w:p>
    <w:p w:rsidR="008D57CD" w:rsidRPr="00D81708" w:rsidRDefault="008D57CD" w:rsidP="008D57CD">
      <w:pPr>
        <w:pStyle w:val="BodyText"/>
        <w:ind w:left="3600" w:right="-360" w:firstLine="720"/>
        <w:jc w:val="left"/>
        <w:rPr>
          <w:b/>
          <w:sz w:val="22"/>
          <w:szCs w:val="22"/>
          <w:lang w:val="sr-Cyrl-CS"/>
        </w:rPr>
      </w:pPr>
    </w:p>
    <w:p w:rsidR="008D57CD" w:rsidRPr="00D81708" w:rsidRDefault="008D57CD" w:rsidP="008D57CD">
      <w:pPr>
        <w:pStyle w:val="BodyText"/>
        <w:ind w:left="3600" w:right="-360" w:firstLine="720"/>
        <w:jc w:val="left"/>
        <w:rPr>
          <w:b/>
          <w:sz w:val="22"/>
          <w:szCs w:val="22"/>
          <w:lang w:val="sr-Cyrl-CS"/>
        </w:rPr>
      </w:pPr>
    </w:p>
    <w:p w:rsidR="008D57CD" w:rsidRPr="00D81708" w:rsidRDefault="008D57CD" w:rsidP="008D57CD">
      <w:pPr>
        <w:pStyle w:val="BodyText"/>
        <w:ind w:left="3600" w:right="-360" w:firstLine="720"/>
        <w:jc w:val="left"/>
        <w:rPr>
          <w:b/>
          <w:sz w:val="22"/>
          <w:szCs w:val="22"/>
          <w:lang w:val="sr-Cyrl-CS"/>
        </w:rPr>
      </w:pPr>
    </w:p>
    <w:p w:rsidR="008D57CD" w:rsidRPr="00D81708" w:rsidRDefault="008D57CD" w:rsidP="008D57CD">
      <w:pPr>
        <w:pStyle w:val="BodyText"/>
        <w:ind w:left="3600" w:right="-360"/>
        <w:jc w:val="left"/>
        <w:rPr>
          <w:b/>
          <w:sz w:val="22"/>
          <w:szCs w:val="22"/>
          <w:lang w:val="sr-Cyrl-CS"/>
        </w:rPr>
      </w:pPr>
      <w:r w:rsidRPr="00D81708">
        <w:rPr>
          <w:b/>
          <w:sz w:val="22"/>
          <w:szCs w:val="22"/>
          <w:lang w:val="sr-Cyrl-CS"/>
        </w:rPr>
        <w:t>INTERNATIONAL BANK FOR</w:t>
      </w:r>
    </w:p>
    <w:p w:rsidR="008D57CD" w:rsidRPr="00D81708" w:rsidRDefault="008D57CD" w:rsidP="008D57CD">
      <w:pPr>
        <w:pStyle w:val="BodyText"/>
        <w:ind w:right="-360"/>
        <w:jc w:val="left"/>
        <w:rPr>
          <w:b/>
          <w:sz w:val="22"/>
          <w:szCs w:val="22"/>
          <w:lang w:val="sr-Cyrl-CS"/>
        </w:rPr>
      </w:pPr>
      <w:r w:rsidRPr="00D81708">
        <w:rPr>
          <w:b/>
          <w:sz w:val="22"/>
          <w:szCs w:val="22"/>
          <w:lang w:val="sr-Cyrl-CS"/>
        </w:rPr>
        <w:tab/>
      </w:r>
      <w:r w:rsidRPr="00D81708">
        <w:rPr>
          <w:b/>
          <w:sz w:val="22"/>
          <w:szCs w:val="22"/>
          <w:lang w:val="sr-Cyrl-CS"/>
        </w:rPr>
        <w:tab/>
      </w:r>
      <w:r w:rsidRPr="00D81708">
        <w:rPr>
          <w:b/>
          <w:sz w:val="22"/>
          <w:szCs w:val="22"/>
          <w:lang w:val="sr-Cyrl-CS"/>
        </w:rPr>
        <w:tab/>
      </w:r>
      <w:r w:rsidRPr="00D81708">
        <w:rPr>
          <w:b/>
          <w:sz w:val="22"/>
          <w:szCs w:val="22"/>
          <w:lang w:val="sr-Cyrl-CS"/>
        </w:rPr>
        <w:tab/>
        <w:t xml:space="preserve"> </w:t>
      </w:r>
      <w:r w:rsidRPr="00D81708">
        <w:rPr>
          <w:b/>
          <w:sz w:val="22"/>
          <w:szCs w:val="22"/>
          <w:lang w:val="sr-Cyrl-CS"/>
        </w:rPr>
        <w:tab/>
        <w:t xml:space="preserve">RECONSTRUCTION AND DEVELOPMENT        </w:t>
      </w:r>
    </w:p>
    <w:p w:rsidR="008D57CD" w:rsidRPr="00D81708" w:rsidRDefault="008D57CD" w:rsidP="008D57CD">
      <w:pPr>
        <w:pStyle w:val="BodyText"/>
        <w:ind w:right="-360"/>
        <w:jc w:val="left"/>
        <w:rPr>
          <w:lang w:val="sr-Cyrl-CS"/>
        </w:rPr>
      </w:pPr>
    </w:p>
    <w:p w:rsidR="008D57CD" w:rsidRPr="00D81708" w:rsidRDefault="008D57CD" w:rsidP="008D57CD">
      <w:pPr>
        <w:pStyle w:val="BodyText"/>
        <w:ind w:right="-360"/>
        <w:jc w:val="left"/>
        <w:rPr>
          <w:lang w:val="sr-Cyrl-CS"/>
        </w:rPr>
      </w:pPr>
    </w:p>
    <w:p w:rsidR="008D57CD" w:rsidRPr="00771904" w:rsidRDefault="00771904" w:rsidP="008D57CD">
      <w:pPr>
        <w:pStyle w:val="BodyText"/>
        <w:ind w:left="2160" w:firstLine="720"/>
        <w:rPr>
          <w:b/>
          <w:sz w:val="22"/>
          <w:szCs w:val="22"/>
        </w:rPr>
      </w:pPr>
      <w:r>
        <w:rPr>
          <w:b/>
          <w:sz w:val="22"/>
          <w:szCs w:val="22"/>
        </w:rPr>
        <w:t>By</w:t>
      </w:r>
    </w:p>
    <w:p w:rsidR="008D57CD" w:rsidRPr="00D81708" w:rsidRDefault="008D57CD" w:rsidP="008D57CD">
      <w:pPr>
        <w:spacing w:line="240" w:lineRule="auto"/>
        <w:jc w:val="right"/>
        <w:rPr>
          <w:b/>
          <w:sz w:val="22"/>
          <w:szCs w:val="22"/>
          <w:lang w:val="sr-Cyrl-CS"/>
        </w:rPr>
      </w:pPr>
      <w:r w:rsidRPr="00D81708">
        <w:rPr>
          <w:b/>
          <w:sz w:val="22"/>
          <w:szCs w:val="22"/>
          <w:lang w:val="sr-Cyrl-CS"/>
        </w:rPr>
        <w:t>_____________________________________</w:t>
      </w:r>
    </w:p>
    <w:p w:rsidR="008D57CD" w:rsidRPr="00D81708" w:rsidRDefault="008D57CD" w:rsidP="008D57CD">
      <w:pPr>
        <w:tabs>
          <w:tab w:val="left" w:pos="5760"/>
        </w:tabs>
        <w:spacing w:line="240" w:lineRule="auto"/>
        <w:jc w:val="center"/>
        <w:rPr>
          <w:b/>
          <w:sz w:val="22"/>
          <w:szCs w:val="22"/>
          <w:lang w:val="sr-Cyrl-CS"/>
        </w:rPr>
      </w:pPr>
      <w:r w:rsidRPr="00D81708">
        <w:rPr>
          <w:b/>
          <w:sz w:val="22"/>
          <w:szCs w:val="22"/>
          <w:lang w:val="sr-Cyrl-CS"/>
        </w:rPr>
        <w:t xml:space="preserve">                                                           Authorized Representative</w:t>
      </w:r>
    </w:p>
    <w:p w:rsidR="008D57CD" w:rsidRPr="00D81708" w:rsidRDefault="008D57CD" w:rsidP="008D57CD">
      <w:pPr>
        <w:spacing w:line="240" w:lineRule="auto"/>
        <w:jc w:val="right"/>
        <w:rPr>
          <w:b/>
          <w:sz w:val="22"/>
          <w:szCs w:val="22"/>
          <w:lang w:val="sr-Cyrl-CS"/>
        </w:rPr>
      </w:pPr>
    </w:p>
    <w:p w:rsidR="008D57CD" w:rsidRPr="00D81708" w:rsidRDefault="000B4ADE" w:rsidP="000B4ADE">
      <w:pPr>
        <w:spacing w:line="240" w:lineRule="auto"/>
        <w:jc w:val="center"/>
        <w:rPr>
          <w:b/>
          <w:sz w:val="22"/>
          <w:szCs w:val="22"/>
          <w:lang w:val="sr-Cyrl-CS"/>
        </w:rPr>
      </w:pPr>
      <w:r w:rsidRPr="00D81708">
        <w:rPr>
          <w:b/>
          <w:sz w:val="22"/>
          <w:szCs w:val="22"/>
          <w:lang w:val="sr-Cyrl-CS"/>
        </w:rPr>
        <w:t xml:space="preserve">                                    </w:t>
      </w:r>
      <w:r w:rsidR="008D57CD" w:rsidRPr="00D81708">
        <w:rPr>
          <w:b/>
          <w:sz w:val="22"/>
          <w:szCs w:val="22"/>
          <w:lang w:val="sr-Cyrl-CS"/>
        </w:rPr>
        <w:t xml:space="preserve">Name: </w:t>
      </w:r>
      <w:r w:rsidRPr="00D81708">
        <w:rPr>
          <w:b/>
          <w:sz w:val="22"/>
          <w:szCs w:val="22"/>
          <w:lang w:val="sr-Cyrl-CS"/>
        </w:rPr>
        <w:t>Stephen Ndegwa</w:t>
      </w:r>
    </w:p>
    <w:p w:rsidR="008D57CD" w:rsidRPr="00D81708" w:rsidRDefault="008D57CD" w:rsidP="008D57CD">
      <w:pPr>
        <w:spacing w:line="240" w:lineRule="auto"/>
        <w:jc w:val="right"/>
        <w:rPr>
          <w:b/>
          <w:sz w:val="22"/>
          <w:szCs w:val="22"/>
          <w:lang w:val="sr-Cyrl-CS"/>
        </w:rPr>
      </w:pPr>
    </w:p>
    <w:p w:rsidR="008D57CD" w:rsidRPr="00D81708" w:rsidRDefault="000B4ADE" w:rsidP="000B4ADE">
      <w:pPr>
        <w:spacing w:line="240" w:lineRule="auto"/>
        <w:jc w:val="center"/>
        <w:rPr>
          <w:b/>
          <w:sz w:val="22"/>
          <w:szCs w:val="22"/>
          <w:lang w:val="sr-Cyrl-CS"/>
        </w:rPr>
      </w:pPr>
      <w:r w:rsidRPr="00D81708">
        <w:rPr>
          <w:b/>
          <w:sz w:val="22"/>
          <w:szCs w:val="22"/>
          <w:lang w:val="sr-Cyrl-CS"/>
        </w:rPr>
        <w:t xml:space="preserve">                                   </w:t>
      </w:r>
      <w:r w:rsidR="006672E8" w:rsidRPr="00D81708">
        <w:rPr>
          <w:b/>
          <w:sz w:val="22"/>
          <w:szCs w:val="22"/>
          <w:lang w:val="sr-Cyrl-CS"/>
        </w:rPr>
        <w:t xml:space="preserve"> </w:t>
      </w:r>
      <w:r w:rsidR="00706666" w:rsidRPr="00D81708">
        <w:rPr>
          <w:b/>
          <w:sz w:val="22"/>
          <w:szCs w:val="22"/>
          <w:lang w:val="sr-Cyrl-CS"/>
        </w:rPr>
        <w:t xml:space="preserve"> </w:t>
      </w:r>
      <w:r w:rsidR="008D57CD" w:rsidRPr="00D81708">
        <w:rPr>
          <w:b/>
          <w:sz w:val="22"/>
          <w:szCs w:val="22"/>
          <w:lang w:val="sr-Cyrl-CS"/>
        </w:rPr>
        <w:t>Title:</w:t>
      </w:r>
      <w:r w:rsidRPr="00D81708">
        <w:rPr>
          <w:lang w:val="sr-Cyrl-CS"/>
        </w:rPr>
        <w:t xml:space="preserve"> </w:t>
      </w:r>
      <w:r w:rsidRPr="00D81708">
        <w:rPr>
          <w:b/>
          <w:sz w:val="22"/>
          <w:szCs w:val="22"/>
          <w:lang w:val="sr-Cyrl-CS"/>
        </w:rPr>
        <w:t>Country Manager</w:t>
      </w:r>
    </w:p>
    <w:p w:rsidR="008D57CD" w:rsidRPr="00D81708" w:rsidRDefault="008D57CD" w:rsidP="008D57CD">
      <w:pPr>
        <w:spacing w:line="240" w:lineRule="auto"/>
        <w:jc w:val="right"/>
        <w:rPr>
          <w:b/>
          <w:sz w:val="22"/>
          <w:szCs w:val="22"/>
          <w:lang w:val="sr-Cyrl-CS"/>
        </w:rPr>
      </w:pPr>
    </w:p>
    <w:p w:rsidR="008D57CD" w:rsidRPr="00D81708" w:rsidRDefault="000B4ADE" w:rsidP="000B4ADE">
      <w:pPr>
        <w:spacing w:line="240" w:lineRule="auto"/>
        <w:jc w:val="center"/>
        <w:rPr>
          <w:b/>
          <w:sz w:val="22"/>
          <w:szCs w:val="22"/>
          <w:lang w:val="sr-Cyrl-CS"/>
        </w:rPr>
      </w:pPr>
      <w:r w:rsidRPr="00D81708">
        <w:rPr>
          <w:b/>
          <w:sz w:val="22"/>
          <w:szCs w:val="22"/>
          <w:lang w:val="sr-Cyrl-CS"/>
        </w:rPr>
        <w:t xml:space="preserve">                       </w:t>
      </w:r>
      <w:r w:rsidR="00C6347D" w:rsidRPr="00D81708">
        <w:rPr>
          <w:b/>
          <w:sz w:val="22"/>
          <w:szCs w:val="22"/>
          <w:lang w:val="sr-Cyrl-CS"/>
        </w:rPr>
        <w:t xml:space="preserve">           </w:t>
      </w:r>
      <w:r w:rsidRPr="00D81708">
        <w:rPr>
          <w:b/>
          <w:sz w:val="22"/>
          <w:szCs w:val="22"/>
          <w:lang w:val="sr-Cyrl-CS"/>
        </w:rPr>
        <w:t xml:space="preserve">  </w:t>
      </w:r>
      <w:r w:rsidR="008D57CD" w:rsidRPr="00D81708">
        <w:rPr>
          <w:b/>
          <w:sz w:val="22"/>
          <w:szCs w:val="22"/>
          <w:lang w:val="sr-Cyrl-CS"/>
        </w:rPr>
        <w:t xml:space="preserve">Date: </w:t>
      </w:r>
      <w:r w:rsidR="006672E8" w:rsidRPr="00D81708">
        <w:rPr>
          <w:b/>
          <w:sz w:val="22"/>
          <w:szCs w:val="22"/>
          <w:lang w:val="sr-Cyrl-CS"/>
        </w:rPr>
        <w:t>9 December 2019</w:t>
      </w:r>
    </w:p>
    <w:p w:rsidR="006879D2" w:rsidRPr="00D81708" w:rsidRDefault="008D57CD" w:rsidP="006879D2">
      <w:pPr>
        <w:pStyle w:val="BodyText"/>
        <w:jc w:val="center"/>
        <w:rPr>
          <w:b/>
          <w:bCs/>
          <w:sz w:val="22"/>
          <w:szCs w:val="22"/>
          <w:lang w:val="sr-Cyrl-CS"/>
        </w:rPr>
      </w:pPr>
      <w:r w:rsidRPr="00D81708">
        <w:rPr>
          <w:b/>
          <w:sz w:val="22"/>
          <w:szCs w:val="22"/>
          <w:lang w:val="sr-Cyrl-CS"/>
        </w:rPr>
        <w:br w:type="page"/>
      </w:r>
      <w:r w:rsidR="006879D2" w:rsidRPr="00D81708">
        <w:rPr>
          <w:b/>
          <w:bCs/>
          <w:sz w:val="22"/>
          <w:szCs w:val="22"/>
          <w:lang w:val="sr-Cyrl-CS"/>
        </w:rPr>
        <w:lastRenderedPageBreak/>
        <w:t>SCHEDULE 1</w:t>
      </w:r>
    </w:p>
    <w:p w:rsidR="006879D2" w:rsidRPr="00D81708" w:rsidRDefault="006879D2" w:rsidP="006879D2">
      <w:pPr>
        <w:pStyle w:val="BodyText"/>
        <w:jc w:val="center"/>
        <w:rPr>
          <w:b/>
          <w:bCs/>
          <w:sz w:val="22"/>
          <w:szCs w:val="22"/>
          <w:lang w:val="sr-Cyrl-CS"/>
        </w:rPr>
      </w:pPr>
    </w:p>
    <w:p w:rsidR="006879D2" w:rsidRPr="00D81708" w:rsidRDefault="006879D2" w:rsidP="006879D2">
      <w:pPr>
        <w:pStyle w:val="BodyText"/>
        <w:jc w:val="center"/>
        <w:rPr>
          <w:b/>
          <w:bCs/>
          <w:sz w:val="22"/>
          <w:szCs w:val="22"/>
          <w:lang w:val="sr-Cyrl-CS"/>
        </w:rPr>
      </w:pPr>
      <w:r w:rsidRPr="00D81708">
        <w:rPr>
          <w:b/>
          <w:bCs/>
          <w:sz w:val="22"/>
          <w:szCs w:val="22"/>
          <w:lang w:val="sr-Cyrl-CS"/>
        </w:rPr>
        <w:t>Project Description</w:t>
      </w:r>
    </w:p>
    <w:p w:rsidR="006879D2" w:rsidRPr="00D81708" w:rsidRDefault="006879D2" w:rsidP="006879D2">
      <w:pPr>
        <w:pStyle w:val="BodyText"/>
        <w:jc w:val="center"/>
        <w:rPr>
          <w:sz w:val="22"/>
          <w:szCs w:val="22"/>
          <w:lang w:val="sr-Cyrl-CS"/>
        </w:rPr>
      </w:pPr>
    </w:p>
    <w:p w:rsidR="006879D2" w:rsidRPr="00D81708" w:rsidRDefault="006879D2" w:rsidP="006879D2">
      <w:pPr>
        <w:pStyle w:val="BodyText"/>
        <w:rPr>
          <w:sz w:val="22"/>
          <w:szCs w:val="22"/>
          <w:lang w:val="sr-Cyrl-CS"/>
        </w:rPr>
      </w:pPr>
    </w:p>
    <w:p w:rsidR="006879D2" w:rsidRPr="00D81708" w:rsidRDefault="006879D2" w:rsidP="006879D2">
      <w:pPr>
        <w:pStyle w:val="BodyText"/>
        <w:rPr>
          <w:sz w:val="22"/>
          <w:szCs w:val="22"/>
          <w:lang w:val="sr-Cyrl-CS"/>
        </w:rPr>
      </w:pPr>
      <w:r w:rsidRPr="00D81708">
        <w:rPr>
          <w:sz w:val="22"/>
          <w:szCs w:val="22"/>
          <w:lang w:val="sr-Cyrl-CS"/>
        </w:rPr>
        <w:t xml:space="preserve">The objective of the Project is </w:t>
      </w:r>
      <w:bookmarkStart w:id="5" w:name="_Hlk510795860_0"/>
      <w:r w:rsidRPr="00D81708">
        <w:rPr>
          <w:sz w:val="22"/>
          <w:szCs w:val="22"/>
          <w:lang w:val="sr-Cyrl-CS"/>
        </w:rPr>
        <w:t>to improve agri-food market linkages for Targeted Beneficiaries</w:t>
      </w:r>
      <w:bookmarkEnd w:id="5"/>
      <w:r w:rsidRPr="00D81708">
        <w:rPr>
          <w:sz w:val="22"/>
          <w:szCs w:val="22"/>
          <w:lang w:val="sr-Cyrl-CS"/>
        </w:rPr>
        <w:t>.</w:t>
      </w:r>
    </w:p>
    <w:p w:rsidR="006879D2" w:rsidRPr="00D81708" w:rsidRDefault="006879D2" w:rsidP="006879D2">
      <w:pPr>
        <w:pStyle w:val="BodyText"/>
        <w:ind w:firstLine="720"/>
        <w:rPr>
          <w:sz w:val="22"/>
          <w:szCs w:val="22"/>
          <w:lang w:val="sr-Cyrl-CS"/>
        </w:rPr>
      </w:pPr>
    </w:p>
    <w:p w:rsidR="006879D2" w:rsidRPr="00D81708" w:rsidRDefault="006879D2" w:rsidP="006879D2">
      <w:pPr>
        <w:pStyle w:val="BodyText"/>
        <w:rPr>
          <w:sz w:val="22"/>
          <w:szCs w:val="22"/>
          <w:lang w:val="sr-Cyrl-CS"/>
        </w:rPr>
      </w:pPr>
      <w:r w:rsidRPr="00D81708">
        <w:rPr>
          <w:sz w:val="22"/>
          <w:szCs w:val="22"/>
          <w:lang w:val="sr-Cyrl-CS"/>
        </w:rPr>
        <w:tab/>
        <w:t>The Project consists of the following parts:</w:t>
      </w:r>
    </w:p>
    <w:p w:rsidR="006879D2" w:rsidRPr="00D81708" w:rsidRDefault="006879D2" w:rsidP="006879D2">
      <w:pPr>
        <w:pStyle w:val="BodyText"/>
        <w:rPr>
          <w:sz w:val="22"/>
          <w:szCs w:val="22"/>
          <w:lang w:val="sr-Cyrl-CS"/>
        </w:rPr>
      </w:pPr>
    </w:p>
    <w:p w:rsidR="006879D2" w:rsidRPr="00D81708" w:rsidRDefault="006879D2" w:rsidP="006879D2">
      <w:pPr>
        <w:spacing w:line="240" w:lineRule="auto"/>
        <w:jc w:val="both"/>
        <w:rPr>
          <w:sz w:val="22"/>
          <w:szCs w:val="22"/>
          <w:u w:val="single"/>
          <w:lang w:val="sr-Cyrl-CS"/>
        </w:rPr>
      </w:pPr>
      <w:r w:rsidRPr="00D81708">
        <w:rPr>
          <w:b/>
          <w:sz w:val="22"/>
          <w:szCs w:val="22"/>
          <w:u w:val="single"/>
          <w:lang w:val="sr-Cyrl-CS"/>
        </w:rPr>
        <w:t>Part 1</w:t>
      </w:r>
      <w:r w:rsidRPr="00D81708">
        <w:rPr>
          <w:sz w:val="22"/>
          <w:szCs w:val="22"/>
          <w:lang w:val="sr-Cyrl-CS"/>
        </w:rPr>
        <w:t>:</w:t>
      </w:r>
      <w:r w:rsidRPr="00D81708">
        <w:rPr>
          <w:sz w:val="22"/>
          <w:szCs w:val="22"/>
          <w:lang w:val="sr-Cyrl-CS"/>
        </w:rPr>
        <w:tab/>
      </w:r>
      <w:r w:rsidRPr="00D81708">
        <w:rPr>
          <w:b/>
          <w:sz w:val="22"/>
          <w:szCs w:val="22"/>
          <w:u w:val="single"/>
          <w:lang w:val="sr-Cyrl-CS"/>
        </w:rPr>
        <w:t>Improving the Value-Added of Agriculture</w:t>
      </w:r>
    </w:p>
    <w:p w:rsidR="006879D2" w:rsidRPr="00D81708" w:rsidRDefault="006879D2" w:rsidP="006879D2">
      <w:pPr>
        <w:pStyle w:val="ListParagraph"/>
        <w:autoSpaceDE w:val="0"/>
        <w:autoSpaceDN w:val="0"/>
        <w:adjustRightInd w:val="0"/>
        <w:spacing w:line="240" w:lineRule="auto"/>
        <w:ind w:left="0"/>
        <w:contextualSpacing/>
        <w:jc w:val="both"/>
        <w:rPr>
          <w:sz w:val="22"/>
          <w:szCs w:val="22"/>
          <w:lang w:val="sr-Cyrl-CS"/>
        </w:rPr>
      </w:pPr>
    </w:p>
    <w:p w:rsidR="006879D2" w:rsidRPr="00D81708" w:rsidRDefault="006879D2" w:rsidP="006879D2">
      <w:pPr>
        <w:pStyle w:val="ListParagraph"/>
        <w:autoSpaceDE w:val="0"/>
        <w:autoSpaceDN w:val="0"/>
        <w:adjustRightInd w:val="0"/>
        <w:spacing w:line="240" w:lineRule="auto"/>
        <w:ind w:left="0"/>
        <w:contextualSpacing/>
        <w:jc w:val="both"/>
        <w:rPr>
          <w:sz w:val="22"/>
          <w:szCs w:val="22"/>
          <w:lang w:val="sr-Cyrl-CS"/>
        </w:rPr>
      </w:pPr>
      <w:r w:rsidRPr="00D81708">
        <w:rPr>
          <w:sz w:val="22"/>
          <w:szCs w:val="22"/>
          <w:lang w:val="sr-Cyrl-CS"/>
        </w:rPr>
        <w:t xml:space="preserve">Improve the economic performance on- and off-farm of Targeted Beneficiaries, through: </w:t>
      </w:r>
    </w:p>
    <w:p w:rsidR="006879D2" w:rsidRPr="00D81708" w:rsidRDefault="006879D2" w:rsidP="006879D2">
      <w:pPr>
        <w:spacing w:line="240" w:lineRule="auto"/>
        <w:jc w:val="both"/>
        <w:rPr>
          <w:sz w:val="22"/>
          <w:szCs w:val="22"/>
          <w:lang w:val="sr-Cyrl-CS"/>
        </w:rPr>
      </w:pPr>
    </w:p>
    <w:p w:rsidR="006879D2" w:rsidRPr="00D81708" w:rsidRDefault="006879D2" w:rsidP="006879D2">
      <w:pPr>
        <w:spacing w:line="240" w:lineRule="auto"/>
        <w:ind w:left="720" w:hanging="720"/>
        <w:jc w:val="both"/>
        <w:rPr>
          <w:sz w:val="22"/>
          <w:szCs w:val="22"/>
          <w:lang w:val="sr-Cyrl-CS"/>
        </w:rPr>
      </w:pPr>
      <w:r w:rsidRPr="00D81708">
        <w:rPr>
          <w:sz w:val="22"/>
          <w:szCs w:val="22"/>
          <w:lang w:val="sr-Cyrl-CS"/>
        </w:rPr>
        <w:t>1.1</w:t>
      </w:r>
      <w:r w:rsidRPr="00D81708">
        <w:rPr>
          <w:sz w:val="22"/>
          <w:szCs w:val="22"/>
          <w:lang w:val="sr-Cyrl-CS"/>
        </w:rPr>
        <w:tab/>
        <w:t xml:space="preserve">Strengthening the access to agricultural advisory and business development services, including, </w:t>
      </w:r>
      <w:r w:rsidRPr="00D81708">
        <w:rPr>
          <w:i/>
          <w:sz w:val="22"/>
          <w:szCs w:val="22"/>
          <w:lang w:val="sr-Cyrl-CS"/>
        </w:rPr>
        <w:t>inter alia</w:t>
      </w:r>
      <w:r w:rsidRPr="00D81708">
        <w:rPr>
          <w:sz w:val="22"/>
          <w:szCs w:val="22"/>
          <w:lang w:val="sr-Cyrl-CS"/>
        </w:rPr>
        <w:t xml:space="preserve">: (a) the provision of technical assistance to Targeted Beneficiaries for the formulation and implementation of productive investments; and (b) the design and implementation of a communication strategy for MAFWM aimed at raising awareness about the Project to stimulate broad-based participation of stakeholders. </w:t>
      </w:r>
    </w:p>
    <w:p w:rsidR="006879D2" w:rsidRPr="00D81708" w:rsidRDefault="006879D2" w:rsidP="006879D2">
      <w:pPr>
        <w:pStyle w:val="ListParagraph"/>
        <w:autoSpaceDE w:val="0"/>
        <w:autoSpaceDN w:val="0"/>
        <w:adjustRightInd w:val="0"/>
        <w:spacing w:line="240" w:lineRule="auto"/>
        <w:ind w:left="0"/>
        <w:contextualSpacing/>
        <w:jc w:val="both"/>
        <w:rPr>
          <w:sz w:val="22"/>
          <w:szCs w:val="22"/>
          <w:lang w:val="sr-Cyrl-CS"/>
        </w:rPr>
      </w:pPr>
    </w:p>
    <w:p w:rsidR="006879D2" w:rsidRPr="00D81708" w:rsidRDefault="006879D2" w:rsidP="006879D2">
      <w:pPr>
        <w:pStyle w:val="ListParagraph"/>
        <w:autoSpaceDE w:val="0"/>
        <w:autoSpaceDN w:val="0"/>
        <w:adjustRightInd w:val="0"/>
        <w:spacing w:line="240" w:lineRule="auto"/>
        <w:ind w:hanging="720"/>
        <w:contextualSpacing/>
        <w:jc w:val="both"/>
        <w:rPr>
          <w:sz w:val="22"/>
          <w:szCs w:val="22"/>
          <w:lang w:val="sr-Cyrl-CS"/>
        </w:rPr>
      </w:pPr>
      <w:r w:rsidRPr="00D81708">
        <w:rPr>
          <w:sz w:val="22"/>
          <w:szCs w:val="22"/>
          <w:lang w:val="sr-Cyrl-CS"/>
        </w:rPr>
        <w:t>1.2</w:t>
      </w:r>
      <w:r w:rsidRPr="00D81708">
        <w:rPr>
          <w:sz w:val="22"/>
          <w:szCs w:val="22"/>
          <w:lang w:val="sr-Cyrl-CS"/>
        </w:rPr>
        <w:tab/>
        <w:t xml:space="preserve">Facilitating access to finance for productive investments, including, </w:t>
      </w:r>
      <w:r w:rsidRPr="00D81708">
        <w:rPr>
          <w:i/>
          <w:sz w:val="22"/>
          <w:szCs w:val="22"/>
          <w:lang w:val="sr-Cyrl-CS"/>
        </w:rPr>
        <w:t>inter alia</w:t>
      </w:r>
      <w:r w:rsidRPr="00D81708">
        <w:rPr>
          <w:sz w:val="22"/>
          <w:szCs w:val="22"/>
          <w:lang w:val="sr-Cyrl-CS"/>
        </w:rPr>
        <w:t>: (a) the provision of Matching Grants to Targeted Beneficiaries to finance capital investment, working capital, technical assistance and/or Training for improving their productive and entrepreneurial capacity and performance; and (b) the carrying out of a feasibility study to assess demand for a public guarantee fund for agricultural loans as a long-term de-risking option.</w:t>
      </w:r>
    </w:p>
    <w:p w:rsidR="006879D2" w:rsidRPr="00D81708" w:rsidRDefault="006879D2" w:rsidP="006879D2">
      <w:pPr>
        <w:pStyle w:val="ListParagraph"/>
        <w:autoSpaceDE w:val="0"/>
        <w:autoSpaceDN w:val="0"/>
        <w:adjustRightInd w:val="0"/>
        <w:spacing w:line="240" w:lineRule="auto"/>
        <w:ind w:left="0"/>
        <w:contextualSpacing/>
        <w:jc w:val="both"/>
        <w:rPr>
          <w:sz w:val="22"/>
          <w:szCs w:val="22"/>
          <w:lang w:val="sr-Cyrl-CS"/>
        </w:rPr>
      </w:pPr>
    </w:p>
    <w:p w:rsidR="006879D2" w:rsidRPr="00D81708" w:rsidRDefault="006879D2" w:rsidP="006879D2">
      <w:pPr>
        <w:spacing w:line="240" w:lineRule="auto"/>
        <w:jc w:val="both"/>
        <w:rPr>
          <w:sz w:val="22"/>
          <w:szCs w:val="22"/>
          <w:u w:val="single"/>
          <w:lang w:val="sr-Cyrl-CS"/>
        </w:rPr>
      </w:pPr>
      <w:r w:rsidRPr="00D81708">
        <w:rPr>
          <w:b/>
          <w:sz w:val="22"/>
          <w:szCs w:val="22"/>
          <w:u w:val="single"/>
          <w:lang w:val="sr-Cyrl-CS"/>
        </w:rPr>
        <w:t>Part 2</w:t>
      </w:r>
      <w:r w:rsidRPr="00D81708">
        <w:rPr>
          <w:sz w:val="22"/>
          <w:szCs w:val="22"/>
          <w:lang w:val="sr-Cyrl-CS"/>
        </w:rPr>
        <w:t>:</w:t>
      </w:r>
      <w:r w:rsidRPr="00D81708">
        <w:rPr>
          <w:sz w:val="22"/>
          <w:szCs w:val="22"/>
          <w:lang w:val="sr-Cyrl-CS"/>
        </w:rPr>
        <w:tab/>
      </w:r>
      <w:r w:rsidRPr="00D81708">
        <w:rPr>
          <w:b/>
          <w:sz w:val="22"/>
          <w:szCs w:val="22"/>
          <w:u w:val="single"/>
          <w:lang w:val="sr-Cyrl-CS"/>
        </w:rPr>
        <w:t>Improving the Capacity of MAFWM to Support Modern Agriculture</w:t>
      </w:r>
      <w:r w:rsidRPr="00D81708">
        <w:rPr>
          <w:sz w:val="22"/>
          <w:szCs w:val="22"/>
          <w:u w:val="single"/>
          <w:lang w:val="sr-Cyrl-CS"/>
        </w:rPr>
        <w:t xml:space="preserve"> </w:t>
      </w:r>
    </w:p>
    <w:p w:rsidR="006879D2" w:rsidRPr="00D81708" w:rsidRDefault="006879D2" w:rsidP="006879D2">
      <w:pPr>
        <w:pStyle w:val="ListParagraph"/>
        <w:spacing w:line="240" w:lineRule="auto"/>
        <w:ind w:left="0"/>
        <w:contextualSpacing/>
        <w:jc w:val="both"/>
        <w:rPr>
          <w:sz w:val="22"/>
          <w:szCs w:val="22"/>
          <w:lang w:val="sr-Cyrl-CS"/>
        </w:rPr>
      </w:pPr>
      <w:bookmarkStart w:id="6" w:name="_Hlk1737509"/>
    </w:p>
    <w:p w:rsidR="006879D2" w:rsidRPr="00D81708" w:rsidRDefault="006879D2" w:rsidP="006879D2">
      <w:pPr>
        <w:spacing w:line="240" w:lineRule="auto"/>
        <w:contextualSpacing/>
        <w:jc w:val="both"/>
        <w:rPr>
          <w:sz w:val="22"/>
          <w:szCs w:val="22"/>
          <w:lang w:val="sr-Cyrl-CS"/>
        </w:rPr>
      </w:pPr>
      <w:r w:rsidRPr="00D81708">
        <w:rPr>
          <w:sz w:val="22"/>
          <w:szCs w:val="22"/>
          <w:lang w:val="sr-Cyrl-CS"/>
        </w:rPr>
        <w:t>Improve the capacity of MAFWM and other related public agencies to enable improved sector performance through evidence-based policy making and provision of public goods, such as information delivery systems and open data platforms, including:</w:t>
      </w:r>
    </w:p>
    <w:p w:rsidR="006879D2" w:rsidRPr="00D81708" w:rsidRDefault="006879D2" w:rsidP="006879D2">
      <w:pPr>
        <w:pStyle w:val="ListParagraph"/>
        <w:spacing w:line="240" w:lineRule="auto"/>
        <w:ind w:left="0"/>
        <w:contextualSpacing/>
        <w:jc w:val="both"/>
        <w:rPr>
          <w:sz w:val="22"/>
          <w:szCs w:val="22"/>
          <w:lang w:val="sr-Cyrl-CS"/>
        </w:rPr>
      </w:pPr>
    </w:p>
    <w:p w:rsidR="006879D2" w:rsidRPr="00D81708" w:rsidRDefault="006879D2" w:rsidP="006879D2">
      <w:pPr>
        <w:pStyle w:val="ListParagraph"/>
        <w:spacing w:line="240" w:lineRule="auto"/>
        <w:ind w:hanging="720"/>
        <w:contextualSpacing/>
        <w:jc w:val="both"/>
        <w:rPr>
          <w:sz w:val="22"/>
          <w:szCs w:val="22"/>
          <w:lang w:val="sr-Cyrl-CS"/>
        </w:rPr>
      </w:pPr>
      <w:r w:rsidRPr="00D81708">
        <w:rPr>
          <w:sz w:val="22"/>
          <w:szCs w:val="22"/>
          <w:lang w:val="sr-Cyrl-CS"/>
        </w:rPr>
        <w:t>2.1</w:t>
      </w:r>
      <w:r w:rsidRPr="00D81708">
        <w:rPr>
          <w:sz w:val="22"/>
          <w:szCs w:val="22"/>
          <w:lang w:val="sr-Cyrl-CS"/>
        </w:rPr>
        <w:tab/>
        <w:t xml:space="preserve">The modernization of MAFWM information systems and the strengthening of MAFWM’s decision-making capacity, including, </w:t>
      </w:r>
      <w:r w:rsidRPr="00D81708">
        <w:rPr>
          <w:i/>
          <w:sz w:val="22"/>
          <w:szCs w:val="22"/>
          <w:lang w:val="sr-Cyrl-CS"/>
        </w:rPr>
        <w:t>inter alia</w:t>
      </w:r>
      <w:r w:rsidRPr="00D81708">
        <w:rPr>
          <w:sz w:val="22"/>
          <w:szCs w:val="22"/>
          <w:lang w:val="sr-Cyrl-CS"/>
        </w:rPr>
        <w:t>: (a) the provision of technical assistance to: (i) develop a MAFWM ICT strategy;  (ii) improve the coordination within and across existing information systems relevant to agriculture; and (iii) enhance the delivery of information for decision making at different levels; and (b) the acquisition of hardware and software to improve the scope, functionality and compatibility of information systems and establish digital data collection and processing of current paper-based processes in agriculture.</w:t>
      </w:r>
    </w:p>
    <w:p w:rsidR="006879D2" w:rsidRPr="00D81708" w:rsidRDefault="006879D2" w:rsidP="006879D2">
      <w:pPr>
        <w:pStyle w:val="ListParagraph"/>
        <w:spacing w:line="240" w:lineRule="auto"/>
        <w:ind w:left="0"/>
        <w:contextualSpacing/>
        <w:jc w:val="both"/>
        <w:rPr>
          <w:sz w:val="22"/>
          <w:szCs w:val="22"/>
          <w:lang w:val="sr-Cyrl-CS"/>
        </w:rPr>
      </w:pPr>
    </w:p>
    <w:p w:rsidR="00C26246" w:rsidRDefault="006879D2" w:rsidP="006879D2">
      <w:pPr>
        <w:pStyle w:val="ListParagraph"/>
        <w:spacing w:line="240" w:lineRule="auto"/>
        <w:ind w:hanging="720"/>
        <w:contextualSpacing/>
        <w:jc w:val="both"/>
        <w:rPr>
          <w:sz w:val="22"/>
          <w:szCs w:val="22"/>
        </w:rPr>
      </w:pPr>
      <w:r w:rsidRPr="00D81708">
        <w:rPr>
          <w:sz w:val="22"/>
          <w:szCs w:val="22"/>
          <w:lang w:val="sr-Cyrl-CS"/>
        </w:rPr>
        <w:t>2.2</w:t>
      </w:r>
      <w:r w:rsidRPr="00D81708">
        <w:rPr>
          <w:sz w:val="22"/>
          <w:szCs w:val="22"/>
          <w:lang w:val="sr-Cyrl-CS"/>
        </w:rPr>
        <w:tab/>
        <w:t>Improving the access to information to all sector stakeholders through the establishment of an open, public information system to pull together all relevant</w:t>
      </w:r>
    </w:p>
    <w:p w:rsidR="00C26246" w:rsidRDefault="00C26246" w:rsidP="006879D2">
      <w:pPr>
        <w:pStyle w:val="ListParagraph"/>
        <w:spacing w:line="240" w:lineRule="auto"/>
        <w:ind w:hanging="720"/>
        <w:contextualSpacing/>
        <w:jc w:val="both"/>
        <w:rPr>
          <w:sz w:val="22"/>
          <w:szCs w:val="22"/>
        </w:rPr>
      </w:pPr>
    </w:p>
    <w:p w:rsidR="00C26246" w:rsidRDefault="00C26246" w:rsidP="006879D2">
      <w:pPr>
        <w:pStyle w:val="ListParagraph"/>
        <w:spacing w:line="240" w:lineRule="auto"/>
        <w:ind w:hanging="720"/>
        <w:contextualSpacing/>
        <w:jc w:val="both"/>
        <w:rPr>
          <w:sz w:val="22"/>
          <w:szCs w:val="22"/>
        </w:rPr>
      </w:pPr>
    </w:p>
    <w:p w:rsidR="00C26246" w:rsidRDefault="00C26246" w:rsidP="006879D2">
      <w:pPr>
        <w:pStyle w:val="ListParagraph"/>
        <w:spacing w:line="240" w:lineRule="auto"/>
        <w:ind w:hanging="720"/>
        <w:contextualSpacing/>
        <w:jc w:val="both"/>
        <w:rPr>
          <w:sz w:val="22"/>
          <w:szCs w:val="22"/>
        </w:rPr>
      </w:pPr>
    </w:p>
    <w:p w:rsidR="00C26246" w:rsidRDefault="006879D2" w:rsidP="00C26246">
      <w:pPr>
        <w:pStyle w:val="ListParagraph"/>
        <w:spacing w:line="240" w:lineRule="auto"/>
        <w:ind w:hanging="720"/>
        <w:contextualSpacing/>
        <w:rPr>
          <w:sz w:val="22"/>
          <w:szCs w:val="22"/>
        </w:rPr>
      </w:pPr>
      <w:r w:rsidRPr="00D81708">
        <w:rPr>
          <w:sz w:val="22"/>
          <w:szCs w:val="22"/>
          <w:lang w:val="sr-Cyrl-CS"/>
        </w:rPr>
        <w:t xml:space="preserve"> </w:t>
      </w:r>
    </w:p>
    <w:p w:rsidR="00C26246" w:rsidRDefault="006879D2" w:rsidP="00C26246">
      <w:pPr>
        <w:pStyle w:val="ListParagraph"/>
        <w:spacing w:line="240" w:lineRule="auto"/>
        <w:ind w:hanging="720"/>
        <w:contextualSpacing/>
        <w:jc w:val="both"/>
        <w:rPr>
          <w:sz w:val="22"/>
          <w:szCs w:val="22"/>
        </w:rPr>
      </w:pPr>
      <w:r w:rsidRPr="00D81708">
        <w:rPr>
          <w:sz w:val="22"/>
          <w:szCs w:val="22"/>
          <w:lang w:val="sr-Cyrl-CS"/>
        </w:rPr>
        <w:lastRenderedPageBreak/>
        <w:t>data, including the upgraded and reengineered applications developed under</w:t>
      </w:r>
    </w:p>
    <w:p w:rsidR="006879D2" w:rsidRPr="00D81708" w:rsidRDefault="006879D2" w:rsidP="00C26246">
      <w:pPr>
        <w:pStyle w:val="ListParagraph"/>
        <w:spacing w:line="240" w:lineRule="auto"/>
        <w:ind w:hanging="720"/>
        <w:contextualSpacing/>
        <w:rPr>
          <w:sz w:val="22"/>
          <w:szCs w:val="22"/>
          <w:lang w:val="sr-Cyrl-CS"/>
        </w:rPr>
      </w:pPr>
      <w:r w:rsidRPr="00D81708">
        <w:rPr>
          <w:sz w:val="22"/>
          <w:szCs w:val="22"/>
          <w:lang w:val="sr-Cyrl-CS"/>
        </w:rPr>
        <w:t xml:space="preserve"> Part 2.1 of the Project.</w:t>
      </w:r>
    </w:p>
    <w:p w:rsidR="006879D2" w:rsidRPr="00D81708" w:rsidRDefault="006879D2" w:rsidP="006879D2">
      <w:pPr>
        <w:pStyle w:val="ListParagraph"/>
        <w:spacing w:line="240" w:lineRule="auto"/>
        <w:ind w:left="0"/>
        <w:contextualSpacing/>
        <w:jc w:val="both"/>
        <w:rPr>
          <w:sz w:val="22"/>
          <w:szCs w:val="22"/>
          <w:lang w:val="sr-Cyrl-CS"/>
        </w:rPr>
      </w:pPr>
    </w:p>
    <w:bookmarkEnd w:id="6"/>
    <w:p w:rsidR="006879D2" w:rsidRPr="00D81708" w:rsidRDefault="006879D2" w:rsidP="006879D2">
      <w:pPr>
        <w:spacing w:line="240" w:lineRule="auto"/>
        <w:jc w:val="both"/>
        <w:rPr>
          <w:sz w:val="22"/>
          <w:szCs w:val="22"/>
          <w:u w:val="single"/>
          <w:lang w:val="sr-Cyrl-CS"/>
        </w:rPr>
      </w:pPr>
      <w:r w:rsidRPr="00D81708">
        <w:rPr>
          <w:b/>
          <w:sz w:val="22"/>
          <w:szCs w:val="22"/>
          <w:u w:val="single"/>
          <w:lang w:val="sr-Cyrl-CS"/>
        </w:rPr>
        <w:t>Part 3</w:t>
      </w:r>
      <w:r w:rsidRPr="00D81708">
        <w:rPr>
          <w:sz w:val="22"/>
          <w:szCs w:val="22"/>
          <w:lang w:val="sr-Cyrl-CS"/>
        </w:rPr>
        <w:t>:</w:t>
      </w:r>
      <w:r w:rsidRPr="00D81708">
        <w:rPr>
          <w:sz w:val="22"/>
          <w:szCs w:val="22"/>
          <w:lang w:val="sr-Cyrl-CS"/>
        </w:rPr>
        <w:tab/>
      </w:r>
      <w:r w:rsidRPr="00D81708">
        <w:rPr>
          <w:b/>
          <w:sz w:val="22"/>
          <w:szCs w:val="22"/>
          <w:u w:val="single"/>
          <w:lang w:val="sr-Cyrl-CS"/>
        </w:rPr>
        <w:t>Project Management, Monitoring and Evaluation</w:t>
      </w:r>
      <w:bookmarkStart w:id="7" w:name="_Hlk1737533"/>
    </w:p>
    <w:p w:rsidR="006879D2" w:rsidRPr="00D81708" w:rsidRDefault="006879D2" w:rsidP="006879D2">
      <w:pPr>
        <w:spacing w:line="240" w:lineRule="auto"/>
        <w:jc w:val="both"/>
        <w:rPr>
          <w:sz w:val="22"/>
          <w:szCs w:val="22"/>
          <w:lang w:val="sr-Cyrl-CS"/>
        </w:rPr>
      </w:pPr>
    </w:p>
    <w:p w:rsidR="006879D2" w:rsidRPr="00D81708" w:rsidRDefault="006879D2" w:rsidP="006879D2">
      <w:pPr>
        <w:spacing w:line="240" w:lineRule="auto"/>
        <w:jc w:val="both"/>
        <w:rPr>
          <w:sz w:val="22"/>
          <w:szCs w:val="22"/>
          <w:lang w:val="sr-Cyrl-CS"/>
        </w:rPr>
      </w:pPr>
      <w:r w:rsidRPr="00D81708">
        <w:rPr>
          <w:sz w:val="22"/>
          <w:szCs w:val="22"/>
          <w:lang w:val="sr-Cyrl-CS"/>
        </w:rPr>
        <w:t xml:space="preserve">Support the operation of the PMT and the carrying out of Project monitoring activities, including, </w:t>
      </w:r>
      <w:r w:rsidRPr="00D81708">
        <w:rPr>
          <w:i/>
          <w:sz w:val="22"/>
          <w:szCs w:val="22"/>
          <w:lang w:val="sr-Cyrl-CS"/>
        </w:rPr>
        <w:t>inter alia</w:t>
      </w:r>
      <w:r w:rsidRPr="00D81708">
        <w:rPr>
          <w:sz w:val="22"/>
          <w:szCs w:val="22"/>
          <w:lang w:val="sr-Cyrl-CS"/>
        </w:rPr>
        <w:t>, the carrying out of: (a) a comprehensive baseline study; (b) a mid</w:t>
      </w:r>
      <w:r w:rsidRPr="00D81708">
        <w:rPr>
          <w:sz w:val="22"/>
          <w:szCs w:val="22"/>
          <w:lang w:val="sr-Cyrl-CS"/>
        </w:rPr>
        <w:noBreakHyphen/>
        <w:t xml:space="preserve">term review report; and (c) a final impact assessment of Project investments. </w:t>
      </w:r>
    </w:p>
    <w:bookmarkEnd w:id="7"/>
    <w:p w:rsidR="006879D2" w:rsidRPr="00D81708" w:rsidRDefault="006879D2" w:rsidP="006879D2">
      <w:pPr>
        <w:pStyle w:val="BodyText"/>
        <w:jc w:val="center"/>
        <w:rPr>
          <w:sz w:val="22"/>
          <w:szCs w:val="22"/>
          <w:lang w:val="sr-Cyrl-CS"/>
        </w:rPr>
      </w:pPr>
      <w:r w:rsidRPr="00D81708">
        <w:rPr>
          <w:sz w:val="22"/>
          <w:szCs w:val="22"/>
          <w:lang w:val="sr-Cyrl-CS"/>
        </w:rPr>
        <w:br w:type="page"/>
      </w:r>
      <w:r w:rsidRPr="00D81708">
        <w:rPr>
          <w:b/>
          <w:bCs/>
          <w:sz w:val="22"/>
          <w:szCs w:val="22"/>
          <w:lang w:val="sr-Cyrl-CS"/>
        </w:rPr>
        <w:lastRenderedPageBreak/>
        <w:t>SCHEDULE 2</w:t>
      </w:r>
    </w:p>
    <w:p w:rsidR="006879D2" w:rsidRPr="00D81708" w:rsidRDefault="006879D2" w:rsidP="006879D2">
      <w:pPr>
        <w:pStyle w:val="BodyText"/>
        <w:jc w:val="center"/>
        <w:rPr>
          <w:sz w:val="22"/>
          <w:szCs w:val="22"/>
          <w:lang w:val="sr-Cyrl-CS"/>
        </w:rPr>
      </w:pPr>
    </w:p>
    <w:p w:rsidR="006879D2" w:rsidRPr="00D81708" w:rsidRDefault="006879D2" w:rsidP="006879D2">
      <w:pPr>
        <w:pStyle w:val="BodyText"/>
        <w:jc w:val="center"/>
        <w:rPr>
          <w:b/>
          <w:bCs/>
          <w:sz w:val="22"/>
          <w:szCs w:val="22"/>
          <w:lang w:val="sr-Cyrl-CS"/>
        </w:rPr>
      </w:pPr>
      <w:r w:rsidRPr="00D81708">
        <w:rPr>
          <w:b/>
          <w:bCs/>
          <w:sz w:val="22"/>
          <w:szCs w:val="22"/>
          <w:lang w:val="sr-Cyrl-CS"/>
        </w:rPr>
        <w:t>Project Execution</w:t>
      </w:r>
    </w:p>
    <w:p w:rsidR="006879D2" w:rsidRPr="00D81708" w:rsidRDefault="006879D2" w:rsidP="006879D2">
      <w:pPr>
        <w:pStyle w:val="BodyText"/>
        <w:jc w:val="center"/>
        <w:rPr>
          <w:sz w:val="22"/>
          <w:szCs w:val="22"/>
          <w:lang w:val="sr-Cyrl-CS"/>
        </w:rPr>
      </w:pPr>
    </w:p>
    <w:p w:rsidR="006879D2" w:rsidRPr="00D81708" w:rsidRDefault="006879D2" w:rsidP="006879D2">
      <w:pPr>
        <w:pStyle w:val="BodyText"/>
        <w:rPr>
          <w:b/>
          <w:bCs/>
          <w:sz w:val="22"/>
          <w:szCs w:val="22"/>
          <w:lang w:val="sr-Cyrl-CS"/>
        </w:rPr>
      </w:pPr>
      <w:r w:rsidRPr="00D81708">
        <w:rPr>
          <w:b/>
          <w:bCs/>
          <w:sz w:val="22"/>
          <w:szCs w:val="22"/>
          <w:lang w:val="sr-Cyrl-CS"/>
        </w:rPr>
        <w:t>Section I.</w:t>
      </w:r>
      <w:r w:rsidRPr="00D81708">
        <w:rPr>
          <w:b/>
          <w:bCs/>
          <w:sz w:val="22"/>
          <w:szCs w:val="22"/>
          <w:lang w:val="sr-Cyrl-CS"/>
        </w:rPr>
        <w:tab/>
      </w:r>
      <w:r w:rsidRPr="00D81708">
        <w:rPr>
          <w:b/>
          <w:bCs/>
          <w:sz w:val="22"/>
          <w:szCs w:val="22"/>
          <w:u w:val="single"/>
          <w:lang w:val="sr-Cyrl-CS"/>
        </w:rPr>
        <w:t>Implementation Arrangements</w:t>
      </w:r>
    </w:p>
    <w:p w:rsidR="006879D2" w:rsidRPr="00D81708" w:rsidRDefault="006879D2" w:rsidP="006879D2">
      <w:pPr>
        <w:pStyle w:val="BodyText"/>
        <w:rPr>
          <w:b/>
          <w:sz w:val="22"/>
          <w:szCs w:val="22"/>
          <w:u w:val="single"/>
          <w:lang w:val="sr-Cyrl-CS"/>
        </w:rPr>
      </w:pPr>
    </w:p>
    <w:p w:rsidR="006879D2" w:rsidRPr="00D81708" w:rsidRDefault="006879D2" w:rsidP="006879D2">
      <w:pPr>
        <w:pStyle w:val="ModelNrmlSingle"/>
        <w:numPr>
          <w:ilvl w:val="0"/>
          <w:numId w:val="19"/>
        </w:numPr>
        <w:spacing w:after="0"/>
        <w:ind w:left="0" w:firstLine="0"/>
        <w:rPr>
          <w:b/>
          <w:bCs/>
          <w:iCs/>
          <w:szCs w:val="22"/>
          <w:lang w:val="sr-Cyrl-CS"/>
        </w:rPr>
      </w:pPr>
      <w:r w:rsidRPr="00D81708">
        <w:rPr>
          <w:b/>
          <w:bCs/>
          <w:iCs/>
          <w:szCs w:val="22"/>
          <w:lang w:val="sr-Cyrl-CS"/>
        </w:rPr>
        <w:t>Institutional Arrangements</w:t>
      </w:r>
    </w:p>
    <w:p w:rsidR="006879D2" w:rsidRPr="00D81708" w:rsidRDefault="006879D2" w:rsidP="006879D2">
      <w:pPr>
        <w:pStyle w:val="ModelNrmlSingle"/>
        <w:spacing w:after="0"/>
        <w:ind w:firstLine="0"/>
        <w:rPr>
          <w:bCs/>
          <w:iCs/>
          <w:szCs w:val="22"/>
          <w:lang w:val="sr-Cyrl-CS"/>
        </w:rPr>
      </w:pPr>
    </w:p>
    <w:p w:rsidR="006879D2" w:rsidRPr="00D81708" w:rsidRDefault="006879D2" w:rsidP="006879D2">
      <w:pPr>
        <w:pStyle w:val="ModelNrmlSingle"/>
        <w:numPr>
          <w:ilvl w:val="0"/>
          <w:numId w:val="44"/>
        </w:numPr>
        <w:spacing w:after="0"/>
        <w:ind w:left="720" w:hanging="720"/>
        <w:rPr>
          <w:bCs/>
          <w:iCs/>
          <w:szCs w:val="22"/>
          <w:lang w:val="sr-Cyrl-CS"/>
        </w:rPr>
      </w:pPr>
      <w:r w:rsidRPr="00D81708">
        <w:rPr>
          <w:bCs/>
          <w:iCs/>
          <w:szCs w:val="22"/>
          <w:lang w:val="sr-Cyrl-CS"/>
        </w:rPr>
        <w:t>Without limitation to the provisions of Article V of the General Conditions and e</w:t>
      </w:r>
      <w:r w:rsidRPr="00D81708">
        <w:rPr>
          <w:szCs w:val="22"/>
          <w:lang w:val="sr-Cyrl-CS"/>
        </w:rPr>
        <w:t>xcept as the Bank shall otherwise agree, the Borrower shall:</w:t>
      </w:r>
    </w:p>
    <w:p w:rsidR="006879D2" w:rsidRPr="00D81708" w:rsidRDefault="006879D2" w:rsidP="006879D2">
      <w:pPr>
        <w:pStyle w:val="ModelNrmlSingle"/>
        <w:spacing w:after="0"/>
        <w:ind w:firstLine="0"/>
        <w:rPr>
          <w:bCs/>
          <w:iCs/>
          <w:szCs w:val="22"/>
          <w:lang w:val="sr-Cyrl-CS"/>
        </w:rPr>
      </w:pPr>
    </w:p>
    <w:p w:rsidR="006879D2" w:rsidRPr="00D81708" w:rsidRDefault="006879D2" w:rsidP="006879D2">
      <w:pPr>
        <w:pStyle w:val="ModelNrmlSingle"/>
        <w:numPr>
          <w:ilvl w:val="0"/>
          <w:numId w:val="20"/>
        </w:numPr>
        <w:spacing w:after="0"/>
        <w:ind w:hanging="720"/>
        <w:rPr>
          <w:szCs w:val="22"/>
          <w:lang w:val="sr-Cyrl-CS"/>
        </w:rPr>
      </w:pPr>
      <w:r w:rsidRPr="00D81708">
        <w:rPr>
          <w:bCs/>
          <w:iCs/>
          <w:szCs w:val="22"/>
          <w:lang w:val="sr-Cyrl-CS"/>
        </w:rPr>
        <w:t xml:space="preserve">establish and maintain throughout Project implementation, with </w:t>
      </w:r>
      <w:r w:rsidRPr="00D81708">
        <w:rPr>
          <w:szCs w:val="22"/>
          <w:lang w:val="sr-Cyrl-CS"/>
        </w:rPr>
        <w:t xml:space="preserve">composition, </w:t>
      </w:r>
      <w:r w:rsidRPr="00D81708">
        <w:rPr>
          <w:bCs/>
          <w:iCs/>
          <w:szCs w:val="22"/>
          <w:lang w:val="sr-Cyrl-CS"/>
        </w:rPr>
        <w:t>resources</w:t>
      </w:r>
      <w:r w:rsidRPr="00D81708">
        <w:rPr>
          <w:szCs w:val="22"/>
          <w:lang w:val="sr-Cyrl-CS"/>
        </w:rPr>
        <w:t xml:space="preserve">, terms of reference, and </w:t>
      </w:r>
      <w:r w:rsidRPr="00D81708">
        <w:rPr>
          <w:bCs/>
          <w:iCs/>
          <w:szCs w:val="22"/>
          <w:lang w:val="sr-Cyrl-CS"/>
        </w:rPr>
        <w:t>functions acceptable to the Bank a Project management team within DAP</w:t>
      </w:r>
      <w:r w:rsidRPr="00D81708">
        <w:rPr>
          <w:szCs w:val="22"/>
          <w:lang w:val="sr-Cyrl-CS"/>
        </w:rPr>
        <w:t xml:space="preserve"> (PMT), to be responsible for: (i) the overall coordination of all Project implementation activities; (ii) ensuring that</w:t>
      </w:r>
      <w:r w:rsidRPr="00D81708" w:rsidDel="009667E2">
        <w:rPr>
          <w:szCs w:val="22"/>
          <w:lang w:val="sr-Cyrl-CS"/>
        </w:rPr>
        <w:t xml:space="preserve"> </w:t>
      </w:r>
      <w:r w:rsidRPr="00D81708">
        <w:rPr>
          <w:szCs w:val="22"/>
          <w:lang w:val="sr-Cyrl-CS"/>
        </w:rPr>
        <w:t>the requirements, criteria, policies, procedures, and organizational arrangements set forth in the Project Operational Manual (POM) are applied in carrying out the Project; (iii) preparation of all Project implementation documents, including Project progress reports; and (iv) monitoring and evaluation of the Project; and</w:t>
      </w:r>
    </w:p>
    <w:p w:rsidR="006879D2" w:rsidRPr="00D81708" w:rsidRDefault="006879D2" w:rsidP="006879D2">
      <w:pPr>
        <w:pStyle w:val="ModelNrmlSingle"/>
        <w:spacing w:after="0"/>
        <w:ind w:left="1440" w:firstLine="0"/>
        <w:rPr>
          <w:szCs w:val="22"/>
          <w:lang w:val="sr-Cyrl-CS"/>
        </w:rPr>
      </w:pPr>
    </w:p>
    <w:p w:rsidR="006879D2" w:rsidRPr="00D81708" w:rsidRDefault="006879D2" w:rsidP="006879D2">
      <w:pPr>
        <w:pStyle w:val="ModelNrmlSingle"/>
        <w:numPr>
          <w:ilvl w:val="0"/>
          <w:numId w:val="20"/>
        </w:numPr>
        <w:spacing w:after="0"/>
        <w:ind w:hanging="720"/>
        <w:rPr>
          <w:bCs/>
          <w:iCs/>
          <w:szCs w:val="22"/>
          <w:lang w:val="sr-Cyrl-CS"/>
        </w:rPr>
      </w:pPr>
      <w:r w:rsidRPr="00D81708">
        <w:rPr>
          <w:bCs/>
          <w:iCs/>
          <w:szCs w:val="22"/>
          <w:lang w:val="sr-Cyrl-CS"/>
        </w:rPr>
        <w:t xml:space="preserve">maintain throughout Project implementation, with </w:t>
      </w:r>
      <w:r w:rsidRPr="00D81708">
        <w:rPr>
          <w:szCs w:val="22"/>
          <w:lang w:val="sr-Cyrl-CS"/>
        </w:rPr>
        <w:t xml:space="preserve">composition, resources, terms of reference, and </w:t>
      </w:r>
      <w:r w:rsidRPr="00D81708">
        <w:rPr>
          <w:bCs/>
          <w:iCs/>
          <w:szCs w:val="22"/>
          <w:lang w:val="sr-Cyrl-CS"/>
        </w:rPr>
        <w:t>functions acceptable to the Bank a Central Fiduciary Unit (CFU), within MoF, to be responsible for the procurement and financial management of the Project, as detailed in the POM.</w:t>
      </w:r>
    </w:p>
    <w:p w:rsidR="006879D2" w:rsidRPr="00D81708" w:rsidRDefault="006879D2" w:rsidP="006879D2">
      <w:pPr>
        <w:pStyle w:val="ModelNrmlSingle"/>
        <w:spacing w:after="0"/>
        <w:ind w:firstLine="0"/>
        <w:rPr>
          <w:bCs/>
          <w:iCs/>
          <w:szCs w:val="22"/>
          <w:lang w:val="sr-Cyrl-CS"/>
        </w:rPr>
      </w:pPr>
    </w:p>
    <w:p w:rsidR="006879D2" w:rsidRPr="00D81708" w:rsidRDefault="006879D2" w:rsidP="006879D2">
      <w:pPr>
        <w:pStyle w:val="ModelNrmlSingle"/>
        <w:numPr>
          <w:ilvl w:val="0"/>
          <w:numId w:val="44"/>
        </w:numPr>
        <w:spacing w:after="0"/>
        <w:ind w:left="720" w:hanging="720"/>
        <w:rPr>
          <w:bCs/>
          <w:iCs/>
          <w:szCs w:val="22"/>
          <w:lang w:val="sr-Cyrl-CS"/>
        </w:rPr>
      </w:pPr>
      <w:r w:rsidRPr="00D81708">
        <w:rPr>
          <w:bCs/>
          <w:iCs/>
          <w:szCs w:val="22"/>
          <w:lang w:val="sr-Cyrl-CS"/>
        </w:rPr>
        <w:t>Not later than six months after the Effective Date, the Borrower, through MAFWM, shall establish and thereafter maintain throughout Project implementation a steering committee (Steering Committee) with terms of reference and functions acceptable to the Bank.</w:t>
      </w:r>
    </w:p>
    <w:p w:rsidR="006879D2" w:rsidRPr="00D81708" w:rsidRDefault="006879D2" w:rsidP="006879D2">
      <w:pPr>
        <w:pStyle w:val="ModelNrmlSingle"/>
        <w:spacing w:after="0"/>
        <w:ind w:firstLine="0"/>
        <w:rPr>
          <w:b/>
          <w:bCs/>
          <w:szCs w:val="22"/>
          <w:lang w:val="sr-Cyrl-CS"/>
        </w:rPr>
      </w:pPr>
    </w:p>
    <w:p w:rsidR="006879D2" w:rsidRPr="00D81708" w:rsidRDefault="006879D2" w:rsidP="006879D2">
      <w:pPr>
        <w:pStyle w:val="ModelNrmlSingle"/>
        <w:spacing w:after="0"/>
        <w:ind w:firstLine="0"/>
        <w:rPr>
          <w:b/>
          <w:bCs/>
          <w:szCs w:val="22"/>
          <w:lang w:val="sr-Cyrl-CS"/>
        </w:rPr>
      </w:pPr>
      <w:r w:rsidRPr="00D81708">
        <w:rPr>
          <w:b/>
          <w:bCs/>
          <w:szCs w:val="22"/>
          <w:lang w:val="sr-Cyrl-CS"/>
        </w:rPr>
        <w:t>B.</w:t>
      </w:r>
      <w:r w:rsidRPr="00D81708">
        <w:rPr>
          <w:b/>
          <w:bCs/>
          <w:szCs w:val="22"/>
          <w:lang w:val="sr-Cyrl-CS"/>
        </w:rPr>
        <w:tab/>
        <w:t>Project Operational Manual</w:t>
      </w:r>
    </w:p>
    <w:p w:rsidR="006879D2" w:rsidRPr="00D81708" w:rsidRDefault="006879D2" w:rsidP="006879D2">
      <w:pPr>
        <w:pStyle w:val="ModelNrmlSingle"/>
        <w:spacing w:after="0"/>
        <w:ind w:firstLine="0"/>
        <w:rPr>
          <w:b/>
          <w:bCs/>
          <w:szCs w:val="22"/>
          <w:lang w:val="sr-Cyrl-CS"/>
        </w:rPr>
      </w:pPr>
    </w:p>
    <w:p w:rsidR="00ED537C" w:rsidRDefault="006879D2" w:rsidP="00ED537C">
      <w:pPr>
        <w:pStyle w:val="ModelNrmlDouble"/>
        <w:numPr>
          <w:ilvl w:val="0"/>
          <w:numId w:val="46"/>
        </w:numPr>
        <w:tabs>
          <w:tab w:val="left" w:pos="720"/>
        </w:tabs>
        <w:spacing w:after="0" w:line="240" w:lineRule="auto"/>
        <w:rPr>
          <w:szCs w:val="22"/>
        </w:rPr>
      </w:pPr>
      <w:r w:rsidRPr="00D81708">
        <w:rPr>
          <w:szCs w:val="22"/>
          <w:lang w:val="sr-Cyrl-CS"/>
        </w:rPr>
        <w:t xml:space="preserve">The Borrower, through the PMT and CFU, shall carry out the Project in accordance with the provisions of a manual (POM), in a manner and with contents acceptable to the Bank, including </w:t>
      </w:r>
      <w:r w:rsidRPr="00D81708">
        <w:rPr>
          <w:i/>
          <w:szCs w:val="22"/>
          <w:lang w:val="sr-Cyrl-CS"/>
        </w:rPr>
        <w:t>inter alia</w:t>
      </w:r>
      <w:r w:rsidRPr="00D81708">
        <w:rPr>
          <w:szCs w:val="22"/>
          <w:lang w:val="sr-Cyrl-CS"/>
        </w:rPr>
        <w:t>:</w:t>
      </w:r>
      <w:r w:rsidRPr="00D81708" w:rsidDel="008C49F8">
        <w:rPr>
          <w:rFonts w:eastAsiaTheme="minorHAnsi"/>
          <w:noProof/>
          <w:szCs w:val="22"/>
          <w:lang w:val="sr-Cyrl-CS"/>
        </w:rPr>
        <w:t xml:space="preserve"> </w:t>
      </w:r>
      <w:r w:rsidRPr="00D81708">
        <w:rPr>
          <w:szCs w:val="22"/>
          <w:lang w:val="sr-Cyrl-CS"/>
        </w:rPr>
        <w:t xml:space="preserve">(a) the indicators to be used in the monitoring and evaluation of the Project; (b) the procedures for Project monitoring, supervision and evaluation, including the format and content of the Project Reports; (c) the procurement and financial management procedures; and (d) the Grants Operational Manual (GOM), which shall include, </w:t>
      </w:r>
      <w:r w:rsidRPr="00D81708">
        <w:rPr>
          <w:i/>
          <w:szCs w:val="22"/>
          <w:lang w:val="sr-Cyrl-CS"/>
        </w:rPr>
        <w:t>inter alia</w:t>
      </w:r>
      <w:r w:rsidRPr="00D81708">
        <w:rPr>
          <w:szCs w:val="22"/>
          <w:lang w:val="sr-Cyrl-CS"/>
        </w:rPr>
        <w:t xml:space="preserve">: (i) the eligibility criteria and selection procedures to select Targeted Beneficiaries and Sub-projects, including the list of activities not eligible for financing under the Loan; (ii) the rules of operation for the provision of Matching Grants, including, </w:t>
      </w:r>
      <w:r w:rsidRPr="00D81708">
        <w:rPr>
          <w:i/>
          <w:szCs w:val="22"/>
          <w:lang w:val="sr-Cyrl-CS"/>
        </w:rPr>
        <w:t>inter alia</w:t>
      </w:r>
      <w:r w:rsidRPr="00D81708">
        <w:rPr>
          <w:szCs w:val="22"/>
          <w:lang w:val="sr-Cyrl-CS"/>
        </w:rPr>
        <w:t xml:space="preserve">, the amounts of the Matching Grants and the Targeted Beneficiary’s </w:t>
      </w:r>
    </w:p>
    <w:p w:rsidR="00ED537C" w:rsidRDefault="006879D2" w:rsidP="00ED537C">
      <w:pPr>
        <w:pStyle w:val="ModelNrmlDouble"/>
        <w:tabs>
          <w:tab w:val="left" w:pos="720"/>
        </w:tabs>
        <w:spacing w:after="0" w:line="240" w:lineRule="auto"/>
        <w:ind w:left="720" w:firstLine="0"/>
        <w:rPr>
          <w:szCs w:val="22"/>
        </w:rPr>
      </w:pPr>
      <w:r w:rsidRPr="00D81708">
        <w:rPr>
          <w:szCs w:val="22"/>
          <w:lang w:val="sr-Cyrl-CS"/>
        </w:rPr>
        <w:t xml:space="preserve">contribution for the respective Sub-project, including the required percentage of </w:t>
      </w:r>
    </w:p>
    <w:p w:rsidR="00ED537C" w:rsidRDefault="00ED537C" w:rsidP="00ED537C">
      <w:pPr>
        <w:pStyle w:val="ModelNrmlDouble"/>
        <w:tabs>
          <w:tab w:val="left" w:pos="720"/>
        </w:tabs>
        <w:spacing w:after="0" w:line="240" w:lineRule="auto"/>
        <w:ind w:left="720" w:firstLine="0"/>
        <w:rPr>
          <w:szCs w:val="22"/>
        </w:rPr>
      </w:pPr>
    </w:p>
    <w:p w:rsidR="00ED537C" w:rsidRDefault="00ED537C" w:rsidP="00ED537C">
      <w:pPr>
        <w:pStyle w:val="ModelNrmlDouble"/>
        <w:tabs>
          <w:tab w:val="left" w:pos="720"/>
        </w:tabs>
        <w:spacing w:after="0" w:line="240" w:lineRule="auto"/>
        <w:ind w:left="720" w:firstLine="0"/>
        <w:rPr>
          <w:szCs w:val="22"/>
        </w:rPr>
      </w:pPr>
    </w:p>
    <w:p w:rsidR="00ED537C" w:rsidRDefault="00ED537C" w:rsidP="00ED537C">
      <w:pPr>
        <w:pStyle w:val="ModelNrmlDouble"/>
        <w:tabs>
          <w:tab w:val="left" w:pos="720"/>
        </w:tabs>
        <w:spacing w:after="0" w:line="240" w:lineRule="auto"/>
        <w:ind w:left="720" w:firstLine="0"/>
        <w:rPr>
          <w:szCs w:val="22"/>
        </w:rPr>
      </w:pPr>
    </w:p>
    <w:p w:rsidR="006879D2" w:rsidRPr="00D81708" w:rsidRDefault="006879D2" w:rsidP="00ED537C">
      <w:pPr>
        <w:pStyle w:val="ModelNrmlDouble"/>
        <w:tabs>
          <w:tab w:val="left" w:pos="720"/>
        </w:tabs>
        <w:spacing w:after="0" w:line="240" w:lineRule="auto"/>
        <w:ind w:left="720" w:firstLine="0"/>
        <w:rPr>
          <w:szCs w:val="22"/>
          <w:lang w:val="sr-Cyrl-CS"/>
        </w:rPr>
      </w:pPr>
      <w:r w:rsidRPr="00D81708">
        <w:rPr>
          <w:szCs w:val="22"/>
          <w:lang w:val="sr-Cyrl-CS"/>
        </w:rPr>
        <w:lastRenderedPageBreak/>
        <w:t>financing from commercial banks; and (iii) any rule books to be issued by MAFWM, to describe in detail the implementation of Matching Grants.</w:t>
      </w:r>
    </w:p>
    <w:p w:rsidR="006879D2" w:rsidRPr="00D81708" w:rsidRDefault="006879D2" w:rsidP="006879D2">
      <w:pPr>
        <w:pStyle w:val="ModelNrmlDouble"/>
        <w:tabs>
          <w:tab w:val="left" w:pos="720"/>
        </w:tabs>
        <w:spacing w:after="0" w:line="240" w:lineRule="auto"/>
        <w:ind w:left="720" w:hanging="720"/>
        <w:rPr>
          <w:rFonts w:eastAsiaTheme="minorHAnsi"/>
          <w:noProof/>
          <w:szCs w:val="22"/>
          <w:lang w:val="sr-Cyrl-CS"/>
        </w:rPr>
      </w:pPr>
    </w:p>
    <w:p w:rsidR="006879D2" w:rsidRPr="00D81708" w:rsidRDefault="006879D2" w:rsidP="006879D2">
      <w:pPr>
        <w:pStyle w:val="ModelNrmlDouble"/>
        <w:numPr>
          <w:ilvl w:val="0"/>
          <w:numId w:val="2"/>
        </w:numPr>
        <w:tabs>
          <w:tab w:val="left" w:pos="720"/>
        </w:tabs>
        <w:spacing w:after="0" w:line="240" w:lineRule="auto"/>
        <w:rPr>
          <w:rFonts w:eastAsiaTheme="minorHAnsi"/>
          <w:noProof/>
          <w:szCs w:val="22"/>
          <w:lang w:val="sr-Cyrl-CS"/>
        </w:rPr>
      </w:pPr>
      <w:r w:rsidRPr="00D81708">
        <w:rPr>
          <w:rFonts w:eastAsiaTheme="minorHAnsi"/>
          <w:noProof/>
          <w:szCs w:val="22"/>
          <w:lang w:val="sr-Cyrl-CS"/>
        </w:rPr>
        <w:t>The Borrower, through MAFWM, shall ensure that the provisions of each rule book, referred in paragraph 1 (d)(iii) above, shall be consistent with the provisions of the GOM. In case of any conflict between the terms of the GOM and those of a relevant rule book, the terms of the GOM shall prevail.</w:t>
      </w:r>
    </w:p>
    <w:p w:rsidR="006879D2" w:rsidRPr="00D81708" w:rsidRDefault="006879D2" w:rsidP="006879D2">
      <w:pPr>
        <w:pStyle w:val="ModelNrmlDouble"/>
        <w:tabs>
          <w:tab w:val="left" w:pos="720"/>
        </w:tabs>
        <w:spacing w:after="0" w:line="240" w:lineRule="auto"/>
        <w:ind w:left="720" w:hanging="720"/>
        <w:rPr>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3.</w:t>
      </w:r>
      <w:r w:rsidRPr="00D81708">
        <w:rPr>
          <w:sz w:val="22"/>
          <w:szCs w:val="22"/>
          <w:lang w:val="sr-Cyrl-CS"/>
        </w:rPr>
        <w:tab/>
        <w:t>Except as the Bank may otherwise agree in writing, the Borrower shall not abrogate, amend, suspend, waive, or otherwise fail to enforce the POM or any provision thereof.</w:t>
      </w:r>
    </w:p>
    <w:p w:rsidR="006879D2" w:rsidRPr="00D81708" w:rsidRDefault="006879D2" w:rsidP="006879D2">
      <w:pPr>
        <w:pStyle w:val="BodyText"/>
        <w:ind w:left="720" w:hanging="720"/>
        <w:rPr>
          <w:sz w:val="22"/>
          <w:szCs w:val="22"/>
          <w:lang w:val="sr-Cyrl-CS"/>
        </w:rPr>
      </w:pPr>
    </w:p>
    <w:p w:rsidR="006879D2" w:rsidRPr="00D81708" w:rsidRDefault="006879D2" w:rsidP="006879D2">
      <w:pPr>
        <w:pStyle w:val="ModelNrmlDouble"/>
        <w:tabs>
          <w:tab w:val="left" w:pos="720"/>
        </w:tabs>
        <w:spacing w:after="0" w:line="240" w:lineRule="auto"/>
        <w:ind w:left="720" w:hanging="720"/>
        <w:rPr>
          <w:szCs w:val="22"/>
          <w:lang w:val="sr-Cyrl-CS"/>
        </w:rPr>
      </w:pPr>
      <w:r w:rsidRPr="00D81708">
        <w:rPr>
          <w:szCs w:val="22"/>
          <w:lang w:val="sr-Cyrl-CS"/>
        </w:rPr>
        <w:t>4.</w:t>
      </w:r>
      <w:r w:rsidRPr="00D81708">
        <w:rPr>
          <w:szCs w:val="22"/>
          <w:lang w:val="sr-Cyrl-CS"/>
        </w:rPr>
        <w:tab/>
        <w:t>In case of any conflict between the terms of the POM and those of this Agreement, the terms of this Agreement shall prevail.</w:t>
      </w:r>
    </w:p>
    <w:p w:rsidR="006879D2" w:rsidRPr="00D81708" w:rsidRDefault="006879D2" w:rsidP="006879D2">
      <w:pPr>
        <w:pStyle w:val="ModelNrmlSingle"/>
        <w:spacing w:after="0"/>
        <w:rPr>
          <w:bCs/>
          <w:iCs/>
          <w:szCs w:val="22"/>
          <w:lang w:val="sr-Cyrl-CS"/>
        </w:rPr>
      </w:pPr>
    </w:p>
    <w:p w:rsidR="006879D2" w:rsidRPr="00D81708" w:rsidRDefault="006879D2" w:rsidP="006879D2">
      <w:pPr>
        <w:pStyle w:val="BodyText"/>
        <w:numPr>
          <w:ilvl w:val="0"/>
          <w:numId w:val="43"/>
        </w:numPr>
        <w:ind w:left="720" w:hanging="720"/>
        <w:rPr>
          <w:b/>
          <w:bCs/>
          <w:sz w:val="22"/>
          <w:szCs w:val="22"/>
          <w:lang w:val="sr-Cyrl-CS"/>
        </w:rPr>
      </w:pPr>
      <w:r w:rsidRPr="00D81708">
        <w:rPr>
          <w:b/>
          <w:sz w:val="22"/>
          <w:szCs w:val="22"/>
          <w:lang w:val="sr-Cyrl-CS"/>
        </w:rPr>
        <w:t>Matching Grants</w:t>
      </w:r>
    </w:p>
    <w:p w:rsidR="006879D2" w:rsidRPr="00D81708" w:rsidRDefault="006879D2" w:rsidP="006879D2">
      <w:pPr>
        <w:pStyle w:val="BodyText"/>
        <w:rPr>
          <w:b/>
          <w:bCs/>
          <w:sz w:val="22"/>
          <w:szCs w:val="22"/>
          <w:lang w:val="sr-Cyrl-CS"/>
        </w:rPr>
      </w:pPr>
    </w:p>
    <w:p w:rsidR="006879D2" w:rsidRPr="00D81708" w:rsidRDefault="006879D2" w:rsidP="006879D2">
      <w:pPr>
        <w:pStyle w:val="FootnoteText"/>
        <w:spacing w:line="240" w:lineRule="auto"/>
        <w:ind w:left="720" w:hanging="720"/>
        <w:jc w:val="both"/>
        <w:rPr>
          <w:sz w:val="22"/>
          <w:szCs w:val="22"/>
          <w:lang w:val="sr-Cyrl-CS"/>
        </w:rPr>
      </w:pPr>
      <w:r w:rsidRPr="00D81708">
        <w:rPr>
          <w:sz w:val="22"/>
          <w:szCs w:val="22"/>
          <w:lang w:val="sr-Cyrl-CS"/>
        </w:rPr>
        <w:t>1.</w:t>
      </w:r>
      <w:r w:rsidRPr="00D81708">
        <w:rPr>
          <w:sz w:val="22"/>
          <w:szCs w:val="22"/>
          <w:lang w:val="sr-Cyrl-CS"/>
        </w:rPr>
        <w:tab/>
        <w:t>The Borrower, through MAFWM and DAP, shall make Matching Grants to Targeted Beneficiaries in accordance with eligibility criteria and procedures acceptable to the Bank and as set forth in the POM and GOM.</w:t>
      </w:r>
    </w:p>
    <w:p w:rsidR="006879D2" w:rsidRPr="00D81708" w:rsidRDefault="006879D2" w:rsidP="006879D2">
      <w:pPr>
        <w:pStyle w:val="FootnoteText"/>
        <w:spacing w:line="240" w:lineRule="auto"/>
        <w:jc w:val="both"/>
        <w:rPr>
          <w:sz w:val="22"/>
          <w:szCs w:val="22"/>
          <w:lang w:val="sr-Cyrl-CS"/>
        </w:rPr>
      </w:pPr>
    </w:p>
    <w:p w:rsidR="006879D2" w:rsidRPr="00D81708" w:rsidRDefault="006879D2" w:rsidP="006879D2">
      <w:pPr>
        <w:pStyle w:val="FootnoteText"/>
        <w:spacing w:line="240" w:lineRule="auto"/>
        <w:ind w:left="720" w:hanging="720"/>
        <w:jc w:val="both"/>
        <w:rPr>
          <w:sz w:val="22"/>
          <w:szCs w:val="22"/>
          <w:lang w:val="sr-Cyrl-CS"/>
        </w:rPr>
      </w:pPr>
      <w:r w:rsidRPr="00D81708">
        <w:rPr>
          <w:sz w:val="22"/>
          <w:szCs w:val="22"/>
          <w:lang w:val="sr-Cyrl-CS"/>
        </w:rPr>
        <w:t>2.</w:t>
      </w:r>
      <w:r w:rsidRPr="00D81708">
        <w:rPr>
          <w:sz w:val="22"/>
          <w:szCs w:val="22"/>
          <w:lang w:val="sr-Cyrl-CS"/>
        </w:rPr>
        <w:tab/>
        <w:t xml:space="preserve">The Borrower, through MAFWM and DAP, shall make each Matching Grant under a Grant Agreement with the respective Targeted Beneficiary on terms and conditions approved by the Bank, which shall include the following:  </w:t>
      </w:r>
    </w:p>
    <w:p w:rsidR="006879D2" w:rsidRPr="00D81708" w:rsidRDefault="006879D2" w:rsidP="006879D2">
      <w:pPr>
        <w:pStyle w:val="FootnoteText"/>
        <w:spacing w:line="240" w:lineRule="auto"/>
        <w:jc w:val="both"/>
        <w:rPr>
          <w:sz w:val="22"/>
          <w:szCs w:val="22"/>
          <w:lang w:val="sr-Cyrl-CS"/>
        </w:rPr>
      </w:pPr>
    </w:p>
    <w:p w:rsidR="00ED537C" w:rsidRDefault="006879D2" w:rsidP="006879D2">
      <w:pPr>
        <w:pStyle w:val="FootnoteText"/>
        <w:spacing w:line="240" w:lineRule="auto"/>
        <w:ind w:left="1440" w:hanging="720"/>
        <w:jc w:val="both"/>
        <w:rPr>
          <w:sz w:val="22"/>
          <w:szCs w:val="22"/>
        </w:rPr>
      </w:pPr>
      <w:r w:rsidRPr="00D81708">
        <w:rPr>
          <w:sz w:val="22"/>
          <w:szCs w:val="22"/>
          <w:lang w:val="sr-Cyrl-CS"/>
        </w:rPr>
        <w:tab/>
        <w:t xml:space="preserve">The Borrower, through MAFWM and DAP, shall obtain rights adequate to protect its interests and those of the Bank, including the right to: (i) suspend or terminate the right of the Targeted Beneficiary to use the proceeds of the Matching Grant or obtain a refund of all or any part of the amount of the Matching Grant then withdrawn, upon the Targeted Beneficiary’s failure to perform any of its obligations under the Grant Agreement; and (ii) require each Targeted Beneficiary to:  (A) carry out its Sub-project with due diligence and efficiency and in accordance with sound technical, economic, financial, managerial, environmental and social standards and practices satisfactory to the Bank, including in accordance with the provisions of the Anti-Corruption Guidelines applicable to recipients of loan proceeds other than the Borrower; (B) provide, promptly as needed, the resources required for the purpose; (C) procure the goods, works and services to be financed out of the Matching Grant in accordance with the provisions of this </w:t>
      </w:r>
      <w:r w:rsidR="009A2F7F">
        <w:rPr>
          <w:sz w:val="22"/>
          <w:szCs w:val="22"/>
        </w:rPr>
        <w:br/>
      </w:r>
      <w:r w:rsidRPr="00D81708">
        <w:rPr>
          <w:sz w:val="22"/>
          <w:szCs w:val="22"/>
          <w:lang w:val="sr-Cyrl-CS"/>
        </w:rPr>
        <w:t>Agreement; (D) maintain policies and procedures a</w:t>
      </w:r>
      <w:r w:rsidR="00ED537C">
        <w:rPr>
          <w:sz w:val="22"/>
          <w:szCs w:val="22"/>
          <w:lang w:val="sr-Cyrl-CS"/>
        </w:rPr>
        <w:t xml:space="preserve">dequate </w:t>
      </w:r>
      <w:r w:rsidR="009A2F7F">
        <w:rPr>
          <w:sz w:val="22"/>
          <w:szCs w:val="22"/>
        </w:rPr>
        <w:br/>
      </w:r>
      <w:r w:rsidR="00ED537C">
        <w:rPr>
          <w:sz w:val="22"/>
          <w:szCs w:val="22"/>
          <w:lang w:val="sr-Cyrl-CS"/>
        </w:rPr>
        <w:t>to</w:t>
      </w:r>
      <w:r w:rsidR="009A2F7F">
        <w:rPr>
          <w:sz w:val="22"/>
          <w:szCs w:val="22"/>
        </w:rPr>
        <w:t xml:space="preserve"> </w:t>
      </w:r>
      <w:r w:rsidR="00ED537C">
        <w:rPr>
          <w:sz w:val="22"/>
          <w:szCs w:val="22"/>
          <w:lang w:val="sr-Cyrl-CS"/>
        </w:rPr>
        <w:t>enable it to monitor</w:t>
      </w:r>
      <w:r w:rsidR="00ED537C">
        <w:rPr>
          <w:sz w:val="22"/>
          <w:szCs w:val="22"/>
        </w:rPr>
        <w:t xml:space="preserve"> </w:t>
      </w:r>
      <w:r w:rsidRPr="00D81708">
        <w:rPr>
          <w:sz w:val="22"/>
          <w:szCs w:val="22"/>
          <w:lang w:val="sr-Cyrl-CS"/>
        </w:rPr>
        <w:t xml:space="preserve">and evaluate in accordance with </w:t>
      </w:r>
      <w:r w:rsidR="009A2F7F">
        <w:rPr>
          <w:sz w:val="22"/>
          <w:szCs w:val="22"/>
        </w:rPr>
        <w:br/>
      </w:r>
      <w:r w:rsidRPr="00D81708">
        <w:rPr>
          <w:sz w:val="22"/>
          <w:szCs w:val="22"/>
          <w:lang w:val="sr-Cyrl-CS"/>
        </w:rPr>
        <w:t xml:space="preserve">indicators acceptable to the Bank, the progress of the Sub-project </w:t>
      </w:r>
      <w:r w:rsidR="009A2F7F">
        <w:rPr>
          <w:sz w:val="22"/>
          <w:szCs w:val="22"/>
        </w:rPr>
        <w:br/>
      </w:r>
      <w:r w:rsidRPr="00D81708">
        <w:rPr>
          <w:sz w:val="22"/>
          <w:szCs w:val="22"/>
          <w:lang w:val="sr-Cyrl-CS"/>
        </w:rPr>
        <w:t xml:space="preserve">and the achievement of its objectives; (E) (1) maintain a </w:t>
      </w:r>
      <w:r w:rsidR="009A2F7F">
        <w:rPr>
          <w:sz w:val="22"/>
          <w:szCs w:val="22"/>
        </w:rPr>
        <w:br/>
      </w:r>
      <w:r w:rsidRPr="00D81708">
        <w:rPr>
          <w:sz w:val="22"/>
          <w:szCs w:val="22"/>
          <w:lang w:val="sr-Cyrl-CS"/>
        </w:rPr>
        <w:t>financial management system and prepare financial statements in accordance with consistently applied accounting standards acceptable to</w:t>
      </w:r>
    </w:p>
    <w:p w:rsidR="00ED537C" w:rsidRDefault="00ED537C" w:rsidP="006879D2">
      <w:pPr>
        <w:pStyle w:val="FootnoteText"/>
        <w:spacing w:line="240" w:lineRule="auto"/>
        <w:ind w:left="1440" w:hanging="720"/>
        <w:jc w:val="both"/>
        <w:rPr>
          <w:sz w:val="22"/>
          <w:szCs w:val="22"/>
        </w:rPr>
      </w:pPr>
    </w:p>
    <w:p w:rsidR="00ED537C" w:rsidRDefault="00ED537C" w:rsidP="006879D2">
      <w:pPr>
        <w:pStyle w:val="FootnoteText"/>
        <w:spacing w:line="240" w:lineRule="auto"/>
        <w:ind w:left="1440" w:hanging="720"/>
        <w:jc w:val="both"/>
        <w:rPr>
          <w:sz w:val="22"/>
          <w:szCs w:val="22"/>
        </w:rPr>
      </w:pPr>
    </w:p>
    <w:p w:rsidR="00ED537C" w:rsidRDefault="00ED537C" w:rsidP="006879D2">
      <w:pPr>
        <w:pStyle w:val="FootnoteText"/>
        <w:spacing w:line="240" w:lineRule="auto"/>
        <w:ind w:left="1440" w:hanging="720"/>
        <w:jc w:val="both"/>
        <w:rPr>
          <w:sz w:val="22"/>
          <w:szCs w:val="22"/>
        </w:rPr>
      </w:pPr>
    </w:p>
    <w:p w:rsidR="006879D2" w:rsidRPr="00D81708" w:rsidRDefault="006879D2" w:rsidP="00ED537C">
      <w:pPr>
        <w:pStyle w:val="FootnoteText"/>
        <w:spacing w:line="240" w:lineRule="auto"/>
        <w:ind w:left="1440"/>
        <w:jc w:val="both"/>
        <w:rPr>
          <w:sz w:val="22"/>
          <w:szCs w:val="22"/>
          <w:lang w:val="sr-Cyrl-CS"/>
        </w:rPr>
      </w:pPr>
      <w:r w:rsidRPr="00D81708">
        <w:rPr>
          <w:sz w:val="22"/>
          <w:szCs w:val="22"/>
          <w:lang w:val="sr-Cyrl-CS"/>
        </w:rPr>
        <w:lastRenderedPageBreak/>
        <w:t xml:space="preserve"> the Bank, both in a manner adequate to reflect the operations, resources and expenditures related to the Sub-project; and (2) at the Bank’s or the Borrower’s request, have such financial statements audited by independent auditors acceptable to the Bank, in accordance with consistently applied auditing standards acceptable to the Bank, and promptly furnish the statements as so audited to the Borrower and the Bank; (F) enable the Borrower and the Bank to inspect the Sub-project, its operation and any relevant records and documents; and (G) prepare and furnish to the Borrower and the Bank all such information as the Borrower or the Bank shall reasonably request relating to the foregoing.</w:t>
      </w:r>
    </w:p>
    <w:p w:rsidR="006879D2" w:rsidRPr="00D81708" w:rsidRDefault="006879D2" w:rsidP="006879D2">
      <w:pPr>
        <w:pStyle w:val="FootnoteText"/>
        <w:spacing w:line="240" w:lineRule="auto"/>
        <w:jc w:val="both"/>
        <w:rPr>
          <w:sz w:val="22"/>
          <w:szCs w:val="22"/>
          <w:lang w:val="sr-Cyrl-CS"/>
        </w:rPr>
      </w:pPr>
    </w:p>
    <w:p w:rsidR="006879D2" w:rsidRPr="00D81708" w:rsidRDefault="006879D2" w:rsidP="006879D2">
      <w:pPr>
        <w:pStyle w:val="FootnoteText"/>
        <w:spacing w:line="240" w:lineRule="auto"/>
        <w:ind w:left="720" w:hanging="720"/>
        <w:jc w:val="both"/>
        <w:rPr>
          <w:sz w:val="22"/>
          <w:szCs w:val="22"/>
          <w:lang w:val="sr-Cyrl-CS"/>
        </w:rPr>
      </w:pPr>
      <w:r w:rsidRPr="00D81708">
        <w:rPr>
          <w:sz w:val="22"/>
          <w:szCs w:val="22"/>
          <w:lang w:val="sr-Cyrl-CS"/>
        </w:rPr>
        <w:t>3.</w:t>
      </w:r>
      <w:r w:rsidRPr="00D81708">
        <w:rPr>
          <w:sz w:val="22"/>
          <w:szCs w:val="22"/>
          <w:lang w:val="sr-Cyrl-CS"/>
        </w:rPr>
        <w:tab/>
        <w:t xml:space="preserve">The Borrower, through MAFWM and DAP, shall exercise its rights under each Grant Agreement in such manner as to protect the interests of the Borrower and the Bank and to accomplish the purposes of the Loan.  Except as the Bank shall otherwise agree, the Borrower, through MAFWM, shall not assign, amend, abrogate or waive any Grant Agreement or any of its provisions. </w:t>
      </w:r>
    </w:p>
    <w:p w:rsidR="006879D2" w:rsidRPr="00D81708" w:rsidRDefault="006879D2" w:rsidP="006879D2">
      <w:pPr>
        <w:pStyle w:val="BodyText"/>
        <w:ind w:left="720" w:hanging="720"/>
        <w:rPr>
          <w:b/>
          <w:bCs/>
          <w:szCs w:val="22"/>
          <w:lang w:val="sr-Cyrl-CS"/>
        </w:rPr>
      </w:pPr>
      <w:bookmarkStart w:id="8" w:name="_Hlk530397756"/>
    </w:p>
    <w:p w:rsidR="006879D2" w:rsidRPr="00D81708" w:rsidRDefault="006879D2" w:rsidP="006879D2">
      <w:pPr>
        <w:pStyle w:val="BodyText"/>
        <w:ind w:left="720" w:hanging="720"/>
        <w:rPr>
          <w:bCs/>
          <w:szCs w:val="22"/>
          <w:lang w:val="sr-Cyrl-CS"/>
        </w:rPr>
      </w:pPr>
      <w:r w:rsidRPr="00D81708">
        <w:rPr>
          <w:b/>
          <w:bCs/>
          <w:szCs w:val="22"/>
          <w:lang w:val="sr-Cyrl-CS"/>
        </w:rPr>
        <w:t>D.</w:t>
      </w:r>
      <w:r w:rsidRPr="00D81708">
        <w:rPr>
          <w:b/>
          <w:bCs/>
          <w:szCs w:val="22"/>
          <w:lang w:val="sr-Cyrl-CS"/>
        </w:rPr>
        <w:tab/>
        <w:t>Environmental and Social Standards</w:t>
      </w:r>
    </w:p>
    <w:p w:rsidR="006879D2" w:rsidRPr="00D81708" w:rsidRDefault="006879D2" w:rsidP="006879D2">
      <w:pPr>
        <w:pStyle w:val="ModelNrmlSingle"/>
        <w:spacing w:after="0"/>
        <w:ind w:left="720" w:hanging="720"/>
        <w:rPr>
          <w:bCs/>
          <w:szCs w:val="22"/>
          <w:lang w:val="sr-Cyrl-CS"/>
        </w:rPr>
      </w:pPr>
    </w:p>
    <w:p w:rsidR="006879D2" w:rsidRPr="00D81708" w:rsidRDefault="006879D2" w:rsidP="006879D2">
      <w:pPr>
        <w:pStyle w:val="ModelNrmlSingle"/>
        <w:ind w:left="720" w:hanging="720"/>
        <w:rPr>
          <w:bCs/>
          <w:szCs w:val="22"/>
          <w:lang w:val="sr-Cyrl-CS"/>
        </w:rPr>
      </w:pPr>
      <w:r w:rsidRPr="00D81708">
        <w:rPr>
          <w:bCs/>
          <w:szCs w:val="22"/>
          <w:lang w:val="sr-Cyrl-CS"/>
        </w:rPr>
        <w:t>1.</w:t>
      </w:r>
      <w:r w:rsidRPr="00D81708">
        <w:rPr>
          <w:bCs/>
          <w:szCs w:val="22"/>
          <w:lang w:val="sr-Cyrl-CS"/>
        </w:rPr>
        <w:tab/>
        <w:t>The Borrower shall ensure that the Project is carried out in accordance with the Environmental and Social Standards, in a manner acceptable to the Bank.</w:t>
      </w:r>
    </w:p>
    <w:p w:rsidR="006879D2" w:rsidRPr="00D81708" w:rsidRDefault="006879D2" w:rsidP="006879D2">
      <w:pPr>
        <w:spacing w:line="240" w:lineRule="auto"/>
        <w:ind w:left="720" w:hanging="720"/>
        <w:jc w:val="both"/>
        <w:rPr>
          <w:sz w:val="22"/>
          <w:szCs w:val="22"/>
          <w:lang w:val="sr-Cyrl-CS"/>
        </w:rPr>
      </w:pPr>
      <w:r w:rsidRPr="00D81708">
        <w:rPr>
          <w:bCs/>
          <w:sz w:val="22"/>
          <w:szCs w:val="22"/>
          <w:lang w:val="sr-Cyrl-CS"/>
        </w:rPr>
        <w:t>2.</w:t>
      </w:r>
      <w:r w:rsidRPr="00D81708">
        <w:rPr>
          <w:bCs/>
          <w:sz w:val="22"/>
          <w:szCs w:val="22"/>
          <w:lang w:val="sr-Cyrl-CS"/>
        </w:rPr>
        <w:tab/>
        <w:t>Without limitation upon paragraph 1 above, the Borrower shall ensure that the Project is implemented in accordance with the Environmental</w:t>
      </w:r>
      <w:r w:rsidRPr="00D81708">
        <w:rPr>
          <w:sz w:val="22"/>
          <w:szCs w:val="22"/>
          <w:lang w:val="sr-Cyrl-CS"/>
        </w:rPr>
        <w:t xml:space="preserve"> and Social Commitment Plan (“ESCP”), in a manner acceptable to the Bank. To this end, the Borrower shall ensure that: </w:t>
      </w:r>
    </w:p>
    <w:p w:rsidR="006879D2" w:rsidRPr="00D81708" w:rsidRDefault="006879D2" w:rsidP="006879D2">
      <w:pPr>
        <w:spacing w:line="240" w:lineRule="auto"/>
        <w:ind w:left="720" w:hanging="720"/>
        <w:jc w:val="both"/>
        <w:rPr>
          <w:sz w:val="22"/>
          <w:szCs w:val="22"/>
          <w:lang w:val="sr-Cyrl-CS"/>
        </w:rPr>
      </w:pPr>
    </w:p>
    <w:p w:rsidR="006879D2" w:rsidRPr="00D81708" w:rsidRDefault="006879D2" w:rsidP="006879D2">
      <w:pPr>
        <w:pStyle w:val="ListParagraph"/>
        <w:numPr>
          <w:ilvl w:val="0"/>
          <w:numId w:val="42"/>
        </w:numPr>
        <w:spacing w:line="240" w:lineRule="auto"/>
        <w:ind w:left="1440" w:hanging="720"/>
        <w:jc w:val="both"/>
        <w:rPr>
          <w:sz w:val="22"/>
          <w:szCs w:val="22"/>
          <w:lang w:val="sr-Cyrl-CS"/>
        </w:rPr>
      </w:pPr>
      <w:r w:rsidRPr="00D81708">
        <w:rPr>
          <w:sz w:val="22"/>
          <w:szCs w:val="22"/>
          <w:lang w:val="sr-Cyrl-CS"/>
        </w:rPr>
        <w:t xml:space="preserve">the measures and actions specified in the ESCP are implemented with due diligence and efficiency, and as further specified in the ESCP; </w:t>
      </w:r>
    </w:p>
    <w:p w:rsidR="006879D2" w:rsidRPr="00D81708" w:rsidRDefault="006879D2" w:rsidP="006879D2">
      <w:pPr>
        <w:spacing w:line="240" w:lineRule="auto"/>
        <w:ind w:left="1440" w:hanging="720"/>
        <w:jc w:val="both"/>
        <w:rPr>
          <w:sz w:val="22"/>
          <w:szCs w:val="22"/>
          <w:lang w:val="sr-Cyrl-CS"/>
        </w:rPr>
      </w:pPr>
    </w:p>
    <w:p w:rsidR="006879D2" w:rsidRPr="00D81708" w:rsidRDefault="006879D2" w:rsidP="006879D2">
      <w:pPr>
        <w:pStyle w:val="ListParagraph"/>
        <w:numPr>
          <w:ilvl w:val="0"/>
          <w:numId w:val="42"/>
        </w:numPr>
        <w:spacing w:line="240" w:lineRule="auto"/>
        <w:ind w:left="1440" w:hanging="720"/>
        <w:jc w:val="both"/>
        <w:rPr>
          <w:sz w:val="22"/>
          <w:szCs w:val="22"/>
          <w:lang w:val="sr-Cyrl-CS"/>
        </w:rPr>
      </w:pPr>
      <w:r w:rsidRPr="00D81708">
        <w:rPr>
          <w:sz w:val="22"/>
          <w:szCs w:val="22"/>
          <w:lang w:val="sr-Cyrl-CS"/>
        </w:rPr>
        <w:t xml:space="preserve">sufficient funds are available to cover the costs of implementing the ESCP; </w:t>
      </w:r>
    </w:p>
    <w:p w:rsidR="006879D2" w:rsidRPr="00D81708" w:rsidRDefault="006879D2" w:rsidP="006879D2">
      <w:pPr>
        <w:spacing w:line="240" w:lineRule="auto"/>
        <w:ind w:left="1440" w:hanging="720"/>
        <w:jc w:val="both"/>
        <w:rPr>
          <w:sz w:val="22"/>
          <w:szCs w:val="22"/>
          <w:lang w:val="sr-Cyrl-CS"/>
        </w:rPr>
      </w:pPr>
    </w:p>
    <w:p w:rsidR="006879D2" w:rsidRPr="00D81708" w:rsidRDefault="006879D2" w:rsidP="006879D2">
      <w:pPr>
        <w:pStyle w:val="ListParagraph"/>
        <w:numPr>
          <w:ilvl w:val="0"/>
          <w:numId w:val="42"/>
        </w:numPr>
        <w:spacing w:line="240" w:lineRule="auto"/>
        <w:ind w:left="1440" w:hanging="720"/>
        <w:jc w:val="both"/>
        <w:rPr>
          <w:sz w:val="22"/>
          <w:szCs w:val="22"/>
          <w:lang w:val="sr-Cyrl-CS"/>
        </w:rPr>
      </w:pPr>
      <w:r w:rsidRPr="00D81708">
        <w:rPr>
          <w:sz w:val="22"/>
          <w:szCs w:val="22"/>
          <w:lang w:val="sr-Cyrl-CS"/>
        </w:rPr>
        <w:t xml:space="preserve">policies, procedures and qualified staff are maintained to enable it to implement the ESCP, as further specified in the ESCP; and </w:t>
      </w:r>
    </w:p>
    <w:p w:rsidR="006879D2" w:rsidRPr="00D81708" w:rsidRDefault="006879D2" w:rsidP="006879D2">
      <w:pPr>
        <w:spacing w:line="240" w:lineRule="auto"/>
        <w:ind w:left="1440" w:hanging="720"/>
        <w:jc w:val="both"/>
        <w:rPr>
          <w:sz w:val="22"/>
          <w:szCs w:val="22"/>
          <w:lang w:val="sr-Cyrl-CS"/>
        </w:rPr>
      </w:pPr>
    </w:p>
    <w:p w:rsidR="006879D2" w:rsidRPr="00D81708" w:rsidRDefault="006879D2" w:rsidP="006879D2">
      <w:pPr>
        <w:pStyle w:val="ListParagraph"/>
        <w:numPr>
          <w:ilvl w:val="0"/>
          <w:numId w:val="42"/>
        </w:numPr>
        <w:spacing w:line="240" w:lineRule="auto"/>
        <w:ind w:left="1440" w:hanging="720"/>
        <w:jc w:val="both"/>
        <w:rPr>
          <w:sz w:val="22"/>
          <w:szCs w:val="22"/>
          <w:lang w:val="sr-Cyrl-CS"/>
        </w:rPr>
      </w:pPr>
      <w:r w:rsidRPr="00D81708">
        <w:rPr>
          <w:sz w:val="22"/>
          <w:szCs w:val="22"/>
          <w:lang w:val="sr-Cyrl-CS"/>
        </w:rPr>
        <w:t xml:space="preserve">the ESCP or any provision thereof, is not amended, revised or waived, except as the Bank shall otherwise agree in writing and the Borrower has, thereafter, disclosed the revised ESCP. </w:t>
      </w:r>
    </w:p>
    <w:p w:rsidR="006879D2" w:rsidRPr="00D81708" w:rsidRDefault="006879D2" w:rsidP="006879D2">
      <w:pPr>
        <w:spacing w:line="240" w:lineRule="auto"/>
        <w:ind w:left="720"/>
        <w:jc w:val="both"/>
        <w:rPr>
          <w:sz w:val="22"/>
          <w:szCs w:val="22"/>
          <w:lang w:val="sr-Cyrl-CS"/>
        </w:rPr>
      </w:pPr>
    </w:p>
    <w:p w:rsidR="006879D2" w:rsidRPr="00D81708" w:rsidRDefault="006879D2" w:rsidP="006879D2">
      <w:pPr>
        <w:spacing w:line="240" w:lineRule="auto"/>
        <w:ind w:left="720"/>
        <w:jc w:val="both"/>
        <w:rPr>
          <w:sz w:val="22"/>
          <w:szCs w:val="22"/>
          <w:lang w:val="sr-Cyrl-CS"/>
        </w:rPr>
      </w:pPr>
      <w:r w:rsidRPr="00D81708">
        <w:rPr>
          <w:sz w:val="22"/>
          <w:szCs w:val="22"/>
          <w:lang w:val="sr-Cyrl-CS"/>
        </w:rPr>
        <w:t xml:space="preserve">In case of any inconsistencies between the ESCP and the provisions of this Agreement, the provisions of this Agreement shall prevail.  </w:t>
      </w:r>
    </w:p>
    <w:p w:rsidR="006879D2" w:rsidRPr="00D81708" w:rsidRDefault="006879D2" w:rsidP="006879D2">
      <w:pPr>
        <w:pStyle w:val="ModelNrmlSingle"/>
        <w:spacing w:after="0"/>
        <w:ind w:left="720" w:hanging="720"/>
        <w:rPr>
          <w:bCs/>
          <w:szCs w:val="22"/>
          <w:lang w:val="sr-Cyrl-CS"/>
        </w:rPr>
      </w:pPr>
    </w:p>
    <w:p w:rsidR="006879D2" w:rsidRPr="00ED537C" w:rsidRDefault="006879D2" w:rsidP="006879D2">
      <w:pPr>
        <w:pStyle w:val="ModelNrmlSingle"/>
        <w:numPr>
          <w:ilvl w:val="0"/>
          <w:numId w:val="6"/>
        </w:numPr>
        <w:tabs>
          <w:tab w:val="clear" w:pos="480"/>
        </w:tabs>
        <w:ind w:left="720" w:hanging="720"/>
        <w:rPr>
          <w:bCs/>
          <w:szCs w:val="22"/>
          <w:lang w:val="sr-Cyrl-CS"/>
        </w:rPr>
      </w:pPr>
      <w:bookmarkStart w:id="9" w:name="_Hlk524773333"/>
      <w:r w:rsidRPr="00D81708">
        <w:rPr>
          <w:bCs/>
          <w:szCs w:val="22"/>
          <w:lang w:val="sr-Cyrl-CS"/>
        </w:rPr>
        <w:t>The Borrower shall</w:t>
      </w:r>
      <w:bookmarkEnd w:id="9"/>
      <w:r w:rsidRPr="00D81708">
        <w:rPr>
          <w:bCs/>
          <w:szCs w:val="22"/>
          <w:lang w:val="sr-Cyrl-CS"/>
        </w:rPr>
        <w:t>:</w:t>
      </w:r>
    </w:p>
    <w:p w:rsidR="00ED537C" w:rsidRDefault="00ED537C" w:rsidP="00ED537C">
      <w:pPr>
        <w:pStyle w:val="ModelNrmlSingle"/>
        <w:rPr>
          <w:bCs/>
          <w:szCs w:val="22"/>
        </w:rPr>
      </w:pPr>
    </w:p>
    <w:p w:rsidR="00ED537C" w:rsidRPr="00D81708" w:rsidRDefault="00ED537C" w:rsidP="00ED537C">
      <w:pPr>
        <w:pStyle w:val="ModelNrmlSingle"/>
        <w:rPr>
          <w:bCs/>
          <w:szCs w:val="22"/>
          <w:lang w:val="sr-Cyrl-CS"/>
        </w:rPr>
      </w:pPr>
    </w:p>
    <w:p w:rsidR="006879D2" w:rsidRPr="00D81708" w:rsidRDefault="006879D2" w:rsidP="006879D2">
      <w:pPr>
        <w:pStyle w:val="ModelNrmlSingle"/>
        <w:numPr>
          <w:ilvl w:val="0"/>
          <w:numId w:val="41"/>
        </w:numPr>
        <w:ind w:left="1440" w:hanging="720"/>
        <w:rPr>
          <w:bCs/>
          <w:szCs w:val="22"/>
          <w:lang w:val="sr-Cyrl-CS"/>
        </w:rPr>
      </w:pPr>
      <w:r w:rsidRPr="00D81708">
        <w:rPr>
          <w:bCs/>
          <w:szCs w:val="22"/>
          <w:lang w:val="sr-Cyrl-CS"/>
        </w:rPr>
        <w:lastRenderedPageBreak/>
        <w:t>take all measures necessary on its part to collect, compile, and furnish to the Bank through regular reports, with the frequency specified in the ESCP, and promptly in a separate report or reports, if so requested by the Bank, information on the status of compliance with the ESCP, all such reports in form and substance acceptable to the Bank, setting out, inter alia: (i) the status of implementation of the ESCP; (ii) conditions, if any, which interfere or threaten to interfere with the implementation of the ESCP; and (iii) corrective and preventive measures taken or required to be taken to address such conditions; and</w:t>
      </w:r>
    </w:p>
    <w:p w:rsidR="006879D2" w:rsidRPr="00D81708" w:rsidRDefault="006879D2" w:rsidP="006879D2">
      <w:pPr>
        <w:pStyle w:val="ModelNrmlSingle"/>
        <w:numPr>
          <w:ilvl w:val="0"/>
          <w:numId w:val="41"/>
        </w:numPr>
        <w:ind w:left="1440" w:hanging="720"/>
        <w:rPr>
          <w:bCs/>
          <w:szCs w:val="22"/>
          <w:lang w:val="sr-Cyrl-CS"/>
        </w:rPr>
      </w:pPr>
      <w:r w:rsidRPr="00D81708">
        <w:rPr>
          <w:bCs/>
          <w:szCs w:val="22"/>
          <w:lang w:val="sr-Cyrl-CS"/>
        </w:rPr>
        <w:t>promptly notify the Bank of any incident or accident related to or having an impact on the Project which has, or is likely to have,</w:t>
      </w:r>
      <w:r w:rsidRPr="00D81708">
        <w:rPr>
          <w:szCs w:val="22"/>
          <w:lang w:val="sr-Cyrl-CS"/>
        </w:rPr>
        <w:t xml:space="preserve"> a significant adverse effect on the environment, the affected communities, the public or workers, in accordance with the ESCP, the instruments referenced therein and the Environmental and Social Standards.</w:t>
      </w:r>
      <w:r w:rsidRPr="00D81708">
        <w:rPr>
          <w:rStyle w:val="CommentReference"/>
          <w:lang w:val="sr-Cyrl-CS"/>
        </w:rPr>
        <w:t xml:space="preserve"> </w:t>
      </w:r>
    </w:p>
    <w:p w:rsidR="006879D2" w:rsidRPr="00D81708" w:rsidRDefault="006879D2" w:rsidP="006879D2">
      <w:pPr>
        <w:pStyle w:val="ModelNrmlSingle"/>
        <w:numPr>
          <w:ilvl w:val="0"/>
          <w:numId w:val="6"/>
        </w:numPr>
        <w:tabs>
          <w:tab w:val="clear" w:pos="480"/>
          <w:tab w:val="num" w:pos="720"/>
        </w:tabs>
        <w:ind w:left="720" w:hanging="720"/>
        <w:rPr>
          <w:bCs/>
          <w:sz w:val="20"/>
          <w:szCs w:val="22"/>
          <w:lang w:val="sr-Cyrl-CS"/>
        </w:rPr>
      </w:pPr>
      <w:r w:rsidRPr="00D81708">
        <w:rPr>
          <w:szCs w:val="23"/>
          <w:lang w:val="sr-Cyrl-CS"/>
        </w:rPr>
        <w:t>The Borrower shall maintain and publicize the availability of a grievance mechanism, in form and substance satisfactory to the Bank, to hear and determine fairly and in good faith all complaints raised in relation to the Project, and take all measures necessary to implement the determinations made by such mechanism in a manner satisfactory to the Bank.</w:t>
      </w:r>
    </w:p>
    <w:bookmarkEnd w:id="8"/>
    <w:p w:rsidR="006879D2" w:rsidRPr="00D81708" w:rsidRDefault="006879D2" w:rsidP="006879D2">
      <w:pPr>
        <w:pStyle w:val="BodyText"/>
        <w:rPr>
          <w:b/>
          <w:bCs/>
          <w:sz w:val="22"/>
          <w:szCs w:val="22"/>
          <w:lang w:val="sr-Cyrl-CS"/>
        </w:rPr>
      </w:pPr>
      <w:r w:rsidRPr="00D81708">
        <w:rPr>
          <w:b/>
          <w:bCs/>
          <w:sz w:val="22"/>
          <w:szCs w:val="22"/>
          <w:lang w:val="sr-Cyrl-CS"/>
        </w:rPr>
        <w:t>Section II.</w:t>
      </w:r>
      <w:r w:rsidRPr="00D81708">
        <w:rPr>
          <w:b/>
          <w:bCs/>
          <w:sz w:val="22"/>
          <w:szCs w:val="22"/>
          <w:lang w:val="sr-Cyrl-CS"/>
        </w:rPr>
        <w:tab/>
      </w:r>
      <w:r w:rsidRPr="00D81708">
        <w:rPr>
          <w:b/>
          <w:bCs/>
          <w:sz w:val="22"/>
          <w:szCs w:val="22"/>
          <w:u w:val="single"/>
          <w:lang w:val="sr-Cyrl-CS"/>
        </w:rPr>
        <w:t>Project Monitoring, Reporting and Evaluation</w:t>
      </w:r>
    </w:p>
    <w:p w:rsidR="006879D2" w:rsidRPr="00D81708" w:rsidRDefault="006879D2" w:rsidP="006879D2">
      <w:pPr>
        <w:pStyle w:val="BodyText"/>
        <w:rPr>
          <w:sz w:val="22"/>
          <w:szCs w:val="22"/>
          <w:lang w:val="sr-Cyrl-CS"/>
        </w:rPr>
      </w:pPr>
    </w:p>
    <w:p w:rsidR="006879D2" w:rsidRPr="00D81708" w:rsidRDefault="006879D2" w:rsidP="006879D2">
      <w:pPr>
        <w:pStyle w:val="BodyText"/>
        <w:ind w:left="720" w:hanging="720"/>
        <w:rPr>
          <w:sz w:val="22"/>
          <w:szCs w:val="22"/>
          <w:lang w:val="sr-Cyrl-CS"/>
        </w:rPr>
      </w:pPr>
      <w:r w:rsidRPr="00D81708">
        <w:rPr>
          <w:sz w:val="22"/>
          <w:szCs w:val="22"/>
          <w:lang w:val="sr-Cyrl-CS"/>
        </w:rPr>
        <w:tab/>
        <w:t xml:space="preserve">The Borrower shall furnish to the Bank each Project Report not later than one month after the end of each calendar semester, covering the calendar semester. </w:t>
      </w:r>
    </w:p>
    <w:p w:rsidR="006879D2" w:rsidRPr="00D81708" w:rsidRDefault="006879D2" w:rsidP="006879D2">
      <w:pPr>
        <w:pStyle w:val="BodyText"/>
        <w:rPr>
          <w:iCs/>
          <w:sz w:val="22"/>
          <w:szCs w:val="22"/>
          <w:lang w:val="sr-Cyrl-CS"/>
        </w:rPr>
      </w:pPr>
    </w:p>
    <w:p w:rsidR="006879D2" w:rsidRPr="00D81708" w:rsidRDefault="006879D2" w:rsidP="006879D2">
      <w:pPr>
        <w:pStyle w:val="BodyText"/>
        <w:rPr>
          <w:b/>
          <w:bCs/>
          <w:sz w:val="22"/>
          <w:szCs w:val="22"/>
          <w:lang w:val="sr-Cyrl-CS"/>
        </w:rPr>
      </w:pPr>
      <w:r w:rsidRPr="00D81708">
        <w:rPr>
          <w:b/>
          <w:bCs/>
          <w:sz w:val="22"/>
          <w:szCs w:val="22"/>
          <w:lang w:val="sr-Cyrl-CS"/>
        </w:rPr>
        <w:t>Section III.</w:t>
      </w:r>
      <w:r w:rsidRPr="00D81708">
        <w:rPr>
          <w:b/>
          <w:bCs/>
          <w:sz w:val="22"/>
          <w:szCs w:val="22"/>
          <w:lang w:val="sr-Cyrl-CS"/>
        </w:rPr>
        <w:tab/>
      </w:r>
      <w:r w:rsidRPr="00D81708">
        <w:rPr>
          <w:b/>
          <w:bCs/>
          <w:sz w:val="22"/>
          <w:szCs w:val="22"/>
          <w:u w:val="single"/>
          <w:lang w:val="sr-Cyrl-CS"/>
        </w:rPr>
        <w:t>Withdrawal of Loan Proceeds</w:t>
      </w:r>
    </w:p>
    <w:p w:rsidR="006879D2" w:rsidRPr="00D81708" w:rsidRDefault="006879D2" w:rsidP="006879D2">
      <w:pPr>
        <w:pStyle w:val="BodyText"/>
        <w:rPr>
          <w:sz w:val="22"/>
          <w:szCs w:val="22"/>
          <w:lang w:val="sr-Cyrl-CS"/>
        </w:rPr>
      </w:pPr>
    </w:p>
    <w:p w:rsidR="006879D2" w:rsidRPr="00D81708" w:rsidRDefault="006879D2" w:rsidP="006879D2">
      <w:pPr>
        <w:pStyle w:val="BodyText"/>
        <w:ind w:left="720" w:hanging="720"/>
        <w:rPr>
          <w:b/>
          <w:bCs/>
          <w:sz w:val="22"/>
          <w:szCs w:val="22"/>
          <w:lang w:val="sr-Cyrl-CS"/>
        </w:rPr>
      </w:pPr>
      <w:r w:rsidRPr="00D81708">
        <w:rPr>
          <w:b/>
          <w:bCs/>
          <w:sz w:val="22"/>
          <w:szCs w:val="22"/>
          <w:lang w:val="sr-Cyrl-CS"/>
        </w:rPr>
        <w:t>A.</w:t>
      </w:r>
      <w:r w:rsidRPr="00D81708">
        <w:rPr>
          <w:b/>
          <w:bCs/>
          <w:sz w:val="22"/>
          <w:szCs w:val="22"/>
          <w:lang w:val="sr-Cyrl-CS"/>
        </w:rPr>
        <w:tab/>
        <w:t>General</w:t>
      </w:r>
    </w:p>
    <w:p w:rsidR="006879D2" w:rsidRPr="00D81708" w:rsidRDefault="006879D2" w:rsidP="006879D2">
      <w:pPr>
        <w:pStyle w:val="BodyText"/>
        <w:ind w:left="720" w:hanging="720"/>
        <w:rPr>
          <w:bCs/>
          <w:sz w:val="22"/>
          <w:szCs w:val="22"/>
          <w:lang w:val="sr-Cyrl-CS"/>
        </w:rPr>
      </w:pPr>
    </w:p>
    <w:p w:rsidR="006879D2" w:rsidRPr="00D81708" w:rsidRDefault="006879D2" w:rsidP="006879D2">
      <w:pPr>
        <w:pStyle w:val="BodyText"/>
        <w:ind w:left="720"/>
        <w:rPr>
          <w:sz w:val="22"/>
          <w:szCs w:val="22"/>
          <w:lang w:val="sr-Cyrl-CS"/>
        </w:rPr>
      </w:pPr>
      <w:r w:rsidRPr="00D81708">
        <w:rPr>
          <w:sz w:val="22"/>
          <w:szCs w:val="22"/>
          <w:lang w:val="sr-Cyrl-CS"/>
        </w:rPr>
        <w:t>Without limitation upon the provisions of Article II of the General Conditions and in accordance with the</w:t>
      </w:r>
      <w:r w:rsidRPr="00D81708">
        <w:rPr>
          <w:color w:val="000000"/>
          <w:sz w:val="23"/>
          <w:szCs w:val="23"/>
          <w:lang w:val="sr-Cyrl-CS"/>
        </w:rPr>
        <w:t xml:space="preserve"> Disbursement and Financial Information Letter</w:t>
      </w:r>
      <w:r w:rsidRPr="00D81708">
        <w:rPr>
          <w:sz w:val="22"/>
          <w:szCs w:val="22"/>
          <w:lang w:val="sr-Cyrl-CS"/>
        </w:rPr>
        <w:t>, the Borrower may withdraw the proceeds of the Loan to: (a) finance Eligible Expenditures; and (b) pay the Front-end Fee; in the amount allocated and, if applicable, up to the percentage set forth against each Category of the following table:</w:t>
      </w:r>
    </w:p>
    <w:p w:rsidR="006879D2" w:rsidRPr="00D81708" w:rsidRDefault="006879D2" w:rsidP="006879D2">
      <w:pPr>
        <w:spacing w:after="160" w:line="259" w:lineRule="auto"/>
        <w:rPr>
          <w:sz w:val="22"/>
          <w:szCs w:val="22"/>
          <w:lang w:val="sr-Cyrl-CS"/>
        </w:rPr>
      </w:pPr>
      <w:r w:rsidRPr="00D81708">
        <w:rPr>
          <w:sz w:val="22"/>
          <w:szCs w:val="22"/>
          <w:lang w:val="sr-Cyrl-CS"/>
        </w:rPr>
        <w:br w:type="page"/>
      </w:r>
    </w:p>
    <w:p w:rsidR="006879D2" w:rsidRPr="00D81708" w:rsidRDefault="006879D2" w:rsidP="006879D2">
      <w:pPr>
        <w:pStyle w:val="BodyText"/>
        <w:rPr>
          <w:sz w:val="22"/>
          <w:szCs w:val="22"/>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8"/>
        <w:gridCol w:w="2221"/>
        <w:gridCol w:w="2957"/>
      </w:tblGrid>
      <w:tr w:rsidR="006879D2" w:rsidRPr="00D81708" w:rsidTr="00CF3479">
        <w:trPr>
          <w:cantSplit/>
        </w:trPr>
        <w:tc>
          <w:tcPr>
            <w:tcW w:w="1817" w:type="pct"/>
            <w:vAlign w:val="center"/>
          </w:tcPr>
          <w:p w:rsidR="006879D2" w:rsidRPr="00D81708" w:rsidRDefault="006879D2" w:rsidP="00CF3479">
            <w:pPr>
              <w:pStyle w:val="BodyText"/>
              <w:jc w:val="center"/>
              <w:rPr>
                <w:b/>
                <w:sz w:val="22"/>
                <w:szCs w:val="22"/>
                <w:lang w:val="sr-Cyrl-CS"/>
              </w:rPr>
            </w:pPr>
            <w:r w:rsidRPr="00D81708">
              <w:rPr>
                <w:b/>
                <w:sz w:val="22"/>
                <w:szCs w:val="22"/>
                <w:lang w:val="sr-Cyrl-CS"/>
              </w:rPr>
              <w:t>Category</w:t>
            </w:r>
          </w:p>
        </w:tc>
        <w:tc>
          <w:tcPr>
            <w:tcW w:w="1365" w:type="pct"/>
            <w:vAlign w:val="center"/>
          </w:tcPr>
          <w:p w:rsidR="006879D2" w:rsidRPr="00D81708" w:rsidRDefault="006879D2" w:rsidP="00CF3479">
            <w:pPr>
              <w:pStyle w:val="BodyText"/>
              <w:spacing w:before="120"/>
              <w:jc w:val="center"/>
              <w:rPr>
                <w:b/>
                <w:sz w:val="22"/>
                <w:szCs w:val="22"/>
                <w:lang w:val="sr-Cyrl-CS"/>
              </w:rPr>
            </w:pPr>
            <w:r w:rsidRPr="00D81708">
              <w:rPr>
                <w:b/>
                <w:sz w:val="22"/>
                <w:szCs w:val="22"/>
                <w:lang w:val="sr-Cyrl-CS"/>
              </w:rPr>
              <w:t>Amount of the Loan</w:t>
            </w:r>
          </w:p>
          <w:p w:rsidR="006879D2" w:rsidRPr="00D81708" w:rsidRDefault="006879D2" w:rsidP="00CF3479">
            <w:pPr>
              <w:pStyle w:val="BodyText"/>
              <w:jc w:val="center"/>
              <w:rPr>
                <w:b/>
                <w:sz w:val="22"/>
                <w:szCs w:val="22"/>
                <w:lang w:val="sr-Cyrl-CS"/>
              </w:rPr>
            </w:pPr>
            <w:r w:rsidRPr="00D81708">
              <w:rPr>
                <w:b/>
                <w:sz w:val="22"/>
                <w:szCs w:val="22"/>
                <w:lang w:val="sr-Cyrl-CS"/>
              </w:rPr>
              <w:t>Allocated</w:t>
            </w:r>
          </w:p>
          <w:p w:rsidR="006879D2" w:rsidRPr="00D81708" w:rsidRDefault="006879D2" w:rsidP="00CF3479">
            <w:pPr>
              <w:pStyle w:val="BodyText"/>
              <w:spacing w:after="120"/>
              <w:jc w:val="center"/>
              <w:rPr>
                <w:b/>
                <w:sz w:val="22"/>
                <w:szCs w:val="22"/>
                <w:lang w:val="sr-Cyrl-CS"/>
              </w:rPr>
            </w:pPr>
            <w:r w:rsidRPr="00D81708">
              <w:rPr>
                <w:b/>
                <w:sz w:val="22"/>
                <w:szCs w:val="22"/>
                <w:lang w:val="sr-Cyrl-CS"/>
              </w:rPr>
              <w:t>(expressed in EUR)</w:t>
            </w:r>
          </w:p>
        </w:tc>
        <w:tc>
          <w:tcPr>
            <w:tcW w:w="1817" w:type="pct"/>
            <w:vAlign w:val="center"/>
          </w:tcPr>
          <w:p w:rsidR="006879D2" w:rsidRPr="00D81708" w:rsidRDefault="006879D2" w:rsidP="00CF3479">
            <w:pPr>
              <w:pStyle w:val="BodyText"/>
              <w:jc w:val="center"/>
              <w:rPr>
                <w:b/>
                <w:sz w:val="22"/>
                <w:szCs w:val="22"/>
                <w:lang w:val="sr-Cyrl-CS"/>
              </w:rPr>
            </w:pPr>
            <w:r w:rsidRPr="00D81708">
              <w:rPr>
                <w:b/>
                <w:sz w:val="22"/>
                <w:szCs w:val="22"/>
                <w:lang w:val="sr-Cyrl-CS"/>
              </w:rPr>
              <w:t>Percentage of Expenditures to be financed</w:t>
            </w:r>
          </w:p>
        </w:tc>
      </w:tr>
      <w:tr w:rsidR="006879D2" w:rsidRPr="00D81708" w:rsidTr="00CF3479">
        <w:trPr>
          <w:cantSplit/>
        </w:trPr>
        <w:tc>
          <w:tcPr>
            <w:tcW w:w="1817" w:type="pct"/>
            <w:vAlign w:val="center"/>
          </w:tcPr>
          <w:p w:rsidR="006879D2" w:rsidRPr="00D81708" w:rsidRDefault="006879D2" w:rsidP="006879D2">
            <w:pPr>
              <w:pStyle w:val="BodyText"/>
              <w:numPr>
                <w:ilvl w:val="0"/>
                <w:numId w:val="45"/>
              </w:numPr>
              <w:spacing w:before="120" w:after="120"/>
              <w:ind w:left="331"/>
              <w:jc w:val="left"/>
              <w:rPr>
                <w:sz w:val="22"/>
                <w:szCs w:val="22"/>
                <w:lang w:val="sr-Cyrl-CS"/>
              </w:rPr>
            </w:pPr>
            <w:r w:rsidRPr="00D81708">
              <w:rPr>
                <w:sz w:val="22"/>
                <w:szCs w:val="22"/>
                <w:lang w:val="sr-Cyrl-CS"/>
              </w:rPr>
              <w:t xml:space="preserve">Goods, works, non-consulting services for the Project. </w:t>
            </w:r>
          </w:p>
        </w:tc>
        <w:tc>
          <w:tcPr>
            <w:tcW w:w="1365" w:type="pct"/>
            <w:vAlign w:val="center"/>
          </w:tcPr>
          <w:p w:rsidR="006879D2" w:rsidRPr="00D81708" w:rsidRDefault="006879D2" w:rsidP="00CF3479">
            <w:pPr>
              <w:pStyle w:val="BodyText"/>
              <w:jc w:val="center"/>
              <w:rPr>
                <w:sz w:val="22"/>
                <w:szCs w:val="22"/>
                <w:lang w:val="sr-Cyrl-CS"/>
              </w:rPr>
            </w:pPr>
            <w:r w:rsidRPr="00D81708">
              <w:rPr>
                <w:sz w:val="22"/>
                <w:szCs w:val="22"/>
                <w:lang w:val="sr-Cyrl-CS"/>
              </w:rPr>
              <w:t>7,500,000</w:t>
            </w:r>
          </w:p>
        </w:tc>
        <w:tc>
          <w:tcPr>
            <w:tcW w:w="1817" w:type="pct"/>
          </w:tcPr>
          <w:p w:rsidR="006879D2" w:rsidRPr="00D81708" w:rsidRDefault="006879D2" w:rsidP="00CF3479">
            <w:pPr>
              <w:pStyle w:val="BodyText"/>
              <w:spacing w:before="120"/>
              <w:jc w:val="left"/>
              <w:rPr>
                <w:sz w:val="22"/>
                <w:szCs w:val="22"/>
                <w:lang w:val="sr-Cyrl-CS"/>
              </w:rPr>
            </w:pPr>
            <w:r w:rsidRPr="00D81708">
              <w:rPr>
                <w:sz w:val="22"/>
                <w:szCs w:val="22"/>
                <w:lang w:val="sr-Cyrl-CS"/>
              </w:rPr>
              <w:t xml:space="preserve">100% </w:t>
            </w:r>
            <w:r w:rsidRPr="00D81708">
              <w:rPr>
                <w:bCs/>
                <w:sz w:val="22"/>
                <w:szCs w:val="22"/>
                <w:lang w:val="sr-Cyrl-CS"/>
              </w:rPr>
              <w:t>(inclusive of Taxes other than Value Added Tax and Customs Duties)</w:t>
            </w:r>
          </w:p>
        </w:tc>
      </w:tr>
      <w:tr w:rsidR="006879D2" w:rsidRPr="00D81708" w:rsidTr="00CF3479">
        <w:trPr>
          <w:cantSplit/>
        </w:trPr>
        <w:tc>
          <w:tcPr>
            <w:tcW w:w="1817" w:type="pct"/>
            <w:vAlign w:val="center"/>
          </w:tcPr>
          <w:p w:rsidR="006879D2" w:rsidRPr="00D81708" w:rsidRDefault="006879D2" w:rsidP="006879D2">
            <w:pPr>
              <w:pStyle w:val="BodyText"/>
              <w:numPr>
                <w:ilvl w:val="0"/>
                <w:numId w:val="45"/>
              </w:numPr>
              <w:spacing w:before="120" w:after="120"/>
              <w:ind w:left="331"/>
              <w:jc w:val="left"/>
              <w:rPr>
                <w:sz w:val="22"/>
                <w:szCs w:val="22"/>
                <w:lang w:val="sr-Cyrl-CS"/>
              </w:rPr>
            </w:pPr>
            <w:r w:rsidRPr="00D81708">
              <w:rPr>
                <w:sz w:val="22"/>
                <w:szCs w:val="22"/>
                <w:lang w:val="sr-Cyrl-CS"/>
              </w:rPr>
              <w:t>Consulting services, Training and Operational Costs for the Project</w:t>
            </w:r>
          </w:p>
        </w:tc>
        <w:tc>
          <w:tcPr>
            <w:tcW w:w="1365" w:type="pct"/>
            <w:vAlign w:val="center"/>
          </w:tcPr>
          <w:p w:rsidR="006879D2" w:rsidRPr="00D81708" w:rsidRDefault="006879D2" w:rsidP="00CF3479">
            <w:pPr>
              <w:pStyle w:val="BodyText"/>
              <w:jc w:val="center"/>
              <w:rPr>
                <w:sz w:val="22"/>
                <w:szCs w:val="22"/>
                <w:lang w:val="sr-Cyrl-CS"/>
              </w:rPr>
            </w:pPr>
            <w:r w:rsidRPr="00D81708">
              <w:rPr>
                <w:sz w:val="22"/>
                <w:szCs w:val="22"/>
                <w:lang w:val="sr-Cyrl-CS"/>
              </w:rPr>
              <w:t>7,885,500</w:t>
            </w:r>
          </w:p>
        </w:tc>
        <w:tc>
          <w:tcPr>
            <w:tcW w:w="1817" w:type="pct"/>
            <w:vAlign w:val="center"/>
          </w:tcPr>
          <w:p w:rsidR="006879D2" w:rsidRPr="00D81708" w:rsidRDefault="006879D2" w:rsidP="00CF3479">
            <w:pPr>
              <w:pStyle w:val="BodyText"/>
              <w:jc w:val="left"/>
              <w:rPr>
                <w:sz w:val="22"/>
                <w:szCs w:val="22"/>
                <w:lang w:val="sr-Cyrl-CS"/>
              </w:rPr>
            </w:pPr>
            <w:r w:rsidRPr="00D81708">
              <w:rPr>
                <w:sz w:val="22"/>
                <w:szCs w:val="22"/>
                <w:lang w:val="sr-Cyrl-CS"/>
              </w:rPr>
              <w:t xml:space="preserve">100% </w:t>
            </w:r>
            <w:r w:rsidRPr="00D81708">
              <w:rPr>
                <w:bCs/>
                <w:sz w:val="22"/>
                <w:szCs w:val="22"/>
                <w:lang w:val="sr-Cyrl-CS"/>
              </w:rPr>
              <w:t>(inclusive of Taxes)</w:t>
            </w:r>
          </w:p>
        </w:tc>
      </w:tr>
      <w:tr w:rsidR="006879D2" w:rsidRPr="00D81708" w:rsidTr="00CF3479">
        <w:trPr>
          <w:cantSplit/>
        </w:trPr>
        <w:tc>
          <w:tcPr>
            <w:tcW w:w="1817" w:type="pct"/>
            <w:vAlign w:val="center"/>
          </w:tcPr>
          <w:p w:rsidR="006879D2" w:rsidRPr="00D81708" w:rsidRDefault="006879D2" w:rsidP="006879D2">
            <w:pPr>
              <w:pStyle w:val="BodyText"/>
              <w:numPr>
                <w:ilvl w:val="0"/>
                <w:numId w:val="45"/>
              </w:numPr>
              <w:ind w:left="334"/>
              <w:jc w:val="left"/>
              <w:rPr>
                <w:sz w:val="22"/>
                <w:szCs w:val="22"/>
                <w:lang w:val="sr-Cyrl-CS"/>
              </w:rPr>
            </w:pPr>
            <w:r w:rsidRPr="00D81708">
              <w:rPr>
                <w:sz w:val="22"/>
                <w:szCs w:val="22"/>
                <w:lang w:val="sr-Cyrl-CS"/>
              </w:rPr>
              <w:t>Matching Grants</w:t>
            </w:r>
          </w:p>
        </w:tc>
        <w:tc>
          <w:tcPr>
            <w:tcW w:w="1365" w:type="pct"/>
            <w:vAlign w:val="center"/>
          </w:tcPr>
          <w:p w:rsidR="006879D2" w:rsidRPr="00D81708" w:rsidRDefault="006879D2" w:rsidP="00CF3479">
            <w:pPr>
              <w:pStyle w:val="BodyText"/>
              <w:jc w:val="center"/>
              <w:rPr>
                <w:sz w:val="22"/>
                <w:szCs w:val="22"/>
                <w:lang w:val="sr-Cyrl-CS"/>
              </w:rPr>
            </w:pPr>
            <w:r w:rsidRPr="00D81708">
              <w:rPr>
                <w:sz w:val="22"/>
                <w:szCs w:val="22"/>
                <w:lang w:val="sr-Cyrl-CS"/>
              </w:rPr>
              <w:t>30,300,000</w:t>
            </w:r>
          </w:p>
        </w:tc>
        <w:tc>
          <w:tcPr>
            <w:tcW w:w="1817" w:type="pct"/>
          </w:tcPr>
          <w:p w:rsidR="006879D2" w:rsidRPr="00D81708" w:rsidRDefault="006879D2" w:rsidP="00CF3479">
            <w:pPr>
              <w:pStyle w:val="BodyText"/>
              <w:spacing w:before="120" w:after="120"/>
              <w:jc w:val="left"/>
              <w:rPr>
                <w:sz w:val="22"/>
                <w:szCs w:val="22"/>
                <w:lang w:val="sr-Cyrl-CS"/>
              </w:rPr>
            </w:pPr>
            <w:r w:rsidRPr="00D81708">
              <w:rPr>
                <w:sz w:val="22"/>
                <w:szCs w:val="22"/>
                <w:lang w:val="sr-Cyrl-CS"/>
              </w:rPr>
              <w:t>100% of the amounts disbursed under Matching Grants (</w:t>
            </w:r>
            <w:r w:rsidRPr="00D81708">
              <w:rPr>
                <w:bCs/>
                <w:sz w:val="22"/>
                <w:szCs w:val="22"/>
                <w:lang w:val="sr-Cyrl-CS"/>
              </w:rPr>
              <w:t>inclusive of Taxes</w:t>
            </w:r>
            <w:r w:rsidRPr="00D81708">
              <w:rPr>
                <w:sz w:val="22"/>
                <w:szCs w:val="22"/>
                <w:lang w:val="sr-Cyrl-CS"/>
              </w:rPr>
              <w:t>)</w:t>
            </w:r>
          </w:p>
        </w:tc>
      </w:tr>
      <w:tr w:rsidR="006879D2" w:rsidRPr="00D81708" w:rsidTr="00CF3479">
        <w:trPr>
          <w:cantSplit/>
        </w:trPr>
        <w:tc>
          <w:tcPr>
            <w:tcW w:w="1817" w:type="pct"/>
            <w:vAlign w:val="center"/>
          </w:tcPr>
          <w:p w:rsidR="006879D2" w:rsidRPr="00D81708" w:rsidRDefault="006879D2" w:rsidP="006879D2">
            <w:pPr>
              <w:pStyle w:val="BodyText"/>
              <w:numPr>
                <w:ilvl w:val="0"/>
                <w:numId w:val="45"/>
              </w:numPr>
              <w:ind w:left="334"/>
              <w:jc w:val="left"/>
              <w:rPr>
                <w:sz w:val="22"/>
                <w:szCs w:val="22"/>
                <w:lang w:val="sr-Cyrl-CS"/>
              </w:rPr>
            </w:pPr>
            <w:r w:rsidRPr="00D81708">
              <w:rPr>
                <w:sz w:val="22"/>
                <w:szCs w:val="22"/>
                <w:lang w:val="sr-Cyrl-CS"/>
              </w:rPr>
              <w:t>Front-end Fee</w:t>
            </w:r>
          </w:p>
        </w:tc>
        <w:tc>
          <w:tcPr>
            <w:tcW w:w="1365" w:type="pct"/>
            <w:vAlign w:val="center"/>
          </w:tcPr>
          <w:p w:rsidR="006879D2" w:rsidRPr="00D81708" w:rsidRDefault="006879D2" w:rsidP="00CF3479">
            <w:pPr>
              <w:pStyle w:val="BodyText"/>
              <w:jc w:val="center"/>
              <w:rPr>
                <w:sz w:val="22"/>
                <w:szCs w:val="22"/>
                <w:lang w:val="sr-Cyrl-CS"/>
              </w:rPr>
            </w:pPr>
            <w:r w:rsidRPr="00D81708">
              <w:rPr>
                <w:sz w:val="22"/>
                <w:szCs w:val="22"/>
                <w:lang w:val="sr-Cyrl-CS"/>
              </w:rPr>
              <w:t>114,500</w:t>
            </w:r>
          </w:p>
        </w:tc>
        <w:tc>
          <w:tcPr>
            <w:tcW w:w="1817" w:type="pct"/>
          </w:tcPr>
          <w:p w:rsidR="006879D2" w:rsidRPr="00D81708" w:rsidRDefault="006879D2" w:rsidP="00CF3479">
            <w:pPr>
              <w:pStyle w:val="BodyText"/>
              <w:spacing w:before="120" w:after="120"/>
              <w:jc w:val="left"/>
              <w:rPr>
                <w:sz w:val="22"/>
                <w:szCs w:val="22"/>
                <w:lang w:val="sr-Cyrl-CS"/>
              </w:rPr>
            </w:pPr>
            <w:r w:rsidRPr="00D81708">
              <w:rPr>
                <w:sz w:val="22"/>
                <w:szCs w:val="22"/>
                <w:lang w:val="sr-Cyrl-CS"/>
              </w:rPr>
              <w:t>Amount payable pursuant to Section 2.03 of this Agreement in accordance with Section 2.07 (b) of the General Conditions</w:t>
            </w:r>
          </w:p>
        </w:tc>
      </w:tr>
      <w:tr w:rsidR="006879D2" w:rsidRPr="00D81708" w:rsidTr="00CF3479">
        <w:trPr>
          <w:cantSplit/>
        </w:trPr>
        <w:tc>
          <w:tcPr>
            <w:tcW w:w="1817" w:type="pct"/>
          </w:tcPr>
          <w:p w:rsidR="006879D2" w:rsidRPr="00D81708" w:rsidRDefault="006879D2" w:rsidP="00CF3479">
            <w:pPr>
              <w:pStyle w:val="BodyText"/>
              <w:spacing w:before="120" w:after="120"/>
              <w:rPr>
                <w:sz w:val="22"/>
                <w:szCs w:val="22"/>
                <w:lang w:val="sr-Cyrl-CS"/>
              </w:rPr>
            </w:pPr>
            <w:r w:rsidRPr="00D81708">
              <w:rPr>
                <w:sz w:val="22"/>
                <w:szCs w:val="22"/>
                <w:lang w:val="sr-Cyrl-CS"/>
              </w:rPr>
              <w:t>TOTAL AMOUNT</w:t>
            </w:r>
          </w:p>
        </w:tc>
        <w:tc>
          <w:tcPr>
            <w:tcW w:w="1365" w:type="pct"/>
          </w:tcPr>
          <w:p w:rsidR="006879D2" w:rsidRPr="00D81708" w:rsidRDefault="006879D2" w:rsidP="00CF3479">
            <w:pPr>
              <w:pStyle w:val="BodyText"/>
              <w:spacing w:before="120" w:after="120"/>
              <w:jc w:val="center"/>
              <w:rPr>
                <w:sz w:val="22"/>
                <w:szCs w:val="22"/>
                <w:lang w:val="sr-Cyrl-CS"/>
              </w:rPr>
            </w:pPr>
            <w:r w:rsidRPr="00D81708">
              <w:rPr>
                <w:sz w:val="22"/>
                <w:szCs w:val="22"/>
                <w:lang w:val="sr-Cyrl-CS"/>
              </w:rPr>
              <w:t>45,800,000</w:t>
            </w:r>
          </w:p>
        </w:tc>
        <w:tc>
          <w:tcPr>
            <w:tcW w:w="1817" w:type="pct"/>
          </w:tcPr>
          <w:p w:rsidR="006879D2" w:rsidRPr="00D81708" w:rsidRDefault="006879D2" w:rsidP="00CF3479">
            <w:pPr>
              <w:pStyle w:val="BodyText"/>
              <w:spacing w:before="120" w:after="120"/>
              <w:rPr>
                <w:sz w:val="22"/>
                <w:szCs w:val="22"/>
                <w:lang w:val="sr-Cyrl-CS"/>
              </w:rPr>
            </w:pPr>
          </w:p>
        </w:tc>
      </w:tr>
    </w:tbl>
    <w:p w:rsidR="006879D2" w:rsidRPr="00D81708" w:rsidRDefault="006879D2" w:rsidP="006879D2">
      <w:pPr>
        <w:pStyle w:val="BodyText"/>
        <w:rPr>
          <w:sz w:val="22"/>
          <w:szCs w:val="22"/>
          <w:lang w:val="sr-Cyrl-CS"/>
        </w:rPr>
      </w:pPr>
    </w:p>
    <w:p w:rsidR="006879D2" w:rsidRPr="00D81708" w:rsidRDefault="006879D2" w:rsidP="006879D2">
      <w:pPr>
        <w:pStyle w:val="BodyText"/>
        <w:ind w:firstLine="720"/>
        <w:rPr>
          <w:sz w:val="22"/>
          <w:szCs w:val="22"/>
          <w:lang w:val="sr-Cyrl-CS"/>
        </w:rPr>
      </w:pPr>
      <w:r w:rsidRPr="00D81708">
        <w:rPr>
          <w:sz w:val="22"/>
          <w:szCs w:val="22"/>
          <w:lang w:val="sr-Cyrl-CS"/>
        </w:rPr>
        <w:t>For the purpose of this table, the custom duties and value added tax for the importation and supply of goods, works and non-consulting services, within the Borrower’s territory and for the purpose of the implementation of the Project, shall not be financed out of Loan proceeds. The Borrower confirms that the importation and supply of goods, works and non-consulting services, within the Borrower’s territory and for the purpose of the implementation of the Project, shall be exempted from customs duties and value added tax.</w:t>
      </w:r>
    </w:p>
    <w:p w:rsidR="006879D2" w:rsidRPr="00D81708" w:rsidRDefault="006879D2" w:rsidP="006879D2">
      <w:pPr>
        <w:pStyle w:val="BodyText"/>
        <w:ind w:left="810" w:hanging="810"/>
        <w:rPr>
          <w:b/>
          <w:bCs/>
          <w:sz w:val="22"/>
          <w:szCs w:val="22"/>
          <w:lang w:val="sr-Cyrl-CS"/>
        </w:rPr>
      </w:pPr>
    </w:p>
    <w:p w:rsidR="006879D2" w:rsidRPr="00D81708" w:rsidRDefault="006879D2" w:rsidP="006879D2">
      <w:pPr>
        <w:pStyle w:val="BodyText"/>
        <w:ind w:left="720" w:hanging="720"/>
        <w:rPr>
          <w:b/>
          <w:bCs/>
          <w:sz w:val="22"/>
          <w:szCs w:val="22"/>
          <w:lang w:val="sr-Cyrl-CS"/>
        </w:rPr>
      </w:pPr>
      <w:r w:rsidRPr="00D81708">
        <w:rPr>
          <w:b/>
          <w:bCs/>
          <w:sz w:val="22"/>
          <w:szCs w:val="22"/>
          <w:lang w:val="sr-Cyrl-CS"/>
        </w:rPr>
        <w:t>B.</w:t>
      </w:r>
      <w:r w:rsidRPr="00D81708">
        <w:rPr>
          <w:b/>
          <w:bCs/>
          <w:sz w:val="22"/>
          <w:szCs w:val="22"/>
          <w:lang w:val="sr-Cyrl-CS"/>
        </w:rPr>
        <w:tab/>
        <w:t>Withdrawal Conditions; Withdrawal Period</w:t>
      </w:r>
    </w:p>
    <w:p w:rsidR="006879D2" w:rsidRPr="00D81708" w:rsidRDefault="006879D2" w:rsidP="006879D2">
      <w:pPr>
        <w:pStyle w:val="BodyText"/>
        <w:rPr>
          <w:bCs/>
          <w:sz w:val="22"/>
          <w:szCs w:val="22"/>
          <w:lang w:val="sr-Cyrl-CS"/>
        </w:rPr>
      </w:pPr>
    </w:p>
    <w:p w:rsidR="006879D2" w:rsidRPr="00D81708" w:rsidRDefault="006879D2" w:rsidP="006879D2">
      <w:pPr>
        <w:pStyle w:val="BodyText"/>
        <w:ind w:left="720" w:hanging="720"/>
        <w:rPr>
          <w:b/>
          <w:bCs/>
          <w:sz w:val="22"/>
          <w:szCs w:val="22"/>
          <w:lang w:val="sr-Cyrl-CS"/>
        </w:rPr>
      </w:pPr>
      <w:r w:rsidRPr="00D81708">
        <w:rPr>
          <w:bCs/>
          <w:sz w:val="22"/>
          <w:szCs w:val="22"/>
          <w:lang w:val="sr-Cyrl-CS"/>
        </w:rPr>
        <w:t>1.</w:t>
      </w:r>
      <w:r w:rsidRPr="00D81708">
        <w:rPr>
          <w:b/>
          <w:bCs/>
          <w:sz w:val="22"/>
          <w:szCs w:val="22"/>
          <w:lang w:val="sr-Cyrl-CS"/>
        </w:rPr>
        <w:tab/>
      </w:r>
      <w:r w:rsidRPr="00D81708">
        <w:rPr>
          <w:bCs/>
          <w:sz w:val="22"/>
          <w:szCs w:val="22"/>
          <w:lang w:val="sr-Cyrl-CS"/>
        </w:rPr>
        <w:t xml:space="preserve">Notwithstanding the provisions of Part A above, no withdrawal shall be made </w:t>
      </w:r>
      <w:r w:rsidRPr="00D81708">
        <w:rPr>
          <w:sz w:val="22"/>
          <w:szCs w:val="22"/>
          <w:lang w:val="sr-Cyrl-CS"/>
        </w:rPr>
        <w:t>for payments made prior to the Signature Date.</w:t>
      </w:r>
    </w:p>
    <w:p w:rsidR="006879D2" w:rsidRPr="00D81708" w:rsidRDefault="006879D2" w:rsidP="006879D2">
      <w:pPr>
        <w:pStyle w:val="BodyText"/>
        <w:rPr>
          <w:b/>
          <w:bCs/>
          <w:sz w:val="22"/>
          <w:szCs w:val="22"/>
          <w:lang w:val="sr-Cyrl-CS"/>
        </w:rPr>
      </w:pPr>
    </w:p>
    <w:p w:rsidR="006879D2" w:rsidRPr="00D81708" w:rsidRDefault="006879D2" w:rsidP="006879D2">
      <w:pPr>
        <w:pStyle w:val="BodyText"/>
        <w:ind w:left="30"/>
        <w:rPr>
          <w:sz w:val="22"/>
          <w:szCs w:val="22"/>
          <w:lang w:val="sr-Cyrl-CS"/>
        </w:rPr>
      </w:pPr>
      <w:r w:rsidRPr="00D81708">
        <w:rPr>
          <w:bCs/>
          <w:sz w:val="22"/>
          <w:szCs w:val="22"/>
          <w:lang w:val="sr-Cyrl-CS"/>
        </w:rPr>
        <w:t>2.</w:t>
      </w:r>
      <w:r w:rsidRPr="00D81708">
        <w:rPr>
          <w:b/>
          <w:bCs/>
          <w:sz w:val="22"/>
          <w:szCs w:val="22"/>
          <w:lang w:val="sr-Cyrl-CS"/>
        </w:rPr>
        <w:tab/>
      </w:r>
      <w:r w:rsidRPr="00D81708">
        <w:rPr>
          <w:sz w:val="22"/>
          <w:szCs w:val="22"/>
          <w:lang w:val="sr-Cyrl-CS"/>
        </w:rPr>
        <w:t>The Closing Date is December 31, 2024.</w:t>
      </w:r>
    </w:p>
    <w:p w:rsidR="006879D2" w:rsidRPr="00D81708" w:rsidRDefault="006879D2" w:rsidP="006879D2">
      <w:pPr>
        <w:pStyle w:val="BodyText"/>
        <w:jc w:val="left"/>
        <w:rPr>
          <w:sz w:val="22"/>
          <w:szCs w:val="22"/>
          <w:lang w:val="sr-Cyrl-CS"/>
        </w:rPr>
      </w:pPr>
    </w:p>
    <w:p w:rsidR="006879D2" w:rsidRPr="00D81708" w:rsidRDefault="006879D2" w:rsidP="006879D2">
      <w:pPr>
        <w:pStyle w:val="BodyText"/>
        <w:rPr>
          <w:sz w:val="22"/>
          <w:szCs w:val="22"/>
          <w:lang w:val="sr-Cyrl-CS"/>
        </w:rPr>
      </w:pPr>
      <w:r w:rsidRPr="00D81708">
        <w:rPr>
          <w:sz w:val="22"/>
          <w:szCs w:val="22"/>
          <w:lang w:val="sr-Cyrl-CS"/>
        </w:rPr>
        <w:br w:type="page"/>
      </w:r>
    </w:p>
    <w:p w:rsidR="006879D2" w:rsidRPr="00D81708" w:rsidRDefault="006879D2" w:rsidP="006879D2">
      <w:pPr>
        <w:pStyle w:val="BodyText"/>
        <w:jc w:val="center"/>
        <w:rPr>
          <w:b/>
          <w:sz w:val="22"/>
          <w:szCs w:val="22"/>
          <w:lang w:val="sr-Cyrl-CS"/>
        </w:rPr>
      </w:pPr>
      <w:r w:rsidRPr="00D81708">
        <w:rPr>
          <w:b/>
          <w:sz w:val="22"/>
          <w:szCs w:val="22"/>
          <w:lang w:val="sr-Cyrl-CS"/>
        </w:rPr>
        <w:lastRenderedPageBreak/>
        <w:t>SCHEDULE 3</w:t>
      </w:r>
    </w:p>
    <w:p w:rsidR="006879D2" w:rsidRPr="00D81708" w:rsidRDefault="006879D2" w:rsidP="006879D2">
      <w:pPr>
        <w:pStyle w:val="BodyText"/>
        <w:jc w:val="center"/>
        <w:rPr>
          <w:b/>
          <w:sz w:val="22"/>
          <w:szCs w:val="22"/>
          <w:lang w:val="sr-Cyrl-CS"/>
        </w:rPr>
      </w:pPr>
    </w:p>
    <w:p w:rsidR="006879D2" w:rsidRPr="00D81708" w:rsidRDefault="006879D2" w:rsidP="006879D2">
      <w:pPr>
        <w:pStyle w:val="BodyText"/>
        <w:jc w:val="center"/>
        <w:rPr>
          <w:b/>
          <w:sz w:val="22"/>
          <w:szCs w:val="22"/>
          <w:lang w:val="sr-Cyrl-CS"/>
        </w:rPr>
      </w:pPr>
      <w:r w:rsidRPr="00D81708">
        <w:rPr>
          <w:b/>
          <w:sz w:val="22"/>
          <w:szCs w:val="22"/>
          <w:lang w:val="sr-Cyrl-CS"/>
        </w:rPr>
        <w:t>Commitment-Linked Amortization Repayment Schedule</w:t>
      </w:r>
    </w:p>
    <w:p w:rsidR="006879D2" w:rsidRPr="00D81708" w:rsidRDefault="006879D2" w:rsidP="006879D2">
      <w:pPr>
        <w:pStyle w:val="BodyText"/>
        <w:rPr>
          <w:b/>
          <w:sz w:val="22"/>
          <w:szCs w:val="22"/>
          <w:lang w:val="sr-Cyrl-CS"/>
        </w:rPr>
      </w:pPr>
    </w:p>
    <w:p w:rsidR="006879D2" w:rsidRPr="00D81708" w:rsidRDefault="006879D2" w:rsidP="006879D2">
      <w:pPr>
        <w:pStyle w:val="BodyText"/>
        <w:rPr>
          <w:sz w:val="22"/>
          <w:szCs w:val="22"/>
          <w:lang w:val="sr-Cyrl-CS"/>
        </w:rPr>
      </w:pPr>
      <w:r w:rsidRPr="00D81708">
        <w:rPr>
          <w:sz w:val="22"/>
          <w:szCs w:val="22"/>
          <w:lang w:val="sr-Cyrl-CS"/>
        </w:rPr>
        <w:t xml:space="preserve">The following table sets forth the Principal Payment Dates of the Loan and the percentage of the total principal amount of the Loan payable on each Principal Payment Date (“Installment Share”). </w:t>
      </w:r>
    </w:p>
    <w:p w:rsidR="006879D2" w:rsidRPr="00D81708" w:rsidRDefault="006879D2" w:rsidP="006879D2">
      <w:pPr>
        <w:pStyle w:val="BodyText"/>
        <w:ind w:left="720"/>
        <w:jc w:val="center"/>
        <w:rPr>
          <w:b/>
          <w:bCs/>
          <w:sz w:val="22"/>
          <w:szCs w:val="22"/>
          <w:lang w:val="sr-Cyrl-CS"/>
        </w:rPr>
      </w:pPr>
    </w:p>
    <w:p w:rsidR="006879D2" w:rsidRPr="00D81708" w:rsidRDefault="006879D2" w:rsidP="006879D2">
      <w:pPr>
        <w:pStyle w:val="BodyText"/>
        <w:ind w:left="720"/>
        <w:jc w:val="center"/>
        <w:rPr>
          <w:b/>
          <w:bCs/>
          <w:sz w:val="22"/>
          <w:szCs w:val="22"/>
          <w:lang w:val="sr-Cyrl-CS"/>
        </w:rPr>
      </w:pPr>
      <w:r w:rsidRPr="00D81708">
        <w:rPr>
          <w:b/>
          <w:bCs/>
          <w:sz w:val="22"/>
          <w:szCs w:val="22"/>
          <w:lang w:val="sr-Cyrl-CS"/>
        </w:rPr>
        <w:t>Level Principal Repayments</w:t>
      </w:r>
    </w:p>
    <w:p w:rsidR="006879D2" w:rsidRPr="00D81708" w:rsidRDefault="006879D2" w:rsidP="006879D2">
      <w:pPr>
        <w:pStyle w:val="BodyText"/>
        <w:ind w:left="720"/>
        <w:jc w:val="center"/>
        <w:rPr>
          <w:b/>
          <w:bCs/>
          <w:i/>
          <w:iCs/>
          <w:sz w:val="22"/>
          <w:szCs w:val="22"/>
          <w:lang w:val="sr-Cyrl-CS"/>
        </w:rPr>
      </w:pPr>
    </w:p>
    <w:tbl>
      <w:tblPr>
        <w:tblW w:w="5000" w:type="pct"/>
        <w:tblCellMar>
          <w:left w:w="0" w:type="dxa"/>
          <w:right w:w="0" w:type="dxa"/>
        </w:tblCellMar>
        <w:tblLook w:val="04A0" w:firstRow="1" w:lastRow="0" w:firstColumn="1" w:lastColumn="0" w:noHBand="0" w:noVBand="1"/>
      </w:tblPr>
      <w:tblGrid>
        <w:gridCol w:w="4068"/>
        <w:gridCol w:w="4068"/>
      </w:tblGrid>
      <w:tr w:rsidR="006879D2" w:rsidRPr="00D81708" w:rsidTr="00CF3479">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879D2" w:rsidRPr="00D81708" w:rsidRDefault="006879D2" w:rsidP="00CF3479">
            <w:pPr>
              <w:pStyle w:val="BodyText"/>
              <w:spacing w:before="120" w:after="120"/>
              <w:jc w:val="center"/>
              <w:rPr>
                <w:b/>
                <w:bCs/>
                <w:sz w:val="22"/>
                <w:szCs w:val="22"/>
                <w:lang w:val="sr-Cyrl-CS"/>
              </w:rPr>
            </w:pPr>
            <w:r w:rsidRPr="00D81708">
              <w:rPr>
                <w:b/>
                <w:bCs/>
                <w:sz w:val="22"/>
                <w:szCs w:val="22"/>
                <w:lang w:val="sr-Cyrl-CS"/>
              </w:rPr>
              <w:t>Principal Payment Date</w:t>
            </w:r>
          </w:p>
        </w:tc>
        <w:tc>
          <w:tcPr>
            <w:tcW w:w="25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79D2" w:rsidRPr="00D81708" w:rsidRDefault="006879D2" w:rsidP="00CF3479">
            <w:pPr>
              <w:pStyle w:val="BodyText"/>
              <w:spacing w:before="120" w:after="120"/>
              <w:jc w:val="center"/>
              <w:rPr>
                <w:sz w:val="22"/>
                <w:szCs w:val="22"/>
                <w:lang w:val="sr-Cyrl-CS"/>
              </w:rPr>
            </w:pPr>
            <w:r w:rsidRPr="00D81708">
              <w:rPr>
                <w:b/>
                <w:bCs/>
                <w:sz w:val="22"/>
                <w:szCs w:val="22"/>
                <w:lang w:val="sr-Cyrl-CS"/>
              </w:rPr>
              <w:t>Installment Share</w:t>
            </w:r>
          </w:p>
        </w:tc>
      </w:tr>
      <w:tr w:rsidR="006879D2" w:rsidRPr="00D81708" w:rsidTr="00CF3479">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79D2" w:rsidRPr="00D81708" w:rsidRDefault="006879D2" w:rsidP="00CF3479">
            <w:pPr>
              <w:pStyle w:val="BodyText"/>
              <w:spacing w:before="120" w:after="120"/>
              <w:rPr>
                <w:sz w:val="22"/>
                <w:szCs w:val="22"/>
                <w:lang w:val="sr-Cyrl-CS"/>
              </w:rPr>
            </w:pPr>
            <w:r w:rsidRPr="00D81708">
              <w:rPr>
                <w:sz w:val="22"/>
                <w:szCs w:val="22"/>
                <w:lang w:val="sr-Cyrl-CS"/>
              </w:rPr>
              <w:t>On each May 15 and November 15</w:t>
            </w:r>
          </w:p>
          <w:p w:rsidR="006879D2" w:rsidRPr="00D81708" w:rsidRDefault="006879D2" w:rsidP="00CF3479">
            <w:pPr>
              <w:pStyle w:val="BodyText"/>
              <w:spacing w:before="120"/>
              <w:rPr>
                <w:sz w:val="22"/>
                <w:szCs w:val="22"/>
                <w:lang w:val="sr-Cyrl-CS"/>
              </w:rPr>
            </w:pPr>
            <w:r w:rsidRPr="00D81708">
              <w:rPr>
                <w:sz w:val="22"/>
                <w:szCs w:val="22"/>
                <w:lang w:val="sr-Cyrl-CS"/>
              </w:rPr>
              <w:t xml:space="preserve">            Beginning May 15, 2023 </w:t>
            </w:r>
          </w:p>
          <w:p w:rsidR="006879D2" w:rsidRPr="00D81708" w:rsidRDefault="006879D2" w:rsidP="00CF3479">
            <w:pPr>
              <w:pStyle w:val="BodyText"/>
              <w:spacing w:after="120"/>
              <w:rPr>
                <w:sz w:val="22"/>
                <w:szCs w:val="22"/>
                <w:lang w:val="sr-Cyrl-CS"/>
              </w:rPr>
            </w:pPr>
            <w:r w:rsidRPr="00D81708">
              <w:rPr>
                <w:sz w:val="22"/>
                <w:szCs w:val="22"/>
                <w:lang w:val="sr-Cyrl-CS"/>
              </w:rPr>
              <w:t>            through May 15, 2031</w:t>
            </w: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tcPr>
          <w:p w:rsidR="006879D2" w:rsidRPr="00D81708" w:rsidRDefault="006879D2" w:rsidP="00CF3479">
            <w:pPr>
              <w:pStyle w:val="BodyText"/>
              <w:spacing w:before="120" w:after="120"/>
              <w:jc w:val="center"/>
              <w:rPr>
                <w:sz w:val="22"/>
                <w:szCs w:val="22"/>
                <w:lang w:val="sr-Cyrl-CS"/>
              </w:rPr>
            </w:pPr>
            <w:r w:rsidRPr="00D81708">
              <w:rPr>
                <w:sz w:val="22"/>
                <w:szCs w:val="22"/>
                <w:lang w:val="sr-Cyrl-CS"/>
              </w:rPr>
              <w:t>5.56%</w:t>
            </w:r>
          </w:p>
        </w:tc>
      </w:tr>
      <w:tr w:rsidR="006879D2" w:rsidRPr="00D81708" w:rsidTr="00CF3479">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79D2" w:rsidRPr="00D81708" w:rsidRDefault="006879D2" w:rsidP="00CF3479">
            <w:pPr>
              <w:pStyle w:val="BodyText"/>
              <w:spacing w:before="120" w:after="120"/>
              <w:rPr>
                <w:sz w:val="22"/>
                <w:szCs w:val="22"/>
                <w:lang w:val="sr-Cyrl-CS"/>
              </w:rPr>
            </w:pPr>
            <w:r w:rsidRPr="00D81708">
              <w:rPr>
                <w:sz w:val="22"/>
                <w:szCs w:val="22"/>
                <w:lang w:val="sr-Cyrl-CS"/>
              </w:rPr>
              <w:t>On November 15, 2031</w:t>
            </w:r>
          </w:p>
        </w:tc>
        <w:tc>
          <w:tcPr>
            <w:tcW w:w="2500" w:type="pct"/>
            <w:tcBorders>
              <w:top w:val="nil"/>
              <w:left w:val="nil"/>
              <w:bottom w:val="single" w:sz="8" w:space="0" w:color="auto"/>
              <w:right w:val="single" w:sz="8" w:space="0" w:color="auto"/>
            </w:tcBorders>
            <w:tcMar>
              <w:top w:w="0" w:type="dxa"/>
              <w:left w:w="108" w:type="dxa"/>
              <w:bottom w:w="0" w:type="dxa"/>
              <w:right w:w="108" w:type="dxa"/>
            </w:tcMar>
            <w:hideMark/>
          </w:tcPr>
          <w:p w:rsidR="006879D2" w:rsidRPr="00D81708" w:rsidRDefault="006879D2" w:rsidP="00CF3479">
            <w:pPr>
              <w:pStyle w:val="BodyText"/>
              <w:spacing w:before="120" w:after="120"/>
              <w:jc w:val="center"/>
              <w:rPr>
                <w:sz w:val="22"/>
                <w:szCs w:val="22"/>
                <w:lang w:val="sr-Cyrl-CS"/>
              </w:rPr>
            </w:pPr>
            <w:r w:rsidRPr="00D81708">
              <w:rPr>
                <w:sz w:val="22"/>
                <w:szCs w:val="22"/>
                <w:lang w:val="sr-Cyrl-CS"/>
              </w:rPr>
              <w:t>5.48%</w:t>
            </w:r>
          </w:p>
        </w:tc>
      </w:tr>
    </w:tbl>
    <w:p w:rsidR="006879D2" w:rsidRPr="00D81708" w:rsidRDefault="006879D2" w:rsidP="006879D2">
      <w:pPr>
        <w:pStyle w:val="BodyText"/>
        <w:ind w:left="720"/>
        <w:rPr>
          <w:sz w:val="22"/>
          <w:szCs w:val="22"/>
          <w:lang w:val="sr-Cyrl-CS"/>
        </w:rPr>
      </w:pPr>
    </w:p>
    <w:p w:rsidR="006879D2" w:rsidRPr="00D81708" w:rsidRDefault="006879D2" w:rsidP="006879D2">
      <w:pPr>
        <w:pStyle w:val="BodyText"/>
        <w:ind w:left="720" w:hanging="720"/>
        <w:jc w:val="center"/>
        <w:rPr>
          <w:b/>
          <w:bCs/>
          <w:sz w:val="22"/>
          <w:szCs w:val="22"/>
          <w:lang w:val="sr-Cyrl-CS"/>
        </w:rPr>
      </w:pPr>
      <w:r w:rsidRPr="00D81708">
        <w:rPr>
          <w:sz w:val="22"/>
          <w:szCs w:val="22"/>
          <w:lang w:val="sr-Cyrl-CS"/>
        </w:rPr>
        <w:br w:type="page"/>
      </w:r>
      <w:r w:rsidRPr="00D81708">
        <w:rPr>
          <w:b/>
          <w:bCs/>
          <w:sz w:val="22"/>
          <w:szCs w:val="22"/>
          <w:lang w:val="sr-Cyrl-CS"/>
        </w:rPr>
        <w:lastRenderedPageBreak/>
        <w:t>APPENDIX</w:t>
      </w:r>
    </w:p>
    <w:p w:rsidR="006879D2" w:rsidRPr="00D81708" w:rsidRDefault="006879D2" w:rsidP="006879D2">
      <w:pPr>
        <w:pStyle w:val="BodyText"/>
        <w:ind w:left="720" w:hanging="720"/>
        <w:rPr>
          <w:b/>
          <w:bCs/>
          <w:sz w:val="22"/>
          <w:szCs w:val="22"/>
          <w:lang w:val="sr-Cyrl-CS"/>
        </w:rPr>
      </w:pPr>
    </w:p>
    <w:p w:rsidR="006879D2" w:rsidRPr="00D81708" w:rsidRDefault="006879D2" w:rsidP="006879D2">
      <w:pPr>
        <w:pStyle w:val="BodyText"/>
        <w:ind w:left="720" w:hanging="720"/>
        <w:rPr>
          <w:b/>
          <w:bCs/>
          <w:sz w:val="22"/>
          <w:szCs w:val="22"/>
          <w:lang w:val="sr-Cyrl-CS"/>
        </w:rPr>
      </w:pPr>
      <w:r w:rsidRPr="00D81708">
        <w:rPr>
          <w:b/>
          <w:bCs/>
          <w:sz w:val="22"/>
          <w:szCs w:val="22"/>
          <w:u w:val="single"/>
          <w:lang w:val="sr-Cyrl-CS"/>
        </w:rPr>
        <w:t>Definitions</w:t>
      </w:r>
    </w:p>
    <w:p w:rsidR="006879D2" w:rsidRPr="00D81708" w:rsidRDefault="006879D2" w:rsidP="006879D2">
      <w:pPr>
        <w:pStyle w:val="BodyText"/>
        <w:ind w:left="720" w:hanging="720"/>
        <w:rPr>
          <w:b/>
          <w:bCs/>
          <w:sz w:val="22"/>
          <w:szCs w:val="22"/>
          <w:lang w:val="sr-Cyrl-CS"/>
        </w:rPr>
      </w:pPr>
    </w:p>
    <w:p w:rsidR="006879D2" w:rsidRPr="00D81708" w:rsidRDefault="006879D2" w:rsidP="006879D2">
      <w:pPr>
        <w:pStyle w:val="ModelNrmlDouble"/>
        <w:numPr>
          <w:ilvl w:val="0"/>
          <w:numId w:val="5"/>
        </w:numPr>
        <w:tabs>
          <w:tab w:val="clear" w:pos="1080"/>
        </w:tabs>
        <w:spacing w:after="240" w:line="240" w:lineRule="auto"/>
        <w:ind w:left="720" w:hanging="720"/>
        <w:rPr>
          <w:szCs w:val="22"/>
          <w:lang w:val="sr-Cyrl-CS"/>
        </w:rPr>
      </w:pPr>
      <w:r w:rsidRPr="00D81708">
        <w:rPr>
          <w:szCs w:val="22"/>
          <w:lang w:val="sr-Cyrl-CS"/>
        </w:rPr>
        <w:t>“Anti-Corruption Guidelines” means, for purposes of paragraph 5 of the Appendix to the General Conditions, the “Guidelines on Preventing and Combating Fraud and Corruption in Projects Financed by IBRD Loans and IDA Credits and Grants”, dated October 15, 2006 and revised in January 2011 and as of July 1, 2016.</w:t>
      </w:r>
    </w:p>
    <w:p w:rsidR="006879D2" w:rsidRPr="00D81708" w:rsidRDefault="006879D2" w:rsidP="006879D2">
      <w:pPr>
        <w:pStyle w:val="ModelNrmlDouble"/>
        <w:numPr>
          <w:ilvl w:val="0"/>
          <w:numId w:val="5"/>
        </w:numPr>
        <w:tabs>
          <w:tab w:val="clear" w:pos="1080"/>
        </w:tabs>
        <w:spacing w:after="240" w:line="240" w:lineRule="auto"/>
        <w:ind w:left="720" w:hanging="720"/>
        <w:rPr>
          <w:szCs w:val="22"/>
          <w:lang w:val="sr-Cyrl-CS"/>
        </w:rPr>
      </w:pPr>
      <w:r w:rsidRPr="00D81708">
        <w:rPr>
          <w:szCs w:val="22"/>
          <w:lang w:val="sr-Cyrl-CS"/>
        </w:rPr>
        <w:t>“Category” means a category set forth in the table in Section III.A of Schedule 2 to this Agreement.</w:t>
      </w:r>
    </w:p>
    <w:p w:rsidR="006879D2" w:rsidRPr="00D81708" w:rsidRDefault="006879D2" w:rsidP="006879D2">
      <w:pPr>
        <w:pStyle w:val="ModelNrmlDouble"/>
        <w:numPr>
          <w:ilvl w:val="0"/>
          <w:numId w:val="5"/>
        </w:numPr>
        <w:tabs>
          <w:tab w:val="clear" w:pos="1080"/>
        </w:tabs>
        <w:spacing w:after="240" w:line="240" w:lineRule="auto"/>
        <w:ind w:left="720" w:hanging="720"/>
        <w:rPr>
          <w:szCs w:val="22"/>
          <w:lang w:val="sr-Cyrl-CS"/>
        </w:rPr>
      </w:pPr>
      <w:r w:rsidRPr="00D81708">
        <w:rPr>
          <w:szCs w:val="22"/>
          <w:lang w:val="sr-Cyrl-CS"/>
        </w:rPr>
        <w:t>“DAP” means the Directorate for Agrarian Payments within MAFWM, established pursuant to the Borrower’s Law on Agriculture and Rural Development (</w:t>
      </w:r>
      <w:r w:rsidRPr="00D81708">
        <w:rPr>
          <w:lang w:val="sr-Cyrl-CS"/>
        </w:rPr>
        <w:t>Official Gazette RS No. 41/2009, 10/2013 and 101/2016),</w:t>
      </w:r>
      <w:r w:rsidRPr="00D81708">
        <w:rPr>
          <w:szCs w:val="22"/>
          <w:lang w:val="sr-Cyrl-CS"/>
        </w:rPr>
        <w:t xml:space="preserve"> or its successor thereto.</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bookmarkStart w:id="10" w:name="_Hlk530397957"/>
      <w:r w:rsidRPr="00D81708">
        <w:rPr>
          <w:sz w:val="22"/>
          <w:szCs w:val="22"/>
          <w:lang w:val="sr-Cyrl-CS"/>
        </w:rPr>
        <w:t>“Environmental and Social Commitment Plan” or the acronym “ESCP” means the Borrower’s environmental and social commitment plan, acceptable to the Bank, dated October 29, 2019, which sets out a summary of the material measures and actions to address the potential environmental and social risks and impacts of the Project, including the timing of the actions and measures, institutional, staffing, training, monitoring and reporting arrangements, and any instruments to be prepared thereunder; as the ESCP may be revised from time to time, with prior written agreement of the Bank, and such term includes any annexes or schedules to such plan.</w:t>
      </w:r>
    </w:p>
    <w:p w:rsidR="006879D2" w:rsidRPr="00ED537C" w:rsidRDefault="006879D2" w:rsidP="006879D2">
      <w:pPr>
        <w:pStyle w:val="BodyText"/>
        <w:numPr>
          <w:ilvl w:val="0"/>
          <w:numId w:val="5"/>
        </w:numPr>
        <w:tabs>
          <w:tab w:val="clear" w:pos="1080"/>
        </w:tabs>
        <w:spacing w:after="240"/>
        <w:ind w:left="720" w:hanging="720"/>
        <w:rPr>
          <w:sz w:val="22"/>
          <w:szCs w:val="22"/>
          <w:lang w:val="sr-Cyrl-CS"/>
        </w:rPr>
      </w:pPr>
      <w:bookmarkStart w:id="11" w:name="_Hlk22283269"/>
      <w:r w:rsidRPr="00D81708">
        <w:rPr>
          <w:sz w:val="22"/>
          <w:szCs w:val="22"/>
          <w:lang w:val="sr-Cyrl-CS"/>
        </w:rPr>
        <w:t xml:space="preserve">“Environmental and Social Standards” means, collectively: (i) “Environmental and Social Standard 1: Assessment and Management of Environmental and Social Risks and Impacts”; (ii) “Environmental and Social Standard 2: Labor and Working Conditions”; (iii) “Environmental and Social Standard 3: Resource Efficiency and Pollution Prevention and Management”; (iv) “Environmental and Social Standard 4: Community Health and Safety”; (v) “Environmental and Social Standard 5: Land Acquisition, Restrictions on Land Use and Involuntary Resettlement”; (vi) “Environmental and Social Standard 6: Biodiversity Conservation and Sustainable Management of Living Natural Resources”; (vii) “Environmental and Social Standard 7: Indigenous Peoples/Sub-Saharan Historically Underserved Traditional Local Communities”; (viii) “Environmental and Social Standard 8: Cultural Heritage”; (ix) “Environmental and Social Standard 9: Financial Intermediaries”; (x) “Environmental and Social Standard 10: Stakeholder Engagement and Information Disclosure”; effective on October 1, 2018, as published by the Bank at </w:t>
      </w:r>
      <w:hyperlink r:id="rId16" w:history="1">
        <w:r w:rsidRPr="00D81708">
          <w:rPr>
            <w:rStyle w:val="Hyperlink"/>
            <w:lang w:val="sr-Cyrl-CS"/>
          </w:rPr>
          <w:t>https://www.worldbank.org/en/projects-operations/environmental-and-social-framework</w:t>
        </w:r>
      </w:hyperlink>
      <w:r w:rsidRPr="00D81708">
        <w:rPr>
          <w:sz w:val="22"/>
          <w:szCs w:val="22"/>
          <w:lang w:val="sr-Cyrl-CS"/>
        </w:rPr>
        <w:t>.</w:t>
      </w:r>
      <w:bookmarkEnd w:id="11"/>
    </w:p>
    <w:p w:rsidR="00ED537C" w:rsidRDefault="00ED537C" w:rsidP="00ED537C">
      <w:pPr>
        <w:pStyle w:val="BodyText"/>
        <w:spacing w:after="240"/>
        <w:rPr>
          <w:sz w:val="22"/>
          <w:szCs w:val="22"/>
        </w:rPr>
      </w:pPr>
    </w:p>
    <w:p w:rsidR="00ED537C" w:rsidRPr="00D81708" w:rsidRDefault="00ED537C" w:rsidP="00ED537C">
      <w:pPr>
        <w:pStyle w:val="BodyText"/>
        <w:spacing w:after="240"/>
        <w:rPr>
          <w:sz w:val="22"/>
          <w:szCs w:val="22"/>
          <w:lang w:val="sr-Cyrl-CS"/>
        </w:rPr>
      </w:pPr>
    </w:p>
    <w:bookmarkEnd w:id="10"/>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lastRenderedPageBreak/>
        <w:t>“General Conditions” means the “International Bank for Reconstruction and Development General Conditions for IBRD Financing, Investment Project Financing”, dated December 14, 2018.</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“Grant Agreement” means MAFWM’s funding decision (</w:t>
      </w:r>
      <w:r w:rsidRPr="00D81708">
        <w:rPr>
          <w:i/>
          <w:sz w:val="22"/>
          <w:szCs w:val="22"/>
          <w:lang w:val="sr-Cyrl-CS"/>
        </w:rPr>
        <w:t>Resenje</w:t>
      </w:r>
      <w:r w:rsidRPr="00D81708">
        <w:rPr>
          <w:sz w:val="22"/>
          <w:szCs w:val="22"/>
          <w:lang w:val="sr-Cyrl-CS"/>
        </w:rPr>
        <w:t>), referred to in Section I.C.2 of Schedule 2 to the Loan Agreement.</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“Grant Operational Manual” or “GOM” means the manual referred to in Section I.B.1(d) of Schedule 2 to the Loan Agreement.</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“MAFWM” means the Borrower’s Ministry of Agriculture, Forestry and Water Management, or any successor thereto.</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“Matching Grant” means a grant to be awarded to a Targeted Beneficiary for the partial financing of a Sub-project.</w:t>
      </w:r>
    </w:p>
    <w:p w:rsidR="006879D2" w:rsidRPr="00D81708" w:rsidRDefault="006879D2" w:rsidP="006879D2">
      <w:pPr>
        <w:pStyle w:val="ModelNrmlDouble"/>
        <w:numPr>
          <w:ilvl w:val="0"/>
          <w:numId w:val="5"/>
        </w:numPr>
        <w:tabs>
          <w:tab w:val="clear" w:pos="1080"/>
          <w:tab w:val="num" w:pos="720"/>
        </w:tabs>
        <w:spacing w:after="240" w:line="240" w:lineRule="auto"/>
        <w:ind w:left="720" w:hanging="720"/>
        <w:rPr>
          <w:szCs w:val="22"/>
          <w:lang w:val="sr-Cyrl-CS"/>
        </w:rPr>
      </w:pPr>
      <w:r w:rsidRPr="00D81708">
        <w:rPr>
          <w:szCs w:val="22"/>
          <w:lang w:val="sr-Cyrl-CS"/>
        </w:rPr>
        <w:t xml:space="preserve">“Operating Costs” means the reasonable and incremental expenditures incurred by MAFWM, DAP and CFU, on account of the Project implementation, including, </w:t>
      </w:r>
      <w:r w:rsidRPr="00D81708">
        <w:rPr>
          <w:i/>
          <w:szCs w:val="22"/>
          <w:lang w:val="sr-Cyrl-CS"/>
        </w:rPr>
        <w:t>inter alia,</w:t>
      </w:r>
      <w:r w:rsidRPr="00D81708">
        <w:rPr>
          <w:szCs w:val="22"/>
          <w:lang w:val="sr-Cyrl-CS"/>
        </w:rPr>
        <w:t xml:space="preserve"> expenditures for office supplies and other consumables, utilities, communication tools, advertisement fees, translation and interpretation services, car rental and fuel costs, office rental and maintenance, moving expenses, equipment insurance, maintenance and repair, printing and publications, salaries, travel per diem allowances and accommodation costs for MAFWM, DAP and CFU staff, including taxes and social contributions but excluding salaries for the Borrower's civil servants.</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“PMT” means the Project management team referred to in Section I.A.1(a) of Schedule 2 to the Loan Agreement.</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“Procurement Regulations” means, for purposes of paragraph 85 of the Appendix to the General Conditions, the “World Bank Procurement Regulations for IPF Borrowers”, dated July 2016, revised November 2017 and August 2018.</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“Producer Groups” means cooperative and farmer associations, legally constituted in accordance to the Borrower’s applicable legal framework.</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“Project Operational Manual” or “POM” means the manual referred to in Section I.B.1 of Schedule 2 to the Loan Agreement.</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“Signature Date” means the later of the two dates on which the Borrower and the Bank signed this Agreement and such definition applies to all references to “the date of the Loan Agreement” in the General Conditions.</w:t>
      </w:r>
    </w:p>
    <w:p w:rsidR="006879D2" w:rsidRPr="00ED537C"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“SMEs” means small and medium enterprises.</w:t>
      </w:r>
    </w:p>
    <w:p w:rsidR="00ED537C" w:rsidRDefault="00ED537C" w:rsidP="00ED537C">
      <w:pPr>
        <w:pStyle w:val="BodyText"/>
        <w:spacing w:after="240"/>
        <w:rPr>
          <w:sz w:val="22"/>
          <w:szCs w:val="22"/>
        </w:rPr>
      </w:pPr>
    </w:p>
    <w:p w:rsidR="00ED537C" w:rsidRDefault="00ED537C" w:rsidP="00ED537C">
      <w:pPr>
        <w:pStyle w:val="BodyText"/>
        <w:spacing w:after="240"/>
        <w:rPr>
          <w:sz w:val="22"/>
          <w:szCs w:val="22"/>
        </w:rPr>
      </w:pPr>
    </w:p>
    <w:p w:rsidR="00ED537C" w:rsidRPr="00D81708" w:rsidRDefault="00ED537C" w:rsidP="00ED537C">
      <w:pPr>
        <w:pStyle w:val="BodyText"/>
        <w:spacing w:after="240"/>
        <w:rPr>
          <w:sz w:val="22"/>
          <w:szCs w:val="22"/>
          <w:lang w:val="sr-Cyrl-CS"/>
        </w:rPr>
      </w:pP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lastRenderedPageBreak/>
        <w:t>“Steering Committee” means the committee referred to in Section I.A.2 of Schedule 2 to the Loan Agreement.</w:t>
      </w:r>
    </w:p>
    <w:p w:rsidR="006879D2" w:rsidRPr="00D81708" w:rsidRDefault="006879D2" w:rsidP="006879D2">
      <w:pPr>
        <w:pStyle w:val="BodyText"/>
        <w:numPr>
          <w:ilvl w:val="0"/>
          <w:numId w:val="5"/>
        </w:numPr>
        <w:tabs>
          <w:tab w:val="clear" w:pos="1080"/>
        </w:tabs>
        <w:spacing w:after="240"/>
        <w:ind w:left="720" w:hanging="720"/>
        <w:rPr>
          <w:sz w:val="22"/>
          <w:szCs w:val="22"/>
          <w:lang w:val="sr-Cyrl-CS"/>
        </w:rPr>
      </w:pPr>
      <w:r w:rsidRPr="00D81708">
        <w:rPr>
          <w:sz w:val="22"/>
          <w:szCs w:val="22"/>
          <w:lang w:val="sr-Cyrl-CS"/>
        </w:rPr>
        <w:t>“Sub-project” means any of the productive investments referred to in Part 1.2 (a) of the Project.</w:t>
      </w:r>
    </w:p>
    <w:p w:rsidR="006879D2" w:rsidRPr="00D81708" w:rsidRDefault="006879D2" w:rsidP="006879D2">
      <w:pPr>
        <w:pStyle w:val="ModelNrmlDouble"/>
        <w:numPr>
          <w:ilvl w:val="0"/>
          <w:numId w:val="5"/>
        </w:numPr>
        <w:tabs>
          <w:tab w:val="clear" w:pos="1080"/>
        </w:tabs>
        <w:spacing w:after="240" w:line="240" w:lineRule="auto"/>
        <w:ind w:left="720" w:hanging="720"/>
        <w:rPr>
          <w:szCs w:val="22"/>
          <w:lang w:val="sr-Cyrl-CS"/>
        </w:rPr>
      </w:pPr>
      <w:r w:rsidRPr="00D81708">
        <w:rPr>
          <w:szCs w:val="22"/>
          <w:lang w:val="sr-Cyrl-CS"/>
        </w:rPr>
        <w:t xml:space="preserve">“Targeted Beneficiary” means the Borrower’s </w:t>
      </w:r>
      <w:r w:rsidRPr="00D81708">
        <w:rPr>
          <w:lang w:val="sr-Cyrl-CS"/>
        </w:rPr>
        <w:t>small and medium size agricultural producers, Producer Groups and SMEs, which meet the eligibility criteria set forth in the POM and GOM to receive support under the Project; and “Targeted Beneficiaries” means more than one Targeted Beneficiary.</w:t>
      </w:r>
    </w:p>
    <w:p w:rsidR="006879D2" w:rsidRPr="00D81708" w:rsidRDefault="006879D2" w:rsidP="006879D2">
      <w:pPr>
        <w:pStyle w:val="ModelNrmlDouble"/>
        <w:numPr>
          <w:ilvl w:val="0"/>
          <w:numId w:val="5"/>
        </w:numPr>
        <w:tabs>
          <w:tab w:val="clear" w:pos="1080"/>
          <w:tab w:val="num" w:pos="720"/>
        </w:tabs>
        <w:spacing w:after="240" w:line="240" w:lineRule="auto"/>
        <w:ind w:left="720" w:hanging="720"/>
        <w:rPr>
          <w:szCs w:val="22"/>
          <w:lang w:val="sr-Cyrl-CS"/>
        </w:rPr>
      </w:pPr>
      <w:r w:rsidRPr="00D81708">
        <w:rPr>
          <w:szCs w:val="22"/>
          <w:lang w:val="sr-Cyrl-CS"/>
        </w:rPr>
        <w:t>“Training” means the reasonable costs, as shall have been approved by the Bank, for training and workshops conducted under the Project, including tuition, travel and subsistence costs for training and workshop participants, costs associated with securing the services of trainers and workshop speakers, rental of training and workshop facilities, preparation and reproduction of training and workshop materials, and other costs directly related to training course and workshop preparation and implementation (but excluding goods and consultants’ services).</w:t>
      </w:r>
    </w:p>
    <w:p w:rsidR="00102021" w:rsidRPr="00D81708" w:rsidRDefault="00102021" w:rsidP="006879D2">
      <w:pPr>
        <w:pStyle w:val="BodyText"/>
        <w:jc w:val="center"/>
        <w:rPr>
          <w:bCs/>
          <w:sz w:val="22"/>
          <w:szCs w:val="22"/>
          <w:lang w:val="sr-Cyrl-CS"/>
        </w:rPr>
      </w:pPr>
    </w:p>
    <w:sectPr w:rsidR="00102021" w:rsidRPr="00D81708" w:rsidSect="006A5DA8">
      <w:headerReference w:type="default" r:id="rId17"/>
      <w:headerReference w:type="first" r:id="rId18"/>
      <w:pgSz w:w="12240" w:h="15840"/>
      <w:pgMar w:top="709" w:right="2160" w:bottom="2160" w:left="216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B29" w:rsidRDefault="003B4B29">
      <w:r>
        <w:separator/>
      </w:r>
    </w:p>
  </w:endnote>
  <w:endnote w:type="continuationSeparator" w:id="0">
    <w:p w:rsidR="003B4B29" w:rsidRDefault="003B4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577189"/>
      <w:docPartObj>
        <w:docPartGallery w:val="Page Numbers (Bottom of Page)"/>
        <w:docPartUnique/>
      </w:docPartObj>
    </w:sdtPr>
    <w:sdtEndPr>
      <w:rPr>
        <w:noProof/>
      </w:rPr>
    </w:sdtEndPr>
    <w:sdtContent>
      <w:p w:rsidR="00130606" w:rsidRDefault="00130606">
        <w:pPr>
          <w:pStyle w:val="Footer"/>
          <w:jc w:val="center"/>
        </w:pPr>
        <w:r>
          <w:fldChar w:fldCharType="begin"/>
        </w:r>
        <w:r>
          <w:instrText xml:space="preserve"> PAGE   \* MERGEFORMAT </w:instrText>
        </w:r>
        <w:r>
          <w:fldChar w:fldCharType="separate"/>
        </w:r>
        <w:r w:rsidR="00E9737A">
          <w:rPr>
            <w:noProof/>
          </w:rPr>
          <w:t>16</w:t>
        </w:r>
        <w:r>
          <w:rPr>
            <w:noProof/>
          </w:rPr>
          <w:fldChar w:fldCharType="end"/>
        </w:r>
      </w:p>
    </w:sdtContent>
  </w:sdt>
  <w:p w:rsidR="00130606" w:rsidRDefault="00130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B29" w:rsidRDefault="003B4B29">
      <w:r>
        <w:separator/>
      </w:r>
    </w:p>
  </w:footnote>
  <w:footnote w:type="continuationSeparator" w:id="0">
    <w:p w:rsidR="003B4B29" w:rsidRDefault="003B4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7CD" w:rsidRDefault="008D57CD" w:rsidP="004B4F72">
    <w:pPr>
      <w:pStyle w:val="Header"/>
      <w:spacing w:line="240" w:lineRule="auto"/>
    </w:pPr>
  </w:p>
  <w:p w:rsidR="008D57CD" w:rsidRPr="00522CB3" w:rsidRDefault="008D57CD" w:rsidP="004B4F72">
    <w:pPr>
      <w:pStyle w:val="Header"/>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4E6" w:rsidRPr="00562E0E" w:rsidRDefault="00E604E6">
    <w:pPr>
      <w:pStyle w:val="Header"/>
      <w:spacing w:line="240" w:lineRule="auto"/>
      <w:rPr>
        <w:b/>
        <w:sz w:val="18"/>
        <w:szCs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099855"/>
      <w:docPartObj>
        <w:docPartGallery w:val="Page Numbers (Top of Page)"/>
        <w:docPartUnique/>
      </w:docPartObj>
    </w:sdtPr>
    <w:sdtEndPr>
      <w:rPr>
        <w:noProof/>
      </w:rPr>
    </w:sdtEndPr>
    <w:sdtContent>
      <w:p w:rsidR="00E604E6" w:rsidRDefault="00E604E6">
        <w:pPr>
          <w:pStyle w:val="Header"/>
          <w:jc w:val="center"/>
          <w:rPr>
            <w:noProof/>
          </w:rPr>
        </w:pPr>
      </w:p>
      <w:p w:rsidR="00E604E6" w:rsidRDefault="003B4B29" w:rsidP="00981102">
        <w:pPr>
          <w:pStyle w:val="Header"/>
          <w:rPr>
            <w:b/>
            <w:bCs/>
            <w:u w:val="single"/>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D20C67"/>
    <w:multiLevelType w:val="hybridMultilevel"/>
    <w:tmpl w:val="D752012A"/>
    <w:lvl w:ilvl="0" w:tplc="EC9231D4">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963D6F"/>
    <w:multiLevelType w:val="hybridMultilevel"/>
    <w:tmpl w:val="7360BE90"/>
    <w:lvl w:ilvl="0" w:tplc="3F260EC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F266A2E"/>
    <w:multiLevelType w:val="hybridMultilevel"/>
    <w:tmpl w:val="ADB6A510"/>
    <w:lvl w:ilvl="0" w:tplc="8F96CFC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262C7E"/>
    <w:multiLevelType w:val="hybridMultilevel"/>
    <w:tmpl w:val="7CE292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E113E0"/>
    <w:multiLevelType w:val="hybridMultilevel"/>
    <w:tmpl w:val="568CAEC4"/>
    <w:lvl w:ilvl="0" w:tplc="1398EF7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F4B3311"/>
    <w:multiLevelType w:val="hybridMultilevel"/>
    <w:tmpl w:val="D84A45C8"/>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1FE3104E"/>
    <w:multiLevelType w:val="hybridMultilevel"/>
    <w:tmpl w:val="563CD4B4"/>
    <w:lvl w:ilvl="0" w:tplc="12B64D12">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9011F"/>
    <w:multiLevelType w:val="hybridMultilevel"/>
    <w:tmpl w:val="75108956"/>
    <w:lvl w:ilvl="0" w:tplc="3112F03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E72E67"/>
    <w:multiLevelType w:val="hybridMultilevel"/>
    <w:tmpl w:val="B3E29D74"/>
    <w:lvl w:ilvl="0" w:tplc="52723230">
      <w:start w:val="1"/>
      <w:numFmt w:val="lowerLetter"/>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6DB345B"/>
    <w:multiLevelType w:val="hybridMultilevel"/>
    <w:tmpl w:val="828CADFC"/>
    <w:lvl w:ilvl="0" w:tplc="9CD6507E">
      <w:start w:val="1"/>
      <w:numFmt w:val="lowerRoman"/>
      <w:lvlText w:val="(%1)"/>
      <w:lvlJc w:val="left"/>
      <w:pPr>
        <w:ind w:left="138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AA3FA4"/>
    <w:multiLevelType w:val="hybridMultilevel"/>
    <w:tmpl w:val="E4541202"/>
    <w:lvl w:ilvl="0" w:tplc="39AE383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A33724A"/>
    <w:multiLevelType w:val="hybridMultilevel"/>
    <w:tmpl w:val="B6740676"/>
    <w:lvl w:ilvl="0" w:tplc="1EE809D6">
      <w:start w:val="1"/>
      <w:numFmt w:val="lowerRoman"/>
      <w:lvlText w:val="(%1)"/>
      <w:lvlJc w:val="left"/>
      <w:pPr>
        <w:ind w:left="2385" w:hanging="94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8"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4E1955E9"/>
    <w:multiLevelType w:val="hybridMultilevel"/>
    <w:tmpl w:val="AC40C5FE"/>
    <w:lvl w:ilvl="0" w:tplc="71F08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70537E"/>
    <w:multiLevelType w:val="hybridMultilevel"/>
    <w:tmpl w:val="42E0EA7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52ED23FF"/>
    <w:multiLevelType w:val="hybridMultilevel"/>
    <w:tmpl w:val="65D65650"/>
    <w:lvl w:ilvl="0" w:tplc="FC866D90">
      <w:start w:val="2"/>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60525A"/>
    <w:multiLevelType w:val="hybridMultilevel"/>
    <w:tmpl w:val="5B3EED52"/>
    <w:lvl w:ilvl="0" w:tplc="778CAAD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CA4B2C"/>
    <w:multiLevelType w:val="hybridMultilevel"/>
    <w:tmpl w:val="8900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9B31F31"/>
    <w:multiLevelType w:val="hybridMultilevel"/>
    <w:tmpl w:val="7FF082C8"/>
    <w:lvl w:ilvl="0" w:tplc="BD98178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5" w15:restartNumberingAfterBreak="0">
    <w:nsid w:val="79BE530E"/>
    <w:multiLevelType w:val="hybridMultilevel"/>
    <w:tmpl w:val="79E822E8"/>
    <w:lvl w:ilvl="0" w:tplc="DE3C67B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9"/>
  </w:num>
  <w:num w:numId="2">
    <w:abstractNumId w:val="25"/>
  </w:num>
  <w:num w:numId="3">
    <w:abstractNumId w:val="33"/>
  </w:num>
  <w:num w:numId="4">
    <w:abstractNumId w:val="28"/>
  </w:num>
  <w:num w:numId="5">
    <w:abstractNumId w:val="23"/>
  </w:num>
  <w:num w:numId="6">
    <w:abstractNumId w:val="24"/>
  </w:num>
  <w:num w:numId="7">
    <w:abstractNumId w:val="27"/>
  </w:num>
  <w:num w:numId="8">
    <w:abstractNumId w:val="30"/>
  </w:num>
  <w:num w:numId="9">
    <w:abstractNumId w:val="0"/>
  </w:num>
  <w:num w:numId="10">
    <w:abstractNumId w:val="18"/>
  </w:num>
  <w:num w:numId="11">
    <w:abstractNumId w:val="37"/>
  </w:num>
  <w:num w:numId="12">
    <w:abstractNumId w:val="9"/>
  </w:num>
  <w:num w:numId="13">
    <w:abstractNumId w:val="38"/>
  </w:num>
  <w:num w:numId="14">
    <w:abstractNumId w:val="3"/>
  </w:num>
  <w:num w:numId="15">
    <w:abstractNumId w:val="26"/>
  </w:num>
  <w:num w:numId="16">
    <w:abstractNumId w:val="1"/>
  </w:num>
  <w:num w:numId="17">
    <w:abstractNumId w:val="4"/>
  </w:num>
  <w:num w:numId="18">
    <w:abstractNumId w:val="13"/>
  </w:num>
  <w:num w:numId="19">
    <w:abstractNumId w:val="44"/>
  </w:num>
  <w:num w:numId="20">
    <w:abstractNumId w:val="17"/>
  </w:num>
  <w:num w:numId="21">
    <w:abstractNumId w:val="22"/>
  </w:num>
  <w:num w:numId="22">
    <w:abstractNumId w:val="16"/>
  </w:num>
  <w:num w:numId="23">
    <w:abstractNumId w:val="34"/>
  </w:num>
  <w:num w:numId="24">
    <w:abstractNumId w:val="8"/>
  </w:num>
  <w:num w:numId="25">
    <w:abstractNumId w:val="41"/>
  </w:num>
  <w:num w:numId="26">
    <w:abstractNumId w:val="15"/>
  </w:num>
  <w:num w:numId="27">
    <w:abstractNumId w:val="35"/>
  </w:num>
  <w:num w:numId="28">
    <w:abstractNumId w:val="6"/>
  </w:num>
  <w:num w:numId="29">
    <w:abstractNumId w:val="14"/>
  </w:num>
  <w:num w:numId="30">
    <w:abstractNumId w:val="40"/>
  </w:num>
  <w:num w:numId="31">
    <w:abstractNumId w:val="21"/>
  </w:num>
  <w:num w:numId="32">
    <w:abstractNumId w:val="10"/>
  </w:num>
  <w:num w:numId="33">
    <w:abstractNumId w:val="43"/>
  </w:num>
  <w:num w:numId="34">
    <w:abstractNumId w:val="20"/>
  </w:num>
  <w:num w:numId="35">
    <w:abstractNumId w:val="5"/>
  </w:num>
  <w:num w:numId="36">
    <w:abstractNumId w:val="19"/>
  </w:num>
  <w:num w:numId="37">
    <w:abstractNumId w:val="12"/>
  </w:num>
  <w:num w:numId="38">
    <w:abstractNumId w:val="32"/>
  </w:num>
  <w:num w:numId="39">
    <w:abstractNumId w:val="7"/>
  </w:num>
  <w:num w:numId="40">
    <w:abstractNumId w:val="36"/>
  </w:num>
  <w:num w:numId="41">
    <w:abstractNumId w:val="29"/>
  </w:num>
  <w:num w:numId="42">
    <w:abstractNumId w:val="42"/>
  </w:num>
  <w:num w:numId="43">
    <w:abstractNumId w:val="2"/>
  </w:num>
  <w:num w:numId="44">
    <w:abstractNumId w:val="45"/>
  </w:num>
  <w:num w:numId="45">
    <w:abstractNumId w:val="31"/>
  </w:num>
  <w:num w:numId="46">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735A"/>
    <w:rsid w:val="000079E5"/>
    <w:rsid w:val="00007FA3"/>
    <w:rsid w:val="0001285C"/>
    <w:rsid w:val="00017FEB"/>
    <w:rsid w:val="00020971"/>
    <w:rsid w:val="00022181"/>
    <w:rsid w:val="000224FA"/>
    <w:rsid w:val="0002409A"/>
    <w:rsid w:val="00025B43"/>
    <w:rsid w:val="0002606D"/>
    <w:rsid w:val="00032A74"/>
    <w:rsid w:val="00032F1E"/>
    <w:rsid w:val="000348C4"/>
    <w:rsid w:val="000364BD"/>
    <w:rsid w:val="00037847"/>
    <w:rsid w:val="0004008B"/>
    <w:rsid w:val="00042F67"/>
    <w:rsid w:val="00051883"/>
    <w:rsid w:val="00053842"/>
    <w:rsid w:val="00056F33"/>
    <w:rsid w:val="000571DD"/>
    <w:rsid w:val="000578AB"/>
    <w:rsid w:val="000600CE"/>
    <w:rsid w:val="00063768"/>
    <w:rsid w:val="0006449D"/>
    <w:rsid w:val="0006460C"/>
    <w:rsid w:val="00064C89"/>
    <w:rsid w:val="00066501"/>
    <w:rsid w:val="00066E05"/>
    <w:rsid w:val="00071139"/>
    <w:rsid w:val="00073DA1"/>
    <w:rsid w:val="00081649"/>
    <w:rsid w:val="0008229B"/>
    <w:rsid w:val="00086AE8"/>
    <w:rsid w:val="00087B3D"/>
    <w:rsid w:val="00090BC7"/>
    <w:rsid w:val="00093818"/>
    <w:rsid w:val="00093DD7"/>
    <w:rsid w:val="000946A7"/>
    <w:rsid w:val="000978D3"/>
    <w:rsid w:val="000A0C1E"/>
    <w:rsid w:val="000A11DF"/>
    <w:rsid w:val="000A129F"/>
    <w:rsid w:val="000A35DA"/>
    <w:rsid w:val="000A3DAF"/>
    <w:rsid w:val="000A7620"/>
    <w:rsid w:val="000A76B8"/>
    <w:rsid w:val="000B0D27"/>
    <w:rsid w:val="000B12F5"/>
    <w:rsid w:val="000B14AE"/>
    <w:rsid w:val="000B4532"/>
    <w:rsid w:val="000B4649"/>
    <w:rsid w:val="000B4ADE"/>
    <w:rsid w:val="000B5449"/>
    <w:rsid w:val="000C2D37"/>
    <w:rsid w:val="000D14A6"/>
    <w:rsid w:val="000D48D7"/>
    <w:rsid w:val="000D5027"/>
    <w:rsid w:val="000D5441"/>
    <w:rsid w:val="000D7A40"/>
    <w:rsid w:val="000E4841"/>
    <w:rsid w:val="000E4E56"/>
    <w:rsid w:val="000E7072"/>
    <w:rsid w:val="000E749E"/>
    <w:rsid w:val="000E7FFE"/>
    <w:rsid w:val="000F1A7E"/>
    <w:rsid w:val="00100BFE"/>
    <w:rsid w:val="00102021"/>
    <w:rsid w:val="00102FB2"/>
    <w:rsid w:val="0010368D"/>
    <w:rsid w:val="00103762"/>
    <w:rsid w:val="00105E2A"/>
    <w:rsid w:val="00113948"/>
    <w:rsid w:val="00117C44"/>
    <w:rsid w:val="00122378"/>
    <w:rsid w:val="0012770D"/>
    <w:rsid w:val="001303F7"/>
    <w:rsid w:val="00130606"/>
    <w:rsid w:val="00133421"/>
    <w:rsid w:val="00135D57"/>
    <w:rsid w:val="00136189"/>
    <w:rsid w:val="00143A55"/>
    <w:rsid w:val="00144A34"/>
    <w:rsid w:val="00147191"/>
    <w:rsid w:val="001475E2"/>
    <w:rsid w:val="0015433F"/>
    <w:rsid w:val="001625B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A24D0"/>
    <w:rsid w:val="001A268E"/>
    <w:rsid w:val="001A3FA0"/>
    <w:rsid w:val="001A7726"/>
    <w:rsid w:val="001B3553"/>
    <w:rsid w:val="001B5C60"/>
    <w:rsid w:val="001C259E"/>
    <w:rsid w:val="001C3BB2"/>
    <w:rsid w:val="001D01DC"/>
    <w:rsid w:val="001D058F"/>
    <w:rsid w:val="001D3E70"/>
    <w:rsid w:val="001D7F85"/>
    <w:rsid w:val="001E1650"/>
    <w:rsid w:val="001E3C97"/>
    <w:rsid w:val="001F04B9"/>
    <w:rsid w:val="001F6351"/>
    <w:rsid w:val="001F784D"/>
    <w:rsid w:val="002014A8"/>
    <w:rsid w:val="0020628F"/>
    <w:rsid w:val="00211D91"/>
    <w:rsid w:val="0021552A"/>
    <w:rsid w:val="00217570"/>
    <w:rsid w:val="002175C3"/>
    <w:rsid w:val="002201BC"/>
    <w:rsid w:val="00220293"/>
    <w:rsid w:val="00221EFA"/>
    <w:rsid w:val="00222667"/>
    <w:rsid w:val="00224EDD"/>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75A7E"/>
    <w:rsid w:val="002815B7"/>
    <w:rsid w:val="00284922"/>
    <w:rsid w:val="00287D37"/>
    <w:rsid w:val="00293605"/>
    <w:rsid w:val="00293D20"/>
    <w:rsid w:val="00294825"/>
    <w:rsid w:val="00296236"/>
    <w:rsid w:val="00296914"/>
    <w:rsid w:val="00296DBE"/>
    <w:rsid w:val="002A1822"/>
    <w:rsid w:val="002A567C"/>
    <w:rsid w:val="002A5BCB"/>
    <w:rsid w:val="002A622D"/>
    <w:rsid w:val="002A6B79"/>
    <w:rsid w:val="002B0F31"/>
    <w:rsid w:val="002B13BD"/>
    <w:rsid w:val="002B2F5A"/>
    <w:rsid w:val="002B4CBE"/>
    <w:rsid w:val="002C20A5"/>
    <w:rsid w:val="002C2305"/>
    <w:rsid w:val="002C7206"/>
    <w:rsid w:val="002C7E93"/>
    <w:rsid w:val="002D1645"/>
    <w:rsid w:val="002D1F59"/>
    <w:rsid w:val="002D700F"/>
    <w:rsid w:val="002D796B"/>
    <w:rsid w:val="002E1481"/>
    <w:rsid w:val="002E5873"/>
    <w:rsid w:val="002E5DA4"/>
    <w:rsid w:val="002E7E1C"/>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57BB1"/>
    <w:rsid w:val="00360947"/>
    <w:rsid w:val="003628EB"/>
    <w:rsid w:val="00363426"/>
    <w:rsid w:val="00363AF2"/>
    <w:rsid w:val="00364E3F"/>
    <w:rsid w:val="00365193"/>
    <w:rsid w:val="00367817"/>
    <w:rsid w:val="00370EB2"/>
    <w:rsid w:val="0037186B"/>
    <w:rsid w:val="003732A1"/>
    <w:rsid w:val="00373609"/>
    <w:rsid w:val="003738C9"/>
    <w:rsid w:val="00375904"/>
    <w:rsid w:val="003803E6"/>
    <w:rsid w:val="003811A5"/>
    <w:rsid w:val="003848A0"/>
    <w:rsid w:val="003873DA"/>
    <w:rsid w:val="0038779F"/>
    <w:rsid w:val="00396644"/>
    <w:rsid w:val="003A0988"/>
    <w:rsid w:val="003A1983"/>
    <w:rsid w:val="003A38EC"/>
    <w:rsid w:val="003B02E8"/>
    <w:rsid w:val="003B1D0A"/>
    <w:rsid w:val="003B1D86"/>
    <w:rsid w:val="003B4B29"/>
    <w:rsid w:val="003B693D"/>
    <w:rsid w:val="003C1F83"/>
    <w:rsid w:val="003C28AA"/>
    <w:rsid w:val="003C2942"/>
    <w:rsid w:val="003C2AB7"/>
    <w:rsid w:val="003C6949"/>
    <w:rsid w:val="003C6D16"/>
    <w:rsid w:val="003C7D85"/>
    <w:rsid w:val="003D07C4"/>
    <w:rsid w:val="003D0C80"/>
    <w:rsid w:val="003D4AAB"/>
    <w:rsid w:val="003D7010"/>
    <w:rsid w:val="003D7F46"/>
    <w:rsid w:val="003E7CA6"/>
    <w:rsid w:val="003F1A31"/>
    <w:rsid w:val="003F3B28"/>
    <w:rsid w:val="003F5E52"/>
    <w:rsid w:val="003F5FA1"/>
    <w:rsid w:val="003F7259"/>
    <w:rsid w:val="00400530"/>
    <w:rsid w:val="00403C1D"/>
    <w:rsid w:val="00406D20"/>
    <w:rsid w:val="00407827"/>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6567"/>
    <w:rsid w:val="004520DD"/>
    <w:rsid w:val="00453486"/>
    <w:rsid w:val="0045450A"/>
    <w:rsid w:val="00456B65"/>
    <w:rsid w:val="004570BB"/>
    <w:rsid w:val="00461A45"/>
    <w:rsid w:val="00463720"/>
    <w:rsid w:val="00466FD7"/>
    <w:rsid w:val="004672D0"/>
    <w:rsid w:val="00471474"/>
    <w:rsid w:val="00473F2E"/>
    <w:rsid w:val="00485071"/>
    <w:rsid w:val="00490303"/>
    <w:rsid w:val="0049440E"/>
    <w:rsid w:val="00494C0D"/>
    <w:rsid w:val="004A1278"/>
    <w:rsid w:val="004A2955"/>
    <w:rsid w:val="004A318A"/>
    <w:rsid w:val="004A5176"/>
    <w:rsid w:val="004A5BAA"/>
    <w:rsid w:val="004B3DEA"/>
    <w:rsid w:val="004B66EB"/>
    <w:rsid w:val="004C19DA"/>
    <w:rsid w:val="004C1FC5"/>
    <w:rsid w:val="004C79DD"/>
    <w:rsid w:val="004D0A80"/>
    <w:rsid w:val="004D0EE4"/>
    <w:rsid w:val="004D1B2F"/>
    <w:rsid w:val="004D281E"/>
    <w:rsid w:val="004D2D9F"/>
    <w:rsid w:val="004E16B0"/>
    <w:rsid w:val="004E6323"/>
    <w:rsid w:val="004E7941"/>
    <w:rsid w:val="004F5D16"/>
    <w:rsid w:val="004F5D5C"/>
    <w:rsid w:val="004F6D1D"/>
    <w:rsid w:val="005035DD"/>
    <w:rsid w:val="005059CD"/>
    <w:rsid w:val="005068B2"/>
    <w:rsid w:val="00512316"/>
    <w:rsid w:val="005145E8"/>
    <w:rsid w:val="005156A0"/>
    <w:rsid w:val="00515F5B"/>
    <w:rsid w:val="00516B64"/>
    <w:rsid w:val="0052007A"/>
    <w:rsid w:val="005214C2"/>
    <w:rsid w:val="00522B97"/>
    <w:rsid w:val="00522FDC"/>
    <w:rsid w:val="00523466"/>
    <w:rsid w:val="00523A30"/>
    <w:rsid w:val="00526839"/>
    <w:rsid w:val="00526C9B"/>
    <w:rsid w:val="005364F6"/>
    <w:rsid w:val="005402E9"/>
    <w:rsid w:val="00542255"/>
    <w:rsid w:val="00543997"/>
    <w:rsid w:val="00545D83"/>
    <w:rsid w:val="005463F1"/>
    <w:rsid w:val="005474C2"/>
    <w:rsid w:val="00550C27"/>
    <w:rsid w:val="005540F5"/>
    <w:rsid w:val="005548C0"/>
    <w:rsid w:val="0055539C"/>
    <w:rsid w:val="005557C2"/>
    <w:rsid w:val="005568AC"/>
    <w:rsid w:val="00560451"/>
    <w:rsid w:val="00560D78"/>
    <w:rsid w:val="00561693"/>
    <w:rsid w:val="00562110"/>
    <w:rsid w:val="005626E9"/>
    <w:rsid w:val="00562E0E"/>
    <w:rsid w:val="00566E0F"/>
    <w:rsid w:val="00570A62"/>
    <w:rsid w:val="005713A9"/>
    <w:rsid w:val="00576CA6"/>
    <w:rsid w:val="005774F3"/>
    <w:rsid w:val="005810F6"/>
    <w:rsid w:val="00584C03"/>
    <w:rsid w:val="00585A61"/>
    <w:rsid w:val="00591982"/>
    <w:rsid w:val="00591B4E"/>
    <w:rsid w:val="00595504"/>
    <w:rsid w:val="00596A34"/>
    <w:rsid w:val="00596C0A"/>
    <w:rsid w:val="005B00D2"/>
    <w:rsid w:val="005B069B"/>
    <w:rsid w:val="005B37C8"/>
    <w:rsid w:val="005B4FC1"/>
    <w:rsid w:val="005B6418"/>
    <w:rsid w:val="005B77D6"/>
    <w:rsid w:val="005C2585"/>
    <w:rsid w:val="005C26D9"/>
    <w:rsid w:val="005C52B7"/>
    <w:rsid w:val="005D3256"/>
    <w:rsid w:val="005D345F"/>
    <w:rsid w:val="005D43C1"/>
    <w:rsid w:val="005D478E"/>
    <w:rsid w:val="005E0475"/>
    <w:rsid w:val="005E6F37"/>
    <w:rsid w:val="005F22EB"/>
    <w:rsid w:val="005F3827"/>
    <w:rsid w:val="005F69F1"/>
    <w:rsid w:val="005F7031"/>
    <w:rsid w:val="00600C48"/>
    <w:rsid w:val="00603141"/>
    <w:rsid w:val="0060535E"/>
    <w:rsid w:val="00606E9B"/>
    <w:rsid w:val="00610215"/>
    <w:rsid w:val="006161E0"/>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1349"/>
    <w:rsid w:val="006532F1"/>
    <w:rsid w:val="006543F5"/>
    <w:rsid w:val="0065463F"/>
    <w:rsid w:val="006600C8"/>
    <w:rsid w:val="00662B9B"/>
    <w:rsid w:val="00663424"/>
    <w:rsid w:val="00666294"/>
    <w:rsid w:val="006672E8"/>
    <w:rsid w:val="00667837"/>
    <w:rsid w:val="006679C7"/>
    <w:rsid w:val="00670BD0"/>
    <w:rsid w:val="00672E43"/>
    <w:rsid w:val="00681211"/>
    <w:rsid w:val="006879D2"/>
    <w:rsid w:val="00691CEF"/>
    <w:rsid w:val="0069292C"/>
    <w:rsid w:val="00692C55"/>
    <w:rsid w:val="00693905"/>
    <w:rsid w:val="006952F8"/>
    <w:rsid w:val="00697347"/>
    <w:rsid w:val="0069772A"/>
    <w:rsid w:val="006A18F2"/>
    <w:rsid w:val="006A19FE"/>
    <w:rsid w:val="006A1EA8"/>
    <w:rsid w:val="006A2184"/>
    <w:rsid w:val="006A409D"/>
    <w:rsid w:val="006A5DA8"/>
    <w:rsid w:val="006A6FB5"/>
    <w:rsid w:val="006A73A5"/>
    <w:rsid w:val="006B0C3E"/>
    <w:rsid w:val="006B3EF4"/>
    <w:rsid w:val="006B442D"/>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6666"/>
    <w:rsid w:val="0070733F"/>
    <w:rsid w:val="00711001"/>
    <w:rsid w:val="00712749"/>
    <w:rsid w:val="00713973"/>
    <w:rsid w:val="00714EE7"/>
    <w:rsid w:val="007175CF"/>
    <w:rsid w:val="00720AF2"/>
    <w:rsid w:val="007216F4"/>
    <w:rsid w:val="00721F55"/>
    <w:rsid w:val="00722AC7"/>
    <w:rsid w:val="007233D8"/>
    <w:rsid w:val="00725C72"/>
    <w:rsid w:val="00727FCB"/>
    <w:rsid w:val="00733738"/>
    <w:rsid w:val="0073443C"/>
    <w:rsid w:val="00736FBB"/>
    <w:rsid w:val="0074323D"/>
    <w:rsid w:val="00745125"/>
    <w:rsid w:val="00745220"/>
    <w:rsid w:val="007454C2"/>
    <w:rsid w:val="00747A6E"/>
    <w:rsid w:val="007552E9"/>
    <w:rsid w:val="00757367"/>
    <w:rsid w:val="00761A2C"/>
    <w:rsid w:val="00761FBA"/>
    <w:rsid w:val="007639AE"/>
    <w:rsid w:val="00763AA6"/>
    <w:rsid w:val="007654A6"/>
    <w:rsid w:val="00766CFA"/>
    <w:rsid w:val="0076703C"/>
    <w:rsid w:val="00767E0E"/>
    <w:rsid w:val="00767E29"/>
    <w:rsid w:val="00771904"/>
    <w:rsid w:val="00776249"/>
    <w:rsid w:val="007777A6"/>
    <w:rsid w:val="00777B5A"/>
    <w:rsid w:val="007802CC"/>
    <w:rsid w:val="00784386"/>
    <w:rsid w:val="00787CC8"/>
    <w:rsid w:val="00787F23"/>
    <w:rsid w:val="00793B67"/>
    <w:rsid w:val="00796B04"/>
    <w:rsid w:val="0079784B"/>
    <w:rsid w:val="00797D8D"/>
    <w:rsid w:val="007A1F9C"/>
    <w:rsid w:val="007A4E30"/>
    <w:rsid w:val="007A517B"/>
    <w:rsid w:val="007A52A9"/>
    <w:rsid w:val="007A60A1"/>
    <w:rsid w:val="007B2F18"/>
    <w:rsid w:val="007B43B1"/>
    <w:rsid w:val="007B476B"/>
    <w:rsid w:val="007B607D"/>
    <w:rsid w:val="007B67BC"/>
    <w:rsid w:val="007C4225"/>
    <w:rsid w:val="007C7321"/>
    <w:rsid w:val="007D037B"/>
    <w:rsid w:val="007D0F98"/>
    <w:rsid w:val="007D2601"/>
    <w:rsid w:val="007D3F47"/>
    <w:rsid w:val="007D618A"/>
    <w:rsid w:val="007D6A6D"/>
    <w:rsid w:val="007D6B1F"/>
    <w:rsid w:val="007D6FDC"/>
    <w:rsid w:val="007E017E"/>
    <w:rsid w:val="007E16F6"/>
    <w:rsid w:val="007E5B44"/>
    <w:rsid w:val="007E6425"/>
    <w:rsid w:val="007F1FB8"/>
    <w:rsid w:val="007F2032"/>
    <w:rsid w:val="007F5091"/>
    <w:rsid w:val="007F69DC"/>
    <w:rsid w:val="007F73E0"/>
    <w:rsid w:val="008033D3"/>
    <w:rsid w:val="0080360A"/>
    <w:rsid w:val="00805A27"/>
    <w:rsid w:val="00806173"/>
    <w:rsid w:val="008071D9"/>
    <w:rsid w:val="00812C17"/>
    <w:rsid w:val="00820E8D"/>
    <w:rsid w:val="00820FE8"/>
    <w:rsid w:val="00823723"/>
    <w:rsid w:val="008245A4"/>
    <w:rsid w:val="008270FB"/>
    <w:rsid w:val="008274B1"/>
    <w:rsid w:val="00832D74"/>
    <w:rsid w:val="00833732"/>
    <w:rsid w:val="00836A40"/>
    <w:rsid w:val="00843672"/>
    <w:rsid w:val="00845374"/>
    <w:rsid w:val="008459C7"/>
    <w:rsid w:val="008525C3"/>
    <w:rsid w:val="008533D6"/>
    <w:rsid w:val="00853A4C"/>
    <w:rsid w:val="008569AD"/>
    <w:rsid w:val="00857B0D"/>
    <w:rsid w:val="00857E58"/>
    <w:rsid w:val="008613B8"/>
    <w:rsid w:val="0086194C"/>
    <w:rsid w:val="00870A1A"/>
    <w:rsid w:val="00870F2E"/>
    <w:rsid w:val="00871312"/>
    <w:rsid w:val="0087144E"/>
    <w:rsid w:val="00871A7A"/>
    <w:rsid w:val="008768B7"/>
    <w:rsid w:val="00880121"/>
    <w:rsid w:val="00881C2D"/>
    <w:rsid w:val="00883DFE"/>
    <w:rsid w:val="00884693"/>
    <w:rsid w:val="0088659F"/>
    <w:rsid w:val="008923B0"/>
    <w:rsid w:val="0089723D"/>
    <w:rsid w:val="008A39EA"/>
    <w:rsid w:val="008B4455"/>
    <w:rsid w:val="008B4757"/>
    <w:rsid w:val="008C0453"/>
    <w:rsid w:val="008C0F98"/>
    <w:rsid w:val="008C18D9"/>
    <w:rsid w:val="008C21A2"/>
    <w:rsid w:val="008C79B7"/>
    <w:rsid w:val="008D17AC"/>
    <w:rsid w:val="008D2665"/>
    <w:rsid w:val="008D437B"/>
    <w:rsid w:val="008D47AB"/>
    <w:rsid w:val="008D48E7"/>
    <w:rsid w:val="008D4E52"/>
    <w:rsid w:val="008D4E9B"/>
    <w:rsid w:val="008D502B"/>
    <w:rsid w:val="008D57CD"/>
    <w:rsid w:val="008D5F0B"/>
    <w:rsid w:val="008E4023"/>
    <w:rsid w:val="008E4625"/>
    <w:rsid w:val="008E4754"/>
    <w:rsid w:val="008E4C25"/>
    <w:rsid w:val="008E6051"/>
    <w:rsid w:val="008F232E"/>
    <w:rsid w:val="008F4DA4"/>
    <w:rsid w:val="008F5299"/>
    <w:rsid w:val="00902E96"/>
    <w:rsid w:val="00903950"/>
    <w:rsid w:val="00911627"/>
    <w:rsid w:val="00911B0F"/>
    <w:rsid w:val="00916227"/>
    <w:rsid w:val="00917CAA"/>
    <w:rsid w:val="009209FE"/>
    <w:rsid w:val="0092221C"/>
    <w:rsid w:val="00923E7E"/>
    <w:rsid w:val="00925406"/>
    <w:rsid w:val="00925B9F"/>
    <w:rsid w:val="00926828"/>
    <w:rsid w:val="009310C3"/>
    <w:rsid w:val="009310D7"/>
    <w:rsid w:val="00935AA4"/>
    <w:rsid w:val="0093782E"/>
    <w:rsid w:val="0095197D"/>
    <w:rsid w:val="00956BEB"/>
    <w:rsid w:val="00957003"/>
    <w:rsid w:val="009607CD"/>
    <w:rsid w:val="00961E62"/>
    <w:rsid w:val="00962A2D"/>
    <w:rsid w:val="0097063E"/>
    <w:rsid w:val="00971128"/>
    <w:rsid w:val="00973BB3"/>
    <w:rsid w:val="00976F1F"/>
    <w:rsid w:val="009778E2"/>
    <w:rsid w:val="009806C3"/>
    <w:rsid w:val="009809FA"/>
    <w:rsid w:val="00981102"/>
    <w:rsid w:val="009815A1"/>
    <w:rsid w:val="009827AC"/>
    <w:rsid w:val="00984229"/>
    <w:rsid w:val="00991460"/>
    <w:rsid w:val="00997967"/>
    <w:rsid w:val="009A1D72"/>
    <w:rsid w:val="009A2758"/>
    <w:rsid w:val="009A2F7F"/>
    <w:rsid w:val="009A4861"/>
    <w:rsid w:val="009A5154"/>
    <w:rsid w:val="009A6899"/>
    <w:rsid w:val="009A6E33"/>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0E50"/>
    <w:rsid w:val="009C14DE"/>
    <w:rsid w:val="009C1FAA"/>
    <w:rsid w:val="009C22EC"/>
    <w:rsid w:val="009C30FF"/>
    <w:rsid w:val="009C3737"/>
    <w:rsid w:val="009C5A49"/>
    <w:rsid w:val="009D2DE6"/>
    <w:rsid w:val="009D3E32"/>
    <w:rsid w:val="009D45CF"/>
    <w:rsid w:val="009D594A"/>
    <w:rsid w:val="009D6D4B"/>
    <w:rsid w:val="009E3C65"/>
    <w:rsid w:val="009F265B"/>
    <w:rsid w:val="009F36CC"/>
    <w:rsid w:val="009F44CB"/>
    <w:rsid w:val="009F477A"/>
    <w:rsid w:val="009F6360"/>
    <w:rsid w:val="009F7F7E"/>
    <w:rsid w:val="00A00770"/>
    <w:rsid w:val="00A009D9"/>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434B"/>
    <w:rsid w:val="00A253BA"/>
    <w:rsid w:val="00A2594C"/>
    <w:rsid w:val="00A2626A"/>
    <w:rsid w:val="00A27BB0"/>
    <w:rsid w:val="00A3320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973"/>
    <w:rsid w:val="00A5661C"/>
    <w:rsid w:val="00A57841"/>
    <w:rsid w:val="00A615AF"/>
    <w:rsid w:val="00A651E7"/>
    <w:rsid w:val="00A665E7"/>
    <w:rsid w:val="00A676D6"/>
    <w:rsid w:val="00A705DB"/>
    <w:rsid w:val="00A71EBB"/>
    <w:rsid w:val="00A731FB"/>
    <w:rsid w:val="00A74341"/>
    <w:rsid w:val="00A75680"/>
    <w:rsid w:val="00A779FF"/>
    <w:rsid w:val="00A80067"/>
    <w:rsid w:val="00A80EF3"/>
    <w:rsid w:val="00A8300B"/>
    <w:rsid w:val="00A85096"/>
    <w:rsid w:val="00A8787F"/>
    <w:rsid w:val="00A91AA4"/>
    <w:rsid w:val="00A97879"/>
    <w:rsid w:val="00AB4238"/>
    <w:rsid w:val="00AB4C92"/>
    <w:rsid w:val="00AC09B7"/>
    <w:rsid w:val="00AC11B9"/>
    <w:rsid w:val="00AC32CA"/>
    <w:rsid w:val="00AC7E78"/>
    <w:rsid w:val="00AD4E30"/>
    <w:rsid w:val="00AD5626"/>
    <w:rsid w:val="00AD61C2"/>
    <w:rsid w:val="00AD7209"/>
    <w:rsid w:val="00AE1B1F"/>
    <w:rsid w:val="00AE5DBE"/>
    <w:rsid w:val="00AF0C3F"/>
    <w:rsid w:val="00AF428F"/>
    <w:rsid w:val="00AF4CF8"/>
    <w:rsid w:val="00AF68BF"/>
    <w:rsid w:val="00AF72F4"/>
    <w:rsid w:val="00B0255A"/>
    <w:rsid w:val="00B061FD"/>
    <w:rsid w:val="00B07CE8"/>
    <w:rsid w:val="00B10233"/>
    <w:rsid w:val="00B1068B"/>
    <w:rsid w:val="00B10AEC"/>
    <w:rsid w:val="00B1174F"/>
    <w:rsid w:val="00B139D2"/>
    <w:rsid w:val="00B13EEF"/>
    <w:rsid w:val="00B22FE6"/>
    <w:rsid w:val="00B23294"/>
    <w:rsid w:val="00B24EA2"/>
    <w:rsid w:val="00B258D4"/>
    <w:rsid w:val="00B26023"/>
    <w:rsid w:val="00B26FD1"/>
    <w:rsid w:val="00B33B77"/>
    <w:rsid w:val="00B37B99"/>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80180"/>
    <w:rsid w:val="00B92A48"/>
    <w:rsid w:val="00BA0616"/>
    <w:rsid w:val="00BA0BD7"/>
    <w:rsid w:val="00BA22B9"/>
    <w:rsid w:val="00BA7344"/>
    <w:rsid w:val="00BB2486"/>
    <w:rsid w:val="00BB2847"/>
    <w:rsid w:val="00BB5729"/>
    <w:rsid w:val="00BB76D4"/>
    <w:rsid w:val="00BC0358"/>
    <w:rsid w:val="00BC297F"/>
    <w:rsid w:val="00BC3C16"/>
    <w:rsid w:val="00BC4B87"/>
    <w:rsid w:val="00BC526C"/>
    <w:rsid w:val="00BC5598"/>
    <w:rsid w:val="00BD1023"/>
    <w:rsid w:val="00BD1D05"/>
    <w:rsid w:val="00BD3F10"/>
    <w:rsid w:val="00BE38FF"/>
    <w:rsid w:val="00BF06A0"/>
    <w:rsid w:val="00BF0791"/>
    <w:rsid w:val="00BF0BD1"/>
    <w:rsid w:val="00BF0DB4"/>
    <w:rsid w:val="00BF2D73"/>
    <w:rsid w:val="00BF30EA"/>
    <w:rsid w:val="00C013CB"/>
    <w:rsid w:val="00C022E1"/>
    <w:rsid w:val="00C02E21"/>
    <w:rsid w:val="00C03FC4"/>
    <w:rsid w:val="00C04D90"/>
    <w:rsid w:val="00C06DB8"/>
    <w:rsid w:val="00C075A6"/>
    <w:rsid w:val="00C11C3D"/>
    <w:rsid w:val="00C13055"/>
    <w:rsid w:val="00C13549"/>
    <w:rsid w:val="00C15C9F"/>
    <w:rsid w:val="00C15D8E"/>
    <w:rsid w:val="00C20F1B"/>
    <w:rsid w:val="00C2256A"/>
    <w:rsid w:val="00C257EF"/>
    <w:rsid w:val="00C26246"/>
    <w:rsid w:val="00C264E1"/>
    <w:rsid w:val="00C276C6"/>
    <w:rsid w:val="00C3047A"/>
    <w:rsid w:val="00C31019"/>
    <w:rsid w:val="00C33FC6"/>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516"/>
    <w:rsid w:val="00C61E9B"/>
    <w:rsid w:val="00C622CC"/>
    <w:rsid w:val="00C6347D"/>
    <w:rsid w:val="00C64837"/>
    <w:rsid w:val="00C64ABE"/>
    <w:rsid w:val="00C6757D"/>
    <w:rsid w:val="00C7080F"/>
    <w:rsid w:val="00C73020"/>
    <w:rsid w:val="00C74F12"/>
    <w:rsid w:val="00C81EAE"/>
    <w:rsid w:val="00C82937"/>
    <w:rsid w:val="00C82B02"/>
    <w:rsid w:val="00C82F66"/>
    <w:rsid w:val="00C8638D"/>
    <w:rsid w:val="00C901CA"/>
    <w:rsid w:val="00C94C3C"/>
    <w:rsid w:val="00CA3343"/>
    <w:rsid w:val="00CB00FC"/>
    <w:rsid w:val="00CB06D5"/>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F00E4"/>
    <w:rsid w:val="00CF7837"/>
    <w:rsid w:val="00D026D2"/>
    <w:rsid w:val="00D03E3E"/>
    <w:rsid w:val="00D0525E"/>
    <w:rsid w:val="00D06AA3"/>
    <w:rsid w:val="00D1091E"/>
    <w:rsid w:val="00D125DA"/>
    <w:rsid w:val="00D1379E"/>
    <w:rsid w:val="00D1510E"/>
    <w:rsid w:val="00D15668"/>
    <w:rsid w:val="00D15801"/>
    <w:rsid w:val="00D15982"/>
    <w:rsid w:val="00D21CCD"/>
    <w:rsid w:val="00D22362"/>
    <w:rsid w:val="00D24796"/>
    <w:rsid w:val="00D26B87"/>
    <w:rsid w:val="00D30CF8"/>
    <w:rsid w:val="00D3192F"/>
    <w:rsid w:val="00D31ABE"/>
    <w:rsid w:val="00D32BD8"/>
    <w:rsid w:val="00D357A3"/>
    <w:rsid w:val="00D36452"/>
    <w:rsid w:val="00D41249"/>
    <w:rsid w:val="00D45585"/>
    <w:rsid w:val="00D46546"/>
    <w:rsid w:val="00D46C2A"/>
    <w:rsid w:val="00D472BC"/>
    <w:rsid w:val="00D47D74"/>
    <w:rsid w:val="00D518CD"/>
    <w:rsid w:val="00D64A2E"/>
    <w:rsid w:val="00D66213"/>
    <w:rsid w:val="00D66E49"/>
    <w:rsid w:val="00D6701C"/>
    <w:rsid w:val="00D67171"/>
    <w:rsid w:val="00D70915"/>
    <w:rsid w:val="00D72C95"/>
    <w:rsid w:val="00D73163"/>
    <w:rsid w:val="00D77222"/>
    <w:rsid w:val="00D77BCF"/>
    <w:rsid w:val="00D80EC9"/>
    <w:rsid w:val="00D8134C"/>
    <w:rsid w:val="00D81708"/>
    <w:rsid w:val="00D860E1"/>
    <w:rsid w:val="00D9011C"/>
    <w:rsid w:val="00D9269D"/>
    <w:rsid w:val="00D93771"/>
    <w:rsid w:val="00D95183"/>
    <w:rsid w:val="00D951C4"/>
    <w:rsid w:val="00D9532C"/>
    <w:rsid w:val="00D96A6A"/>
    <w:rsid w:val="00DA1DB7"/>
    <w:rsid w:val="00DA4D60"/>
    <w:rsid w:val="00DA50D7"/>
    <w:rsid w:val="00DA57E9"/>
    <w:rsid w:val="00DA6EC2"/>
    <w:rsid w:val="00DB2AAB"/>
    <w:rsid w:val="00DB5942"/>
    <w:rsid w:val="00DB7E09"/>
    <w:rsid w:val="00DC0769"/>
    <w:rsid w:val="00DC11D4"/>
    <w:rsid w:val="00DC6E77"/>
    <w:rsid w:val="00DD07D1"/>
    <w:rsid w:val="00DD2C59"/>
    <w:rsid w:val="00DD3772"/>
    <w:rsid w:val="00DD4DB5"/>
    <w:rsid w:val="00DD7CFC"/>
    <w:rsid w:val="00DE2A8E"/>
    <w:rsid w:val="00DE34D3"/>
    <w:rsid w:val="00DE7C8D"/>
    <w:rsid w:val="00DF1714"/>
    <w:rsid w:val="00E00588"/>
    <w:rsid w:val="00E01C3D"/>
    <w:rsid w:val="00E027B4"/>
    <w:rsid w:val="00E046A4"/>
    <w:rsid w:val="00E06C36"/>
    <w:rsid w:val="00E15521"/>
    <w:rsid w:val="00E161C9"/>
    <w:rsid w:val="00E1705B"/>
    <w:rsid w:val="00E2171F"/>
    <w:rsid w:val="00E2198B"/>
    <w:rsid w:val="00E238C9"/>
    <w:rsid w:val="00E238F1"/>
    <w:rsid w:val="00E23B34"/>
    <w:rsid w:val="00E27683"/>
    <w:rsid w:val="00E43128"/>
    <w:rsid w:val="00E43F44"/>
    <w:rsid w:val="00E442AD"/>
    <w:rsid w:val="00E45845"/>
    <w:rsid w:val="00E467CB"/>
    <w:rsid w:val="00E5359C"/>
    <w:rsid w:val="00E53BFE"/>
    <w:rsid w:val="00E55BC6"/>
    <w:rsid w:val="00E604E6"/>
    <w:rsid w:val="00E63623"/>
    <w:rsid w:val="00E63F20"/>
    <w:rsid w:val="00E64AD6"/>
    <w:rsid w:val="00E657AC"/>
    <w:rsid w:val="00E66FE4"/>
    <w:rsid w:val="00E6750B"/>
    <w:rsid w:val="00E72862"/>
    <w:rsid w:val="00E83386"/>
    <w:rsid w:val="00E86B94"/>
    <w:rsid w:val="00E86EF4"/>
    <w:rsid w:val="00E87814"/>
    <w:rsid w:val="00E9118C"/>
    <w:rsid w:val="00E91760"/>
    <w:rsid w:val="00E91F65"/>
    <w:rsid w:val="00E94267"/>
    <w:rsid w:val="00E95302"/>
    <w:rsid w:val="00E96AFC"/>
    <w:rsid w:val="00E9737A"/>
    <w:rsid w:val="00EA2F1F"/>
    <w:rsid w:val="00EA45F1"/>
    <w:rsid w:val="00EA78DF"/>
    <w:rsid w:val="00EA7C50"/>
    <w:rsid w:val="00EB1261"/>
    <w:rsid w:val="00EB55D9"/>
    <w:rsid w:val="00EC5A74"/>
    <w:rsid w:val="00EC5D83"/>
    <w:rsid w:val="00EC6170"/>
    <w:rsid w:val="00EC6175"/>
    <w:rsid w:val="00ED0041"/>
    <w:rsid w:val="00ED15BF"/>
    <w:rsid w:val="00ED2218"/>
    <w:rsid w:val="00ED44ED"/>
    <w:rsid w:val="00ED537C"/>
    <w:rsid w:val="00EE228B"/>
    <w:rsid w:val="00EE3BEC"/>
    <w:rsid w:val="00EE5832"/>
    <w:rsid w:val="00EF1564"/>
    <w:rsid w:val="00EF1C49"/>
    <w:rsid w:val="00EF30F6"/>
    <w:rsid w:val="00F017DE"/>
    <w:rsid w:val="00F01D76"/>
    <w:rsid w:val="00F03A46"/>
    <w:rsid w:val="00F051DA"/>
    <w:rsid w:val="00F072DA"/>
    <w:rsid w:val="00F074EC"/>
    <w:rsid w:val="00F07A8D"/>
    <w:rsid w:val="00F10E86"/>
    <w:rsid w:val="00F16B86"/>
    <w:rsid w:val="00F20518"/>
    <w:rsid w:val="00F21331"/>
    <w:rsid w:val="00F23717"/>
    <w:rsid w:val="00F24877"/>
    <w:rsid w:val="00F24CF5"/>
    <w:rsid w:val="00F26ACE"/>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730A"/>
    <w:rsid w:val="00F803ED"/>
    <w:rsid w:val="00F82335"/>
    <w:rsid w:val="00F82601"/>
    <w:rsid w:val="00F83B5E"/>
    <w:rsid w:val="00F9055B"/>
    <w:rsid w:val="00F93499"/>
    <w:rsid w:val="00F93D97"/>
    <w:rsid w:val="00F94A0F"/>
    <w:rsid w:val="00F96FE2"/>
    <w:rsid w:val="00F97499"/>
    <w:rsid w:val="00FA1520"/>
    <w:rsid w:val="00FA197E"/>
    <w:rsid w:val="00FA219F"/>
    <w:rsid w:val="00FA4DB4"/>
    <w:rsid w:val="00FA4E00"/>
    <w:rsid w:val="00FA7803"/>
    <w:rsid w:val="00FB29EA"/>
    <w:rsid w:val="00FB409C"/>
    <w:rsid w:val="00FB44B9"/>
    <w:rsid w:val="00FB4812"/>
    <w:rsid w:val="00FB6144"/>
    <w:rsid w:val="00FC1DEE"/>
    <w:rsid w:val="00FC20DF"/>
    <w:rsid w:val="00FC3859"/>
    <w:rsid w:val="00FC4E94"/>
    <w:rsid w:val="00FE204B"/>
    <w:rsid w:val="00FE2813"/>
    <w:rsid w:val="00FE2D7D"/>
    <w:rsid w:val="00FE401D"/>
    <w:rsid w:val="00FF0643"/>
    <w:rsid w:val="00FF17C2"/>
    <w:rsid w:val="00FF1A99"/>
    <w:rsid w:val="00FF2B4F"/>
    <w:rsid w:val="00FF4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97F87E4-85CF-48AE-A69E-D26670CCD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aliases w:val="single space,footnote text,fn,FOOTNOTES,A,ADB,ALTS FOOTNOTE,Footnote,Footnote Text Char Char Char Char Char Char,Footnote Text Char1 Char,Footnote Text qer,Footnote text,Fußnote,Fußnotentext Char,Fuﬂnote,WB-Fußnotentext,WB-Fuﬂnotentext,ft"/>
    <w:basedOn w:val="Normal"/>
    <w:link w:val="FootnoteTextChar"/>
    <w:qFormat/>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A Char,ADB Char,ALTS FOOTNOTE Char,Footnote Char,Footnote Text Char Char Char Char Char Char Char,Footnote Text Char1 Char Char,Footnote Text qer Char,Footnote text Char"/>
    <w:basedOn w:val="DefaultParagraphFont"/>
    <w:link w:val="FootnoteText"/>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99"/>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character" w:customStyle="1" w:styleId="TitleChar">
    <w:name w:val="Title Char"/>
    <w:basedOn w:val="DefaultParagraphFont"/>
    <w:link w:val="Title"/>
    <w:rsid w:val="00357BB1"/>
    <w:rPr>
      <w:b/>
      <w:bCs/>
      <w:sz w:val="24"/>
    </w:rPr>
  </w:style>
  <w:style w:type="paragraph" w:customStyle="1" w:styleId="ModelNrmlSingle">
    <w:name w:val="ModelNrmlSingle"/>
    <w:basedOn w:val="Normal"/>
    <w:link w:val="ModelNrmlSingleChar"/>
    <w:rsid w:val="00357BB1"/>
    <w:pPr>
      <w:spacing w:after="240" w:line="240" w:lineRule="auto"/>
      <w:ind w:firstLine="720"/>
      <w:jc w:val="both"/>
    </w:pPr>
    <w:rPr>
      <w:sz w:val="22"/>
    </w:rPr>
  </w:style>
  <w:style w:type="paragraph" w:customStyle="1" w:styleId="Default">
    <w:name w:val="Default"/>
    <w:rsid w:val="00357BB1"/>
    <w:pPr>
      <w:autoSpaceDE w:val="0"/>
      <w:autoSpaceDN w:val="0"/>
      <w:adjustRightInd w:val="0"/>
    </w:pPr>
    <w:rPr>
      <w:color w:val="000000"/>
      <w:sz w:val="24"/>
      <w:szCs w:val="24"/>
    </w:rPr>
  </w:style>
  <w:style w:type="character" w:customStyle="1" w:styleId="ModelNrmlDoubleChar">
    <w:name w:val="ModelNrmlDouble Char"/>
    <w:basedOn w:val="DefaultParagraphFont"/>
    <w:link w:val="ModelNrmlDouble"/>
    <w:rsid w:val="00357BB1"/>
    <w:rPr>
      <w:sz w:val="22"/>
    </w:rPr>
  </w:style>
  <w:style w:type="character" w:customStyle="1" w:styleId="Style1">
    <w:name w:val="Style1"/>
    <w:basedOn w:val="DefaultParagraphFont"/>
    <w:uiPriority w:val="1"/>
    <w:rsid w:val="00357BB1"/>
    <w:rPr>
      <w:color w:val="FFFFFF" w:themeColor="background1"/>
    </w:rPr>
  </w:style>
  <w:style w:type="character" w:customStyle="1" w:styleId="ModelNrmlSingleChar">
    <w:name w:val="ModelNrmlSingle Char"/>
    <w:link w:val="ModelNrmlSingle"/>
    <w:rsid w:val="00357BB1"/>
    <w:rPr>
      <w:sz w:val="22"/>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357BB1"/>
    <w:pPr>
      <w:spacing w:after="160" w:line="240" w:lineRule="exact"/>
      <w:jc w:val="both"/>
    </w:pPr>
    <w:rPr>
      <w:rFonts w:asciiTheme="minorHAnsi" w:eastAsiaTheme="minorHAnsi" w:hAnsiTheme="minorHAnsi" w:cstheme="minorBidi"/>
      <w:sz w:val="22"/>
      <w:szCs w:val="22"/>
      <w:vertAlign w:val="superscript"/>
    </w:rPr>
  </w:style>
  <w:style w:type="paragraph" w:customStyle="1" w:styleId="BVIfnrCarCar">
    <w:name w:val="BVI fnr Car Car"/>
    <w:aliases w:val=" BVI fnr Car Car Car Car Char,BVI fnr Car,BVI fnr Car Car Car Car Char"/>
    <w:basedOn w:val="Normal"/>
    <w:uiPriority w:val="99"/>
    <w:rsid w:val="008D57CD"/>
    <w:pPr>
      <w:spacing w:after="160" w:line="240" w:lineRule="exact"/>
    </w:pPr>
    <w:rPr>
      <w:sz w:val="20"/>
      <w:vertAlign w:val="superscript"/>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6879D2"/>
    <w:pPr>
      <w:spacing w:after="160" w:line="240" w:lineRule="exac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worldbank.org/en/projects-operations/environmental-and-social-framewor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kabinet@mfin.gov.rs"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15B1ED7E-9827-491E-BC72-55F29CE84710}">
  <ds:schemaRefs>
    <ds:schemaRef ds:uri="http://schemas.openxmlformats.org/officeDocument/2006/bibliography"/>
  </ds:schemaRefs>
</ds:datastoreItem>
</file>

<file path=customXml/itemProps5.xml><?xml version="1.0" encoding="utf-8"?>
<ds:datastoreItem xmlns:ds="http://schemas.openxmlformats.org/officeDocument/2006/customXml" ds:itemID="{ABA9900A-0CB1-4C7E-BEC4-9F0635E6AF18}">
  <ds:schemaRefs>
    <ds:schemaRef ds:uri="http://schemas.openxmlformats.org/officeDocument/2006/bibliography"/>
  </ds:schemaRefs>
</ds:datastoreItem>
</file>

<file path=customXml/itemProps6.xml><?xml version="1.0" encoding="utf-8"?>
<ds:datastoreItem xmlns:ds="http://schemas.openxmlformats.org/officeDocument/2006/customXml" ds:itemID="{37D41B3D-EE5C-4A18-B665-C60F41EC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3602</Words>
  <Characters>20533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24087</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Bojan Grgic</cp:lastModifiedBy>
  <cp:revision>2</cp:revision>
  <cp:lastPrinted>2019-12-10T10:11:00Z</cp:lastPrinted>
  <dcterms:created xsi:type="dcterms:W3CDTF">2019-12-13T16:14:00Z</dcterms:created>
  <dcterms:modified xsi:type="dcterms:W3CDTF">2019-12-13T16:14:00Z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