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5E7" w:rsidRPr="008D14E1" w:rsidRDefault="00A665E7" w:rsidP="00A665E7">
      <w:pPr>
        <w:suppressAutoHyphens/>
        <w:spacing w:line="240" w:lineRule="auto"/>
        <w:jc w:val="right"/>
        <w:rPr>
          <w:b/>
          <w:sz w:val="22"/>
          <w:szCs w:val="22"/>
          <w:lang w:val="sr-Cyrl-CS"/>
        </w:rPr>
      </w:pPr>
    </w:p>
    <w:p w:rsidR="00007FA3" w:rsidRPr="008D14E1" w:rsidRDefault="00007FA3" w:rsidP="00A665E7">
      <w:pPr>
        <w:suppressAutoHyphens/>
        <w:spacing w:line="240" w:lineRule="auto"/>
        <w:jc w:val="right"/>
        <w:rPr>
          <w:b/>
          <w:sz w:val="22"/>
          <w:szCs w:val="22"/>
          <w:lang w:val="sr-Cyrl-CS"/>
        </w:rPr>
      </w:pPr>
      <w:bookmarkStart w:id="0" w:name="_GoBack"/>
      <w:bookmarkEnd w:id="0"/>
    </w:p>
    <w:p w:rsidR="0021552A" w:rsidRPr="008D14E1" w:rsidRDefault="007451C6" w:rsidP="0021552A">
      <w:pPr>
        <w:spacing w:line="240" w:lineRule="auto"/>
        <w:jc w:val="center"/>
        <w:rPr>
          <w:szCs w:val="24"/>
          <w:lang w:val="sr-Cyrl-CS"/>
        </w:rPr>
      </w:pPr>
      <w:r w:rsidRPr="008D14E1">
        <w:rPr>
          <w:szCs w:val="24"/>
          <w:lang w:val="sr-Cyrl-CS"/>
        </w:rPr>
        <w:t>ПРЕДЛОГ ЗАКОНА</w:t>
      </w:r>
    </w:p>
    <w:p w:rsidR="0021552A" w:rsidRPr="008D14E1" w:rsidRDefault="0021552A" w:rsidP="0021552A">
      <w:pPr>
        <w:spacing w:line="240" w:lineRule="auto"/>
        <w:jc w:val="center"/>
        <w:rPr>
          <w:szCs w:val="24"/>
          <w:lang w:val="sr-Cyrl-CS"/>
        </w:rPr>
      </w:pPr>
      <w:r w:rsidRPr="008D14E1">
        <w:rPr>
          <w:szCs w:val="24"/>
          <w:lang w:val="sr-Cyrl-CS"/>
        </w:rPr>
        <w:t xml:space="preserve">О ПОТВРЂИВАЊУ </w:t>
      </w:r>
      <w:bookmarkStart w:id="1" w:name="SADRZAJ_002"/>
      <w:r w:rsidRPr="008D14E1">
        <w:rPr>
          <w:szCs w:val="24"/>
          <w:lang w:val="sr-Cyrl-CS"/>
        </w:rPr>
        <w:t>СПОРАЗУМА О ЗАЈМУ (</w:t>
      </w:r>
      <w:r w:rsidR="00C33FC6" w:rsidRPr="008D14E1">
        <w:rPr>
          <w:lang w:val="sr-Cyrl-CS"/>
        </w:rPr>
        <w:t>ДОДАТНО ФИНАНСИРАЊЕ ЗА ПРОЈЕКАТ УНАПРЕЂЕЊ</w:t>
      </w:r>
      <w:r w:rsidR="007451C6" w:rsidRPr="008D14E1">
        <w:rPr>
          <w:lang w:val="sr-Cyrl-CS"/>
        </w:rPr>
        <w:t>Е</w:t>
      </w:r>
      <w:r w:rsidR="00926803">
        <w:rPr>
          <w:lang w:val="sr-Cyrl-CS"/>
        </w:rPr>
        <w:t xml:space="preserve"> ЗЕМЉИШНЕ АДМИНИСТ</w:t>
      </w:r>
      <w:r w:rsidR="00C33FC6" w:rsidRPr="008D14E1">
        <w:rPr>
          <w:lang w:val="sr-Cyrl-CS"/>
        </w:rPr>
        <w:t>Р</w:t>
      </w:r>
      <w:r w:rsidR="00926803">
        <w:rPr>
          <w:lang w:val="sr-Cyrl-CS"/>
        </w:rPr>
        <w:t>А</w:t>
      </w:r>
      <w:r w:rsidR="00C33FC6" w:rsidRPr="008D14E1">
        <w:rPr>
          <w:lang w:val="sr-Cyrl-CS"/>
        </w:rPr>
        <w:t>ЦИЈЕ У СРБИЈИ</w:t>
      </w:r>
      <w:r w:rsidR="008D57CD" w:rsidRPr="008D14E1">
        <w:rPr>
          <w:szCs w:val="24"/>
          <w:lang w:val="sr-Cyrl-CS"/>
        </w:rPr>
        <w:t xml:space="preserve">) </w:t>
      </w:r>
      <w:r w:rsidRPr="008D14E1">
        <w:rPr>
          <w:szCs w:val="24"/>
          <w:lang w:val="sr-Cyrl-CS"/>
        </w:rPr>
        <w:t>ИЗМЕЂУ РЕПУБЛИКЕ СРБИЈЕ И МЕЂУНАРОДНЕ БАНКЕ ЗА ОБНОВУ И РАЗВОЈ</w:t>
      </w:r>
    </w:p>
    <w:p w:rsidR="0021552A" w:rsidRPr="008D14E1" w:rsidRDefault="0021552A" w:rsidP="0021552A">
      <w:pPr>
        <w:pStyle w:val="2zakon"/>
        <w:rPr>
          <w:rFonts w:ascii="Times New Roman" w:hAnsi="Times New Roman" w:cs="Times New Roman"/>
          <w:b/>
          <w:color w:val="auto"/>
          <w:sz w:val="24"/>
          <w:szCs w:val="24"/>
          <w:lang w:val="sr-Cyrl-CS"/>
        </w:rPr>
      </w:pPr>
      <w:bookmarkStart w:id="2" w:name="SADRZAJ_003"/>
      <w:bookmarkEnd w:id="1"/>
    </w:p>
    <w:p w:rsidR="0021552A" w:rsidRPr="008D14E1" w:rsidRDefault="0021552A" w:rsidP="0021552A">
      <w:pPr>
        <w:pStyle w:val="NoSpacing"/>
        <w:jc w:val="center"/>
        <w:rPr>
          <w:lang w:val="sr-Cyrl-CS"/>
        </w:rPr>
      </w:pPr>
      <w:r w:rsidRPr="008D14E1">
        <w:rPr>
          <w:lang w:val="sr-Cyrl-CS"/>
        </w:rPr>
        <w:t>Члан 1.</w:t>
      </w:r>
    </w:p>
    <w:p w:rsidR="0021552A" w:rsidRPr="008D14E1" w:rsidRDefault="0021552A" w:rsidP="0021552A">
      <w:pPr>
        <w:pStyle w:val="NoSpacing"/>
        <w:ind w:firstLine="709"/>
        <w:jc w:val="both"/>
        <w:rPr>
          <w:lang w:val="sr-Cyrl-CS"/>
        </w:rPr>
      </w:pPr>
      <w:bookmarkStart w:id="3" w:name="SADRZAJ_004"/>
      <w:bookmarkEnd w:id="2"/>
      <w:r w:rsidRPr="008D14E1">
        <w:rPr>
          <w:lang w:val="sr-Cyrl-CS"/>
        </w:rPr>
        <w:t>Потврђује се Споразум о зајму (</w:t>
      </w:r>
      <w:r w:rsidR="002D1645" w:rsidRPr="008D14E1">
        <w:rPr>
          <w:lang w:val="sr-Cyrl-CS"/>
        </w:rPr>
        <w:t>Додатно фи</w:t>
      </w:r>
      <w:r w:rsidR="007451C6" w:rsidRPr="008D14E1">
        <w:rPr>
          <w:lang w:val="sr-Cyrl-CS"/>
        </w:rPr>
        <w:t>нансирање за Пројекат унапређење</w:t>
      </w:r>
      <w:r w:rsidR="008D14E1">
        <w:rPr>
          <w:lang w:val="sr-Cyrl-CS"/>
        </w:rPr>
        <w:t xml:space="preserve"> земљишне админист</w:t>
      </w:r>
      <w:r w:rsidR="002D1645" w:rsidRPr="008D14E1">
        <w:rPr>
          <w:lang w:val="sr-Cyrl-CS"/>
        </w:rPr>
        <w:t>р</w:t>
      </w:r>
      <w:r w:rsidR="008D14E1">
        <w:rPr>
          <w:lang w:val="sr-Cyrl-CS"/>
        </w:rPr>
        <w:t>а</w:t>
      </w:r>
      <w:r w:rsidR="002D1645" w:rsidRPr="008D14E1">
        <w:rPr>
          <w:lang w:val="sr-Cyrl-CS"/>
        </w:rPr>
        <w:t>ције у Србији</w:t>
      </w:r>
      <w:r w:rsidRPr="008D14E1">
        <w:rPr>
          <w:lang w:val="sr-Cyrl-CS"/>
        </w:rPr>
        <w:t xml:space="preserve">) између Републике Србије и Међународне банке за обнову и развој, који је потписан </w:t>
      </w:r>
      <w:r w:rsidR="002D1645" w:rsidRPr="008D14E1">
        <w:rPr>
          <w:lang w:val="sr-Cyrl-CS"/>
        </w:rPr>
        <w:t xml:space="preserve">у Београду </w:t>
      </w:r>
      <w:r w:rsidR="00AC32CA" w:rsidRPr="008D14E1">
        <w:rPr>
          <w:lang w:val="sr-Cyrl-CS"/>
        </w:rPr>
        <w:t>28</w:t>
      </w:r>
      <w:r w:rsidRPr="008D14E1">
        <w:rPr>
          <w:lang w:val="sr-Cyrl-CS"/>
        </w:rPr>
        <w:t xml:space="preserve">. </w:t>
      </w:r>
      <w:r w:rsidR="002D1645" w:rsidRPr="008D14E1">
        <w:rPr>
          <w:lang w:val="sr-Cyrl-CS"/>
        </w:rPr>
        <w:t>новембра</w:t>
      </w:r>
      <w:r w:rsidRPr="008D14E1">
        <w:rPr>
          <w:lang w:val="sr-Cyrl-CS"/>
        </w:rPr>
        <w:t xml:space="preserve"> 201</w:t>
      </w:r>
      <w:r w:rsidR="009C0E50" w:rsidRPr="008D14E1">
        <w:rPr>
          <w:lang w:val="sr-Cyrl-CS"/>
        </w:rPr>
        <w:t>9</w:t>
      </w:r>
      <w:r w:rsidRPr="008D14E1">
        <w:rPr>
          <w:lang w:val="sr-Cyrl-CS"/>
        </w:rPr>
        <w:t>. године, у оригиналу на енглеском језику.</w:t>
      </w:r>
    </w:p>
    <w:p w:rsidR="0021552A" w:rsidRPr="008D14E1" w:rsidRDefault="0021552A" w:rsidP="0021552A">
      <w:pPr>
        <w:pStyle w:val="NoSpacing"/>
        <w:jc w:val="both"/>
        <w:rPr>
          <w:lang w:val="sr-Cyrl-CS"/>
        </w:rPr>
      </w:pPr>
    </w:p>
    <w:p w:rsidR="0021552A" w:rsidRPr="008D14E1" w:rsidRDefault="0021552A" w:rsidP="0021552A">
      <w:pPr>
        <w:pStyle w:val="NoSpacing"/>
        <w:jc w:val="center"/>
        <w:rPr>
          <w:b/>
          <w:lang w:val="sr-Cyrl-CS"/>
        </w:rPr>
      </w:pPr>
      <w:r w:rsidRPr="008D14E1">
        <w:rPr>
          <w:lang w:val="sr-Cyrl-CS"/>
        </w:rPr>
        <w:t>Члан 2.</w:t>
      </w:r>
      <w:bookmarkEnd w:id="3"/>
    </w:p>
    <w:p w:rsidR="0021552A" w:rsidRPr="008D14E1" w:rsidRDefault="0021552A" w:rsidP="0021552A">
      <w:pPr>
        <w:pStyle w:val="NoSpacing"/>
        <w:ind w:firstLine="709"/>
        <w:jc w:val="both"/>
        <w:rPr>
          <w:b/>
          <w:u w:val="single"/>
          <w:lang w:val="sr-Cyrl-CS"/>
        </w:rPr>
      </w:pPr>
      <w:r w:rsidRPr="008D14E1">
        <w:rPr>
          <w:lang w:val="sr-Cyrl-CS"/>
        </w:rPr>
        <w:t>Текст Споразума о зајму (</w:t>
      </w:r>
      <w:r w:rsidR="002D1645" w:rsidRPr="008D14E1">
        <w:rPr>
          <w:lang w:val="sr-Cyrl-CS"/>
        </w:rPr>
        <w:t>Додатно фи</w:t>
      </w:r>
      <w:r w:rsidR="007451C6" w:rsidRPr="008D14E1">
        <w:rPr>
          <w:lang w:val="sr-Cyrl-CS"/>
        </w:rPr>
        <w:t>нансирање за Пројекат унапређење</w:t>
      </w:r>
      <w:r w:rsidR="008D14E1">
        <w:rPr>
          <w:lang w:val="sr-Cyrl-CS"/>
        </w:rPr>
        <w:t xml:space="preserve"> земљишне админист</w:t>
      </w:r>
      <w:r w:rsidR="002D1645" w:rsidRPr="008D14E1">
        <w:rPr>
          <w:lang w:val="sr-Cyrl-CS"/>
        </w:rPr>
        <w:t>р</w:t>
      </w:r>
      <w:r w:rsidR="008D14E1">
        <w:rPr>
          <w:lang w:val="sr-Cyrl-CS"/>
        </w:rPr>
        <w:t>а</w:t>
      </w:r>
      <w:r w:rsidR="002D1645" w:rsidRPr="008D14E1">
        <w:rPr>
          <w:lang w:val="sr-Cyrl-CS"/>
        </w:rPr>
        <w:t>ције у Србији</w:t>
      </w:r>
      <w:r w:rsidRPr="008D14E1">
        <w:rPr>
          <w:lang w:val="sr-Cyrl-CS"/>
        </w:rPr>
        <w:t xml:space="preserve">) између Републике Србије и Међународне банке за обнову и развој, у оригиналу на енглеском језику и </w:t>
      </w:r>
      <w:bookmarkStart w:id="4" w:name="SADRZAJ_013"/>
      <w:r w:rsidRPr="008D14E1">
        <w:rPr>
          <w:lang w:val="sr-Cyrl-CS"/>
        </w:rPr>
        <w:t>у преводу на српски језик гласи</w:t>
      </w:r>
      <w:bookmarkEnd w:id="4"/>
      <w:r w:rsidRPr="008D14E1">
        <w:rPr>
          <w:lang w:val="sr-Cyrl-CS"/>
        </w:rPr>
        <w:t xml:space="preserve">: </w:t>
      </w:r>
    </w:p>
    <w:p w:rsidR="008D57CD" w:rsidRPr="008D14E1" w:rsidRDefault="003848A0" w:rsidP="008D57CD">
      <w:pPr>
        <w:spacing w:line="240" w:lineRule="auto"/>
        <w:rPr>
          <w:b/>
          <w:bCs/>
          <w:color w:val="FF0000"/>
          <w:sz w:val="22"/>
          <w:szCs w:val="22"/>
          <w:lang w:val="sr-Cyrl-CS"/>
        </w:rPr>
      </w:pPr>
      <w:r w:rsidRPr="008D14E1">
        <w:rPr>
          <w:b/>
          <w:bCs/>
          <w:color w:val="FF0000"/>
          <w:sz w:val="22"/>
          <w:szCs w:val="22"/>
          <w:lang w:val="sr-Cyrl-CS"/>
        </w:rPr>
        <w:br w:type="page"/>
      </w:r>
    </w:p>
    <w:p w:rsidR="008D57CD" w:rsidRPr="008D14E1" w:rsidRDefault="008D57CD" w:rsidP="008D57CD">
      <w:pPr>
        <w:suppressAutoHyphens/>
        <w:spacing w:line="240" w:lineRule="auto"/>
        <w:jc w:val="right"/>
        <w:rPr>
          <w:b/>
          <w:sz w:val="22"/>
          <w:szCs w:val="22"/>
          <w:lang w:val="sr-Cyrl-CS"/>
        </w:rPr>
      </w:pPr>
    </w:p>
    <w:p w:rsidR="006A5DA8" w:rsidRPr="008D14E1" w:rsidRDefault="006A5DA8" w:rsidP="006A5DA8">
      <w:pPr>
        <w:suppressAutoHyphens/>
        <w:spacing w:line="240" w:lineRule="auto"/>
        <w:jc w:val="right"/>
        <w:rPr>
          <w:b/>
          <w:sz w:val="22"/>
          <w:szCs w:val="22"/>
          <w:lang w:val="sr-Cyrl-CS"/>
        </w:rPr>
      </w:pPr>
      <w:r w:rsidRPr="008D14E1">
        <w:rPr>
          <w:b/>
          <w:sz w:val="22"/>
          <w:szCs w:val="22"/>
          <w:lang w:val="sr-Cyrl-CS"/>
        </w:rPr>
        <w:t>LOAN NUMBER 9020-YF</w:t>
      </w: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6A5DA8" w:rsidRPr="008D14E1" w:rsidRDefault="006A5DA8" w:rsidP="006A5DA8">
      <w:pPr>
        <w:suppressAutoHyphens/>
        <w:spacing w:line="240" w:lineRule="auto"/>
        <w:jc w:val="center"/>
        <w:rPr>
          <w:b/>
          <w:sz w:val="50"/>
          <w:lang w:val="sr-Cyrl-CS"/>
        </w:rPr>
      </w:pPr>
      <w:r w:rsidRPr="008D14E1">
        <w:rPr>
          <w:b/>
          <w:sz w:val="50"/>
          <w:lang w:val="sr-Cyrl-CS"/>
        </w:rPr>
        <w:t>Loan Agreement</w:t>
      </w:r>
    </w:p>
    <w:p w:rsidR="006A5DA8" w:rsidRPr="008D14E1" w:rsidRDefault="006A5DA8" w:rsidP="006A5DA8">
      <w:pPr>
        <w:suppressAutoHyphens/>
        <w:spacing w:line="240" w:lineRule="auto"/>
        <w:jc w:val="center"/>
        <w:rPr>
          <w:b/>
          <w:lang w:val="sr-Cyrl-CS"/>
        </w:rPr>
      </w:pPr>
    </w:p>
    <w:p w:rsidR="006A5DA8" w:rsidRPr="008D14E1" w:rsidRDefault="006A5DA8" w:rsidP="006A5DA8">
      <w:pPr>
        <w:suppressAutoHyphens/>
        <w:spacing w:line="240" w:lineRule="auto"/>
        <w:jc w:val="center"/>
        <w:rPr>
          <w:b/>
          <w:lang w:val="sr-Cyrl-CS"/>
        </w:rPr>
      </w:pPr>
    </w:p>
    <w:p w:rsidR="006A5DA8" w:rsidRPr="008D14E1" w:rsidRDefault="006A5DA8" w:rsidP="006A5DA8">
      <w:pPr>
        <w:suppressAutoHyphens/>
        <w:spacing w:line="240" w:lineRule="auto"/>
        <w:jc w:val="center"/>
        <w:rPr>
          <w:b/>
          <w:sz w:val="22"/>
          <w:szCs w:val="22"/>
          <w:lang w:val="sr-Cyrl-CS"/>
        </w:rPr>
      </w:pPr>
      <w:r w:rsidRPr="008D14E1">
        <w:rPr>
          <w:b/>
          <w:sz w:val="22"/>
          <w:szCs w:val="22"/>
          <w:lang w:val="sr-Cyrl-CS"/>
        </w:rPr>
        <w:t>(Additional Financing for Real Estate Management Project)</w:t>
      </w: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r w:rsidRPr="008D14E1">
        <w:rPr>
          <w:b/>
          <w:sz w:val="22"/>
          <w:szCs w:val="22"/>
          <w:lang w:val="sr-Cyrl-CS"/>
        </w:rPr>
        <w:t>between</w:t>
      </w: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r w:rsidRPr="008D14E1">
        <w:rPr>
          <w:b/>
          <w:sz w:val="22"/>
          <w:szCs w:val="22"/>
          <w:lang w:val="sr-Cyrl-CS"/>
        </w:rPr>
        <w:t>REPUBLIC OF SERBIA</w:t>
      </w: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r w:rsidRPr="008D14E1">
        <w:rPr>
          <w:b/>
          <w:sz w:val="22"/>
          <w:szCs w:val="22"/>
          <w:lang w:val="sr-Cyrl-CS"/>
        </w:rPr>
        <w:t>and</w:t>
      </w:r>
    </w:p>
    <w:p w:rsidR="006A5DA8" w:rsidRPr="008D14E1" w:rsidRDefault="006A5DA8" w:rsidP="006A5DA8">
      <w:pPr>
        <w:tabs>
          <w:tab w:val="left" w:pos="3435"/>
        </w:tabs>
        <w:suppressAutoHyphens/>
        <w:spacing w:line="240" w:lineRule="auto"/>
        <w:rPr>
          <w:b/>
          <w:sz w:val="22"/>
          <w:szCs w:val="22"/>
          <w:lang w:val="sr-Cyrl-CS"/>
        </w:rPr>
      </w:pPr>
      <w:r w:rsidRPr="008D14E1">
        <w:rPr>
          <w:b/>
          <w:sz w:val="22"/>
          <w:szCs w:val="22"/>
          <w:lang w:val="sr-Cyrl-CS"/>
        </w:rPr>
        <w:tab/>
      </w:r>
    </w:p>
    <w:p w:rsidR="006A5DA8" w:rsidRPr="008D14E1" w:rsidRDefault="006A5DA8" w:rsidP="006A5DA8">
      <w:pPr>
        <w:suppressAutoHyphens/>
        <w:spacing w:line="240" w:lineRule="auto"/>
        <w:jc w:val="center"/>
        <w:rPr>
          <w:b/>
          <w:sz w:val="22"/>
          <w:szCs w:val="22"/>
          <w:lang w:val="sr-Cyrl-CS"/>
        </w:rPr>
      </w:pPr>
    </w:p>
    <w:p w:rsidR="006A5DA8" w:rsidRPr="008D14E1" w:rsidRDefault="006A5DA8" w:rsidP="006A5DA8">
      <w:pPr>
        <w:suppressAutoHyphens/>
        <w:spacing w:line="240" w:lineRule="auto"/>
        <w:jc w:val="center"/>
        <w:rPr>
          <w:b/>
          <w:sz w:val="22"/>
          <w:szCs w:val="22"/>
          <w:lang w:val="sr-Cyrl-CS"/>
        </w:rPr>
      </w:pPr>
      <w:r w:rsidRPr="008D14E1">
        <w:rPr>
          <w:b/>
          <w:sz w:val="22"/>
          <w:szCs w:val="22"/>
          <w:lang w:val="sr-Cyrl-CS"/>
        </w:rPr>
        <w:t>INTERNATIONAL BANK FOR RECONSTRUCTION</w:t>
      </w:r>
    </w:p>
    <w:p w:rsidR="006A5DA8" w:rsidRPr="008D14E1" w:rsidRDefault="006A5DA8" w:rsidP="006A5DA8">
      <w:pPr>
        <w:suppressAutoHyphens/>
        <w:spacing w:line="240" w:lineRule="auto"/>
        <w:jc w:val="center"/>
        <w:rPr>
          <w:b/>
          <w:sz w:val="22"/>
          <w:szCs w:val="22"/>
          <w:lang w:val="sr-Cyrl-CS"/>
        </w:rPr>
      </w:pPr>
      <w:r w:rsidRPr="008D14E1">
        <w:rPr>
          <w:b/>
          <w:sz w:val="22"/>
          <w:szCs w:val="22"/>
          <w:lang w:val="sr-Cyrl-CS"/>
        </w:rPr>
        <w:t>AND DEVELOPMENT</w:t>
      </w:r>
    </w:p>
    <w:p w:rsidR="006A5DA8" w:rsidRPr="008D14E1" w:rsidRDefault="006A5DA8" w:rsidP="006A5DA8">
      <w:pPr>
        <w:suppressAutoHyphens/>
        <w:spacing w:line="240" w:lineRule="auto"/>
        <w:rPr>
          <w:b/>
          <w:sz w:val="22"/>
          <w:szCs w:val="22"/>
          <w:lang w:val="sr-Cyrl-CS"/>
        </w:rPr>
      </w:pPr>
    </w:p>
    <w:p w:rsidR="008D57CD" w:rsidRPr="008D14E1" w:rsidRDefault="008D57CD" w:rsidP="008D57CD">
      <w:pPr>
        <w:suppressAutoHyphens/>
        <w:spacing w:line="240" w:lineRule="auto"/>
        <w:rPr>
          <w:b/>
          <w:sz w:val="22"/>
          <w:szCs w:val="22"/>
          <w:lang w:val="sr-Cyrl-CS"/>
        </w:rPr>
      </w:pPr>
    </w:p>
    <w:p w:rsidR="008D57CD" w:rsidRPr="008D14E1" w:rsidRDefault="008D57CD" w:rsidP="008D57CD">
      <w:pPr>
        <w:suppressAutoHyphens/>
        <w:spacing w:line="240" w:lineRule="auto"/>
        <w:jc w:val="center"/>
        <w:rPr>
          <w:b/>
          <w:sz w:val="22"/>
          <w:szCs w:val="22"/>
          <w:lang w:val="sr-Cyrl-CS"/>
        </w:rPr>
      </w:pPr>
    </w:p>
    <w:p w:rsidR="008D57CD" w:rsidRPr="008D14E1" w:rsidRDefault="008D57CD" w:rsidP="008D57CD">
      <w:pPr>
        <w:suppressAutoHyphens/>
        <w:spacing w:line="240" w:lineRule="auto"/>
        <w:jc w:val="center"/>
        <w:rPr>
          <w:b/>
          <w:sz w:val="22"/>
          <w:szCs w:val="22"/>
          <w:lang w:val="sr-Cyrl-CS"/>
        </w:rPr>
        <w:sectPr w:rsidR="008D57CD" w:rsidRPr="008D14E1" w:rsidSect="00717263">
          <w:headerReference w:type="even" r:id="rId13"/>
          <w:headerReference w:type="default" r:id="rId14"/>
          <w:footerReference w:type="even" r:id="rId15"/>
          <w:footerReference w:type="default" r:id="rId16"/>
          <w:headerReference w:type="first" r:id="rId17"/>
          <w:footerReference w:type="first" r:id="rId18"/>
          <w:pgSz w:w="12240" w:h="15840"/>
          <w:pgMar w:top="1800" w:right="1800" w:bottom="1440" w:left="1800" w:header="720" w:footer="720" w:gutter="0"/>
          <w:cols w:space="720"/>
          <w:titlePg/>
          <w:docGrid w:linePitch="326"/>
        </w:sectPr>
      </w:pPr>
    </w:p>
    <w:p w:rsidR="006A5DA8" w:rsidRPr="008D14E1" w:rsidRDefault="006A5DA8" w:rsidP="006A5DA8">
      <w:pPr>
        <w:pStyle w:val="Title"/>
        <w:spacing w:line="240" w:lineRule="auto"/>
        <w:rPr>
          <w:sz w:val="22"/>
          <w:szCs w:val="22"/>
          <w:lang w:val="sr-Cyrl-CS"/>
        </w:rPr>
      </w:pPr>
      <w:r w:rsidRPr="008D14E1">
        <w:rPr>
          <w:sz w:val="22"/>
          <w:szCs w:val="22"/>
          <w:lang w:val="sr-Cyrl-CS"/>
        </w:rPr>
        <w:lastRenderedPageBreak/>
        <w:t>LOAN AGREEMENT</w:t>
      </w:r>
    </w:p>
    <w:p w:rsidR="006A5DA8" w:rsidRPr="008D14E1" w:rsidRDefault="006A5DA8" w:rsidP="006A5DA8">
      <w:pPr>
        <w:spacing w:line="240" w:lineRule="auto"/>
        <w:jc w:val="center"/>
        <w:rPr>
          <w:sz w:val="22"/>
          <w:szCs w:val="22"/>
          <w:lang w:val="sr-Cyrl-CS"/>
        </w:rPr>
      </w:pPr>
    </w:p>
    <w:p w:rsidR="006A5DA8" w:rsidRPr="008D14E1" w:rsidRDefault="006A5DA8" w:rsidP="006A5DA8">
      <w:pPr>
        <w:spacing w:line="240" w:lineRule="auto"/>
        <w:jc w:val="both"/>
        <w:rPr>
          <w:sz w:val="22"/>
          <w:szCs w:val="22"/>
          <w:lang w:val="sr-Cyrl-CS"/>
        </w:rPr>
      </w:pPr>
      <w:r w:rsidRPr="008D14E1">
        <w:rPr>
          <w:sz w:val="22"/>
          <w:szCs w:val="22"/>
          <w:lang w:val="sr-Cyrl-CS"/>
        </w:rPr>
        <w:tab/>
        <w:t>AGREEMENT dated as of the Signature Date between REPUBLIC OF SERBIA (“Borrower”) and INTERNATIONAL BANK FOR RECONSTRUCTION AND DEVELOPMENT (“Bank”).  The Borrower and the Bank hereby agree as follows:</w:t>
      </w:r>
    </w:p>
    <w:p w:rsidR="006A5DA8" w:rsidRPr="008D14E1" w:rsidRDefault="006A5DA8" w:rsidP="006A5DA8">
      <w:pPr>
        <w:spacing w:line="240" w:lineRule="auto"/>
        <w:jc w:val="both"/>
        <w:rPr>
          <w:sz w:val="22"/>
          <w:szCs w:val="22"/>
          <w:lang w:val="sr-Cyrl-CS"/>
        </w:rPr>
      </w:pPr>
    </w:p>
    <w:p w:rsidR="006A5DA8" w:rsidRPr="008D14E1" w:rsidRDefault="006A5DA8" w:rsidP="006A5DA8">
      <w:pPr>
        <w:pStyle w:val="Heading1"/>
        <w:spacing w:line="240" w:lineRule="auto"/>
        <w:rPr>
          <w:sz w:val="22"/>
          <w:szCs w:val="22"/>
          <w:lang w:val="sr-Cyrl-CS"/>
        </w:rPr>
      </w:pPr>
      <w:r w:rsidRPr="008D14E1">
        <w:rPr>
          <w:sz w:val="22"/>
          <w:szCs w:val="22"/>
          <w:lang w:val="sr-Cyrl-CS"/>
        </w:rPr>
        <w:t>ARTICLE I — GENERAL CONDITIONS; DEFINITIONS</w:t>
      </w:r>
    </w:p>
    <w:p w:rsidR="006A5DA8" w:rsidRPr="008D14E1" w:rsidRDefault="006A5DA8" w:rsidP="006A5DA8">
      <w:pPr>
        <w:spacing w:line="240" w:lineRule="auto"/>
        <w:rPr>
          <w:sz w:val="22"/>
          <w:szCs w:val="22"/>
          <w:lang w:val="sr-Cyrl-CS"/>
        </w:rPr>
      </w:pPr>
    </w:p>
    <w:p w:rsidR="006A5DA8" w:rsidRPr="008D14E1" w:rsidRDefault="006A5DA8" w:rsidP="006A5DA8">
      <w:pPr>
        <w:pStyle w:val="BodyText"/>
        <w:numPr>
          <w:ilvl w:val="1"/>
          <w:numId w:val="2"/>
        </w:numPr>
        <w:tabs>
          <w:tab w:val="clear" w:pos="1485"/>
          <w:tab w:val="num" w:pos="720"/>
        </w:tabs>
        <w:ind w:left="720" w:hanging="720"/>
        <w:rPr>
          <w:sz w:val="22"/>
          <w:szCs w:val="22"/>
          <w:lang w:val="sr-Cyrl-CS"/>
        </w:rPr>
      </w:pPr>
      <w:r w:rsidRPr="008D14E1">
        <w:rPr>
          <w:sz w:val="22"/>
          <w:szCs w:val="22"/>
          <w:lang w:val="sr-Cyrl-CS"/>
        </w:rPr>
        <w:t>The General Conditions (as defined in the Appendix to this Agreement) apply to and form part of this Agreement.</w:t>
      </w:r>
    </w:p>
    <w:p w:rsidR="006A5DA8" w:rsidRPr="008D14E1" w:rsidRDefault="006A5DA8" w:rsidP="006A5DA8">
      <w:pPr>
        <w:pStyle w:val="BodyText"/>
        <w:tabs>
          <w:tab w:val="num" w:pos="720"/>
        </w:tabs>
        <w:ind w:left="720" w:hanging="720"/>
        <w:rPr>
          <w:sz w:val="22"/>
          <w:szCs w:val="22"/>
          <w:lang w:val="sr-Cyrl-CS"/>
        </w:rPr>
      </w:pPr>
    </w:p>
    <w:p w:rsidR="006A5DA8" w:rsidRPr="008D14E1" w:rsidRDefault="006A5DA8" w:rsidP="006A5DA8">
      <w:pPr>
        <w:pStyle w:val="BodyText"/>
        <w:numPr>
          <w:ilvl w:val="1"/>
          <w:numId w:val="2"/>
        </w:numPr>
        <w:tabs>
          <w:tab w:val="clear" w:pos="1485"/>
          <w:tab w:val="num" w:pos="720"/>
        </w:tabs>
        <w:ind w:left="720" w:hanging="720"/>
        <w:rPr>
          <w:sz w:val="22"/>
          <w:szCs w:val="22"/>
          <w:lang w:val="sr-Cyrl-CS"/>
        </w:rPr>
      </w:pPr>
      <w:r w:rsidRPr="008D14E1">
        <w:rPr>
          <w:sz w:val="22"/>
          <w:szCs w:val="22"/>
          <w:lang w:val="sr-Cyrl-CS"/>
        </w:rPr>
        <w:t>Unless the context requires otherwise, the capitalized terms used in this Agreement have the meanings ascribed to them in the General Conditions or in the Appendix to this Agreement.</w:t>
      </w:r>
    </w:p>
    <w:p w:rsidR="006A5DA8" w:rsidRPr="008D14E1" w:rsidRDefault="006A5DA8" w:rsidP="006A5DA8">
      <w:pPr>
        <w:pStyle w:val="BodyText"/>
        <w:rPr>
          <w:sz w:val="22"/>
          <w:szCs w:val="22"/>
          <w:lang w:val="sr-Cyrl-CS"/>
        </w:rPr>
      </w:pPr>
    </w:p>
    <w:p w:rsidR="006A5DA8" w:rsidRPr="008D14E1" w:rsidRDefault="006A5DA8" w:rsidP="006A5DA8">
      <w:pPr>
        <w:pStyle w:val="BodyText"/>
        <w:jc w:val="center"/>
        <w:rPr>
          <w:b/>
          <w:bCs/>
          <w:sz w:val="22"/>
          <w:szCs w:val="22"/>
          <w:lang w:val="sr-Cyrl-CS"/>
        </w:rPr>
      </w:pPr>
      <w:r w:rsidRPr="008D14E1">
        <w:rPr>
          <w:b/>
          <w:bCs/>
          <w:sz w:val="22"/>
          <w:szCs w:val="22"/>
          <w:lang w:val="sr-Cyrl-CS"/>
        </w:rPr>
        <w:t>ARTICLE II — LOAN</w:t>
      </w:r>
    </w:p>
    <w:p w:rsidR="006A5DA8" w:rsidRPr="008D14E1" w:rsidRDefault="006A5DA8" w:rsidP="006A5DA8">
      <w:pPr>
        <w:pStyle w:val="BodyText"/>
        <w:jc w:val="center"/>
        <w:rPr>
          <w:b/>
          <w:bCs/>
          <w:sz w:val="22"/>
          <w:szCs w:val="22"/>
          <w:lang w:val="sr-Cyrl-CS"/>
        </w:rPr>
      </w:pPr>
    </w:p>
    <w:p w:rsidR="006A5DA8" w:rsidRPr="008D14E1" w:rsidRDefault="006A5DA8" w:rsidP="006A5DA8">
      <w:pPr>
        <w:pStyle w:val="BodyText"/>
        <w:ind w:left="720" w:hanging="720"/>
        <w:rPr>
          <w:sz w:val="22"/>
          <w:szCs w:val="22"/>
          <w:lang w:val="sr-Cyrl-CS"/>
        </w:rPr>
      </w:pPr>
      <w:r w:rsidRPr="008D14E1">
        <w:rPr>
          <w:sz w:val="22"/>
          <w:szCs w:val="22"/>
          <w:lang w:val="sr-Cyrl-CS"/>
        </w:rPr>
        <w:t>2.01.</w:t>
      </w:r>
      <w:r w:rsidRPr="008D14E1">
        <w:rPr>
          <w:sz w:val="22"/>
          <w:szCs w:val="22"/>
          <w:lang w:val="sr-Cyrl-CS"/>
        </w:rPr>
        <w:tab/>
        <w:t>The Bank agrees to lend to the Borrower the amount of twenty one million Euros (EUR 21,000,000), as such amount may be converted from time to time through a Currency Conversion (“Loan”), to assist in financing the project described in Schedule 1 to this Agreement (“Project”).</w:t>
      </w:r>
    </w:p>
    <w:p w:rsidR="006A5DA8" w:rsidRPr="008D14E1" w:rsidRDefault="006A5DA8" w:rsidP="006A5DA8">
      <w:pPr>
        <w:pStyle w:val="BodyText"/>
        <w:tabs>
          <w:tab w:val="num" w:pos="720"/>
        </w:tabs>
        <w:ind w:left="720" w:hanging="720"/>
        <w:rPr>
          <w:sz w:val="22"/>
          <w:szCs w:val="22"/>
          <w:lang w:val="sr-Cyrl-CS"/>
        </w:rPr>
      </w:pPr>
    </w:p>
    <w:p w:rsidR="006A5DA8" w:rsidRPr="008D14E1" w:rsidRDefault="006A5DA8" w:rsidP="006A5DA8">
      <w:pPr>
        <w:pStyle w:val="BodyText"/>
        <w:numPr>
          <w:ilvl w:val="1"/>
          <w:numId w:val="6"/>
        </w:numPr>
        <w:tabs>
          <w:tab w:val="clear" w:pos="480"/>
        </w:tabs>
        <w:ind w:left="720" w:hanging="720"/>
        <w:rPr>
          <w:sz w:val="22"/>
          <w:szCs w:val="22"/>
          <w:lang w:val="sr-Cyrl-CS"/>
        </w:rPr>
      </w:pPr>
      <w:r w:rsidRPr="008D14E1">
        <w:rPr>
          <w:sz w:val="22"/>
          <w:szCs w:val="22"/>
          <w:lang w:val="sr-Cyrl-CS"/>
        </w:rPr>
        <w:t>The Borrower may withdraw the proceeds of the Loan in accordance with Section III of Schedule 2 to this Agreement.</w:t>
      </w:r>
      <w:r w:rsidRPr="008D14E1">
        <w:rPr>
          <w:rStyle w:val="FootnoteReference"/>
          <w:sz w:val="22"/>
          <w:szCs w:val="22"/>
          <w:lang w:val="sr-Cyrl-CS"/>
        </w:rPr>
        <w:t xml:space="preserve"> </w:t>
      </w:r>
      <w:r w:rsidRPr="008D14E1">
        <w:rPr>
          <w:sz w:val="22"/>
          <w:szCs w:val="22"/>
          <w:lang w:val="sr-Cyrl-CS"/>
        </w:rPr>
        <w:t xml:space="preserve"> </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numPr>
          <w:ilvl w:val="1"/>
          <w:numId w:val="6"/>
        </w:numPr>
        <w:tabs>
          <w:tab w:val="clear" w:pos="480"/>
        </w:tabs>
        <w:ind w:left="720" w:hanging="720"/>
        <w:rPr>
          <w:sz w:val="22"/>
          <w:szCs w:val="22"/>
          <w:lang w:val="sr-Cyrl-CS"/>
        </w:rPr>
      </w:pPr>
      <w:r w:rsidRPr="008D14E1">
        <w:rPr>
          <w:sz w:val="22"/>
          <w:szCs w:val="22"/>
          <w:lang w:val="sr-Cyrl-CS"/>
        </w:rPr>
        <w:t>The Front-end Fee is one quarter of one percent (0.25%) of the Loan amount.</w:t>
      </w:r>
    </w:p>
    <w:p w:rsidR="006A5DA8" w:rsidRPr="008D14E1" w:rsidRDefault="006A5DA8" w:rsidP="006A5DA8">
      <w:pPr>
        <w:pStyle w:val="BodyText"/>
        <w:ind w:left="720" w:hanging="720"/>
        <w:rPr>
          <w:sz w:val="22"/>
          <w:szCs w:val="22"/>
          <w:lang w:val="sr-Cyrl-CS"/>
        </w:rPr>
      </w:pPr>
    </w:p>
    <w:p w:rsidR="006A5DA8" w:rsidRPr="008D14E1" w:rsidRDefault="006A5DA8" w:rsidP="006A5DA8">
      <w:pPr>
        <w:pStyle w:val="BodyText"/>
        <w:numPr>
          <w:ilvl w:val="1"/>
          <w:numId w:val="6"/>
        </w:numPr>
        <w:tabs>
          <w:tab w:val="clear" w:pos="480"/>
        </w:tabs>
        <w:ind w:left="720" w:hanging="720"/>
        <w:rPr>
          <w:sz w:val="22"/>
          <w:szCs w:val="22"/>
          <w:lang w:val="sr-Cyrl-CS"/>
        </w:rPr>
      </w:pPr>
      <w:r w:rsidRPr="008D14E1">
        <w:rPr>
          <w:sz w:val="22"/>
          <w:szCs w:val="22"/>
          <w:lang w:val="sr-Cyrl-CS"/>
        </w:rPr>
        <w:t>The Commitment Charge is one quarter of one percent (0.25%) per annum on the Unwithdrawn Loan Balance.</w:t>
      </w:r>
    </w:p>
    <w:p w:rsidR="006A5DA8" w:rsidRPr="008D14E1" w:rsidRDefault="006A5DA8" w:rsidP="006A5DA8">
      <w:pPr>
        <w:pStyle w:val="BodyText"/>
        <w:ind w:left="720" w:hanging="720"/>
        <w:rPr>
          <w:sz w:val="22"/>
          <w:szCs w:val="22"/>
          <w:lang w:val="sr-Cyrl-CS"/>
        </w:rPr>
      </w:pPr>
    </w:p>
    <w:p w:rsidR="006A5DA8" w:rsidRPr="008D14E1" w:rsidRDefault="006A5DA8" w:rsidP="006A5DA8">
      <w:pPr>
        <w:pStyle w:val="BodyText"/>
        <w:ind w:left="720" w:hanging="720"/>
        <w:rPr>
          <w:sz w:val="22"/>
          <w:szCs w:val="22"/>
          <w:lang w:val="sr-Cyrl-CS"/>
        </w:rPr>
      </w:pPr>
      <w:r w:rsidRPr="008D14E1">
        <w:rPr>
          <w:sz w:val="22"/>
          <w:szCs w:val="22"/>
          <w:lang w:val="sr-Cyrl-CS"/>
        </w:rPr>
        <w:t>2.05.</w:t>
      </w:r>
      <w:r w:rsidRPr="008D14E1">
        <w:rPr>
          <w:sz w:val="22"/>
          <w:szCs w:val="22"/>
          <w:lang w:val="sr-Cyrl-CS"/>
        </w:rPr>
        <w:tab/>
        <w:t>The interest rate is the Reference Rate plus the Fixed Spread or such rate as may apply following a Conversion; subject to Section 3.02(e) of the General Conditions.</w:t>
      </w:r>
    </w:p>
    <w:p w:rsidR="006A5DA8" w:rsidRPr="008D14E1" w:rsidRDefault="006A5DA8" w:rsidP="006A5DA8">
      <w:pPr>
        <w:pStyle w:val="BodyText"/>
        <w:ind w:left="720" w:hanging="720"/>
        <w:rPr>
          <w:sz w:val="22"/>
          <w:szCs w:val="22"/>
          <w:lang w:val="sr-Cyrl-CS"/>
        </w:rPr>
      </w:pPr>
    </w:p>
    <w:p w:rsidR="006A5DA8" w:rsidRPr="008D14E1" w:rsidRDefault="006A5DA8" w:rsidP="006A5DA8">
      <w:pPr>
        <w:pStyle w:val="BodyText"/>
        <w:ind w:left="720" w:hanging="720"/>
        <w:rPr>
          <w:sz w:val="22"/>
          <w:szCs w:val="22"/>
          <w:lang w:val="sr-Cyrl-CS"/>
        </w:rPr>
      </w:pPr>
      <w:r w:rsidRPr="008D14E1">
        <w:rPr>
          <w:sz w:val="22"/>
          <w:szCs w:val="22"/>
          <w:lang w:val="sr-Cyrl-CS"/>
        </w:rPr>
        <w:t>2.06.</w:t>
      </w:r>
      <w:r w:rsidRPr="008D14E1">
        <w:rPr>
          <w:sz w:val="22"/>
          <w:szCs w:val="22"/>
          <w:lang w:val="sr-Cyrl-CS"/>
        </w:rPr>
        <w:tab/>
        <w:t>The Payment Dates are May 15 and November 15 in each year.</w:t>
      </w:r>
    </w:p>
    <w:p w:rsidR="006A5DA8" w:rsidRPr="008D14E1" w:rsidRDefault="006A5DA8" w:rsidP="006A5DA8">
      <w:pPr>
        <w:pStyle w:val="BodyText"/>
        <w:ind w:left="720" w:hanging="720"/>
        <w:rPr>
          <w:sz w:val="22"/>
          <w:szCs w:val="22"/>
          <w:lang w:val="sr-Cyrl-CS"/>
        </w:rPr>
      </w:pPr>
    </w:p>
    <w:p w:rsidR="006A5DA8" w:rsidRPr="008D14E1" w:rsidRDefault="006A5DA8" w:rsidP="006A5DA8">
      <w:pPr>
        <w:pStyle w:val="BodyText"/>
        <w:ind w:left="720" w:hanging="720"/>
        <w:rPr>
          <w:sz w:val="22"/>
          <w:szCs w:val="22"/>
          <w:lang w:val="sr-Cyrl-CS"/>
        </w:rPr>
      </w:pPr>
      <w:r w:rsidRPr="008D14E1">
        <w:rPr>
          <w:sz w:val="22"/>
          <w:szCs w:val="22"/>
          <w:lang w:val="sr-Cyrl-CS"/>
        </w:rPr>
        <w:t>2.07.</w:t>
      </w:r>
      <w:r w:rsidRPr="008D14E1">
        <w:rPr>
          <w:sz w:val="22"/>
          <w:szCs w:val="22"/>
          <w:lang w:val="sr-Cyrl-CS"/>
        </w:rPr>
        <w:tab/>
        <w:t>The principal amount of the Loan shall be repaid in accordance with Schedule 3 to this Agreement.</w:t>
      </w:r>
    </w:p>
    <w:p w:rsidR="008D57CD" w:rsidRPr="008D14E1" w:rsidRDefault="008D57CD"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355CF6" w:rsidRPr="008D14E1" w:rsidRDefault="00355CF6" w:rsidP="008D57CD">
      <w:pPr>
        <w:pStyle w:val="BodyText"/>
        <w:ind w:left="720" w:hanging="720"/>
        <w:rPr>
          <w:sz w:val="22"/>
          <w:szCs w:val="22"/>
          <w:lang w:val="sr-Cyrl-CS"/>
        </w:rPr>
      </w:pPr>
    </w:p>
    <w:p w:rsidR="008D57CD" w:rsidRPr="008D14E1" w:rsidRDefault="008D57CD" w:rsidP="008D57CD">
      <w:pPr>
        <w:pStyle w:val="BodyText"/>
        <w:jc w:val="center"/>
        <w:rPr>
          <w:b/>
          <w:bCs/>
          <w:sz w:val="22"/>
          <w:szCs w:val="22"/>
          <w:lang w:val="sr-Cyrl-CS"/>
        </w:rPr>
      </w:pPr>
    </w:p>
    <w:p w:rsidR="006A5DA8" w:rsidRPr="008D14E1" w:rsidRDefault="006A5DA8" w:rsidP="006A5DA8">
      <w:pPr>
        <w:pStyle w:val="BodyText"/>
        <w:jc w:val="center"/>
        <w:rPr>
          <w:b/>
          <w:bCs/>
          <w:sz w:val="22"/>
          <w:szCs w:val="22"/>
          <w:lang w:val="sr-Cyrl-CS"/>
        </w:rPr>
      </w:pPr>
      <w:r w:rsidRPr="008D14E1">
        <w:rPr>
          <w:b/>
          <w:bCs/>
          <w:sz w:val="22"/>
          <w:szCs w:val="22"/>
          <w:lang w:val="sr-Cyrl-CS"/>
        </w:rPr>
        <w:lastRenderedPageBreak/>
        <w:t>ARTICLE III — PROJECT</w:t>
      </w:r>
    </w:p>
    <w:p w:rsidR="006A5DA8" w:rsidRPr="008D14E1" w:rsidRDefault="006A5DA8" w:rsidP="006A5DA8">
      <w:pPr>
        <w:pStyle w:val="Story"/>
        <w:spacing w:line="240" w:lineRule="auto"/>
        <w:rPr>
          <w:sz w:val="22"/>
          <w:szCs w:val="22"/>
          <w:lang w:val="sr-Cyrl-CS"/>
        </w:rPr>
      </w:pPr>
    </w:p>
    <w:p w:rsidR="006A5DA8" w:rsidRPr="008D14E1" w:rsidRDefault="006A5DA8" w:rsidP="006A5DA8">
      <w:pPr>
        <w:numPr>
          <w:ilvl w:val="1"/>
          <w:numId w:val="1"/>
        </w:numPr>
        <w:tabs>
          <w:tab w:val="clear" w:pos="1320"/>
          <w:tab w:val="num" w:pos="720"/>
        </w:tabs>
        <w:spacing w:line="240" w:lineRule="auto"/>
        <w:ind w:left="720" w:hanging="720"/>
        <w:jc w:val="both"/>
        <w:rPr>
          <w:spacing w:val="-3"/>
          <w:sz w:val="22"/>
          <w:szCs w:val="22"/>
          <w:lang w:val="sr-Cyrl-CS"/>
        </w:rPr>
      </w:pPr>
      <w:r w:rsidRPr="008D14E1">
        <w:rPr>
          <w:spacing w:val="-3"/>
          <w:sz w:val="22"/>
          <w:szCs w:val="22"/>
          <w:lang w:val="sr-Cyrl-CS"/>
        </w:rPr>
        <w:t>The Borrower declares its commitment to the objectives of the Project.  To this end, the Borrower, through RGA, with the support of the Ministry of Construction, Transport and Infrastructure, shall carry out the Project, in accordance with the provisions of Article V of the General Conditions and Schedule 2 to this Agreement.</w:t>
      </w:r>
    </w:p>
    <w:p w:rsidR="006A5DA8" w:rsidRPr="008D14E1" w:rsidRDefault="006A5DA8" w:rsidP="006A5DA8">
      <w:pPr>
        <w:spacing w:after="160" w:line="259" w:lineRule="auto"/>
        <w:rPr>
          <w:b/>
          <w:bCs/>
          <w:sz w:val="22"/>
          <w:szCs w:val="22"/>
          <w:lang w:val="sr-Cyrl-CS"/>
        </w:rPr>
      </w:pPr>
    </w:p>
    <w:p w:rsidR="00EB1948" w:rsidRPr="008D14E1" w:rsidRDefault="00EB1948" w:rsidP="006A5DA8">
      <w:pPr>
        <w:spacing w:after="160" w:line="259" w:lineRule="auto"/>
        <w:rPr>
          <w:b/>
          <w:bCs/>
          <w:sz w:val="22"/>
          <w:szCs w:val="22"/>
          <w:lang w:val="sr-Cyrl-CS"/>
        </w:rPr>
      </w:pPr>
    </w:p>
    <w:p w:rsidR="006A5DA8" w:rsidRPr="008D14E1" w:rsidRDefault="006A5DA8" w:rsidP="006A5DA8">
      <w:pPr>
        <w:pStyle w:val="BodyText"/>
        <w:jc w:val="center"/>
        <w:rPr>
          <w:sz w:val="22"/>
          <w:szCs w:val="22"/>
          <w:lang w:val="sr-Cyrl-CS"/>
        </w:rPr>
      </w:pPr>
      <w:r w:rsidRPr="008D14E1">
        <w:rPr>
          <w:b/>
          <w:bCs/>
          <w:sz w:val="22"/>
          <w:szCs w:val="22"/>
          <w:lang w:val="sr-Cyrl-CS"/>
        </w:rPr>
        <w:t>ARTICLE IV — EFFECTIVENESS; TERMINATION</w:t>
      </w:r>
    </w:p>
    <w:p w:rsidR="006A5DA8" w:rsidRPr="008D14E1" w:rsidRDefault="006A5DA8" w:rsidP="006A5DA8">
      <w:pPr>
        <w:pStyle w:val="BodyText"/>
        <w:ind w:left="720" w:hanging="720"/>
        <w:rPr>
          <w:sz w:val="22"/>
          <w:szCs w:val="22"/>
          <w:lang w:val="sr-Cyrl-CS"/>
        </w:rPr>
      </w:pPr>
    </w:p>
    <w:p w:rsidR="006A5DA8" w:rsidRPr="008D14E1" w:rsidRDefault="006A5DA8" w:rsidP="006A5DA8">
      <w:pPr>
        <w:pStyle w:val="BodyText"/>
        <w:ind w:left="720" w:hanging="720"/>
        <w:rPr>
          <w:sz w:val="22"/>
          <w:szCs w:val="22"/>
          <w:lang w:val="sr-Cyrl-CS"/>
        </w:rPr>
      </w:pPr>
      <w:r w:rsidRPr="008D14E1">
        <w:rPr>
          <w:sz w:val="22"/>
          <w:szCs w:val="22"/>
          <w:lang w:val="sr-Cyrl-CS"/>
        </w:rPr>
        <w:t>4.01.</w:t>
      </w:r>
      <w:r w:rsidRPr="008D14E1">
        <w:rPr>
          <w:sz w:val="22"/>
          <w:szCs w:val="22"/>
          <w:lang w:val="sr-Cyrl-CS"/>
        </w:rPr>
        <w:tab/>
        <w:t>The Effectiveness Deadline is the date one hundred and eighty days (180) days after the Signature Date.</w:t>
      </w:r>
    </w:p>
    <w:p w:rsidR="006A5DA8" w:rsidRPr="008D14E1" w:rsidRDefault="006A5DA8" w:rsidP="006A5DA8">
      <w:pPr>
        <w:spacing w:after="160" w:line="259" w:lineRule="auto"/>
        <w:rPr>
          <w:b/>
          <w:bCs/>
          <w:sz w:val="22"/>
          <w:szCs w:val="22"/>
          <w:lang w:val="sr-Cyrl-CS"/>
        </w:rPr>
      </w:pPr>
    </w:p>
    <w:p w:rsidR="006A5DA8" w:rsidRPr="008D14E1" w:rsidRDefault="006A5DA8" w:rsidP="006A5DA8">
      <w:pPr>
        <w:pStyle w:val="BodyText"/>
        <w:jc w:val="center"/>
        <w:rPr>
          <w:sz w:val="22"/>
          <w:szCs w:val="22"/>
          <w:lang w:val="sr-Cyrl-CS"/>
        </w:rPr>
      </w:pPr>
      <w:r w:rsidRPr="008D14E1">
        <w:rPr>
          <w:b/>
          <w:bCs/>
          <w:sz w:val="22"/>
          <w:szCs w:val="22"/>
          <w:lang w:val="sr-Cyrl-CS"/>
        </w:rPr>
        <w:t>ARTICLE V — REPRESENTATIVE; ADDRESSES</w:t>
      </w:r>
    </w:p>
    <w:p w:rsidR="006A5DA8" w:rsidRPr="008D14E1" w:rsidRDefault="006A5DA8" w:rsidP="006A5DA8">
      <w:pPr>
        <w:pStyle w:val="BodyText"/>
        <w:jc w:val="center"/>
        <w:rPr>
          <w:sz w:val="22"/>
          <w:szCs w:val="22"/>
          <w:lang w:val="sr-Cyrl-CS"/>
        </w:rPr>
      </w:pPr>
    </w:p>
    <w:p w:rsidR="006A5DA8" w:rsidRPr="008D14E1" w:rsidRDefault="006A5DA8" w:rsidP="006A5DA8">
      <w:pPr>
        <w:pStyle w:val="BodyText"/>
        <w:ind w:left="720" w:hanging="720"/>
        <w:rPr>
          <w:spacing w:val="-4"/>
          <w:sz w:val="22"/>
          <w:szCs w:val="22"/>
          <w:lang w:val="sr-Cyrl-CS"/>
        </w:rPr>
      </w:pPr>
      <w:r w:rsidRPr="008D14E1">
        <w:rPr>
          <w:sz w:val="22"/>
          <w:szCs w:val="22"/>
          <w:lang w:val="sr-Cyrl-CS"/>
        </w:rPr>
        <w:t>5.01.</w:t>
      </w:r>
      <w:r w:rsidRPr="008D14E1">
        <w:rPr>
          <w:sz w:val="22"/>
          <w:szCs w:val="22"/>
          <w:lang w:val="sr-Cyrl-CS"/>
        </w:rPr>
        <w:tab/>
      </w:r>
      <w:r w:rsidRPr="008D14E1">
        <w:rPr>
          <w:spacing w:val="-5"/>
          <w:sz w:val="22"/>
          <w:szCs w:val="22"/>
          <w:lang w:val="sr-Cyrl-CS"/>
        </w:rPr>
        <w:t xml:space="preserve">The Borrower’s Representative, who, </w:t>
      </w:r>
      <w:r w:rsidRPr="008D14E1">
        <w:rPr>
          <w:i/>
          <w:spacing w:val="-5"/>
          <w:sz w:val="22"/>
          <w:szCs w:val="22"/>
          <w:lang w:val="sr-Cyrl-CS"/>
        </w:rPr>
        <w:t>inter alia</w:t>
      </w:r>
      <w:r w:rsidRPr="008D14E1">
        <w:rPr>
          <w:spacing w:val="-5"/>
          <w:sz w:val="22"/>
          <w:szCs w:val="22"/>
          <w:lang w:val="sr-Cyrl-CS"/>
        </w:rPr>
        <w:t>, may agree to modification of the provisions of this Agreement on behalf of the Borrower through exchange of letters (unless otherwise determined by the Borrower and the Bank), is its Minister of Finance.</w:t>
      </w:r>
    </w:p>
    <w:p w:rsidR="006A5DA8" w:rsidRPr="008D14E1" w:rsidRDefault="006A5DA8" w:rsidP="006A5DA8">
      <w:pPr>
        <w:pStyle w:val="BodyText"/>
        <w:ind w:left="720" w:hanging="720"/>
        <w:rPr>
          <w:sz w:val="22"/>
          <w:szCs w:val="22"/>
          <w:lang w:val="sr-Cyrl-CS"/>
        </w:rPr>
      </w:pPr>
    </w:p>
    <w:p w:rsidR="006A5DA8" w:rsidRPr="008D14E1" w:rsidRDefault="006A5DA8" w:rsidP="006A5DA8">
      <w:pPr>
        <w:pStyle w:val="BodyText"/>
        <w:ind w:left="720" w:hanging="720"/>
        <w:rPr>
          <w:sz w:val="22"/>
          <w:szCs w:val="22"/>
          <w:lang w:val="sr-Cyrl-CS"/>
        </w:rPr>
      </w:pPr>
      <w:r w:rsidRPr="008D14E1">
        <w:rPr>
          <w:sz w:val="22"/>
          <w:szCs w:val="22"/>
          <w:lang w:val="sr-Cyrl-CS"/>
        </w:rPr>
        <w:t>5.02.</w:t>
      </w:r>
      <w:r w:rsidRPr="008D14E1">
        <w:rPr>
          <w:sz w:val="22"/>
          <w:szCs w:val="22"/>
          <w:lang w:val="sr-Cyrl-CS"/>
        </w:rPr>
        <w:tab/>
        <w:t>For purposes of Section 10.01 of the General Conditions: (a) the Borrower’s address is:</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ind w:left="1440"/>
        <w:rPr>
          <w:sz w:val="22"/>
          <w:szCs w:val="22"/>
          <w:lang w:val="sr-Cyrl-CS"/>
        </w:rPr>
      </w:pPr>
      <w:r w:rsidRPr="008D14E1">
        <w:rPr>
          <w:sz w:val="22"/>
          <w:szCs w:val="22"/>
          <w:lang w:val="sr-Cyrl-CS"/>
        </w:rPr>
        <w:t>Ministry of Finance</w:t>
      </w:r>
    </w:p>
    <w:p w:rsidR="006A5DA8" w:rsidRPr="008D14E1" w:rsidRDefault="006A5DA8" w:rsidP="006A5DA8">
      <w:pPr>
        <w:pStyle w:val="BodyText"/>
        <w:ind w:left="1440"/>
        <w:rPr>
          <w:sz w:val="22"/>
          <w:szCs w:val="22"/>
          <w:lang w:val="sr-Cyrl-CS"/>
        </w:rPr>
      </w:pPr>
      <w:r w:rsidRPr="008D14E1">
        <w:rPr>
          <w:sz w:val="22"/>
          <w:szCs w:val="22"/>
          <w:lang w:val="sr-Cyrl-CS"/>
        </w:rPr>
        <w:t>20 Kneza Milosa St.</w:t>
      </w:r>
    </w:p>
    <w:p w:rsidR="006A5DA8" w:rsidRPr="008D14E1" w:rsidRDefault="006A5DA8" w:rsidP="006A5DA8">
      <w:pPr>
        <w:pStyle w:val="BodyText"/>
        <w:ind w:left="1440"/>
        <w:rPr>
          <w:sz w:val="22"/>
          <w:szCs w:val="22"/>
          <w:lang w:val="sr-Cyrl-CS"/>
        </w:rPr>
      </w:pPr>
      <w:r w:rsidRPr="008D14E1">
        <w:rPr>
          <w:sz w:val="22"/>
          <w:szCs w:val="22"/>
          <w:lang w:val="sr-Cyrl-CS"/>
        </w:rPr>
        <w:t>11000 Belgrade</w:t>
      </w:r>
    </w:p>
    <w:p w:rsidR="006A5DA8" w:rsidRPr="008D14E1" w:rsidRDefault="006A5DA8" w:rsidP="006A5DA8">
      <w:pPr>
        <w:pStyle w:val="BodyText"/>
        <w:ind w:left="1440"/>
        <w:rPr>
          <w:sz w:val="22"/>
          <w:szCs w:val="22"/>
          <w:lang w:val="sr-Cyrl-CS"/>
        </w:rPr>
      </w:pPr>
      <w:r w:rsidRPr="008D14E1">
        <w:rPr>
          <w:sz w:val="22"/>
          <w:szCs w:val="22"/>
          <w:lang w:val="sr-Cyrl-CS"/>
        </w:rPr>
        <w:t>Republic of Serbia; and</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ind w:left="720"/>
        <w:rPr>
          <w:sz w:val="22"/>
          <w:szCs w:val="22"/>
          <w:lang w:val="sr-Cyrl-CS"/>
        </w:rPr>
      </w:pPr>
      <w:r w:rsidRPr="008D14E1">
        <w:rPr>
          <w:sz w:val="22"/>
          <w:szCs w:val="22"/>
          <w:lang w:val="sr-Cyrl-CS"/>
        </w:rPr>
        <w:t>(b) the Borrower’s Electronic Address is:</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ind w:left="1440"/>
        <w:rPr>
          <w:sz w:val="22"/>
          <w:szCs w:val="22"/>
          <w:lang w:val="sr-Cyrl-CS"/>
        </w:rPr>
      </w:pPr>
      <w:r w:rsidRPr="008D14E1">
        <w:rPr>
          <w:sz w:val="22"/>
          <w:szCs w:val="22"/>
          <w:lang w:val="sr-Cyrl-CS"/>
        </w:rPr>
        <w:t>Facsimile:</w:t>
      </w:r>
      <w:r w:rsidRPr="008D14E1">
        <w:rPr>
          <w:sz w:val="22"/>
          <w:szCs w:val="22"/>
          <w:lang w:val="sr-Cyrl-CS"/>
        </w:rPr>
        <w:tab/>
      </w:r>
      <w:r w:rsidRPr="008D14E1">
        <w:rPr>
          <w:sz w:val="22"/>
          <w:szCs w:val="22"/>
          <w:lang w:val="sr-Cyrl-CS"/>
        </w:rPr>
        <w:tab/>
        <w:t>E-mail:</w:t>
      </w:r>
    </w:p>
    <w:p w:rsidR="006A5DA8" w:rsidRPr="008D14E1" w:rsidRDefault="006A5DA8" w:rsidP="006A5DA8">
      <w:pPr>
        <w:pStyle w:val="BodyText"/>
        <w:ind w:left="1440"/>
        <w:rPr>
          <w:sz w:val="22"/>
          <w:szCs w:val="22"/>
          <w:lang w:val="sr-Cyrl-CS"/>
        </w:rPr>
      </w:pPr>
      <w:r w:rsidRPr="008D14E1">
        <w:rPr>
          <w:sz w:val="22"/>
          <w:szCs w:val="22"/>
          <w:lang w:val="sr-Cyrl-CS"/>
        </w:rPr>
        <w:t>(381-11) 3618-961</w:t>
      </w:r>
      <w:r w:rsidRPr="008D14E1">
        <w:rPr>
          <w:sz w:val="22"/>
          <w:szCs w:val="22"/>
          <w:lang w:val="sr-Cyrl-CS"/>
        </w:rPr>
        <w:tab/>
      </w:r>
      <w:hyperlink r:id="rId19" w:history="1">
        <w:r w:rsidRPr="008D14E1">
          <w:rPr>
            <w:rStyle w:val="Hyperlink"/>
            <w:color w:val="auto"/>
            <w:sz w:val="22"/>
            <w:szCs w:val="22"/>
            <w:lang w:val="sr-Cyrl-CS"/>
          </w:rPr>
          <w:t>kabinet@mfin.gov.rs</w:t>
        </w:r>
      </w:hyperlink>
    </w:p>
    <w:p w:rsidR="006A5DA8" w:rsidRPr="008D14E1" w:rsidRDefault="006A5DA8" w:rsidP="006A5DA8">
      <w:pPr>
        <w:pStyle w:val="BodyText"/>
        <w:rPr>
          <w:sz w:val="22"/>
          <w:szCs w:val="22"/>
          <w:lang w:val="sr-Cyrl-CS"/>
        </w:rPr>
      </w:pPr>
    </w:p>
    <w:p w:rsidR="006A5DA8" w:rsidRPr="008D14E1" w:rsidRDefault="006A5DA8" w:rsidP="006A5DA8">
      <w:pPr>
        <w:pStyle w:val="BodyText"/>
        <w:rPr>
          <w:spacing w:val="-3"/>
          <w:sz w:val="22"/>
          <w:szCs w:val="22"/>
          <w:lang w:val="sr-Cyrl-CS"/>
        </w:rPr>
      </w:pPr>
      <w:r w:rsidRPr="008D14E1">
        <w:rPr>
          <w:sz w:val="22"/>
          <w:szCs w:val="22"/>
          <w:lang w:val="sr-Cyrl-CS"/>
        </w:rPr>
        <w:t>5.03.</w:t>
      </w:r>
      <w:r w:rsidRPr="008D14E1">
        <w:rPr>
          <w:sz w:val="22"/>
          <w:szCs w:val="22"/>
          <w:lang w:val="sr-Cyrl-CS"/>
        </w:rPr>
        <w:tab/>
      </w:r>
      <w:r w:rsidRPr="008D14E1">
        <w:rPr>
          <w:spacing w:val="-3"/>
          <w:sz w:val="22"/>
          <w:szCs w:val="22"/>
          <w:lang w:val="sr-Cyrl-CS"/>
        </w:rPr>
        <w:t>For purposes of Section 10.01 of the General Conditions: (a) the Bank’s address is:</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ind w:left="1440"/>
        <w:rPr>
          <w:sz w:val="22"/>
          <w:szCs w:val="22"/>
          <w:lang w:val="sr-Cyrl-CS"/>
        </w:rPr>
      </w:pPr>
      <w:r w:rsidRPr="008D14E1">
        <w:rPr>
          <w:sz w:val="22"/>
          <w:szCs w:val="22"/>
          <w:lang w:val="sr-Cyrl-CS"/>
        </w:rPr>
        <w:t>International Bank for Reconstruction and Development</w:t>
      </w:r>
    </w:p>
    <w:p w:rsidR="006A5DA8" w:rsidRPr="008D14E1" w:rsidRDefault="006A5DA8" w:rsidP="006A5DA8">
      <w:pPr>
        <w:pStyle w:val="BodyText"/>
        <w:ind w:left="1440"/>
        <w:rPr>
          <w:sz w:val="22"/>
          <w:szCs w:val="22"/>
          <w:lang w:val="sr-Cyrl-CS"/>
        </w:rPr>
      </w:pPr>
      <w:r w:rsidRPr="008D14E1">
        <w:rPr>
          <w:sz w:val="22"/>
          <w:szCs w:val="22"/>
          <w:lang w:val="sr-Cyrl-CS"/>
        </w:rPr>
        <w:t>1818 H Street, N.W.</w:t>
      </w:r>
    </w:p>
    <w:p w:rsidR="006A5DA8" w:rsidRPr="008D14E1" w:rsidRDefault="006A5DA8" w:rsidP="006A5DA8">
      <w:pPr>
        <w:pStyle w:val="BodyText"/>
        <w:ind w:left="1440"/>
        <w:rPr>
          <w:sz w:val="22"/>
          <w:szCs w:val="22"/>
          <w:lang w:val="sr-Cyrl-CS"/>
        </w:rPr>
      </w:pPr>
      <w:r w:rsidRPr="008D14E1">
        <w:rPr>
          <w:sz w:val="22"/>
          <w:szCs w:val="22"/>
          <w:lang w:val="sr-Cyrl-CS"/>
        </w:rPr>
        <w:t>Washington, D.C. 20433</w:t>
      </w:r>
    </w:p>
    <w:p w:rsidR="006A5DA8" w:rsidRPr="008D14E1" w:rsidRDefault="006A5DA8" w:rsidP="006A5DA8">
      <w:pPr>
        <w:pStyle w:val="BodyText"/>
        <w:ind w:left="1440"/>
        <w:rPr>
          <w:sz w:val="22"/>
          <w:szCs w:val="22"/>
          <w:lang w:val="sr-Cyrl-CS"/>
        </w:rPr>
      </w:pPr>
      <w:r w:rsidRPr="008D14E1">
        <w:rPr>
          <w:sz w:val="22"/>
          <w:szCs w:val="22"/>
          <w:lang w:val="sr-Cyrl-CS"/>
        </w:rPr>
        <w:t>United States of America; and</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ind w:left="720"/>
        <w:rPr>
          <w:sz w:val="22"/>
          <w:szCs w:val="22"/>
          <w:lang w:val="sr-Cyrl-CS"/>
        </w:rPr>
      </w:pPr>
      <w:r w:rsidRPr="008D14E1">
        <w:rPr>
          <w:sz w:val="22"/>
          <w:szCs w:val="22"/>
          <w:lang w:val="sr-Cyrl-CS"/>
        </w:rPr>
        <w:t>(b) the Bank’s Electronic Address is:</w:t>
      </w:r>
    </w:p>
    <w:p w:rsidR="006A5DA8" w:rsidRPr="008D14E1" w:rsidRDefault="006A5DA8" w:rsidP="006A5DA8">
      <w:pPr>
        <w:pStyle w:val="BodyText"/>
        <w:ind w:left="720"/>
        <w:rPr>
          <w:sz w:val="22"/>
          <w:szCs w:val="22"/>
          <w:lang w:val="sr-Cyrl-CS"/>
        </w:rPr>
      </w:pPr>
    </w:p>
    <w:p w:rsidR="006A5DA8" w:rsidRPr="008D14E1" w:rsidRDefault="006A5DA8" w:rsidP="006A5DA8">
      <w:pPr>
        <w:pStyle w:val="BodyText"/>
        <w:tabs>
          <w:tab w:val="left" w:pos="3060"/>
        </w:tabs>
        <w:ind w:left="1440"/>
        <w:rPr>
          <w:sz w:val="22"/>
          <w:szCs w:val="22"/>
          <w:lang w:val="sr-Cyrl-CS"/>
        </w:rPr>
      </w:pPr>
      <w:r w:rsidRPr="008D14E1">
        <w:rPr>
          <w:sz w:val="22"/>
          <w:szCs w:val="22"/>
          <w:lang w:val="sr-Cyrl-CS"/>
        </w:rPr>
        <w:t>Telex:</w:t>
      </w:r>
      <w:r w:rsidRPr="008D14E1">
        <w:rPr>
          <w:sz w:val="22"/>
          <w:szCs w:val="22"/>
          <w:lang w:val="sr-Cyrl-CS"/>
        </w:rPr>
        <w:tab/>
        <w:t>Facsimile:</w:t>
      </w:r>
      <w:r w:rsidRPr="008D14E1">
        <w:rPr>
          <w:sz w:val="22"/>
          <w:szCs w:val="22"/>
          <w:lang w:val="sr-Cyrl-CS"/>
        </w:rPr>
        <w:tab/>
      </w:r>
      <w:r w:rsidRPr="008D14E1">
        <w:rPr>
          <w:sz w:val="22"/>
          <w:szCs w:val="22"/>
          <w:lang w:val="sr-Cyrl-CS"/>
        </w:rPr>
        <w:tab/>
        <w:t>E-mail:</w:t>
      </w:r>
    </w:p>
    <w:p w:rsidR="006A5DA8" w:rsidRPr="008D14E1" w:rsidRDefault="006A5DA8" w:rsidP="006A5DA8">
      <w:pPr>
        <w:pStyle w:val="BodyText"/>
        <w:ind w:left="1440"/>
        <w:rPr>
          <w:sz w:val="22"/>
          <w:szCs w:val="22"/>
          <w:lang w:val="sr-Cyrl-CS"/>
        </w:rPr>
      </w:pPr>
    </w:p>
    <w:p w:rsidR="006A5DA8" w:rsidRPr="008D14E1" w:rsidRDefault="006A5DA8" w:rsidP="006A5DA8">
      <w:pPr>
        <w:pStyle w:val="BodyText"/>
        <w:tabs>
          <w:tab w:val="left" w:pos="3060"/>
          <w:tab w:val="left" w:pos="4770"/>
        </w:tabs>
        <w:ind w:left="1440"/>
        <w:rPr>
          <w:sz w:val="22"/>
          <w:szCs w:val="22"/>
          <w:lang w:val="sr-Cyrl-CS"/>
        </w:rPr>
      </w:pPr>
      <w:r w:rsidRPr="008D14E1">
        <w:rPr>
          <w:sz w:val="22"/>
          <w:szCs w:val="22"/>
          <w:lang w:val="sr-Cyrl-CS"/>
        </w:rPr>
        <w:t>248423(MCI) or</w:t>
      </w:r>
      <w:r w:rsidRPr="008D14E1">
        <w:rPr>
          <w:sz w:val="22"/>
          <w:szCs w:val="22"/>
          <w:lang w:val="sr-Cyrl-CS"/>
        </w:rPr>
        <w:tab/>
        <w:t>1-202-477-6391</w:t>
      </w:r>
      <w:r w:rsidRPr="008D14E1">
        <w:rPr>
          <w:sz w:val="22"/>
          <w:szCs w:val="22"/>
          <w:lang w:val="sr-Cyrl-CS"/>
        </w:rPr>
        <w:tab/>
      </w:r>
      <w:r w:rsidRPr="008D14E1">
        <w:rPr>
          <w:sz w:val="22"/>
          <w:szCs w:val="22"/>
          <w:lang w:val="sr-Cyrl-CS"/>
        </w:rPr>
        <w:tab/>
        <w:t>sndegwa@worldbank.org</w:t>
      </w:r>
    </w:p>
    <w:p w:rsidR="006A5DA8" w:rsidRPr="008D14E1" w:rsidRDefault="006A5DA8" w:rsidP="006A5DA8">
      <w:pPr>
        <w:pStyle w:val="BodyText"/>
        <w:ind w:left="1440"/>
        <w:rPr>
          <w:sz w:val="22"/>
          <w:szCs w:val="22"/>
          <w:lang w:val="sr-Cyrl-CS"/>
        </w:rPr>
      </w:pPr>
      <w:r w:rsidRPr="008D14E1">
        <w:rPr>
          <w:sz w:val="22"/>
          <w:szCs w:val="22"/>
          <w:lang w:val="sr-Cyrl-CS"/>
        </w:rPr>
        <w:t xml:space="preserve">  64145(MCI)</w:t>
      </w:r>
    </w:p>
    <w:p w:rsidR="008D57CD" w:rsidRPr="008D14E1" w:rsidRDefault="008D57CD" w:rsidP="008D57CD">
      <w:pPr>
        <w:pStyle w:val="BodyText"/>
        <w:rPr>
          <w:sz w:val="22"/>
          <w:szCs w:val="22"/>
          <w:lang w:val="sr-Cyrl-CS"/>
        </w:rPr>
      </w:pPr>
    </w:p>
    <w:p w:rsidR="00B96E3B" w:rsidRPr="008D14E1" w:rsidRDefault="00B96E3B" w:rsidP="008D57CD">
      <w:pPr>
        <w:pStyle w:val="BodyText"/>
        <w:rPr>
          <w:sz w:val="22"/>
          <w:szCs w:val="22"/>
          <w:lang w:val="sr-Cyrl-CS"/>
        </w:rPr>
      </w:pPr>
    </w:p>
    <w:p w:rsidR="00B96E3B" w:rsidRPr="008D14E1" w:rsidRDefault="00B96E3B" w:rsidP="008D57CD">
      <w:pPr>
        <w:pStyle w:val="BodyText"/>
        <w:rPr>
          <w:sz w:val="22"/>
          <w:szCs w:val="22"/>
          <w:lang w:val="sr-Cyrl-CS"/>
        </w:rPr>
      </w:pPr>
    </w:p>
    <w:p w:rsidR="00D4645C" w:rsidRPr="008D14E1" w:rsidRDefault="00D4645C" w:rsidP="008D57CD">
      <w:pPr>
        <w:pStyle w:val="BodyText"/>
        <w:rPr>
          <w:sz w:val="22"/>
          <w:szCs w:val="22"/>
          <w:lang w:val="sr-Cyrl-CS"/>
        </w:rPr>
      </w:pPr>
    </w:p>
    <w:p w:rsidR="00B96E3B" w:rsidRPr="008D14E1" w:rsidRDefault="00B96E3B" w:rsidP="008D57CD">
      <w:pPr>
        <w:pStyle w:val="BodyText"/>
        <w:rPr>
          <w:sz w:val="22"/>
          <w:szCs w:val="22"/>
          <w:lang w:val="sr-Cyrl-CS"/>
        </w:rPr>
      </w:pPr>
    </w:p>
    <w:p w:rsidR="00B96E3B" w:rsidRPr="008D14E1" w:rsidRDefault="00B96E3B" w:rsidP="00C6347D">
      <w:pPr>
        <w:spacing w:line="240" w:lineRule="auto"/>
        <w:rPr>
          <w:sz w:val="22"/>
          <w:szCs w:val="22"/>
          <w:lang w:val="sr-Cyrl-CS"/>
        </w:rPr>
      </w:pPr>
    </w:p>
    <w:p w:rsidR="008D57CD" w:rsidRPr="008D14E1" w:rsidRDefault="008D57CD" w:rsidP="00961CE5">
      <w:pPr>
        <w:tabs>
          <w:tab w:val="left" w:pos="2127"/>
        </w:tabs>
        <w:spacing w:line="240" w:lineRule="auto"/>
        <w:rPr>
          <w:sz w:val="22"/>
          <w:szCs w:val="22"/>
          <w:lang w:val="sr-Cyrl-CS"/>
        </w:rPr>
      </w:pPr>
      <w:r w:rsidRPr="008D14E1">
        <w:rPr>
          <w:sz w:val="22"/>
          <w:szCs w:val="22"/>
          <w:lang w:val="sr-Cyrl-CS"/>
        </w:rPr>
        <w:t>AGREED and signed in English as of the Signature Date.</w:t>
      </w:r>
    </w:p>
    <w:p w:rsidR="008D57CD" w:rsidRPr="008D14E1" w:rsidRDefault="008D57CD" w:rsidP="008D57CD">
      <w:pPr>
        <w:pStyle w:val="BodyText"/>
        <w:rPr>
          <w:sz w:val="22"/>
          <w:szCs w:val="22"/>
          <w:lang w:val="sr-Cyrl-CS"/>
        </w:rPr>
      </w:pPr>
    </w:p>
    <w:p w:rsidR="008D57CD" w:rsidRPr="008D14E1" w:rsidRDefault="008D57CD" w:rsidP="00961CE5">
      <w:pPr>
        <w:pStyle w:val="BodyText"/>
        <w:tabs>
          <w:tab w:val="left" w:pos="2127"/>
        </w:tabs>
        <w:rPr>
          <w:sz w:val="22"/>
          <w:szCs w:val="22"/>
          <w:lang w:val="sr-Cyrl-CS"/>
        </w:rPr>
      </w:pPr>
    </w:p>
    <w:p w:rsidR="008D57CD" w:rsidRPr="008D14E1" w:rsidRDefault="008919BC" w:rsidP="00DA7AD3">
      <w:pPr>
        <w:pStyle w:val="BodyText"/>
        <w:tabs>
          <w:tab w:val="left" w:pos="2268"/>
        </w:tabs>
        <w:rPr>
          <w:b/>
          <w:sz w:val="22"/>
          <w:szCs w:val="22"/>
          <w:lang w:val="sr-Cyrl-CS"/>
        </w:rPr>
      </w:pPr>
      <w:r w:rsidRPr="008D14E1">
        <w:rPr>
          <w:b/>
          <w:sz w:val="22"/>
          <w:szCs w:val="22"/>
          <w:lang w:val="sr-Cyrl-CS"/>
        </w:rPr>
        <w:t xml:space="preserve">                                      </w:t>
      </w:r>
      <w:r w:rsidR="008D57CD" w:rsidRPr="008D14E1">
        <w:rPr>
          <w:b/>
          <w:sz w:val="22"/>
          <w:szCs w:val="22"/>
          <w:lang w:val="sr-Cyrl-CS"/>
        </w:rPr>
        <w:t>REPUBLIC OF SERBIA</w:t>
      </w:r>
    </w:p>
    <w:p w:rsidR="008D57CD" w:rsidRPr="008D14E1" w:rsidRDefault="008D57CD" w:rsidP="008D57CD">
      <w:pPr>
        <w:spacing w:line="240" w:lineRule="auto"/>
        <w:rPr>
          <w:b/>
          <w:sz w:val="22"/>
          <w:szCs w:val="22"/>
          <w:lang w:val="sr-Cyrl-CS"/>
        </w:rPr>
      </w:pPr>
    </w:p>
    <w:p w:rsidR="008D57CD" w:rsidRPr="008D14E1" w:rsidRDefault="008D57CD" w:rsidP="008D57CD">
      <w:pPr>
        <w:spacing w:line="240" w:lineRule="auto"/>
        <w:rPr>
          <w:b/>
          <w:sz w:val="22"/>
          <w:szCs w:val="22"/>
          <w:lang w:val="sr-Cyrl-CS"/>
        </w:rPr>
      </w:pPr>
    </w:p>
    <w:p w:rsidR="008D57CD" w:rsidRPr="008D14E1" w:rsidRDefault="008919BC" w:rsidP="008919BC">
      <w:pPr>
        <w:pStyle w:val="BodyText"/>
        <w:rPr>
          <w:b/>
          <w:sz w:val="22"/>
          <w:szCs w:val="22"/>
          <w:lang w:val="sr-Cyrl-CS"/>
        </w:rPr>
      </w:pPr>
      <w:r w:rsidRPr="008D14E1">
        <w:rPr>
          <w:b/>
          <w:sz w:val="22"/>
          <w:szCs w:val="22"/>
          <w:lang w:val="sr-Cyrl-CS"/>
        </w:rPr>
        <w:t xml:space="preserve">                                      </w:t>
      </w:r>
      <w:r w:rsidR="008D57CD" w:rsidRPr="008D14E1">
        <w:rPr>
          <w:b/>
          <w:sz w:val="22"/>
          <w:szCs w:val="22"/>
          <w:lang w:val="sr-Cyrl-CS"/>
        </w:rPr>
        <w:t>By</w:t>
      </w:r>
    </w:p>
    <w:p w:rsidR="008D57CD" w:rsidRPr="008D14E1" w:rsidRDefault="00671490" w:rsidP="00671490">
      <w:pPr>
        <w:tabs>
          <w:tab w:val="left" w:pos="3119"/>
          <w:tab w:val="left" w:pos="3402"/>
        </w:tabs>
        <w:spacing w:line="240" w:lineRule="auto"/>
        <w:jc w:val="center"/>
        <w:rPr>
          <w:b/>
          <w:sz w:val="22"/>
          <w:szCs w:val="22"/>
          <w:lang w:val="sr-Cyrl-CS"/>
        </w:rPr>
      </w:pPr>
      <w:r>
        <w:rPr>
          <w:b/>
          <w:sz w:val="22"/>
          <w:szCs w:val="22"/>
        </w:rPr>
        <w:t xml:space="preserve">                                                       </w:t>
      </w:r>
      <w:r w:rsidR="008D57CD" w:rsidRPr="008D14E1">
        <w:rPr>
          <w:b/>
          <w:sz w:val="22"/>
          <w:szCs w:val="22"/>
          <w:lang w:val="sr-Cyrl-CS"/>
        </w:rPr>
        <w:t>_____________________________________</w:t>
      </w:r>
    </w:p>
    <w:p w:rsidR="008D57CD" w:rsidRPr="008D14E1" w:rsidRDefault="008D57CD" w:rsidP="008D57CD">
      <w:pPr>
        <w:pStyle w:val="BodyText"/>
        <w:rPr>
          <w:b/>
          <w:sz w:val="22"/>
          <w:szCs w:val="22"/>
          <w:lang w:val="sr-Cyrl-CS"/>
        </w:rPr>
      </w:pPr>
      <w:r w:rsidRPr="008D14E1">
        <w:rPr>
          <w:b/>
          <w:sz w:val="22"/>
          <w:szCs w:val="22"/>
          <w:lang w:val="sr-Cyrl-CS"/>
        </w:rPr>
        <w:t xml:space="preserve">                                                                                Authorized Representative</w:t>
      </w:r>
    </w:p>
    <w:p w:rsidR="008D57CD" w:rsidRPr="008D14E1" w:rsidRDefault="008D57CD" w:rsidP="008D57CD">
      <w:pPr>
        <w:pStyle w:val="BodyText"/>
        <w:rPr>
          <w:b/>
          <w:sz w:val="22"/>
          <w:szCs w:val="22"/>
          <w:lang w:val="sr-Cyrl-CS"/>
        </w:rPr>
      </w:pPr>
    </w:p>
    <w:p w:rsidR="008D57CD" w:rsidRPr="008D14E1" w:rsidRDefault="000B4ADE" w:rsidP="00DA7AD3">
      <w:pPr>
        <w:tabs>
          <w:tab w:val="left" w:pos="3402"/>
        </w:tabs>
        <w:spacing w:line="240" w:lineRule="auto"/>
        <w:jc w:val="center"/>
        <w:rPr>
          <w:sz w:val="22"/>
          <w:szCs w:val="22"/>
          <w:lang w:val="sr-Cyrl-CS"/>
        </w:rPr>
      </w:pPr>
      <w:r w:rsidRPr="008D14E1">
        <w:rPr>
          <w:b/>
          <w:sz w:val="22"/>
          <w:szCs w:val="22"/>
          <w:lang w:val="sr-Cyrl-CS"/>
        </w:rPr>
        <w:t xml:space="preserve">     </w:t>
      </w:r>
      <w:r w:rsidR="00671490">
        <w:rPr>
          <w:b/>
          <w:sz w:val="22"/>
          <w:szCs w:val="22"/>
          <w:lang w:val="sr-Cyrl-CS"/>
        </w:rPr>
        <w:t xml:space="preserve">                 </w:t>
      </w:r>
      <w:r w:rsidR="00671490">
        <w:rPr>
          <w:b/>
          <w:sz w:val="22"/>
          <w:szCs w:val="22"/>
        </w:rPr>
        <w:t xml:space="preserve"> </w:t>
      </w:r>
      <w:r w:rsidRPr="008D14E1">
        <w:rPr>
          <w:b/>
          <w:sz w:val="22"/>
          <w:szCs w:val="22"/>
          <w:lang w:val="sr-Cyrl-CS"/>
        </w:rPr>
        <w:t xml:space="preserve">Name: </w:t>
      </w:r>
      <w:r w:rsidR="00D4645C" w:rsidRPr="00E7738F">
        <w:rPr>
          <w:b/>
          <w:bCs/>
          <w:sz w:val="22"/>
          <w:szCs w:val="22"/>
          <w:lang w:val="sr-Cyrl-CS"/>
        </w:rPr>
        <w:t>SINIŠA MALI</w:t>
      </w:r>
      <w:r w:rsidR="00D4645C" w:rsidRPr="008D14E1">
        <w:rPr>
          <w:b/>
          <w:bCs/>
          <w:lang w:val="sr-Cyrl-CS"/>
        </w:rPr>
        <w:t> </w:t>
      </w:r>
      <w:r w:rsidR="00D4645C" w:rsidRPr="008D14E1">
        <w:rPr>
          <w:bCs/>
          <w:lang w:val="sr-Cyrl-CS"/>
        </w:rPr>
        <w:t>    </w:t>
      </w:r>
    </w:p>
    <w:p w:rsidR="008D57CD" w:rsidRPr="008D14E1" w:rsidRDefault="008D57CD" w:rsidP="008D57CD">
      <w:pPr>
        <w:spacing w:line="240" w:lineRule="auto"/>
        <w:jc w:val="right"/>
        <w:rPr>
          <w:b/>
          <w:sz w:val="22"/>
          <w:szCs w:val="22"/>
          <w:lang w:val="sr-Cyrl-CS"/>
        </w:rPr>
      </w:pPr>
    </w:p>
    <w:p w:rsidR="008D57CD" w:rsidRPr="008D14E1" w:rsidRDefault="000B4ADE" w:rsidP="00671490">
      <w:pPr>
        <w:tabs>
          <w:tab w:val="left" w:pos="3402"/>
        </w:tabs>
        <w:spacing w:line="240" w:lineRule="auto"/>
        <w:jc w:val="center"/>
        <w:rPr>
          <w:b/>
          <w:sz w:val="22"/>
          <w:szCs w:val="22"/>
          <w:lang w:val="sr-Cyrl-CS"/>
        </w:rPr>
      </w:pPr>
      <w:r w:rsidRPr="008D14E1">
        <w:rPr>
          <w:b/>
          <w:sz w:val="22"/>
          <w:szCs w:val="22"/>
          <w:lang w:val="sr-Cyrl-CS"/>
        </w:rPr>
        <w:t xml:space="preserve">            </w:t>
      </w:r>
      <w:r w:rsidR="00671490">
        <w:rPr>
          <w:b/>
          <w:sz w:val="22"/>
          <w:szCs w:val="22"/>
          <w:lang w:val="sr-Cyrl-CS"/>
        </w:rPr>
        <w:t xml:space="preserve">                   </w:t>
      </w:r>
      <w:r w:rsidR="00671490">
        <w:rPr>
          <w:b/>
          <w:sz w:val="22"/>
          <w:szCs w:val="22"/>
        </w:rPr>
        <w:t xml:space="preserve">  </w:t>
      </w:r>
      <w:r w:rsidR="00D4645C" w:rsidRPr="008D14E1">
        <w:rPr>
          <w:b/>
          <w:sz w:val="22"/>
          <w:szCs w:val="22"/>
          <w:lang w:val="sr-Cyrl-CS"/>
        </w:rPr>
        <w:t xml:space="preserve"> </w:t>
      </w:r>
      <w:r w:rsidR="00671490">
        <w:rPr>
          <w:b/>
          <w:sz w:val="22"/>
          <w:szCs w:val="22"/>
        </w:rPr>
        <w:t xml:space="preserve">  </w:t>
      </w:r>
      <w:r w:rsidR="008D57CD" w:rsidRPr="008D14E1">
        <w:rPr>
          <w:b/>
          <w:sz w:val="22"/>
          <w:szCs w:val="22"/>
          <w:lang w:val="sr-Cyrl-CS"/>
        </w:rPr>
        <w:t xml:space="preserve">Title: </w:t>
      </w:r>
      <w:r w:rsidR="00D4645C" w:rsidRPr="008D14E1">
        <w:rPr>
          <w:b/>
          <w:sz w:val="22"/>
          <w:szCs w:val="22"/>
          <w:lang w:val="sr-Cyrl-CS"/>
        </w:rPr>
        <w:t>MINISTER OF FINANCE</w:t>
      </w:r>
    </w:p>
    <w:p w:rsidR="008D57CD" w:rsidRPr="008D14E1" w:rsidRDefault="008D57CD" w:rsidP="008D57CD">
      <w:pPr>
        <w:spacing w:line="240" w:lineRule="auto"/>
        <w:jc w:val="right"/>
        <w:rPr>
          <w:b/>
          <w:sz w:val="22"/>
          <w:szCs w:val="22"/>
          <w:lang w:val="sr-Cyrl-CS"/>
        </w:rPr>
      </w:pPr>
    </w:p>
    <w:p w:rsidR="008D57CD" w:rsidRPr="008D14E1" w:rsidRDefault="00671490" w:rsidP="00671490">
      <w:pPr>
        <w:tabs>
          <w:tab w:val="left" w:pos="3402"/>
        </w:tabs>
        <w:spacing w:line="240" w:lineRule="auto"/>
        <w:jc w:val="center"/>
        <w:rPr>
          <w:b/>
          <w:sz w:val="22"/>
          <w:szCs w:val="22"/>
          <w:lang w:val="sr-Cyrl-CS"/>
        </w:rPr>
      </w:pPr>
      <w:r>
        <w:rPr>
          <w:b/>
          <w:sz w:val="22"/>
          <w:szCs w:val="22"/>
          <w:lang w:val="sr-Cyrl-CS"/>
        </w:rPr>
        <w:t xml:space="preserve">          </w:t>
      </w:r>
      <w:r>
        <w:rPr>
          <w:b/>
          <w:sz w:val="22"/>
          <w:szCs w:val="22"/>
        </w:rPr>
        <w:t xml:space="preserve">  </w:t>
      </w:r>
      <w:r>
        <w:rPr>
          <w:b/>
          <w:sz w:val="22"/>
          <w:szCs w:val="22"/>
          <w:lang w:val="sr-Cyrl-CS"/>
        </w:rPr>
        <w:t xml:space="preserve"> </w:t>
      </w:r>
      <w:r w:rsidR="000B4ADE" w:rsidRPr="008D14E1">
        <w:rPr>
          <w:b/>
          <w:sz w:val="22"/>
          <w:szCs w:val="22"/>
          <w:lang w:val="sr-Cyrl-CS"/>
        </w:rPr>
        <w:t xml:space="preserve">Date: </w:t>
      </w:r>
      <w:r w:rsidR="00D4645C" w:rsidRPr="008D14E1">
        <w:rPr>
          <w:b/>
          <w:sz w:val="22"/>
          <w:szCs w:val="22"/>
          <w:lang w:val="sr-Cyrl-CS"/>
        </w:rPr>
        <w:t xml:space="preserve"> </w:t>
      </w:r>
      <w:r w:rsidR="00C6347D" w:rsidRPr="008D14E1">
        <w:rPr>
          <w:b/>
          <w:sz w:val="22"/>
          <w:szCs w:val="22"/>
          <w:lang w:val="sr-Cyrl-CS"/>
        </w:rPr>
        <w:t>2</w:t>
      </w:r>
      <w:r w:rsidR="00AC32CA" w:rsidRPr="008D14E1">
        <w:rPr>
          <w:b/>
          <w:sz w:val="22"/>
          <w:szCs w:val="22"/>
          <w:lang w:val="sr-Cyrl-CS"/>
        </w:rPr>
        <w:t>8</w:t>
      </w:r>
      <w:r w:rsidR="00D4645C" w:rsidRPr="008D14E1">
        <w:rPr>
          <w:b/>
          <w:sz w:val="22"/>
          <w:szCs w:val="22"/>
          <w:lang w:val="sr-Cyrl-CS"/>
        </w:rPr>
        <w:t>. 11.</w:t>
      </w:r>
      <w:r w:rsidR="000B4ADE" w:rsidRPr="008D14E1">
        <w:rPr>
          <w:b/>
          <w:sz w:val="22"/>
          <w:szCs w:val="22"/>
          <w:lang w:val="sr-Cyrl-CS"/>
        </w:rPr>
        <w:t xml:space="preserve"> </w:t>
      </w:r>
      <w:r w:rsidR="007B607D" w:rsidRPr="008D14E1">
        <w:rPr>
          <w:b/>
          <w:sz w:val="22"/>
          <w:szCs w:val="22"/>
          <w:lang w:val="sr-Cyrl-CS"/>
        </w:rPr>
        <w:t>2019</w:t>
      </w:r>
      <w:r w:rsidR="00D4645C" w:rsidRPr="008D14E1">
        <w:rPr>
          <w:b/>
          <w:sz w:val="22"/>
          <w:szCs w:val="22"/>
          <w:lang w:val="sr-Cyrl-CS"/>
        </w:rPr>
        <w:t>.</w:t>
      </w:r>
    </w:p>
    <w:p w:rsidR="008D57CD" w:rsidRPr="008D14E1" w:rsidRDefault="00D4645C" w:rsidP="008D57CD">
      <w:pPr>
        <w:spacing w:line="240" w:lineRule="auto"/>
        <w:rPr>
          <w:b/>
          <w:sz w:val="22"/>
          <w:szCs w:val="22"/>
          <w:lang w:val="sr-Cyrl-CS"/>
        </w:rPr>
      </w:pPr>
      <w:r w:rsidRPr="008D14E1">
        <w:rPr>
          <w:b/>
          <w:sz w:val="22"/>
          <w:szCs w:val="22"/>
          <w:lang w:val="sr-Cyrl-CS"/>
        </w:rPr>
        <w:t xml:space="preserve"> </w:t>
      </w:r>
    </w:p>
    <w:p w:rsidR="008D57CD" w:rsidRPr="008D14E1" w:rsidRDefault="008D57CD" w:rsidP="008D57CD">
      <w:pPr>
        <w:pStyle w:val="BodyText"/>
        <w:ind w:left="3600" w:right="-360" w:firstLine="720"/>
        <w:jc w:val="left"/>
        <w:rPr>
          <w:b/>
          <w:sz w:val="22"/>
          <w:szCs w:val="22"/>
          <w:lang w:val="sr-Cyrl-CS"/>
        </w:rPr>
      </w:pPr>
    </w:p>
    <w:p w:rsidR="008D57CD" w:rsidRPr="008D14E1" w:rsidRDefault="008D57CD" w:rsidP="008D57CD">
      <w:pPr>
        <w:pStyle w:val="BodyText"/>
        <w:ind w:left="3600" w:right="-360" w:firstLine="720"/>
        <w:jc w:val="left"/>
        <w:rPr>
          <w:b/>
          <w:sz w:val="22"/>
          <w:szCs w:val="22"/>
          <w:lang w:val="sr-Cyrl-CS"/>
        </w:rPr>
      </w:pPr>
    </w:p>
    <w:p w:rsidR="008D57CD" w:rsidRPr="008D14E1" w:rsidRDefault="008D57CD" w:rsidP="008D57CD">
      <w:pPr>
        <w:pStyle w:val="BodyText"/>
        <w:ind w:left="3600" w:right="-360" w:firstLine="720"/>
        <w:jc w:val="left"/>
        <w:rPr>
          <w:b/>
          <w:sz w:val="22"/>
          <w:szCs w:val="22"/>
          <w:lang w:val="sr-Cyrl-CS"/>
        </w:rPr>
      </w:pPr>
    </w:p>
    <w:p w:rsidR="008D57CD" w:rsidRPr="008D14E1" w:rsidRDefault="008D57CD" w:rsidP="008D57CD">
      <w:pPr>
        <w:pStyle w:val="BodyText"/>
        <w:ind w:left="3600" w:right="-360" w:firstLine="720"/>
        <w:jc w:val="left"/>
        <w:rPr>
          <w:b/>
          <w:sz w:val="22"/>
          <w:szCs w:val="22"/>
          <w:lang w:val="sr-Cyrl-CS"/>
        </w:rPr>
      </w:pPr>
    </w:p>
    <w:p w:rsidR="008D57CD" w:rsidRPr="008D14E1" w:rsidRDefault="008919BC" w:rsidP="008919BC">
      <w:pPr>
        <w:pStyle w:val="BodyText"/>
        <w:ind w:right="-360"/>
        <w:jc w:val="left"/>
        <w:rPr>
          <w:b/>
          <w:sz w:val="22"/>
          <w:szCs w:val="22"/>
          <w:lang w:val="sr-Cyrl-CS"/>
        </w:rPr>
      </w:pPr>
      <w:r w:rsidRPr="008D14E1">
        <w:rPr>
          <w:b/>
          <w:sz w:val="22"/>
          <w:szCs w:val="22"/>
          <w:lang w:val="sr-Cyrl-CS"/>
        </w:rPr>
        <w:t xml:space="preserve">                                       </w:t>
      </w:r>
      <w:r w:rsidR="008D57CD" w:rsidRPr="008D14E1">
        <w:rPr>
          <w:b/>
          <w:sz w:val="22"/>
          <w:szCs w:val="22"/>
          <w:lang w:val="sr-Cyrl-CS"/>
        </w:rPr>
        <w:t>INTERNATIONAL BANK FOR</w:t>
      </w:r>
    </w:p>
    <w:p w:rsidR="008D57CD" w:rsidRPr="008D14E1" w:rsidRDefault="008919BC" w:rsidP="00961CE5">
      <w:pPr>
        <w:pStyle w:val="BodyText"/>
        <w:tabs>
          <w:tab w:val="left" w:pos="2127"/>
        </w:tabs>
        <w:ind w:right="-360"/>
        <w:jc w:val="left"/>
        <w:rPr>
          <w:b/>
          <w:sz w:val="22"/>
          <w:szCs w:val="22"/>
          <w:lang w:val="sr-Cyrl-CS"/>
        </w:rPr>
      </w:pPr>
      <w:r w:rsidRPr="008D14E1">
        <w:rPr>
          <w:b/>
          <w:sz w:val="22"/>
          <w:szCs w:val="22"/>
          <w:lang w:val="sr-Cyrl-CS"/>
        </w:rPr>
        <w:tab/>
      </w:r>
      <w:r w:rsidRPr="008D14E1">
        <w:rPr>
          <w:b/>
          <w:sz w:val="22"/>
          <w:szCs w:val="22"/>
          <w:lang w:val="sr-Cyrl-CS"/>
        </w:rPr>
        <w:tab/>
      </w:r>
      <w:r w:rsidR="008D57CD" w:rsidRPr="008D14E1">
        <w:rPr>
          <w:b/>
          <w:sz w:val="22"/>
          <w:szCs w:val="22"/>
          <w:lang w:val="sr-Cyrl-CS"/>
        </w:rPr>
        <w:t xml:space="preserve">RECONSTRUCTION AND DEVELOPMENT        </w:t>
      </w:r>
    </w:p>
    <w:p w:rsidR="008D57CD" w:rsidRPr="008D14E1" w:rsidRDefault="008D57CD" w:rsidP="008D57CD">
      <w:pPr>
        <w:pStyle w:val="BodyText"/>
        <w:ind w:right="-360"/>
        <w:jc w:val="left"/>
        <w:rPr>
          <w:lang w:val="sr-Cyrl-CS"/>
        </w:rPr>
      </w:pPr>
    </w:p>
    <w:p w:rsidR="008D57CD" w:rsidRPr="008D14E1" w:rsidRDefault="008D57CD" w:rsidP="008D57CD">
      <w:pPr>
        <w:pStyle w:val="BodyText"/>
        <w:ind w:right="-360"/>
        <w:jc w:val="left"/>
        <w:rPr>
          <w:lang w:val="sr-Cyrl-CS"/>
        </w:rPr>
      </w:pPr>
    </w:p>
    <w:p w:rsidR="008D57CD" w:rsidRPr="008D14E1" w:rsidRDefault="008919BC" w:rsidP="00961CE5">
      <w:pPr>
        <w:pStyle w:val="BodyText"/>
        <w:tabs>
          <w:tab w:val="left" w:pos="2127"/>
        </w:tabs>
        <w:rPr>
          <w:b/>
          <w:sz w:val="22"/>
          <w:szCs w:val="22"/>
          <w:lang w:val="sr-Cyrl-CS"/>
        </w:rPr>
      </w:pPr>
      <w:r w:rsidRPr="008D14E1">
        <w:rPr>
          <w:b/>
          <w:sz w:val="22"/>
          <w:szCs w:val="22"/>
          <w:lang w:val="sr-Cyrl-CS"/>
        </w:rPr>
        <w:t xml:space="preserve">                                   </w:t>
      </w:r>
      <w:r w:rsidR="00961CE5" w:rsidRPr="008D14E1">
        <w:rPr>
          <w:b/>
          <w:sz w:val="22"/>
          <w:szCs w:val="22"/>
          <w:lang w:val="sr-Cyrl-CS"/>
        </w:rPr>
        <w:t xml:space="preserve"> </w:t>
      </w:r>
      <w:r w:rsidRPr="008D14E1">
        <w:rPr>
          <w:b/>
          <w:sz w:val="22"/>
          <w:szCs w:val="22"/>
          <w:lang w:val="sr-Cyrl-CS"/>
        </w:rPr>
        <w:t xml:space="preserve">  </w:t>
      </w:r>
      <w:r w:rsidR="008D57CD" w:rsidRPr="008D14E1">
        <w:rPr>
          <w:b/>
          <w:sz w:val="22"/>
          <w:szCs w:val="22"/>
          <w:lang w:val="sr-Cyrl-CS"/>
        </w:rPr>
        <w:t>By</w:t>
      </w:r>
    </w:p>
    <w:p w:rsidR="008D57CD" w:rsidRPr="008D14E1" w:rsidRDefault="00D4645C" w:rsidP="00D4645C">
      <w:pPr>
        <w:spacing w:line="240" w:lineRule="auto"/>
        <w:jc w:val="center"/>
        <w:rPr>
          <w:b/>
          <w:sz w:val="22"/>
          <w:szCs w:val="22"/>
          <w:lang w:val="sr-Cyrl-CS"/>
        </w:rPr>
      </w:pPr>
      <w:r w:rsidRPr="008D14E1">
        <w:rPr>
          <w:b/>
          <w:sz w:val="22"/>
          <w:szCs w:val="22"/>
          <w:lang w:val="sr-Cyrl-CS"/>
        </w:rPr>
        <w:t xml:space="preserve">                                                        </w:t>
      </w:r>
      <w:r w:rsidR="008D57CD" w:rsidRPr="008D14E1">
        <w:rPr>
          <w:b/>
          <w:sz w:val="22"/>
          <w:szCs w:val="22"/>
          <w:lang w:val="sr-Cyrl-CS"/>
        </w:rPr>
        <w:t>_____________________________________</w:t>
      </w:r>
    </w:p>
    <w:p w:rsidR="008D57CD" w:rsidRPr="008D14E1" w:rsidRDefault="008D57CD" w:rsidP="008D57CD">
      <w:pPr>
        <w:tabs>
          <w:tab w:val="left" w:pos="5760"/>
        </w:tabs>
        <w:spacing w:line="240" w:lineRule="auto"/>
        <w:jc w:val="center"/>
        <w:rPr>
          <w:b/>
          <w:sz w:val="22"/>
          <w:szCs w:val="22"/>
          <w:lang w:val="sr-Cyrl-CS"/>
        </w:rPr>
      </w:pPr>
      <w:r w:rsidRPr="008D14E1">
        <w:rPr>
          <w:b/>
          <w:sz w:val="22"/>
          <w:szCs w:val="22"/>
          <w:lang w:val="sr-Cyrl-CS"/>
        </w:rPr>
        <w:t xml:space="preserve">                                                           Authorized Representative</w:t>
      </w:r>
    </w:p>
    <w:p w:rsidR="008D57CD" w:rsidRPr="008D14E1" w:rsidRDefault="008D57CD" w:rsidP="008D57CD">
      <w:pPr>
        <w:spacing w:line="240" w:lineRule="auto"/>
        <w:jc w:val="right"/>
        <w:rPr>
          <w:b/>
          <w:sz w:val="22"/>
          <w:szCs w:val="22"/>
          <w:lang w:val="sr-Cyrl-CS"/>
        </w:rPr>
      </w:pPr>
    </w:p>
    <w:p w:rsidR="008D57CD" w:rsidRPr="008D14E1" w:rsidRDefault="000B4ADE" w:rsidP="00DA7AD3">
      <w:pPr>
        <w:tabs>
          <w:tab w:val="left" w:pos="3402"/>
        </w:tabs>
        <w:spacing w:line="240" w:lineRule="auto"/>
        <w:jc w:val="center"/>
        <w:rPr>
          <w:b/>
          <w:sz w:val="22"/>
          <w:szCs w:val="22"/>
          <w:lang w:val="sr-Cyrl-CS"/>
        </w:rPr>
      </w:pPr>
      <w:r w:rsidRPr="008D14E1">
        <w:rPr>
          <w:b/>
          <w:sz w:val="22"/>
          <w:szCs w:val="22"/>
          <w:lang w:val="sr-Cyrl-CS"/>
        </w:rPr>
        <w:t xml:space="preserve">   </w:t>
      </w:r>
      <w:r w:rsidR="00D4645C" w:rsidRPr="008D14E1">
        <w:rPr>
          <w:b/>
          <w:sz w:val="22"/>
          <w:szCs w:val="22"/>
          <w:lang w:val="sr-Cyrl-CS"/>
        </w:rPr>
        <w:t xml:space="preserve">                           </w:t>
      </w:r>
      <w:r w:rsidR="008D57CD" w:rsidRPr="008D14E1">
        <w:rPr>
          <w:b/>
          <w:sz w:val="22"/>
          <w:szCs w:val="22"/>
          <w:lang w:val="sr-Cyrl-CS"/>
        </w:rPr>
        <w:t xml:space="preserve">Name: </w:t>
      </w:r>
      <w:r w:rsidR="00D4645C" w:rsidRPr="008D14E1">
        <w:rPr>
          <w:b/>
          <w:sz w:val="22"/>
          <w:szCs w:val="22"/>
          <w:lang w:val="sr-Cyrl-CS"/>
        </w:rPr>
        <w:t>STEPHEN NDEGWA</w:t>
      </w:r>
    </w:p>
    <w:p w:rsidR="008D57CD" w:rsidRPr="008D14E1" w:rsidRDefault="008D57CD" w:rsidP="008D57CD">
      <w:pPr>
        <w:spacing w:line="240" w:lineRule="auto"/>
        <w:jc w:val="right"/>
        <w:rPr>
          <w:b/>
          <w:sz w:val="22"/>
          <w:szCs w:val="22"/>
          <w:lang w:val="sr-Cyrl-CS"/>
        </w:rPr>
      </w:pPr>
    </w:p>
    <w:p w:rsidR="008D57CD" w:rsidRPr="008D14E1" w:rsidRDefault="000B4ADE" w:rsidP="000B4ADE">
      <w:pPr>
        <w:spacing w:line="240" w:lineRule="auto"/>
        <w:jc w:val="center"/>
        <w:rPr>
          <w:b/>
          <w:sz w:val="22"/>
          <w:szCs w:val="22"/>
          <w:lang w:val="sr-Cyrl-CS"/>
        </w:rPr>
      </w:pPr>
      <w:r w:rsidRPr="008D14E1">
        <w:rPr>
          <w:b/>
          <w:sz w:val="22"/>
          <w:szCs w:val="22"/>
          <w:lang w:val="sr-Cyrl-CS"/>
        </w:rPr>
        <w:t xml:space="preserve">                                   </w:t>
      </w:r>
      <w:r w:rsidR="00706666" w:rsidRPr="008D14E1">
        <w:rPr>
          <w:b/>
          <w:sz w:val="22"/>
          <w:szCs w:val="22"/>
          <w:lang w:val="sr-Cyrl-CS"/>
        </w:rPr>
        <w:t xml:space="preserve">                     </w:t>
      </w:r>
      <w:r w:rsidR="00D4645C" w:rsidRPr="008D14E1">
        <w:rPr>
          <w:b/>
          <w:sz w:val="22"/>
          <w:szCs w:val="22"/>
          <w:lang w:val="sr-Cyrl-CS"/>
        </w:rPr>
        <w:t xml:space="preserve">      </w:t>
      </w:r>
      <w:r w:rsidR="008D57CD" w:rsidRPr="008D14E1">
        <w:rPr>
          <w:b/>
          <w:sz w:val="22"/>
          <w:szCs w:val="22"/>
          <w:lang w:val="sr-Cyrl-CS"/>
        </w:rPr>
        <w:t>Title:</w:t>
      </w:r>
      <w:r w:rsidRPr="008D14E1">
        <w:rPr>
          <w:lang w:val="sr-Cyrl-CS"/>
        </w:rPr>
        <w:t xml:space="preserve"> </w:t>
      </w:r>
      <w:r w:rsidR="00D4645C" w:rsidRPr="008D14E1">
        <w:rPr>
          <w:b/>
          <w:sz w:val="22"/>
          <w:szCs w:val="22"/>
          <w:lang w:val="sr-Cyrl-CS"/>
        </w:rPr>
        <w:t>WORLD BANK</w:t>
      </w:r>
      <w:r w:rsidR="00D4645C" w:rsidRPr="008D14E1">
        <w:rPr>
          <w:lang w:val="sr-Cyrl-CS"/>
        </w:rPr>
        <w:t xml:space="preserve"> </w:t>
      </w:r>
      <w:r w:rsidR="00D4645C" w:rsidRPr="008D14E1">
        <w:rPr>
          <w:b/>
          <w:sz w:val="22"/>
          <w:szCs w:val="22"/>
          <w:lang w:val="sr-Cyrl-CS"/>
        </w:rPr>
        <w:t>COUNTRY MANAGER</w:t>
      </w:r>
    </w:p>
    <w:p w:rsidR="008D57CD" w:rsidRPr="008D14E1" w:rsidRDefault="008D57CD" w:rsidP="008D57CD">
      <w:pPr>
        <w:spacing w:line="240" w:lineRule="auto"/>
        <w:jc w:val="right"/>
        <w:rPr>
          <w:b/>
          <w:sz w:val="22"/>
          <w:szCs w:val="22"/>
          <w:lang w:val="sr-Cyrl-CS"/>
        </w:rPr>
      </w:pPr>
    </w:p>
    <w:p w:rsidR="008D57CD" w:rsidRPr="008D14E1" w:rsidRDefault="000B4ADE" w:rsidP="00DA7AD3">
      <w:pPr>
        <w:tabs>
          <w:tab w:val="left" w:pos="2127"/>
          <w:tab w:val="left" w:pos="3402"/>
        </w:tabs>
        <w:spacing w:line="240" w:lineRule="auto"/>
        <w:jc w:val="center"/>
        <w:rPr>
          <w:b/>
          <w:sz w:val="22"/>
          <w:szCs w:val="22"/>
          <w:lang w:val="sr-Cyrl-CS"/>
        </w:rPr>
      </w:pPr>
      <w:r w:rsidRPr="008D14E1">
        <w:rPr>
          <w:b/>
          <w:sz w:val="22"/>
          <w:szCs w:val="22"/>
          <w:lang w:val="sr-Cyrl-CS"/>
        </w:rPr>
        <w:t xml:space="preserve">                      </w:t>
      </w:r>
      <w:r w:rsidR="00000754" w:rsidRPr="008D14E1">
        <w:rPr>
          <w:b/>
          <w:sz w:val="22"/>
          <w:szCs w:val="22"/>
          <w:lang w:val="sr-Cyrl-CS"/>
        </w:rPr>
        <w:t xml:space="preserve">      </w:t>
      </w:r>
      <w:r w:rsidRPr="008D14E1">
        <w:rPr>
          <w:b/>
          <w:sz w:val="22"/>
          <w:szCs w:val="22"/>
          <w:lang w:val="sr-Cyrl-CS"/>
        </w:rPr>
        <w:t xml:space="preserve"> </w:t>
      </w:r>
      <w:r w:rsidR="008D57CD" w:rsidRPr="008D14E1">
        <w:rPr>
          <w:b/>
          <w:sz w:val="22"/>
          <w:szCs w:val="22"/>
          <w:lang w:val="sr-Cyrl-CS"/>
        </w:rPr>
        <w:t xml:space="preserve">Date: </w:t>
      </w:r>
      <w:r w:rsidR="00000754" w:rsidRPr="008D14E1">
        <w:rPr>
          <w:b/>
          <w:sz w:val="22"/>
          <w:szCs w:val="22"/>
          <w:lang w:val="sr-Cyrl-CS"/>
        </w:rPr>
        <w:t>NOVEMBER</w:t>
      </w:r>
      <w:r w:rsidR="00B96E3B" w:rsidRPr="008D14E1">
        <w:rPr>
          <w:b/>
          <w:sz w:val="22"/>
          <w:szCs w:val="22"/>
          <w:lang w:val="sr-Cyrl-CS"/>
        </w:rPr>
        <w:t xml:space="preserve"> 26,</w:t>
      </w:r>
      <w:r w:rsidRPr="008D14E1">
        <w:rPr>
          <w:b/>
          <w:sz w:val="22"/>
          <w:szCs w:val="22"/>
          <w:lang w:val="sr-Cyrl-CS"/>
        </w:rPr>
        <w:t xml:space="preserve"> 2019</w:t>
      </w:r>
    </w:p>
    <w:p w:rsidR="00117C44" w:rsidRPr="008D14E1" w:rsidRDefault="008D57CD" w:rsidP="00117C44">
      <w:pPr>
        <w:pStyle w:val="BodyText"/>
        <w:jc w:val="center"/>
        <w:rPr>
          <w:b/>
          <w:bCs/>
          <w:sz w:val="22"/>
          <w:szCs w:val="22"/>
          <w:lang w:val="sr-Cyrl-CS"/>
        </w:rPr>
      </w:pPr>
      <w:r w:rsidRPr="008D14E1">
        <w:rPr>
          <w:b/>
          <w:sz w:val="22"/>
          <w:szCs w:val="22"/>
          <w:lang w:val="sr-Cyrl-CS"/>
        </w:rPr>
        <w:br w:type="page"/>
      </w:r>
      <w:r w:rsidR="00117C44" w:rsidRPr="008D14E1">
        <w:rPr>
          <w:b/>
          <w:bCs/>
          <w:sz w:val="22"/>
          <w:szCs w:val="22"/>
          <w:lang w:val="sr-Cyrl-CS"/>
        </w:rPr>
        <w:lastRenderedPageBreak/>
        <w:t>SCHEDULE 1</w:t>
      </w:r>
    </w:p>
    <w:p w:rsidR="00117C44" w:rsidRPr="008D14E1" w:rsidRDefault="00117C44" w:rsidP="00117C44">
      <w:pPr>
        <w:pStyle w:val="BodyText"/>
        <w:jc w:val="center"/>
        <w:rPr>
          <w:b/>
          <w:bCs/>
          <w:sz w:val="22"/>
          <w:szCs w:val="22"/>
          <w:lang w:val="sr-Cyrl-CS"/>
        </w:rPr>
      </w:pPr>
    </w:p>
    <w:p w:rsidR="00117C44" w:rsidRPr="008D14E1" w:rsidRDefault="00117C44" w:rsidP="00117C44">
      <w:pPr>
        <w:pStyle w:val="BodyText"/>
        <w:jc w:val="center"/>
        <w:rPr>
          <w:b/>
          <w:bCs/>
          <w:sz w:val="22"/>
          <w:szCs w:val="22"/>
          <w:lang w:val="sr-Cyrl-CS"/>
        </w:rPr>
      </w:pPr>
      <w:r w:rsidRPr="008D14E1">
        <w:rPr>
          <w:b/>
          <w:bCs/>
          <w:sz w:val="22"/>
          <w:szCs w:val="22"/>
          <w:lang w:val="sr-Cyrl-CS"/>
        </w:rPr>
        <w:t>Project Description</w:t>
      </w:r>
    </w:p>
    <w:p w:rsidR="00117C44" w:rsidRPr="008D14E1" w:rsidRDefault="00117C44" w:rsidP="00117C44">
      <w:pPr>
        <w:pStyle w:val="BodyText"/>
        <w:jc w:val="center"/>
        <w:rPr>
          <w:sz w:val="22"/>
          <w:szCs w:val="22"/>
          <w:lang w:val="sr-Cyrl-CS"/>
        </w:rPr>
      </w:pPr>
    </w:p>
    <w:p w:rsidR="00117C44" w:rsidRPr="008D14E1" w:rsidRDefault="00117C44" w:rsidP="00117C44">
      <w:pPr>
        <w:pStyle w:val="BodyText"/>
        <w:rPr>
          <w:sz w:val="22"/>
          <w:szCs w:val="22"/>
          <w:lang w:val="sr-Cyrl-CS"/>
        </w:rPr>
      </w:pPr>
    </w:p>
    <w:p w:rsidR="00117C44" w:rsidRPr="008D14E1" w:rsidRDefault="00117C44" w:rsidP="00117C44">
      <w:pPr>
        <w:pStyle w:val="BodyText"/>
        <w:ind w:firstLine="720"/>
        <w:rPr>
          <w:sz w:val="22"/>
          <w:szCs w:val="22"/>
          <w:lang w:val="sr-Cyrl-CS"/>
        </w:rPr>
      </w:pPr>
      <w:r w:rsidRPr="008D14E1">
        <w:rPr>
          <w:sz w:val="22"/>
          <w:szCs w:val="22"/>
          <w:lang w:val="sr-Cyrl-CS"/>
        </w:rPr>
        <w:t xml:space="preserve">The objective of the Project is to improve the efficiency, transparency, accessibility and reliability of the Borrower’s real property management systems. </w:t>
      </w:r>
    </w:p>
    <w:p w:rsidR="00117C44" w:rsidRPr="008D14E1" w:rsidRDefault="00117C44" w:rsidP="00117C44">
      <w:pPr>
        <w:pStyle w:val="BodyText"/>
        <w:rPr>
          <w:sz w:val="22"/>
          <w:szCs w:val="22"/>
          <w:lang w:val="sr-Cyrl-CS"/>
        </w:rPr>
      </w:pPr>
    </w:p>
    <w:p w:rsidR="00117C44" w:rsidRPr="008D14E1" w:rsidRDefault="00117C44" w:rsidP="00117C44">
      <w:pPr>
        <w:pStyle w:val="BodyText"/>
        <w:rPr>
          <w:sz w:val="22"/>
          <w:szCs w:val="22"/>
          <w:lang w:val="sr-Cyrl-CS"/>
        </w:rPr>
      </w:pPr>
      <w:r w:rsidRPr="008D14E1">
        <w:rPr>
          <w:sz w:val="22"/>
          <w:szCs w:val="22"/>
          <w:lang w:val="sr-Cyrl-CS"/>
        </w:rPr>
        <w:tab/>
        <w:t>The Project consists of the following parts:</w:t>
      </w:r>
    </w:p>
    <w:p w:rsidR="00117C44" w:rsidRPr="008D14E1" w:rsidRDefault="00117C44" w:rsidP="00117C44">
      <w:pPr>
        <w:pStyle w:val="BodyText"/>
        <w:rPr>
          <w:sz w:val="22"/>
          <w:szCs w:val="22"/>
          <w:lang w:val="sr-Cyrl-CS"/>
        </w:rPr>
      </w:pPr>
    </w:p>
    <w:p w:rsidR="00117C44" w:rsidRPr="008D14E1" w:rsidRDefault="00117C44" w:rsidP="00117C44">
      <w:pPr>
        <w:spacing w:line="240" w:lineRule="auto"/>
        <w:jc w:val="both"/>
        <w:rPr>
          <w:b/>
          <w:sz w:val="22"/>
          <w:szCs w:val="22"/>
          <w:u w:val="single"/>
          <w:lang w:val="sr-Cyrl-CS"/>
        </w:rPr>
      </w:pPr>
      <w:r w:rsidRPr="008D14E1">
        <w:rPr>
          <w:b/>
          <w:sz w:val="22"/>
          <w:szCs w:val="22"/>
          <w:u w:val="single"/>
          <w:lang w:val="sr-Cyrl-CS"/>
        </w:rPr>
        <w:t>Part I:</w:t>
      </w:r>
      <w:r w:rsidRPr="008D14E1">
        <w:rPr>
          <w:b/>
          <w:sz w:val="22"/>
          <w:szCs w:val="22"/>
          <w:lang w:val="sr-Cyrl-CS"/>
        </w:rPr>
        <w:tab/>
      </w:r>
      <w:r w:rsidRPr="008D14E1">
        <w:rPr>
          <w:b/>
          <w:sz w:val="22"/>
          <w:szCs w:val="22"/>
          <w:u w:val="single"/>
          <w:lang w:val="sr-Cyrl-CS"/>
        </w:rPr>
        <w:t>Valuation and Property Taxation</w:t>
      </w:r>
    </w:p>
    <w:p w:rsidR="00117C44" w:rsidRPr="008D14E1" w:rsidRDefault="00117C44" w:rsidP="00117C44">
      <w:pPr>
        <w:spacing w:line="240" w:lineRule="auto"/>
        <w:ind w:firstLine="720"/>
        <w:jc w:val="both"/>
        <w:rPr>
          <w:sz w:val="22"/>
          <w:szCs w:val="22"/>
          <w:lang w:val="sr-Cyrl-CS"/>
        </w:rPr>
      </w:pPr>
    </w:p>
    <w:p w:rsidR="00117C44" w:rsidRPr="008D14E1" w:rsidRDefault="00117C44" w:rsidP="00117C44">
      <w:pPr>
        <w:spacing w:line="240" w:lineRule="auto"/>
        <w:ind w:firstLine="720"/>
        <w:jc w:val="both"/>
        <w:rPr>
          <w:sz w:val="22"/>
          <w:szCs w:val="22"/>
          <w:lang w:val="sr-Cyrl-CS"/>
        </w:rPr>
      </w:pPr>
      <w:r w:rsidRPr="008D14E1">
        <w:rPr>
          <w:sz w:val="22"/>
          <w:szCs w:val="22"/>
          <w:lang w:val="sr-Cyrl-CS"/>
        </w:rPr>
        <w:t>Carrying out of the following activities:</w:t>
      </w:r>
    </w:p>
    <w:p w:rsidR="00117C44" w:rsidRPr="008D14E1" w:rsidRDefault="00117C44" w:rsidP="00117C44">
      <w:pPr>
        <w:spacing w:line="240" w:lineRule="auto"/>
        <w:ind w:firstLine="720"/>
        <w:jc w:val="both"/>
        <w:rPr>
          <w:sz w:val="22"/>
          <w:szCs w:val="22"/>
          <w:lang w:val="sr-Cyrl-CS"/>
        </w:rPr>
      </w:pPr>
    </w:p>
    <w:p w:rsidR="00117C44" w:rsidRPr="008D14E1" w:rsidRDefault="00117C44" w:rsidP="00117C44">
      <w:pPr>
        <w:pStyle w:val="ListParagraph"/>
        <w:numPr>
          <w:ilvl w:val="0"/>
          <w:numId w:val="34"/>
        </w:numPr>
        <w:spacing w:line="240" w:lineRule="auto"/>
        <w:ind w:left="1440"/>
        <w:contextualSpacing/>
        <w:jc w:val="both"/>
        <w:rPr>
          <w:sz w:val="22"/>
          <w:szCs w:val="22"/>
          <w:lang w:val="sr-Cyrl-CS"/>
        </w:rPr>
      </w:pPr>
      <w:r w:rsidRPr="008D14E1">
        <w:rPr>
          <w:sz w:val="22"/>
          <w:szCs w:val="22"/>
          <w:lang w:val="sr-Cyrl-CS"/>
        </w:rPr>
        <w:t>improving the system for annual property taxation through: (a) developing a sales price registry for real estate; (b) developing software to process data from the sales price registry; (c) developing and assessing a Mass Appraisal pilot program on property tax rolls and collection procedures in local government units; and (d) establishing a building registry; and</w:t>
      </w:r>
    </w:p>
    <w:p w:rsidR="00117C44" w:rsidRPr="008D14E1" w:rsidRDefault="00117C44" w:rsidP="00117C44">
      <w:pPr>
        <w:pStyle w:val="ListParagraph"/>
        <w:spacing w:line="240" w:lineRule="auto"/>
        <w:ind w:left="1440"/>
        <w:contextualSpacing/>
        <w:jc w:val="both"/>
        <w:rPr>
          <w:sz w:val="22"/>
          <w:szCs w:val="22"/>
          <w:lang w:val="sr-Cyrl-CS"/>
        </w:rPr>
      </w:pPr>
    </w:p>
    <w:p w:rsidR="00117C44" w:rsidRPr="008D14E1" w:rsidRDefault="00117C44" w:rsidP="00117C44">
      <w:pPr>
        <w:pStyle w:val="ListParagraph"/>
        <w:numPr>
          <w:ilvl w:val="0"/>
          <w:numId w:val="34"/>
        </w:numPr>
        <w:spacing w:line="240" w:lineRule="auto"/>
        <w:ind w:left="1440"/>
        <w:contextualSpacing/>
        <w:jc w:val="both"/>
        <w:rPr>
          <w:sz w:val="22"/>
          <w:szCs w:val="22"/>
          <w:lang w:val="sr-Cyrl-CS"/>
        </w:rPr>
      </w:pPr>
      <w:r w:rsidRPr="008D14E1">
        <w:rPr>
          <w:sz w:val="22"/>
          <w:szCs w:val="22"/>
          <w:lang w:val="sr-Cyrl-CS"/>
        </w:rPr>
        <w:t xml:space="preserve">improving the real estate valuation framework through improving the quality of education for valuers, and adopting internationally recognized standards for valuation. </w:t>
      </w: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b/>
          <w:sz w:val="22"/>
          <w:szCs w:val="22"/>
          <w:lang w:val="sr-Cyrl-CS"/>
        </w:rPr>
      </w:pPr>
      <w:r w:rsidRPr="008D14E1">
        <w:rPr>
          <w:b/>
          <w:sz w:val="22"/>
          <w:szCs w:val="22"/>
          <w:u w:val="single"/>
          <w:lang w:val="sr-Cyrl-CS"/>
        </w:rPr>
        <w:t>Part II</w:t>
      </w:r>
      <w:r w:rsidRPr="008D14E1">
        <w:rPr>
          <w:b/>
          <w:sz w:val="22"/>
          <w:szCs w:val="22"/>
          <w:lang w:val="sr-Cyrl-CS"/>
        </w:rPr>
        <w:t>:</w:t>
      </w:r>
      <w:r w:rsidRPr="008D14E1">
        <w:rPr>
          <w:b/>
          <w:sz w:val="22"/>
          <w:szCs w:val="22"/>
          <w:lang w:val="sr-Cyrl-CS"/>
        </w:rPr>
        <w:tab/>
      </w:r>
      <w:r w:rsidRPr="008D14E1">
        <w:rPr>
          <w:b/>
          <w:sz w:val="22"/>
          <w:szCs w:val="22"/>
          <w:u w:val="single"/>
          <w:lang w:val="sr-Cyrl-CS"/>
        </w:rPr>
        <w:t>E-governance for Enabling Access to Real Estate Information</w:t>
      </w: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ind w:firstLine="720"/>
        <w:jc w:val="both"/>
        <w:rPr>
          <w:sz w:val="22"/>
          <w:szCs w:val="22"/>
          <w:lang w:val="sr-Cyrl-CS"/>
        </w:rPr>
      </w:pPr>
      <w:r w:rsidRPr="008D14E1">
        <w:rPr>
          <w:sz w:val="22"/>
          <w:szCs w:val="22"/>
          <w:lang w:val="sr-Cyrl-CS"/>
        </w:rPr>
        <w:t xml:space="preserve">Enabling access to real estate information through:  </w:t>
      </w:r>
    </w:p>
    <w:p w:rsidR="00117C44" w:rsidRPr="008D14E1" w:rsidRDefault="00117C44" w:rsidP="00117C44">
      <w:pPr>
        <w:spacing w:line="240" w:lineRule="auto"/>
        <w:ind w:left="720"/>
        <w:jc w:val="both"/>
        <w:rPr>
          <w:sz w:val="22"/>
          <w:szCs w:val="22"/>
          <w:lang w:val="sr-Cyrl-CS"/>
        </w:rPr>
      </w:pPr>
    </w:p>
    <w:p w:rsidR="00117C44" w:rsidRPr="008D14E1" w:rsidRDefault="00117C44" w:rsidP="00117C44">
      <w:pPr>
        <w:pStyle w:val="ListParagraph"/>
        <w:numPr>
          <w:ilvl w:val="0"/>
          <w:numId w:val="35"/>
        </w:numPr>
        <w:tabs>
          <w:tab w:val="left" w:pos="1440"/>
        </w:tabs>
        <w:spacing w:line="240" w:lineRule="auto"/>
        <w:ind w:left="1440"/>
        <w:contextualSpacing/>
        <w:jc w:val="both"/>
        <w:rPr>
          <w:sz w:val="22"/>
          <w:szCs w:val="22"/>
          <w:lang w:val="sr-Cyrl-CS"/>
        </w:rPr>
      </w:pPr>
      <w:r w:rsidRPr="008D14E1">
        <w:rPr>
          <w:sz w:val="22"/>
          <w:szCs w:val="22"/>
          <w:lang w:val="sr-Cyrl-CS"/>
        </w:rPr>
        <w:t>developing and implementing an integrated real estate cadaster and registration system based on RGA’s information and communications technology (ICT) strategy and archive strategy;</w:t>
      </w:r>
    </w:p>
    <w:p w:rsidR="00117C44" w:rsidRPr="008D14E1" w:rsidRDefault="00117C44" w:rsidP="00117C44">
      <w:pPr>
        <w:pStyle w:val="ListParagraph"/>
        <w:tabs>
          <w:tab w:val="left" w:pos="1440"/>
        </w:tabs>
        <w:spacing w:line="240" w:lineRule="auto"/>
        <w:ind w:left="1440"/>
        <w:contextualSpacing/>
        <w:jc w:val="both"/>
        <w:rPr>
          <w:sz w:val="22"/>
          <w:szCs w:val="22"/>
          <w:lang w:val="sr-Cyrl-CS"/>
        </w:rPr>
      </w:pPr>
    </w:p>
    <w:p w:rsidR="00117C44" w:rsidRPr="008D14E1" w:rsidRDefault="00117C44" w:rsidP="00117C44">
      <w:pPr>
        <w:pStyle w:val="ListParagraph"/>
        <w:numPr>
          <w:ilvl w:val="0"/>
          <w:numId w:val="35"/>
        </w:numPr>
        <w:tabs>
          <w:tab w:val="left" w:pos="1440"/>
        </w:tabs>
        <w:spacing w:line="240" w:lineRule="auto"/>
        <w:ind w:left="1440"/>
        <w:contextualSpacing/>
        <w:jc w:val="both"/>
        <w:rPr>
          <w:sz w:val="22"/>
          <w:szCs w:val="22"/>
          <w:lang w:val="sr-Cyrl-CS"/>
        </w:rPr>
      </w:pPr>
      <w:r w:rsidRPr="008D14E1">
        <w:rPr>
          <w:sz w:val="22"/>
          <w:szCs w:val="22"/>
          <w:lang w:val="sr-Cyrl-CS"/>
        </w:rPr>
        <w:t>developing a business model and technical framework in line with international standards for the Borrower’s national spatial data infrastructure and upgrading the necessary network services;</w:t>
      </w:r>
    </w:p>
    <w:p w:rsidR="00117C44" w:rsidRPr="008D14E1" w:rsidRDefault="00117C44" w:rsidP="00117C44">
      <w:pPr>
        <w:pStyle w:val="ListParagraph"/>
        <w:tabs>
          <w:tab w:val="left" w:pos="1440"/>
        </w:tabs>
        <w:spacing w:line="240" w:lineRule="auto"/>
        <w:ind w:left="1440"/>
        <w:contextualSpacing/>
        <w:jc w:val="both"/>
        <w:rPr>
          <w:sz w:val="22"/>
          <w:szCs w:val="22"/>
          <w:lang w:val="sr-Cyrl-CS"/>
        </w:rPr>
      </w:pPr>
    </w:p>
    <w:p w:rsidR="00117C44" w:rsidRPr="008D14E1" w:rsidRDefault="00117C44" w:rsidP="00117C44">
      <w:pPr>
        <w:pStyle w:val="ListParagraph"/>
        <w:numPr>
          <w:ilvl w:val="0"/>
          <w:numId w:val="35"/>
        </w:numPr>
        <w:tabs>
          <w:tab w:val="left" w:pos="1440"/>
        </w:tabs>
        <w:spacing w:line="240" w:lineRule="auto"/>
        <w:ind w:left="1440"/>
        <w:contextualSpacing/>
        <w:jc w:val="both"/>
        <w:rPr>
          <w:sz w:val="22"/>
          <w:szCs w:val="22"/>
          <w:lang w:val="sr-Cyrl-CS"/>
        </w:rPr>
      </w:pPr>
      <w:r w:rsidRPr="008D14E1">
        <w:rPr>
          <w:sz w:val="22"/>
          <w:szCs w:val="22"/>
          <w:lang w:val="sr-Cyrl-CS"/>
        </w:rPr>
        <w:t>developing a financial mechanism and a business plan for the sustainability of RGA’s information technology department;</w:t>
      </w:r>
    </w:p>
    <w:p w:rsidR="00117C44" w:rsidRPr="008D14E1" w:rsidRDefault="00117C44" w:rsidP="00117C44">
      <w:pPr>
        <w:pStyle w:val="ListParagraph"/>
        <w:spacing w:line="240" w:lineRule="auto"/>
        <w:ind w:left="2160"/>
        <w:contextualSpacing/>
        <w:jc w:val="both"/>
        <w:rPr>
          <w:sz w:val="22"/>
          <w:szCs w:val="22"/>
          <w:lang w:val="sr-Cyrl-CS"/>
        </w:rPr>
      </w:pPr>
    </w:p>
    <w:p w:rsidR="00117C44" w:rsidRPr="008D14E1" w:rsidRDefault="00117C44" w:rsidP="00117C44">
      <w:pPr>
        <w:pStyle w:val="ListParagraph"/>
        <w:numPr>
          <w:ilvl w:val="0"/>
          <w:numId w:val="35"/>
        </w:numPr>
        <w:tabs>
          <w:tab w:val="left" w:pos="1440"/>
        </w:tabs>
        <w:spacing w:line="240" w:lineRule="auto"/>
        <w:ind w:left="1440"/>
        <w:contextualSpacing/>
        <w:jc w:val="both"/>
        <w:rPr>
          <w:sz w:val="22"/>
          <w:szCs w:val="22"/>
          <w:lang w:val="sr-Cyrl-CS"/>
        </w:rPr>
      </w:pPr>
      <w:r w:rsidRPr="008D14E1">
        <w:rPr>
          <w:sz w:val="22"/>
          <w:szCs w:val="22"/>
          <w:lang w:val="sr-Cyrl-CS"/>
        </w:rPr>
        <w:t>developing and implementing a central analogue and digital archive management strategy, including providing necessary equipment and Training, and constructing a central archive building;</w:t>
      </w:r>
    </w:p>
    <w:p w:rsidR="00117C44" w:rsidRPr="008D14E1" w:rsidRDefault="00117C44" w:rsidP="00117C44">
      <w:pPr>
        <w:pStyle w:val="ListParagraph"/>
        <w:tabs>
          <w:tab w:val="left" w:pos="1440"/>
        </w:tabs>
        <w:spacing w:line="240" w:lineRule="auto"/>
        <w:ind w:left="1440"/>
        <w:contextualSpacing/>
        <w:jc w:val="both"/>
        <w:rPr>
          <w:sz w:val="22"/>
          <w:szCs w:val="22"/>
          <w:lang w:val="sr-Cyrl-CS"/>
        </w:rPr>
      </w:pPr>
    </w:p>
    <w:p w:rsidR="00117C44" w:rsidRPr="008D14E1" w:rsidRDefault="00117C44" w:rsidP="00117C44">
      <w:pPr>
        <w:pStyle w:val="ListParagraph"/>
        <w:numPr>
          <w:ilvl w:val="0"/>
          <w:numId w:val="35"/>
        </w:numPr>
        <w:tabs>
          <w:tab w:val="left" w:pos="1440"/>
        </w:tabs>
        <w:spacing w:line="240" w:lineRule="auto"/>
        <w:ind w:left="1440"/>
        <w:contextualSpacing/>
        <w:jc w:val="both"/>
        <w:rPr>
          <w:sz w:val="22"/>
          <w:szCs w:val="22"/>
          <w:lang w:val="sr-Cyrl-CS"/>
        </w:rPr>
      </w:pPr>
      <w:r w:rsidRPr="008D14E1">
        <w:rPr>
          <w:sz w:val="22"/>
          <w:szCs w:val="22"/>
          <w:lang w:val="sr-Cyrl-CS"/>
        </w:rPr>
        <w:t xml:space="preserve">improving the quality of RGA’s data standardization and carrying out a public outreach campaign for users to submit cadastral data; and </w:t>
      </w:r>
    </w:p>
    <w:p w:rsidR="00117C44" w:rsidRPr="008D14E1" w:rsidRDefault="008D57CD" w:rsidP="00117C44">
      <w:pPr>
        <w:pStyle w:val="ListParagraph"/>
        <w:numPr>
          <w:ilvl w:val="0"/>
          <w:numId w:val="35"/>
        </w:numPr>
        <w:tabs>
          <w:tab w:val="left" w:pos="1440"/>
        </w:tabs>
        <w:spacing w:line="240" w:lineRule="auto"/>
        <w:ind w:left="1440"/>
        <w:contextualSpacing/>
        <w:jc w:val="both"/>
        <w:rPr>
          <w:sz w:val="22"/>
          <w:szCs w:val="22"/>
          <w:lang w:val="sr-Cyrl-CS"/>
        </w:rPr>
      </w:pPr>
      <w:r w:rsidRPr="008D14E1">
        <w:rPr>
          <w:sz w:val="22"/>
          <w:szCs w:val="22"/>
          <w:lang w:val="sr-Cyrl-CS"/>
        </w:rPr>
        <w:br w:type="page"/>
      </w:r>
      <w:r w:rsidR="00117C44" w:rsidRPr="008D14E1">
        <w:rPr>
          <w:sz w:val="22"/>
          <w:szCs w:val="22"/>
          <w:lang w:val="sr-Cyrl-CS"/>
        </w:rPr>
        <w:lastRenderedPageBreak/>
        <w:t xml:space="preserve">developing and implementing a one-stop shop system for electronic issuance of construction permits. </w:t>
      </w:r>
    </w:p>
    <w:p w:rsidR="00117C44" w:rsidRPr="008D14E1" w:rsidRDefault="00117C44" w:rsidP="00117C44">
      <w:pPr>
        <w:pStyle w:val="ListParagraph"/>
        <w:spacing w:line="240" w:lineRule="auto"/>
        <w:ind w:left="2160"/>
        <w:jc w:val="both"/>
        <w:rPr>
          <w:sz w:val="22"/>
          <w:szCs w:val="22"/>
          <w:lang w:val="sr-Cyrl-CS"/>
        </w:rPr>
      </w:pPr>
    </w:p>
    <w:p w:rsidR="00117C44" w:rsidRPr="008D14E1" w:rsidRDefault="00117C44" w:rsidP="00117C44">
      <w:pPr>
        <w:spacing w:line="240" w:lineRule="auto"/>
        <w:jc w:val="both"/>
        <w:rPr>
          <w:sz w:val="22"/>
          <w:szCs w:val="22"/>
          <w:lang w:val="sr-Cyrl-CS"/>
        </w:rPr>
      </w:pPr>
      <w:r w:rsidRPr="008D14E1">
        <w:rPr>
          <w:b/>
          <w:sz w:val="22"/>
          <w:szCs w:val="22"/>
          <w:u w:val="single"/>
          <w:lang w:val="sr-Cyrl-CS"/>
        </w:rPr>
        <w:t>Part III</w:t>
      </w:r>
      <w:r w:rsidRPr="008D14E1">
        <w:rPr>
          <w:b/>
          <w:sz w:val="22"/>
          <w:szCs w:val="22"/>
          <w:lang w:val="sr-Cyrl-CS"/>
        </w:rPr>
        <w:t xml:space="preserve">: </w:t>
      </w:r>
      <w:r w:rsidRPr="008D14E1">
        <w:rPr>
          <w:b/>
          <w:sz w:val="22"/>
          <w:szCs w:val="22"/>
          <w:u w:val="single"/>
          <w:lang w:val="sr-Cyrl-CS"/>
        </w:rPr>
        <w:t>Institutional Development of the RGA</w:t>
      </w: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ind w:firstLine="720"/>
        <w:jc w:val="both"/>
        <w:rPr>
          <w:sz w:val="22"/>
          <w:szCs w:val="22"/>
          <w:lang w:val="sr-Cyrl-CS"/>
        </w:rPr>
      </w:pPr>
      <w:r w:rsidRPr="008D14E1">
        <w:rPr>
          <w:sz w:val="22"/>
          <w:szCs w:val="22"/>
          <w:lang w:val="sr-Cyrl-CS"/>
        </w:rPr>
        <w:t xml:space="preserve">Improve RGA’s institutional development through: </w:t>
      </w:r>
    </w:p>
    <w:p w:rsidR="00117C44" w:rsidRPr="008D14E1" w:rsidRDefault="00117C44" w:rsidP="00117C44">
      <w:pPr>
        <w:spacing w:line="240" w:lineRule="auto"/>
        <w:ind w:left="720"/>
        <w:jc w:val="both"/>
        <w:rPr>
          <w:sz w:val="22"/>
          <w:szCs w:val="22"/>
          <w:lang w:val="sr-Cyrl-CS"/>
        </w:rPr>
      </w:pPr>
    </w:p>
    <w:p w:rsidR="00117C44" w:rsidRPr="008D14E1" w:rsidRDefault="00117C44" w:rsidP="00117C44">
      <w:pPr>
        <w:pStyle w:val="ListParagraph"/>
        <w:numPr>
          <w:ilvl w:val="0"/>
          <w:numId w:val="37"/>
        </w:numPr>
        <w:spacing w:line="240" w:lineRule="auto"/>
        <w:ind w:left="1440" w:hanging="720"/>
        <w:contextualSpacing/>
        <w:jc w:val="both"/>
        <w:rPr>
          <w:sz w:val="22"/>
          <w:szCs w:val="22"/>
          <w:lang w:val="sr-Cyrl-CS"/>
        </w:rPr>
      </w:pPr>
      <w:r w:rsidRPr="008D14E1">
        <w:rPr>
          <w:sz w:val="22"/>
          <w:szCs w:val="22"/>
          <w:lang w:val="sr-Cyrl-CS"/>
        </w:rPr>
        <w:t xml:space="preserve">developing a business plan for RGA’s governance and institutional and corporate planning and strategy;  </w:t>
      </w:r>
    </w:p>
    <w:p w:rsidR="00117C44" w:rsidRPr="008D14E1" w:rsidRDefault="00117C44" w:rsidP="00117C44">
      <w:pPr>
        <w:pStyle w:val="ListParagraph"/>
        <w:spacing w:line="240" w:lineRule="auto"/>
        <w:ind w:left="1440" w:hanging="720"/>
        <w:contextualSpacing/>
        <w:jc w:val="both"/>
        <w:rPr>
          <w:sz w:val="22"/>
          <w:szCs w:val="22"/>
          <w:lang w:val="sr-Cyrl-CS"/>
        </w:rPr>
      </w:pPr>
    </w:p>
    <w:p w:rsidR="00117C44" w:rsidRPr="008D14E1" w:rsidRDefault="00117C44" w:rsidP="00117C44">
      <w:pPr>
        <w:pStyle w:val="ListParagraph"/>
        <w:numPr>
          <w:ilvl w:val="0"/>
          <w:numId w:val="37"/>
        </w:numPr>
        <w:spacing w:line="240" w:lineRule="auto"/>
        <w:ind w:left="1440" w:hanging="720"/>
        <w:jc w:val="both"/>
        <w:rPr>
          <w:sz w:val="22"/>
          <w:szCs w:val="22"/>
          <w:lang w:val="sr-Cyrl-CS"/>
        </w:rPr>
      </w:pPr>
      <w:r w:rsidRPr="008D14E1">
        <w:rPr>
          <w:sz w:val="22"/>
          <w:szCs w:val="22"/>
          <w:lang w:val="sr-Cyrl-CS"/>
        </w:rPr>
        <w:t xml:space="preserve">supporting the sustainability of the National Reference System and the functionality of AGROS, and improving the Borrower’s gravimetric networks and vertical reference system; </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pStyle w:val="ListParagraph"/>
        <w:numPr>
          <w:ilvl w:val="0"/>
          <w:numId w:val="37"/>
        </w:numPr>
        <w:spacing w:line="240" w:lineRule="auto"/>
        <w:ind w:left="1440" w:hanging="720"/>
        <w:jc w:val="both"/>
        <w:rPr>
          <w:sz w:val="22"/>
          <w:szCs w:val="22"/>
          <w:lang w:val="sr-Cyrl-CS"/>
        </w:rPr>
      </w:pPr>
      <w:r w:rsidRPr="008D14E1">
        <w:rPr>
          <w:sz w:val="22"/>
          <w:szCs w:val="22"/>
          <w:lang w:val="sr-Cyrl-CS"/>
        </w:rPr>
        <w:t xml:space="preserve">carrying out the digital mapping of selected cadastral municipalities and transforming existing utility maps into digital form; </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pStyle w:val="ListParagraph"/>
        <w:numPr>
          <w:ilvl w:val="0"/>
          <w:numId w:val="37"/>
        </w:numPr>
        <w:spacing w:line="240" w:lineRule="auto"/>
        <w:ind w:left="1440" w:hanging="720"/>
        <w:jc w:val="both"/>
        <w:rPr>
          <w:sz w:val="22"/>
          <w:szCs w:val="22"/>
          <w:lang w:val="sr-Cyrl-CS"/>
        </w:rPr>
      </w:pPr>
      <w:r w:rsidRPr="008D14E1">
        <w:rPr>
          <w:sz w:val="22"/>
          <w:szCs w:val="22"/>
          <w:lang w:val="sr-Cyrl-CS"/>
        </w:rPr>
        <w:t>improving registration procedures of properties, removing registration backlogs in the cities of Belgrade, Novi Sad, Nis and Kragujevac, enhancing office infrastructure in selected municipalities of the Borrower, and setting up mobile services at selected local RGA offices.</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spacing w:line="240" w:lineRule="auto"/>
        <w:jc w:val="both"/>
        <w:rPr>
          <w:b/>
          <w:sz w:val="22"/>
          <w:szCs w:val="22"/>
          <w:lang w:val="sr-Cyrl-CS"/>
        </w:rPr>
      </w:pPr>
      <w:r w:rsidRPr="008D14E1">
        <w:rPr>
          <w:b/>
          <w:sz w:val="22"/>
          <w:szCs w:val="22"/>
          <w:u w:val="single"/>
          <w:lang w:val="sr-Cyrl-CS"/>
        </w:rPr>
        <w:t>Part IV</w:t>
      </w:r>
      <w:r w:rsidRPr="008D14E1">
        <w:rPr>
          <w:b/>
          <w:sz w:val="22"/>
          <w:szCs w:val="22"/>
          <w:lang w:val="sr-Cyrl-CS"/>
        </w:rPr>
        <w:t xml:space="preserve">: </w:t>
      </w:r>
      <w:r w:rsidRPr="008D14E1">
        <w:rPr>
          <w:b/>
          <w:sz w:val="22"/>
          <w:szCs w:val="22"/>
          <w:u w:val="single"/>
          <w:lang w:val="sr-Cyrl-CS"/>
        </w:rPr>
        <w:t xml:space="preserve">Project Management and Support Activities </w:t>
      </w:r>
    </w:p>
    <w:p w:rsidR="00117C44" w:rsidRPr="008D14E1" w:rsidRDefault="00117C44" w:rsidP="00117C44">
      <w:pPr>
        <w:spacing w:line="240" w:lineRule="auto"/>
        <w:ind w:firstLine="720"/>
        <w:jc w:val="both"/>
        <w:rPr>
          <w:b/>
          <w:sz w:val="22"/>
          <w:szCs w:val="22"/>
          <w:lang w:val="sr-Cyrl-CS"/>
        </w:rPr>
      </w:pPr>
    </w:p>
    <w:p w:rsidR="00117C44" w:rsidRPr="008D14E1" w:rsidRDefault="00117C44" w:rsidP="00117C44">
      <w:pPr>
        <w:spacing w:line="240" w:lineRule="auto"/>
        <w:ind w:firstLine="720"/>
        <w:jc w:val="both"/>
        <w:rPr>
          <w:sz w:val="22"/>
          <w:szCs w:val="22"/>
          <w:lang w:val="sr-Cyrl-CS"/>
        </w:rPr>
      </w:pPr>
      <w:r w:rsidRPr="008D14E1">
        <w:rPr>
          <w:sz w:val="22"/>
          <w:szCs w:val="22"/>
          <w:lang w:val="sr-Cyrl-CS"/>
        </w:rPr>
        <w:t xml:space="preserve">Carrying out Project management activities, including: </w:t>
      </w:r>
    </w:p>
    <w:p w:rsidR="00117C44" w:rsidRPr="008D14E1" w:rsidRDefault="00117C44" w:rsidP="00117C44">
      <w:pPr>
        <w:spacing w:line="240" w:lineRule="auto"/>
        <w:ind w:left="720"/>
        <w:jc w:val="both"/>
        <w:rPr>
          <w:sz w:val="22"/>
          <w:szCs w:val="22"/>
          <w:lang w:val="sr-Cyrl-CS"/>
        </w:rPr>
      </w:pPr>
    </w:p>
    <w:p w:rsidR="00117C44" w:rsidRPr="008D14E1" w:rsidRDefault="00117C44" w:rsidP="00117C44">
      <w:pPr>
        <w:pStyle w:val="ListParagraph"/>
        <w:numPr>
          <w:ilvl w:val="0"/>
          <w:numId w:val="36"/>
        </w:numPr>
        <w:spacing w:line="240" w:lineRule="auto"/>
        <w:ind w:left="1440" w:hanging="720"/>
        <w:jc w:val="both"/>
        <w:rPr>
          <w:sz w:val="22"/>
          <w:szCs w:val="22"/>
          <w:lang w:val="sr-Cyrl-CS"/>
        </w:rPr>
      </w:pPr>
      <w:r w:rsidRPr="008D14E1">
        <w:rPr>
          <w:sz w:val="22"/>
          <w:szCs w:val="22"/>
          <w:lang w:val="sr-Cyrl-CS"/>
        </w:rPr>
        <w:t xml:space="preserve">provision of support to PIU on Project management; </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pStyle w:val="ListParagraph"/>
        <w:numPr>
          <w:ilvl w:val="0"/>
          <w:numId w:val="36"/>
        </w:numPr>
        <w:spacing w:line="240" w:lineRule="auto"/>
        <w:ind w:left="1440" w:hanging="720"/>
        <w:jc w:val="both"/>
        <w:rPr>
          <w:sz w:val="22"/>
          <w:szCs w:val="22"/>
          <w:lang w:val="sr-Cyrl-CS"/>
        </w:rPr>
      </w:pPr>
      <w:r w:rsidRPr="008D14E1">
        <w:rPr>
          <w:sz w:val="22"/>
          <w:szCs w:val="22"/>
          <w:lang w:val="sr-Cyrl-CS"/>
        </w:rPr>
        <w:t>monitoring and evaluation of the Project;</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pStyle w:val="ListParagraph"/>
        <w:numPr>
          <w:ilvl w:val="0"/>
          <w:numId w:val="36"/>
        </w:numPr>
        <w:spacing w:line="240" w:lineRule="auto"/>
        <w:ind w:left="1440" w:hanging="720"/>
        <w:jc w:val="both"/>
        <w:rPr>
          <w:sz w:val="22"/>
          <w:szCs w:val="22"/>
          <w:lang w:val="sr-Cyrl-CS"/>
        </w:rPr>
      </w:pPr>
      <w:r w:rsidRPr="008D14E1">
        <w:rPr>
          <w:sz w:val="22"/>
          <w:szCs w:val="22"/>
          <w:lang w:val="sr-Cyrl-CS"/>
        </w:rPr>
        <w:t xml:space="preserve">public outreach on the Project activities to improve social inclusion; </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pStyle w:val="ListParagraph"/>
        <w:numPr>
          <w:ilvl w:val="0"/>
          <w:numId w:val="36"/>
        </w:numPr>
        <w:spacing w:line="240" w:lineRule="auto"/>
        <w:ind w:left="1440" w:hanging="720"/>
        <w:jc w:val="both"/>
        <w:rPr>
          <w:sz w:val="22"/>
          <w:szCs w:val="22"/>
          <w:lang w:val="sr-Cyrl-CS"/>
        </w:rPr>
      </w:pPr>
      <w:r w:rsidRPr="008D14E1">
        <w:rPr>
          <w:sz w:val="22"/>
          <w:szCs w:val="22"/>
          <w:lang w:val="sr-Cyrl-CS"/>
        </w:rPr>
        <w:t xml:space="preserve">provision of Training to stakeholders in the public and private sectors according to a training plan set forth in the Operational Manual; and </w:t>
      </w:r>
    </w:p>
    <w:p w:rsidR="00117C44" w:rsidRPr="008D14E1" w:rsidRDefault="00117C44" w:rsidP="00117C44">
      <w:pPr>
        <w:pStyle w:val="ListParagraph"/>
        <w:spacing w:line="240" w:lineRule="auto"/>
        <w:ind w:left="1440" w:hanging="720"/>
        <w:jc w:val="both"/>
        <w:rPr>
          <w:sz w:val="22"/>
          <w:szCs w:val="22"/>
          <w:lang w:val="sr-Cyrl-CS"/>
        </w:rPr>
      </w:pPr>
    </w:p>
    <w:p w:rsidR="00117C44" w:rsidRPr="008D14E1" w:rsidRDefault="00117C44" w:rsidP="00117C44">
      <w:pPr>
        <w:pStyle w:val="ListParagraph"/>
        <w:numPr>
          <w:ilvl w:val="0"/>
          <w:numId w:val="36"/>
        </w:numPr>
        <w:spacing w:line="240" w:lineRule="auto"/>
        <w:ind w:left="1440" w:hanging="720"/>
        <w:jc w:val="both"/>
        <w:rPr>
          <w:sz w:val="22"/>
          <w:szCs w:val="22"/>
          <w:lang w:val="sr-Cyrl-CS"/>
        </w:rPr>
      </w:pPr>
      <w:r w:rsidRPr="008D14E1">
        <w:rPr>
          <w:sz w:val="22"/>
          <w:szCs w:val="22"/>
          <w:lang w:val="sr-Cyrl-CS"/>
        </w:rPr>
        <w:t xml:space="preserve">studies on, </w:t>
      </w:r>
      <w:r w:rsidRPr="008D14E1">
        <w:rPr>
          <w:i/>
          <w:sz w:val="22"/>
          <w:szCs w:val="22"/>
          <w:lang w:val="sr-Cyrl-CS"/>
        </w:rPr>
        <w:t>inter alia</w:t>
      </w:r>
      <w:r w:rsidRPr="008D14E1">
        <w:rPr>
          <w:sz w:val="22"/>
          <w:szCs w:val="22"/>
          <w:lang w:val="sr-Cyrl-CS"/>
        </w:rPr>
        <w:t xml:space="preserve">, customer satisfaction, real estate administration and management, and based upon the results of said studies, design proposals for adoption of policies and regulations. </w:t>
      </w: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spacing w:line="240" w:lineRule="auto"/>
        <w:jc w:val="both"/>
        <w:rPr>
          <w:sz w:val="22"/>
          <w:szCs w:val="22"/>
          <w:lang w:val="sr-Cyrl-CS"/>
        </w:rPr>
      </w:pPr>
    </w:p>
    <w:p w:rsidR="00117C44" w:rsidRPr="008D14E1" w:rsidRDefault="00117C44" w:rsidP="00117C44">
      <w:pPr>
        <w:pStyle w:val="BodyText"/>
        <w:ind w:left="1440"/>
        <w:rPr>
          <w:sz w:val="22"/>
          <w:szCs w:val="22"/>
          <w:lang w:val="sr-Cyrl-CS"/>
        </w:rPr>
      </w:pPr>
    </w:p>
    <w:p w:rsidR="00117C44" w:rsidRPr="008D14E1" w:rsidRDefault="00117C44" w:rsidP="00117C44">
      <w:pPr>
        <w:pStyle w:val="BodyText"/>
        <w:jc w:val="center"/>
        <w:rPr>
          <w:sz w:val="22"/>
          <w:szCs w:val="22"/>
          <w:lang w:val="sr-Cyrl-CS"/>
        </w:rPr>
      </w:pPr>
      <w:r w:rsidRPr="008D14E1">
        <w:rPr>
          <w:b/>
          <w:bCs/>
          <w:sz w:val="22"/>
          <w:szCs w:val="22"/>
          <w:lang w:val="sr-Cyrl-CS"/>
        </w:rPr>
        <w:lastRenderedPageBreak/>
        <w:t>SCHEDULE 2</w:t>
      </w:r>
    </w:p>
    <w:p w:rsidR="00117C44" w:rsidRPr="008D14E1" w:rsidRDefault="00117C44" w:rsidP="00117C44">
      <w:pPr>
        <w:pStyle w:val="BodyText"/>
        <w:jc w:val="center"/>
        <w:rPr>
          <w:sz w:val="22"/>
          <w:szCs w:val="22"/>
          <w:lang w:val="sr-Cyrl-CS"/>
        </w:rPr>
      </w:pPr>
    </w:p>
    <w:p w:rsidR="00117C44" w:rsidRPr="008D14E1" w:rsidRDefault="00117C44" w:rsidP="00117C44">
      <w:pPr>
        <w:pStyle w:val="BodyText"/>
        <w:jc w:val="center"/>
        <w:rPr>
          <w:b/>
          <w:bCs/>
          <w:sz w:val="22"/>
          <w:szCs w:val="22"/>
          <w:lang w:val="sr-Cyrl-CS"/>
        </w:rPr>
      </w:pPr>
      <w:r w:rsidRPr="008D14E1">
        <w:rPr>
          <w:b/>
          <w:bCs/>
          <w:sz w:val="22"/>
          <w:szCs w:val="22"/>
          <w:lang w:val="sr-Cyrl-CS"/>
        </w:rPr>
        <w:t>Project Execution</w:t>
      </w:r>
    </w:p>
    <w:p w:rsidR="00117C44" w:rsidRPr="008D14E1" w:rsidRDefault="00117C44" w:rsidP="00117C44">
      <w:pPr>
        <w:pStyle w:val="BodyText"/>
        <w:jc w:val="center"/>
        <w:rPr>
          <w:sz w:val="22"/>
          <w:szCs w:val="22"/>
          <w:lang w:val="sr-Cyrl-CS"/>
        </w:rPr>
      </w:pPr>
    </w:p>
    <w:p w:rsidR="00117C44" w:rsidRPr="008D14E1" w:rsidRDefault="00117C44" w:rsidP="00117C44">
      <w:pPr>
        <w:pStyle w:val="BodyText"/>
        <w:rPr>
          <w:b/>
          <w:bCs/>
          <w:sz w:val="22"/>
          <w:szCs w:val="22"/>
          <w:lang w:val="sr-Cyrl-CS"/>
        </w:rPr>
      </w:pPr>
      <w:r w:rsidRPr="008D14E1">
        <w:rPr>
          <w:b/>
          <w:bCs/>
          <w:sz w:val="22"/>
          <w:szCs w:val="22"/>
          <w:lang w:val="sr-Cyrl-CS"/>
        </w:rPr>
        <w:t>Section I.</w:t>
      </w:r>
      <w:r w:rsidRPr="008D14E1">
        <w:rPr>
          <w:b/>
          <w:bCs/>
          <w:sz w:val="22"/>
          <w:szCs w:val="22"/>
          <w:lang w:val="sr-Cyrl-CS"/>
        </w:rPr>
        <w:tab/>
      </w:r>
      <w:r w:rsidRPr="008D14E1">
        <w:rPr>
          <w:b/>
          <w:bCs/>
          <w:sz w:val="22"/>
          <w:szCs w:val="22"/>
          <w:u w:val="single"/>
          <w:lang w:val="sr-Cyrl-CS"/>
        </w:rPr>
        <w:t>Implementation Arrangements</w:t>
      </w:r>
    </w:p>
    <w:p w:rsidR="00117C44" w:rsidRPr="008D14E1" w:rsidRDefault="00117C44" w:rsidP="00117C44">
      <w:pPr>
        <w:pStyle w:val="BodyText"/>
        <w:rPr>
          <w:sz w:val="22"/>
          <w:szCs w:val="22"/>
          <w:lang w:val="sr-Cyrl-CS"/>
        </w:rPr>
      </w:pPr>
    </w:p>
    <w:p w:rsidR="00117C44" w:rsidRPr="008D14E1" w:rsidRDefault="00117C44" w:rsidP="00117C44">
      <w:pPr>
        <w:pStyle w:val="ModelNrmlSingle"/>
        <w:spacing w:after="0"/>
        <w:ind w:left="720" w:hanging="720"/>
        <w:rPr>
          <w:bCs/>
          <w:szCs w:val="22"/>
          <w:lang w:val="sr-Cyrl-CS"/>
        </w:rPr>
      </w:pPr>
      <w:r w:rsidRPr="008D14E1">
        <w:rPr>
          <w:b/>
          <w:bCs/>
          <w:szCs w:val="22"/>
          <w:lang w:val="sr-Cyrl-CS"/>
        </w:rPr>
        <w:t>A.</w:t>
      </w:r>
      <w:r w:rsidRPr="008D14E1">
        <w:rPr>
          <w:b/>
          <w:bCs/>
          <w:szCs w:val="22"/>
          <w:lang w:val="sr-Cyrl-CS"/>
        </w:rPr>
        <w:tab/>
        <w:t>Institutional Arrangements</w:t>
      </w:r>
      <w:r w:rsidRPr="008D14E1">
        <w:rPr>
          <w:bCs/>
          <w:szCs w:val="22"/>
          <w:lang w:val="sr-Cyrl-CS"/>
        </w:rPr>
        <w:t xml:space="preserve">  </w:t>
      </w:r>
    </w:p>
    <w:p w:rsidR="00117C44" w:rsidRPr="008D14E1" w:rsidRDefault="00117C44" w:rsidP="00117C44">
      <w:pPr>
        <w:pStyle w:val="ModelNrmlSingle"/>
        <w:spacing w:after="0"/>
        <w:ind w:left="720" w:hanging="720"/>
        <w:rPr>
          <w:bCs/>
          <w:i/>
          <w:iCs/>
          <w:szCs w:val="22"/>
          <w:lang w:val="sr-Cyrl-CS"/>
        </w:rPr>
      </w:pPr>
    </w:p>
    <w:p w:rsidR="00117C44" w:rsidRPr="008D14E1" w:rsidRDefault="00117C44" w:rsidP="00117C44">
      <w:pPr>
        <w:pStyle w:val="ModelNrmlSingle"/>
        <w:spacing w:after="0"/>
        <w:ind w:left="720" w:hanging="720"/>
        <w:rPr>
          <w:bCs/>
          <w:i/>
          <w:iCs/>
          <w:szCs w:val="22"/>
          <w:lang w:val="sr-Cyrl-CS"/>
        </w:rPr>
      </w:pPr>
      <w:r w:rsidRPr="008D14E1">
        <w:rPr>
          <w:bCs/>
          <w:iCs/>
          <w:szCs w:val="22"/>
          <w:lang w:val="sr-Cyrl-CS"/>
        </w:rPr>
        <w:t xml:space="preserve">1. </w:t>
      </w:r>
      <w:r w:rsidRPr="008D14E1">
        <w:rPr>
          <w:bCs/>
          <w:iCs/>
          <w:szCs w:val="22"/>
          <w:lang w:val="sr-Cyrl-CS"/>
        </w:rPr>
        <w:tab/>
        <w:t>The Borrower shall maintain at all times during Project implementation the PIU under the RGA, with the necessary resources and staff to carry out the Project, and with a composition and terms of reference satisfactory to the Bank (including a director, a procurement specialist, a financial management specialist, a monitoring and evaluation specialist, a training specialist, a valuation specialist, a safeguards specialist and an accountant).</w:t>
      </w:r>
      <w:r w:rsidRPr="008D14E1">
        <w:rPr>
          <w:bCs/>
          <w:i/>
          <w:iCs/>
          <w:szCs w:val="22"/>
          <w:lang w:val="sr-Cyrl-CS"/>
        </w:rPr>
        <w:t xml:space="preserve"> </w:t>
      </w:r>
    </w:p>
    <w:p w:rsidR="00117C44" w:rsidRPr="008D14E1" w:rsidRDefault="00117C44" w:rsidP="00117C44">
      <w:pPr>
        <w:pStyle w:val="ModelNrmlSingle"/>
        <w:spacing w:after="0"/>
        <w:ind w:left="720" w:hanging="720"/>
        <w:rPr>
          <w:bCs/>
          <w:i/>
          <w:iCs/>
          <w:szCs w:val="22"/>
          <w:lang w:val="sr-Cyrl-CS"/>
        </w:rPr>
      </w:pPr>
    </w:p>
    <w:p w:rsidR="00117C44" w:rsidRPr="008D14E1" w:rsidRDefault="00117C44" w:rsidP="00117C44">
      <w:pPr>
        <w:pStyle w:val="ModelNrmlSingle"/>
        <w:spacing w:after="0"/>
        <w:ind w:left="720" w:hanging="720"/>
        <w:rPr>
          <w:bCs/>
          <w:iCs/>
          <w:szCs w:val="22"/>
          <w:lang w:val="sr-Cyrl-CS"/>
        </w:rPr>
      </w:pPr>
      <w:r w:rsidRPr="008D14E1">
        <w:rPr>
          <w:bCs/>
          <w:iCs/>
          <w:szCs w:val="22"/>
          <w:lang w:val="sr-Cyrl-CS"/>
        </w:rPr>
        <w:t xml:space="preserve">2. </w:t>
      </w:r>
      <w:r w:rsidRPr="008D14E1">
        <w:rPr>
          <w:bCs/>
          <w:iCs/>
          <w:szCs w:val="22"/>
          <w:lang w:val="sr-Cyrl-CS"/>
        </w:rPr>
        <w:tab/>
        <w:t>The Borrower shall implement the Project in accordance with the Operational Manual.</w:t>
      </w:r>
    </w:p>
    <w:p w:rsidR="00117C44" w:rsidRPr="008D14E1" w:rsidRDefault="00117C44" w:rsidP="00117C44">
      <w:pPr>
        <w:pStyle w:val="ModelNrmlSingle"/>
        <w:spacing w:after="0"/>
        <w:ind w:left="720" w:hanging="720"/>
        <w:rPr>
          <w:bCs/>
          <w:iCs/>
          <w:szCs w:val="22"/>
          <w:lang w:val="sr-Cyrl-CS"/>
        </w:rPr>
      </w:pPr>
    </w:p>
    <w:p w:rsidR="00117C44" w:rsidRPr="008D14E1" w:rsidRDefault="00117C44" w:rsidP="00117C44">
      <w:pPr>
        <w:pStyle w:val="ModelNrmlSingle"/>
        <w:spacing w:after="0"/>
        <w:ind w:left="720" w:hanging="720"/>
        <w:rPr>
          <w:bCs/>
          <w:iCs/>
          <w:szCs w:val="22"/>
          <w:lang w:val="sr-Cyrl-CS"/>
        </w:rPr>
      </w:pPr>
      <w:r w:rsidRPr="008D14E1">
        <w:rPr>
          <w:bCs/>
          <w:iCs/>
          <w:szCs w:val="22"/>
          <w:lang w:val="sr-Cyrl-CS"/>
        </w:rPr>
        <w:t xml:space="preserve">3. </w:t>
      </w:r>
      <w:r w:rsidRPr="008D14E1">
        <w:rPr>
          <w:bCs/>
          <w:iCs/>
          <w:szCs w:val="22"/>
          <w:lang w:val="sr-Cyrl-CS"/>
        </w:rPr>
        <w:tab/>
        <w:t>The Borrower shall not amend or waive any provision of the Operational Manual without the Bank’s prior written approval. In case of any conflict between the terms of the Operational Manual and this Agreement, the terms of this Agreement shall prevail.</w:t>
      </w:r>
    </w:p>
    <w:p w:rsidR="00117C44" w:rsidRPr="008D14E1" w:rsidRDefault="00117C44" w:rsidP="00117C44">
      <w:pPr>
        <w:pStyle w:val="ModelNrmlSingle"/>
        <w:spacing w:after="0"/>
        <w:ind w:left="720" w:hanging="720"/>
        <w:rPr>
          <w:bCs/>
          <w:iCs/>
          <w:szCs w:val="22"/>
          <w:lang w:val="sr-Cyrl-CS"/>
        </w:rPr>
      </w:pPr>
    </w:p>
    <w:p w:rsidR="00117C44" w:rsidRPr="008D14E1" w:rsidRDefault="00117C44" w:rsidP="00117C44">
      <w:pPr>
        <w:pStyle w:val="ModelNrmlSingle"/>
        <w:spacing w:after="0"/>
        <w:ind w:left="720" w:hanging="720"/>
        <w:rPr>
          <w:szCs w:val="22"/>
          <w:lang w:val="sr-Cyrl-CS"/>
        </w:rPr>
      </w:pPr>
      <w:r w:rsidRPr="008D14E1">
        <w:rPr>
          <w:bCs/>
          <w:iCs/>
          <w:szCs w:val="22"/>
          <w:lang w:val="sr-Cyrl-CS"/>
        </w:rPr>
        <w:t>4.</w:t>
      </w:r>
      <w:r w:rsidRPr="008D14E1">
        <w:rPr>
          <w:bCs/>
          <w:iCs/>
          <w:szCs w:val="22"/>
          <w:lang w:val="sr-Cyrl-CS"/>
        </w:rPr>
        <w:tab/>
        <w:t xml:space="preserve">The Borrower shall maintain at all times during Project implementation a Project Council </w:t>
      </w:r>
      <w:r w:rsidRPr="008D14E1">
        <w:rPr>
          <w:bCs/>
          <w:szCs w:val="22"/>
          <w:lang w:val="sr-Cyrl-CS"/>
        </w:rPr>
        <w:t>with a composition, terms of reference, and resources satisfactory to the Bank</w:t>
      </w:r>
      <w:r w:rsidRPr="008D14E1">
        <w:rPr>
          <w:bCs/>
          <w:iCs/>
          <w:szCs w:val="22"/>
          <w:lang w:val="sr-Cyrl-CS"/>
        </w:rPr>
        <w:t xml:space="preserve">. The Project Council shall be responsible for making major policy decisions concerning </w:t>
      </w:r>
      <w:r w:rsidRPr="008D14E1">
        <w:rPr>
          <w:szCs w:val="22"/>
          <w:lang w:val="sr-Cyrl-CS"/>
        </w:rPr>
        <w:t>Project implementation and for overall Project supervision, as well as approving annual work plans, training plans and reports. The Project Council shall be chaired by a coordinator from the MCTI and shall include representatives of the Borrower’s following institutions: Ministry of Public Administration and Local Self Government, Ministry of Finance, Ministry of Justice, Ministry of Economy, Tax Administration, Statistical Office and the Director General of RGA. The PIU director shall act as secretary to the Project Council.</w:t>
      </w:r>
    </w:p>
    <w:p w:rsidR="00117C44" w:rsidRPr="008D14E1" w:rsidRDefault="00117C44" w:rsidP="00117C44">
      <w:pPr>
        <w:pStyle w:val="ModelNrmlSingle"/>
        <w:spacing w:after="0"/>
        <w:ind w:left="720" w:hanging="720"/>
        <w:rPr>
          <w:szCs w:val="22"/>
          <w:lang w:val="sr-Cyrl-CS"/>
        </w:rPr>
      </w:pPr>
    </w:p>
    <w:p w:rsidR="00117C44" w:rsidRPr="008D14E1" w:rsidRDefault="00117C44" w:rsidP="00117C44">
      <w:pPr>
        <w:pStyle w:val="ModelNrmlSingle"/>
        <w:spacing w:after="0"/>
        <w:ind w:left="720" w:hanging="720"/>
        <w:rPr>
          <w:szCs w:val="22"/>
          <w:lang w:val="sr-Cyrl-CS"/>
        </w:rPr>
      </w:pPr>
      <w:r w:rsidRPr="008D14E1">
        <w:rPr>
          <w:szCs w:val="22"/>
          <w:lang w:val="sr-Cyrl-CS"/>
        </w:rPr>
        <w:t xml:space="preserve">5.         </w:t>
      </w:r>
      <w:r w:rsidRPr="008D14E1">
        <w:rPr>
          <w:bCs/>
          <w:iCs/>
          <w:szCs w:val="22"/>
          <w:lang w:val="sr-Cyrl-CS"/>
        </w:rPr>
        <w:t xml:space="preserve">The Borrower shall maintain at all times during Project implementation a Project Steering Committee </w:t>
      </w:r>
      <w:r w:rsidRPr="008D14E1">
        <w:rPr>
          <w:bCs/>
          <w:szCs w:val="22"/>
          <w:lang w:val="sr-Cyrl-CS"/>
        </w:rPr>
        <w:t>with a composition, terms of reference, and resources satisfactory to the Bank. Members of the Steering Committee shall include the Director General of RGA, the relevant RGA Sector and Department Directors whose units are directly related to the Project activities, and selected experts from other institutions of the Borrower. The Steering Committee shall be in charge of supervising the regular implementation activities of the Project, and shall provide reports to the Project Council on a quarterly basis, or as requested by the Project Council, pursuant to criteria set forth in the Operational Manual.</w:t>
      </w:r>
    </w:p>
    <w:p w:rsidR="008D57CD" w:rsidRPr="008D14E1" w:rsidRDefault="008D57CD" w:rsidP="008D57CD">
      <w:pPr>
        <w:pStyle w:val="BodyText"/>
        <w:rPr>
          <w:sz w:val="22"/>
          <w:szCs w:val="22"/>
          <w:lang w:val="sr-Cyrl-CS"/>
        </w:rPr>
      </w:pPr>
    </w:p>
    <w:p w:rsidR="00117C44" w:rsidRPr="008D14E1" w:rsidRDefault="00117C44" w:rsidP="008D57CD">
      <w:pPr>
        <w:pStyle w:val="BodyText"/>
        <w:rPr>
          <w:sz w:val="22"/>
          <w:szCs w:val="22"/>
          <w:lang w:val="sr-Cyrl-CS"/>
        </w:rPr>
      </w:pPr>
    </w:p>
    <w:p w:rsidR="00117C44" w:rsidRPr="008D14E1" w:rsidRDefault="00117C44" w:rsidP="008D57CD">
      <w:pPr>
        <w:pStyle w:val="BodyText"/>
        <w:rPr>
          <w:sz w:val="22"/>
          <w:szCs w:val="22"/>
          <w:lang w:val="sr-Cyrl-CS"/>
        </w:rPr>
      </w:pPr>
    </w:p>
    <w:p w:rsidR="00117C44" w:rsidRPr="008D14E1" w:rsidRDefault="00117C44" w:rsidP="008D57CD">
      <w:pPr>
        <w:pStyle w:val="BodyText"/>
        <w:rPr>
          <w:sz w:val="22"/>
          <w:szCs w:val="22"/>
          <w:lang w:val="sr-Cyrl-CS"/>
        </w:rPr>
      </w:pPr>
    </w:p>
    <w:p w:rsidR="00117C44" w:rsidRPr="008D14E1" w:rsidRDefault="00117C44" w:rsidP="008D57CD">
      <w:pPr>
        <w:pStyle w:val="BodyText"/>
        <w:rPr>
          <w:sz w:val="22"/>
          <w:szCs w:val="22"/>
          <w:lang w:val="sr-Cyrl-CS"/>
        </w:rPr>
      </w:pPr>
    </w:p>
    <w:p w:rsidR="008D57CD" w:rsidRPr="008D14E1" w:rsidRDefault="008D57CD" w:rsidP="008D57CD">
      <w:pPr>
        <w:pStyle w:val="BodyText"/>
        <w:jc w:val="left"/>
        <w:rPr>
          <w:sz w:val="22"/>
          <w:szCs w:val="22"/>
          <w:lang w:val="sr-Cyrl-CS"/>
        </w:rPr>
      </w:pPr>
    </w:p>
    <w:p w:rsidR="00117C44" w:rsidRPr="008D14E1" w:rsidRDefault="00117C44" w:rsidP="00117C44">
      <w:pPr>
        <w:pStyle w:val="ModelNrmlSingle"/>
        <w:spacing w:after="0"/>
        <w:ind w:firstLine="0"/>
        <w:rPr>
          <w:bCs/>
          <w:szCs w:val="22"/>
          <w:lang w:val="sr-Cyrl-CS"/>
        </w:rPr>
      </w:pPr>
      <w:r w:rsidRPr="008D14E1">
        <w:rPr>
          <w:b/>
          <w:bCs/>
          <w:szCs w:val="22"/>
          <w:lang w:val="sr-Cyrl-CS"/>
        </w:rPr>
        <w:lastRenderedPageBreak/>
        <w:t>B.</w:t>
      </w:r>
      <w:r w:rsidRPr="008D14E1">
        <w:rPr>
          <w:b/>
          <w:bCs/>
          <w:szCs w:val="22"/>
          <w:lang w:val="sr-Cyrl-CS"/>
        </w:rPr>
        <w:tab/>
        <w:t>Safeguards</w:t>
      </w:r>
    </w:p>
    <w:p w:rsidR="00117C44" w:rsidRPr="008D14E1" w:rsidRDefault="00117C44" w:rsidP="00117C44">
      <w:pPr>
        <w:pStyle w:val="ModelNrmlSingle"/>
        <w:spacing w:after="0"/>
        <w:ind w:left="720" w:hanging="720"/>
        <w:rPr>
          <w:bCs/>
          <w:i/>
          <w:iCs/>
          <w:szCs w:val="22"/>
          <w:lang w:val="sr-Cyrl-CS"/>
        </w:rPr>
      </w:pPr>
    </w:p>
    <w:p w:rsidR="00117C44" w:rsidRPr="008D14E1" w:rsidRDefault="00117C44" w:rsidP="00117C44">
      <w:pPr>
        <w:pStyle w:val="ModelNrmlSingle"/>
        <w:spacing w:after="0"/>
        <w:ind w:left="720" w:hanging="720"/>
        <w:rPr>
          <w:bCs/>
          <w:iCs/>
          <w:szCs w:val="22"/>
          <w:lang w:val="sr-Cyrl-CS"/>
        </w:rPr>
      </w:pPr>
      <w:r w:rsidRPr="008D14E1">
        <w:rPr>
          <w:bCs/>
          <w:iCs/>
          <w:szCs w:val="22"/>
          <w:lang w:val="sr-Cyrl-CS"/>
        </w:rPr>
        <w:t>1.</w:t>
      </w:r>
      <w:r w:rsidRPr="008D14E1">
        <w:rPr>
          <w:bCs/>
          <w:iCs/>
          <w:szCs w:val="22"/>
          <w:lang w:val="sr-Cyrl-CS"/>
        </w:rPr>
        <w:tab/>
        <w:t xml:space="preserve">The Borrower shall carry out the Project in accordance with the EMP in a manner acceptable to the Bank, and </w:t>
      </w:r>
      <w:r w:rsidRPr="008D14E1">
        <w:rPr>
          <w:szCs w:val="22"/>
          <w:lang w:val="sr-Cyrl-CS"/>
        </w:rPr>
        <w:t>shall not amend, suspend, abrogate, repeal or waive any provision of the EMP without the prior approval of the Bank</w:t>
      </w:r>
      <w:r w:rsidRPr="008D14E1">
        <w:rPr>
          <w:bCs/>
          <w:iCs/>
          <w:szCs w:val="22"/>
          <w:lang w:val="sr-Cyrl-CS"/>
        </w:rPr>
        <w:t>.</w:t>
      </w:r>
    </w:p>
    <w:p w:rsidR="00117C44" w:rsidRPr="008D14E1" w:rsidRDefault="00117C44" w:rsidP="00117C44">
      <w:pPr>
        <w:pStyle w:val="ModelNrmlSingle"/>
        <w:spacing w:after="0"/>
        <w:ind w:left="720" w:hanging="720"/>
        <w:rPr>
          <w:bCs/>
          <w:iCs/>
          <w:szCs w:val="22"/>
          <w:lang w:val="sr-Cyrl-CS"/>
        </w:rPr>
      </w:pPr>
    </w:p>
    <w:p w:rsidR="00117C44" w:rsidRPr="008D14E1" w:rsidRDefault="00117C44" w:rsidP="00117C44">
      <w:pPr>
        <w:pStyle w:val="ModelNrmlSingle"/>
        <w:spacing w:after="0"/>
        <w:ind w:left="720" w:hanging="720"/>
        <w:rPr>
          <w:bCs/>
          <w:iCs/>
          <w:szCs w:val="22"/>
          <w:lang w:val="sr-Cyrl-CS"/>
        </w:rPr>
      </w:pPr>
      <w:r w:rsidRPr="008D14E1">
        <w:rPr>
          <w:bCs/>
          <w:iCs/>
          <w:szCs w:val="22"/>
          <w:lang w:val="sr-Cyrl-CS"/>
        </w:rPr>
        <w:t>2.</w:t>
      </w:r>
      <w:r w:rsidRPr="008D14E1">
        <w:rPr>
          <w:bCs/>
          <w:iCs/>
          <w:szCs w:val="22"/>
          <w:lang w:val="sr-Cyrl-CS"/>
        </w:rPr>
        <w:tab/>
        <w:t>In the event that, during Project implementation, the Borrower may decide to change the identified location of the central archive building referred to in Part II (iv) of the Project, the Borrower shall, prior to the carrying out of any works: (a) carry out an environmental assessment satisfactory to the Bank; and (b) prepare, adopt and implement an environmental management plan on terms and conditions acceptable to the Bank.</w:t>
      </w:r>
    </w:p>
    <w:p w:rsidR="00117C44" w:rsidRPr="008D14E1" w:rsidRDefault="00117C44" w:rsidP="00117C44">
      <w:pPr>
        <w:pStyle w:val="ModelNrmlSingle"/>
        <w:spacing w:after="0"/>
        <w:ind w:left="720" w:hanging="720"/>
        <w:rPr>
          <w:bCs/>
          <w:iCs/>
          <w:szCs w:val="22"/>
          <w:lang w:val="sr-Cyrl-CS"/>
        </w:rPr>
      </w:pPr>
    </w:p>
    <w:p w:rsidR="00117C44" w:rsidRPr="008D14E1" w:rsidRDefault="00117C44" w:rsidP="00117C44">
      <w:pPr>
        <w:pStyle w:val="ModelNrmlSingle"/>
        <w:spacing w:after="0"/>
        <w:ind w:left="720" w:hanging="720"/>
        <w:rPr>
          <w:bCs/>
          <w:iCs/>
          <w:szCs w:val="22"/>
          <w:lang w:val="sr-Cyrl-CS"/>
        </w:rPr>
      </w:pPr>
      <w:r w:rsidRPr="008D14E1">
        <w:rPr>
          <w:bCs/>
          <w:iCs/>
          <w:szCs w:val="22"/>
          <w:lang w:val="sr-Cyrl-CS"/>
        </w:rPr>
        <w:t>3.</w:t>
      </w:r>
      <w:r w:rsidRPr="008D14E1">
        <w:rPr>
          <w:bCs/>
          <w:iCs/>
          <w:szCs w:val="22"/>
          <w:lang w:val="sr-Cyrl-CS"/>
        </w:rPr>
        <w:tab/>
        <w:t xml:space="preserve">The Borrower shall ensure that no Project activities involve Involuntary Resettlement. </w:t>
      </w:r>
    </w:p>
    <w:p w:rsidR="00117C44" w:rsidRPr="008D14E1" w:rsidRDefault="00117C44" w:rsidP="00117C44">
      <w:pPr>
        <w:spacing w:line="240" w:lineRule="auto"/>
        <w:jc w:val="both"/>
        <w:rPr>
          <w:b/>
          <w:sz w:val="22"/>
          <w:szCs w:val="22"/>
          <w:lang w:val="sr-Cyrl-CS"/>
        </w:rPr>
      </w:pPr>
    </w:p>
    <w:p w:rsidR="00117C44" w:rsidRPr="008D14E1" w:rsidRDefault="00117C44" w:rsidP="00117C44">
      <w:pPr>
        <w:spacing w:line="240" w:lineRule="auto"/>
        <w:jc w:val="both"/>
        <w:rPr>
          <w:b/>
          <w:sz w:val="22"/>
          <w:szCs w:val="22"/>
          <w:lang w:val="sr-Cyrl-CS"/>
        </w:rPr>
      </w:pPr>
    </w:p>
    <w:p w:rsidR="00117C44" w:rsidRPr="008D14E1" w:rsidRDefault="00117C44" w:rsidP="00117C44">
      <w:pPr>
        <w:pStyle w:val="BodyText"/>
        <w:rPr>
          <w:b/>
          <w:bCs/>
          <w:sz w:val="22"/>
          <w:szCs w:val="22"/>
          <w:lang w:val="sr-Cyrl-CS"/>
        </w:rPr>
      </w:pPr>
      <w:r w:rsidRPr="008D14E1">
        <w:rPr>
          <w:b/>
          <w:bCs/>
          <w:sz w:val="22"/>
          <w:szCs w:val="22"/>
          <w:lang w:val="sr-Cyrl-CS"/>
        </w:rPr>
        <w:t>Section II.</w:t>
      </w:r>
      <w:r w:rsidRPr="008D14E1">
        <w:rPr>
          <w:b/>
          <w:bCs/>
          <w:sz w:val="22"/>
          <w:szCs w:val="22"/>
          <w:lang w:val="sr-Cyrl-CS"/>
        </w:rPr>
        <w:tab/>
      </w:r>
      <w:r w:rsidRPr="008D14E1">
        <w:rPr>
          <w:b/>
          <w:bCs/>
          <w:sz w:val="22"/>
          <w:szCs w:val="22"/>
          <w:u w:val="single"/>
          <w:lang w:val="sr-Cyrl-CS"/>
        </w:rPr>
        <w:t>Project Monitoring, Reporting and Evaluation</w:t>
      </w:r>
    </w:p>
    <w:p w:rsidR="00117C44" w:rsidRPr="008D14E1" w:rsidRDefault="00117C44" w:rsidP="00117C44">
      <w:pPr>
        <w:pStyle w:val="BodyText"/>
        <w:rPr>
          <w:sz w:val="22"/>
          <w:szCs w:val="22"/>
          <w:lang w:val="sr-Cyrl-CS"/>
        </w:rPr>
      </w:pPr>
    </w:p>
    <w:p w:rsidR="00117C44" w:rsidRPr="008D14E1" w:rsidRDefault="00117C44" w:rsidP="00117C44">
      <w:pPr>
        <w:pStyle w:val="BodyText"/>
        <w:ind w:left="720" w:hanging="720"/>
        <w:rPr>
          <w:sz w:val="22"/>
          <w:szCs w:val="22"/>
          <w:lang w:val="sr-Cyrl-CS"/>
        </w:rPr>
      </w:pPr>
      <w:r w:rsidRPr="008D14E1">
        <w:rPr>
          <w:sz w:val="22"/>
          <w:szCs w:val="22"/>
          <w:lang w:val="sr-Cyrl-CS"/>
        </w:rPr>
        <w:tab/>
        <w:t xml:space="preserve">The Borrower shall furnish to the Bank each Project Report not later than one month after the end of each calendar semester, covering the calendar semester. </w:t>
      </w:r>
    </w:p>
    <w:p w:rsidR="00117C44" w:rsidRPr="008D14E1" w:rsidRDefault="00117C44" w:rsidP="00117C44">
      <w:pPr>
        <w:pStyle w:val="BodyText"/>
        <w:rPr>
          <w:iCs/>
          <w:sz w:val="22"/>
          <w:szCs w:val="22"/>
          <w:lang w:val="sr-Cyrl-CS"/>
        </w:rPr>
      </w:pPr>
    </w:p>
    <w:p w:rsidR="00117C44" w:rsidRPr="008D14E1" w:rsidRDefault="00117C44" w:rsidP="00117C44">
      <w:pPr>
        <w:pStyle w:val="BodyText"/>
        <w:rPr>
          <w:iCs/>
          <w:sz w:val="22"/>
          <w:szCs w:val="22"/>
          <w:lang w:val="sr-Cyrl-CS"/>
        </w:rPr>
      </w:pPr>
    </w:p>
    <w:p w:rsidR="00117C44" w:rsidRPr="008D14E1" w:rsidRDefault="00117C44" w:rsidP="00117C44">
      <w:pPr>
        <w:pStyle w:val="BodyText"/>
        <w:rPr>
          <w:b/>
          <w:bCs/>
          <w:sz w:val="22"/>
          <w:szCs w:val="22"/>
          <w:lang w:val="sr-Cyrl-CS"/>
        </w:rPr>
      </w:pPr>
      <w:r w:rsidRPr="008D14E1">
        <w:rPr>
          <w:b/>
          <w:bCs/>
          <w:sz w:val="22"/>
          <w:szCs w:val="22"/>
          <w:lang w:val="sr-Cyrl-CS"/>
        </w:rPr>
        <w:t>Section III.</w:t>
      </w:r>
      <w:r w:rsidRPr="008D14E1">
        <w:rPr>
          <w:b/>
          <w:bCs/>
          <w:sz w:val="22"/>
          <w:szCs w:val="22"/>
          <w:lang w:val="sr-Cyrl-CS"/>
        </w:rPr>
        <w:tab/>
      </w:r>
      <w:r w:rsidRPr="008D14E1">
        <w:rPr>
          <w:b/>
          <w:bCs/>
          <w:sz w:val="22"/>
          <w:szCs w:val="22"/>
          <w:u w:val="single"/>
          <w:lang w:val="sr-Cyrl-CS"/>
        </w:rPr>
        <w:t>Withdrawal of Loan Proceeds</w:t>
      </w:r>
    </w:p>
    <w:p w:rsidR="00117C44" w:rsidRPr="008D14E1" w:rsidRDefault="00117C44" w:rsidP="00117C44">
      <w:pPr>
        <w:pStyle w:val="BodyText"/>
        <w:rPr>
          <w:sz w:val="22"/>
          <w:szCs w:val="22"/>
          <w:lang w:val="sr-Cyrl-CS"/>
        </w:rPr>
      </w:pPr>
    </w:p>
    <w:p w:rsidR="00117C44" w:rsidRPr="008D14E1" w:rsidRDefault="00117C44" w:rsidP="00117C44">
      <w:pPr>
        <w:pStyle w:val="BodyText"/>
        <w:ind w:left="720" w:hanging="720"/>
        <w:rPr>
          <w:b/>
          <w:bCs/>
          <w:sz w:val="22"/>
          <w:szCs w:val="22"/>
          <w:lang w:val="sr-Cyrl-CS"/>
        </w:rPr>
      </w:pPr>
      <w:r w:rsidRPr="008D14E1">
        <w:rPr>
          <w:b/>
          <w:bCs/>
          <w:sz w:val="22"/>
          <w:szCs w:val="22"/>
          <w:lang w:val="sr-Cyrl-CS"/>
        </w:rPr>
        <w:t>A.</w:t>
      </w:r>
      <w:r w:rsidRPr="008D14E1">
        <w:rPr>
          <w:b/>
          <w:bCs/>
          <w:sz w:val="22"/>
          <w:szCs w:val="22"/>
          <w:lang w:val="sr-Cyrl-CS"/>
        </w:rPr>
        <w:tab/>
        <w:t>General</w:t>
      </w:r>
    </w:p>
    <w:p w:rsidR="00117C44" w:rsidRPr="008D14E1" w:rsidRDefault="00117C44" w:rsidP="00117C44">
      <w:pPr>
        <w:pStyle w:val="BodyText"/>
        <w:ind w:left="720" w:hanging="720"/>
        <w:rPr>
          <w:bCs/>
          <w:sz w:val="22"/>
          <w:szCs w:val="22"/>
          <w:lang w:val="sr-Cyrl-CS"/>
        </w:rPr>
      </w:pPr>
    </w:p>
    <w:p w:rsidR="00117C44" w:rsidRPr="008D14E1" w:rsidRDefault="00117C44" w:rsidP="00117C44">
      <w:pPr>
        <w:pStyle w:val="BodyText"/>
        <w:ind w:left="720"/>
        <w:rPr>
          <w:sz w:val="22"/>
          <w:szCs w:val="22"/>
          <w:lang w:val="sr-Cyrl-CS"/>
        </w:rPr>
      </w:pPr>
      <w:r w:rsidRPr="008D14E1">
        <w:rPr>
          <w:sz w:val="22"/>
          <w:szCs w:val="22"/>
          <w:lang w:val="sr-Cyrl-CS"/>
        </w:rPr>
        <w:t>Without limitation upon the provisions of Article II of the General Conditions and in accordance with the</w:t>
      </w:r>
      <w:r w:rsidRPr="008D14E1">
        <w:rPr>
          <w:color w:val="000000"/>
          <w:sz w:val="23"/>
          <w:szCs w:val="23"/>
          <w:lang w:val="sr-Cyrl-CS"/>
        </w:rPr>
        <w:t xml:space="preserve"> Disbursement and Financial Information Letter</w:t>
      </w:r>
      <w:r w:rsidRPr="008D14E1">
        <w:rPr>
          <w:sz w:val="22"/>
          <w:szCs w:val="22"/>
          <w:lang w:val="sr-Cyrl-CS"/>
        </w:rPr>
        <w:t>, the Borrower may withdraw the proceeds of the Loan to: (a) finance Eligible Expenditures; and (b) pay the Front-end Fee; in the amount allocated and, if applicable, up to the percentage set forth against each Category of the following table:</w:t>
      </w:r>
    </w:p>
    <w:p w:rsidR="008D57CD" w:rsidRPr="008D14E1" w:rsidRDefault="008D57CD" w:rsidP="008D57CD">
      <w:pPr>
        <w:pStyle w:val="BodyText"/>
        <w:rPr>
          <w:sz w:val="22"/>
          <w:szCs w:val="22"/>
          <w:lang w:val="sr-Cyrl-CS"/>
        </w:rPr>
      </w:pPr>
      <w:r w:rsidRPr="008D14E1">
        <w:rPr>
          <w:sz w:val="22"/>
          <w:szCs w:val="22"/>
          <w:lang w:val="sr-Cyrl-C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2283"/>
        <w:gridCol w:w="2711"/>
      </w:tblGrid>
      <w:tr w:rsidR="00117C44" w:rsidRPr="008D14E1" w:rsidTr="00A85146">
        <w:trPr>
          <w:cantSplit/>
        </w:trPr>
        <w:tc>
          <w:tcPr>
            <w:tcW w:w="1931" w:type="pct"/>
            <w:vAlign w:val="center"/>
          </w:tcPr>
          <w:p w:rsidR="00117C44" w:rsidRPr="008D14E1" w:rsidRDefault="00117C44" w:rsidP="00A85146">
            <w:pPr>
              <w:pStyle w:val="BodyText"/>
              <w:spacing w:before="60" w:after="60"/>
              <w:jc w:val="center"/>
              <w:rPr>
                <w:b/>
                <w:sz w:val="22"/>
                <w:szCs w:val="22"/>
                <w:lang w:val="sr-Cyrl-CS"/>
              </w:rPr>
            </w:pPr>
            <w:r w:rsidRPr="008D14E1">
              <w:rPr>
                <w:b/>
                <w:sz w:val="22"/>
                <w:szCs w:val="22"/>
                <w:lang w:val="sr-Cyrl-CS"/>
              </w:rPr>
              <w:lastRenderedPageBreak/>
              <w:t>Category</w:t>
            </w:r>
          </w:p>
        </w:tc>
        <w:tc>
          <w:tcPr>
            <w:tcW w:w="1403" w:type="pct"/>
          </w:tcPr>
          <w:p w:rsidR="00117C44" w:rsidRPr="008D14E1" w:rsidRDefault="00117C44" w:rsidP="00A85146">
            <w:pPr>
              <w:pStyle w:val="BodyText"/>
              <w:spacing w:before="60" w:after="60"/>
              <w:jc w:val="center"/>
              <w:rPr>
                <w:b/>
                <w:sz w:val="22"/>
                <w:szCs w:val="22"/>
                <w:lang w:val="sr-Cyrl-CS"/>
              </w:rPr>
            </w:pPr>
            <w:r w:rsidRPr="008D14E1">
              <w:rPr>
                <w:b/>
                <w:sz w:val="22"/>
                <w:szCs w:val="22"/>
                <w:lang w:val="sr-Cyrl-CS"/>
              </w:rPr>
              <w:t xml:space="preserve">Amount of the Loan Allocated </w:t>
            </w:r>
            <w:r w:rsidRPr="008D14E1">
              <w:rPr>
                <w:b/>
                <w:sz w:val="22"/>
                <w:szCs w:val="22"/>
                <w:lang w:val="sr-Cyrl-CS"/>
              </w:rPr>
              <w:br/>
              <w:t>(expressed in EUR)</w:t>
            </w:r>
          </w:p>
        </w:tc>
        <w:tc>
          <w:tcPr>
            <w:tcW w:w="1666" w:type="pct"/>
          </w:tcPr>
          <w:p w:rsidR="00117C44" w:rsidRPr="008D14E1" w:rsidRDefault="00117C44" w:rsidP="00A85146">
            <w:pPr>
              <w:pStyle w:val="BodyText"/>
              <w:spacing w:before="60" w:after="60"/>
              <w:jc w:val="center"/>
              <w:rPr>
                <w:b/>
                <w:sz w:val="22"/>
                <w:szCs w:val="22"/>
                <w:lang w:val="sr-Cyrl-CS"/>
              </w:rPr>
            </w:pPr>
            <w:r w:rsidRPr="008D14E1">
              <w:rPr>
                <w:b/>
                <w:sz w:val="22"/>
                <w:szCs w:val="22"/>
                <w:lang w:val="sr-Cyrl-CS"/>
              </w:rPr>
              <w:t>Percentage of Expenditures to be financed</w:t>
            </w:r>
          </w:p>
        </w:tc>
      </w:tr>
      <w:tr w:rsidR="00117C44" w:rsidRPr="008D14E1" w:rsidTr="00A85146">
        <w:trPr>
          <w:cantSplit/>
        </w:trPr>
        <w:tc>
          <w:tcPr>
            <w:tcW w:w="1931" w:type="pct"/>
            <w:vAlign w:val="center"/>
          </w:tcPr>
          <w:p w:rsidR="00117C44" w:rsidRPr="008D14E1" w:rsidRDefault="00117C44" w:rsidP="00A85146">
            <w:pPr>
              <w:pStyle w:val="BodyText"/>
              <w:spacing w:before="60" w:after="60"/>
              <w:ind w:left="340" w:hanging="340"/>
              <w:jc w:val="left"/>
              <w:rPr>
                <w:sz w:val="22"/>
                <w:szCs w:val="22"/>
                <w:lang w:val="sr-Cyrl-CS"/>
              </w:rPr>
            </w:pPr>
            <w:r w:rsidRPr="008D14E1">
              <w:rPr>
                <w:sz w:val="22"/>
                <w:szCs w:val="22"/>
                <w:lang w:val="sr-Cyrl-CS"/>
              </w:rPr>
              <w:t>(1)</w:t>
            </w:r>
            <w:r w:rsidRPr="008D14E1">
              <w:rPr>
                <w:sz w:val="22"/>
                <w:szCs w:val="22"/>
                <w:lang w:val="sr-Cyrl-CS"/>
              </w:rPr>
              <w:tab/>
              <w:t>Goods, works, non-consulting services for the Project (except for Part II (vi) of the Project)</w:t>
            </w:r>
          </w:p>
        </w:tc>
        <w:tc>
          <w:tcPr>
            <w:tcW w:w="1403" w:type="pct"/>
            <w:vAlign w:val="center"/>
          </w:tcPr>
          <w:p w:rsidR="00117C44" w:rsidRPr="008D14E1" w:rsidRDefault="00117C44" w:rsidP="00A85146">
            <w:pPr>
              <w:pStyle w:val="BodyText"/>
              <w:spacing w:before="60" w:after="60"/>
              <w:jc w:val="center"/>
              <w:rPr>
                <w:sz w:val="22"/>
                <w:szCs w:val="22"/>
                <w:lang w:val="sr-Cyrl-CS"/>
              </w:rPr>
            </w:pPr>
            <w:r w:rsidRPr="008D14E1">
              <w:rPr>
                <w:sz w:val="22"/>
                <w:szCs w:val="22"/>
                <w:lang w:val="sr-Cyrl-CS"/>
              </w:rPr>
              <w:t>17,050,000</w:t>
            </w:r>
          </w:p>
        </w:tc>
        <w:tc>
          <w:tcPr>
            <w:tcW w:w="1666" w:type="pct"/>
            <w:vAlign w:val="center"/>
          </w:tcPr>
          <w:p w:rsidR="00117C44" w:rsidRPr="008D14E1" w:rsidRDefault="00117C44" w:rsidP="00A85146">
            <w:pPr>
              <w:pStyle w:val="BodyText"/>
              <w:spacing w:before="60" w:after="60"/>
              <w:jc w:val="left"/>
              <w:rPr>
                <w:sz w:val="22"/>
                <w:szCs w:val="22"/>
                <w:lang w:val="sr-Cyrl-CS"/>
              </w:rPr>
            </w:pPr>
            <w:r w:rsidRPr="008D14E1">
              <w:rPr>
                <w:sz w:val="22"/>
                <w:szCs w:val="22"/>
                <w:lang w:val="sr-Cyrl-CS"/>
              </w:rPr>
              <w:t xml:space="preserve">100% </w:t>
            </w:r>
            <w:r w:rsidRPr="008D14E1">
              <w:rPr>
                <w:bCs/>
                <w:sz w:val="22"/>
                <w:szCs w:val="22"/>
                <w:lang w:val="sr-Cyrl-CS"/>
              </w:rPr>
              <w:t>(inclusive of Taxes other than Value Added Tax and Customs Duties)</w:t>
            </w:r>
          </w:p>
        </w:tc>
      </w:tr>
      <w:tr w:rsidR="00117C44" w:rsidRPr="008D14E1" w:rsidTr="00A85146">
        <w:trPr>
          <w:cantSplit/>
        </w:trPr>
        <w:tc>
          <w:tcPr>
            <w:tcW w:w="1931" w:type="pct"/>
            <w:vAlign w:val="center"/>
          </w:tcPr>
          <w:p w:rsidR="00117C44" w:rsidRPr="008D14E1" w:rsidRDefault="00117C44" w:rsidP="00A85146">
            <w:pPr>
              <w:pStyle w:val="BodyText"/>
              <w:spacing w:before="60" w:after="60"/>
              <w:ind w:left="340" w:hanging="340"/>
              <w:jc w:val="left"/>
              <w:rPr>
                <w:sz w:val="22"/>
                <w:szCs w:val="22"/>
                <w:lang w:val="sr-Cyrl-CS"/>
              </w:rPr>
            </w:pPr>
            <w:r w:rsidRPr="008D14E1">
              <w:rPr>
                <w:sz w:val="22"/>
                <w:szCs w:val="22"/>
                <w:lang w:val="sr-Cyrl-CS"/>
              </w:rPr>
              <w:t>(2)</w:t>
            </w:r>
            <w:r w:rsidRPr="008D14E1">
              <w:rPr>
                <w:sz w:val="22"/>
                <w:szCs w:val="22"/>
                <w:lang w:val="sr-Cyrl-CS"/>
              </w:rPr>
              <w:tab/>
              <w:t>Consulting services, Training and Operating Costs for the Project (except for Part II (vi) of the Project)</w:t>
            </w:r>
          </w:p>
        </w:tc>
        <w:tc>
          <w:tcPr>
            <w:tcW w:w="1403" w:type="pct"/>
            <w:vAlign w:val="center"/>
          </w:tcPr>
          <w:p w:rsidR="00117C44" w:rsidRPr="008D14E1" w:rsidRDefault="00117C44" w:rsidP="00A85146">
            <w:pPr>
              <w:pStyle w:val="BodyText"/>
              <w:spacing w:before="60" w:after="60"/>
              <w:jc w:val="center"/>
              <w:rPr>
                <w:sz w:val="22"/>
                <w:szCs w:val="22"/>
                <w:lang w:val="sr-Cyrl-CS"/>
              </w:rPr>
            </w:pPr>
            <w:r w:rsidRPr="008D14E1">
              <w:rPr>
                <w:sz w:val="22"/>
                <w:szCs w:val="22"/>
                <w:lang w:val="sr-Cyrl-CS"/>
              </w:rPr>
              <w:t>3,897,500</w:t>
            </w:r>
          </w:p>
        </w:tc>
        <w:tc>
          <w:tcPr>
            <w:tcW w:w="1666" w:type="pct"/>
            <w:vAlign w:val="center"/>
          </w:tcPr>
          <w:p w:rsidR="00117C44" w:rsidRPr="008D14E1" w:rsidRDefault="00117C44" w:rsidP="00A85146">
            <w:pPr>
              <w:pStyle w:val="BodyText"/>
              <w:spacing w:before="60" w:after="60"/>
              <w:jc w:val="left"/>
              <w:rPr>
                <w:sz w:val="22"/>
                <w:szCs w:val="22"/>
                <w:lang w:val="sr-Cyrl-CS"/>
              </w:rPr>
            </w:pPr>
            <w:r w:rsidRPr="008D14E1">
              <w:rPr>
                <w:sz w:val="22"/>
                <w:szCs w:val="22"/>
                <w:lang w:val="sr-Cyrl-CS"/>
              </w:rPr>
              <w:t>100% (inclusive of Taxes)</w:t>
            </w:r>
          </w:p>
        </w:tc>
      </w:tr>
      <w:tr w:rsidR="00117C44" w:rsidRPr="008D14E1" w:rsidTr="00A85146">
        <w:trPr>
          <w:cantSplit/>
        </w:trPr>
        <w:tc>
          <w:tcPr>
            <w:tcW w:w="1931" w:type="pct"/>
            <w:vAlign w:val="center"/>
          </w:tcPr>
          <w:p w:rsidR="00117C44" w:rsidRPr="008D14E1" w:rsidRDefault="00117C44" w:rsidP="00A85146">
            <w:pPr>
              <w:pStyle w:val="BodyText"/>
              <w:spacing w:before="60" w:after="60"/>
              <w:ind w:left="340" w:hanging="340"/>
              <w:jc w:val="left"/>
              <w:rPr>
                <w:sz w:val="22"/>
                <w:szCs w:val="22"/>
                <w:lang w:val="sr-Cyrl-CS"/>
              </w:rPr>
            </w:pPr>
            <w:r w:rsidRPr="008D14E1">
              <w:rPr>
                <w:sz w:val="22"/>
                <w:szCs w:val="22"/>
                <w:lang w:val="sr-Cyrl-CS"/>
              </w:rPr>
              <w:t>(3)</w:t>
            </w:r>
            <w:r w:rsidRPr="008D14E1">
              <w:rPr>
                <w:sz w:val="22"/>
                <w:szCs w:val="22"/>
                <w:lang w:val="sr-Cyrl-CS"/>
              </w:rPr>
              <w:tab/>
              <w:t>Front-end Fee</w:t>
            </w:r>
          </w:p>
        </w:tc>
        <w:tc>
          <w:tcPr>
            <w:tcW w:w="1403" w:type="pct"/>
            <w:vAlign w:val="center"/>
          </w:tcPr>
          <w:p w:rsidR="00117C44" w:rsidRPr="008D14E1" w:rsidRDefault="00117C44" w:rsidP="00A85146">
            <w:pPr>
              <w:pStyle w:val="BodyText"/>
              <w:spacing w:before="60" w:after="60"/>
              <w:jc w:val="center"/>
              <w:rPr>
                <w:sz w:val="22"/>
                <w:szCs w:val="22"/>
                <w:lang w:val="sr-Cyrl-CS"/>
              </w:rPr>
            </w:pPr>
            <w:r w:rsidRPr="008D14E1">
              <w:rPr>
                <w:sz w:val="22"/>
                <w:szCs w:val="22"/>
                <w:lang w:val="sr-Cyrl-CS"/>
              </w:rPr>
              <w:t>52,500</w:t>
            </w:r>
          </w:p>
        </w:tc>
        <w:tc>
          <w:tcPr>
            <w:tcW w:w="1666" w:type="pct"/>
            <w:vAlign w:val="center"/>
          </w:tcPr>
          <w:p w:rsidR="00117C44" w:rsidRPr="008D14E1" w:rsidRDefault="00117C44" w:rsidP="00A85146">
            <w:pPr>
              <w:pStyle w:val="BodyText"/>
              <w:spacing w:before="60" w:after="60"/>
              <w:jc w:val="left"/>
              <w:rPr>
                <w:sz w:val="22"/>
                <w:szCs w:val="22"/>
                <w:lang w:val="sr-Cyrl-CS"/>
              </w:rPr>
            </w:pPr>
            <w:r w:rsidRPr="008D14E1">
              <w:rPr>
                <w:sz w:val="22"/>
                <w:szCs w:val="22"/>
                <w:lang w:val="sr-Cyrl-CS"/>
              </w:rPr>
              <w:t>Amount payable pursuant to Section 2.03 of this Agreement in accordance with Section 2.07 (b) of the General Conditions</w:t>
            </w:r>
          </w:p>
        </w:tc>
      </w:tr>
      <w:tr w:rsidR="00117C44" w:rsidRPr="008D14E1" w:rsidTr="00A85146">
        <w:trPr>
          <w:cantSplit/>
        </w:trPr>
        <w:tc>
          <w:tcPr>
            <w:tcW w:w="1931" w:type="pct"/>
          </w:tcPr>
          <w:p w:rsidR="00117C44" w:rsidRPr="008D14E1" w:rsidRDefault="00117C44" w:rsidP="00A85146">
            <w:pPr>
              <w:pStyle w:val="BodyText"/>
              <w:spacing w:before="60" w:after="60"/>
              <w:rPr>
                <w:sz w:val="22"/>
                <w:szCs w:val="22"/>
                <w:lang w:val="sr-Cyrl-CS"/>
              </w:rPr>
            </w:pPr>
            <w:r w:rsidRPr="008D14E1">
              <w:rPr>
                <w:sz w:val="22"/>
                <w:szCs w:val="22"/>
                <w:lang w:val="sr-Cyrl-CS"/>
              </w:rPr>
              <w:t>TOTAL AMOUNT</w:t>
            </w:r>
          </w:p>
        </w:tc>
        <w:tc>
          <w:tcPr>
            <w:tcW w:w="1403" w:type="pct"/>
            <w:vAlign w:val="center"/>
          </w:tcPr>
          <w:p w:rsidR="00117C44" w:rsidRPr="008D14E1" w:rsidRDefault="00117C44" w:rsidP="00A85146">
            <w:pPr>
              <w:pStyle w:val="BodyText"/>
              <w:spacing w:before="60" w:after="60"/>
              <w:jc w:val="center"/>
              <w:rPr>
                <w:sz w:val="22"/>
                <w:szCs w:val="22"/>
                <w:lang w:val="sr-Cyrl-CS"/>
              </w:rPr>
            </w:pPr>
            <w:r w:rsidRPr="008D14E1">
              <w:rPr>
                <w:sz w:val="22"/>
                <w:szCs w:val="22"/>
                <w:lang w:val="sr-Cyrl-CS"/>
              </w:rPr>
              <w:t>21,000,000</w:t>
            </w:r>
          </w:p>
        </w:tc>
        <w:tc>
          <w:tcPr>
            <w:tcW w:w="1666" w:type="pct"/>
          </w:tcPr>
          <w:p w:rsidR="00117C44" w:rsidRPr="008D14E1" w:rsidRDefault="00117C44" w:rsidP="00A85146">
            <w:pPr>
              <w:pStyle w:val="BodyText"/>
              <w:spacing w:before="60" w:after="60"/>
              <w:rPr>
                <w:sz w:val="22"/>
                <w:szCs w:val="22"/>
                <w:lang w:val="sr-Cyrl-CS"/>
              </w:rPr>
            </w:pPr>
          </w:p>
        </w:tc>
      </w:tr>
    </w:tbl>
    <w:p w:rsidR="00117C44" w:rsidRPr="008D14E1" w:rsidRDefault="00117C44" w:rsidP="00117C44">
      <w:pPr>
        <w:pStyle w:val="BodyText"/>
        <w:rPr>
          <w:sz w:val="22"/>
          <w:szCs w:val="22"/>
          <w:lang w:val="sr-Cyrl-CS"/>
        </w:rPr>
      </w:pPr>
    </w:p>
    <w:p w:rsidR="00117C44" w:rsidRPr="008D14E1" w:rsidRDefault="00117C44" w:rsidP="00117C44">
      <w:pPr>
        <w:pStyle w:val="BodyText"/>
        <w:ind w:firstLine="720"/>
        <w:rPr>
          <w:sz w:val="22"/>
          <w:szCs w:val="22"/>
          <w:lang w:val="sr-Cyrl-CS"/>
        </w:rPr>
      </w:pPr>
      <w:r w:rsidRPr="008D14E1">
        <w:rPr>
          <w:sz w:val="22"/>
          <w:szCs w:val="22"/>
          <w:lang w:val="sr-Cyrl-CS"/>
        </w:rPr>
        <w:t>For the purpose of this table the custom duties and value added tax for the importation and supply of goods, works and non-consulting services, within the Borrower’s territory and for the purpose of the implementation of the Project, shall not be financed out of Loan proceeds. The Borrower confirms that the importation and supply of goods, works and non-consulting services, within the Borrower’s territory and for the purpose of the implementation of the Project, shall be exempted from customs duties and value added tax.</w:t>
      </w:r>
    </w:p>
    <w:p w:rsidR="00117C44" w:rsidRPr="008D14E1" w:rsidRDefault="00117C44" w:rsidP="00117C44">
      <w:pPr>
        <w:pStyle w:val="BodyText"/>
        <w:rPr>
          <w:sz w:val="22"/>
          <w:szCs w:val="22"/>
          <w:lang w:val="sr-Cyrl-CS"/>
        </w:rPr>
      </w:pPr>
    </w:p>
    <w:p w:rsidR="00117C44" w:rsidRPr="008D14E1" w:rsidRDefault="00117C44" w:rsidP="00117C44">
      <w:pPr>
        <w:pStyle w:val="BodyText"/>
        <w:ind w:left="720" w:hanging="720"/>
        <w:rPr>
          <w:b/>
          <w:bCs/>
          <w:sz w:val="22"/>
          <w:szCs w:val="22"/>
          <w:lang w:val="sr-Cyrl-CS"/>
        </w:rPr>
      </w:pPr>
      <w:r w:rsidRPr="008D14E1">
        <w:rPr>
          <w:b/>
          <w:bCs/>
          <w:sz w:val="22"/>
          <w:szCs w:val="22"/>
          <w:lang w:val="sr-Cyrl-CS"/>
        </w:rPr>
        <w:t>B.</w:t>
      </w:r>
      <w:r w:rsidRPr="008D14E1">
        <w:rPr>
          <w:b/>
          <w:bCs/>
          <w:sz w:val="22"/>
          <w:szCs w:val="22"/>
          <w:lang w:val="sr-Cyrl-CS"/>
        </w:rPr>
        <w:tab/>
        <w:t>Withdrawal Conditions; Withdrawal Period</w:t>
      </w:r>
    </w:p>
    <w:p w:rsidR="00117C44" w:rsidRPr="008D14E1" w:rsidRDefault="00117C44" w:rsidP="00117C44">
      <w:pPr>
        <w:pStyle w:val="BodyText"/>
        <w:rPr>
          <w:bCs/>
          <w:sz w:val="22"/>
          <w:szCs w:val="22"/>
          <w:lang w:val="sr-Cyrl-CS"/>
        </w:rPr>
      </w:pPr>
    </w:p>
    <w:p w:rsidR="00117C44" w:rsidRPr="008D14E1" w:rsidRDefault="00117C44" w:rsidP="00117C44">
      <w:pPr>
        <w:pStyle w:val="BodyText"/>
        <w:ind w:left="720" w:hanging="720"/>
        <w:rPr>
          <w:b/>
          <w:bCs/>
          <w:sz w:val="22"/>
          <w:szCs w:val="22"/>
          <w:lang w:val="sr-Cyrl-CS"/>
        </w:rPr>
      </w:pPr>
      <w:r w:rsidRPr="008D14E1">
        <w:rPr>
          <w:bCs/>
          <w:sz w:val="22"/>
          <w:szCs w:val="22"/>
          <w:lang w:val="sr-Cyrl-CS"/>
        </w:rPr>
        <w:t>1.</w:t>
      </w:r>
      <w:r w:rsidRPr="008D14E1">
        <w:rPr>
          <w:b/>
          <w:bCs/>
          <w:sz w:val="22"/>
          <w:szCs w:val="22"/>
          <w:lang w:val="sr-Cyrl-CS"/>
        </w:rPr>
        <w:tab/>
      </w:r>
      <w:r w:rsidRPr="008D14E1">
        <w:rPr>
          <w:bCs/>
          <w:sz w:val="22"/>
          <w:szCs w:val="22"/>
          <w:lang w:val="sr-Cyrl-CS"/>
        </w:rPr>
        <w:t xml:space="preserve">Notwithstanding the provisions of Part A above, no withdrawal shall be made </w:t>
      </w:r>
      <w:r w:rsidRPr="008D14E1">
        <w:rPr>
          <w:sz w:val="22"/>
          <w:szCs w:val="22"/>
          <w:lang w:val="sr-Cyrl-CS"/>
        </w:rPr>
        <w:t>for payments made prior to the Signature Date.</w:t>
      </w:r>
    </w:p>
    <w:p w:rsidR="00117C44" w:rsidRPr="008D14E1" w:rsidRDefault="00117C44" w:rsidP="00117C44">
      <w:pPr>
        <w:pStyle w:val="BodyText"/>
        <w:rPr>
          <w:b/>
          <w:bCs/>
          <w:sz w:val="22"/>
          <w:szCs w:val="22"/>
          <w:lang w:val="sr-Cyrl-CS"/>
        </w:rPr>
      </w:pPr>
    </w:p>
    <w:p w:rsidR="00117C44" w:rsidRPr="008D14E1" w:rsidRDefault="00117C44" w:rsidP="00117C44">
      <w:pPr>
        <w:pStyle w:val="BodyText"/>
        <w:ind w:left="30"/>
        <w:rPr>
          <w:sz w:val="22"/>
          <w:szCs w:val="22"/>
          <w:lang w:val="sr-Cyrl-CS"/>
        </w:rPr>
      </w:pPr>
      <w:r w:rsidRPr="008D14E1">
        <w:rPr>
          <w:bCs/>
          <w:sz w:val="22"/>
          <w:szCs w:val="22"/>
          <w:lang w:val="sr-Cyrl-CS"/>
        </w:rPr>
        <w:t>2.</w:t>
      </w:r>
      <w:r w:rsidRPr="008D14E1">
        <w:rPr>
          <w:b/>
          <w:bCs/>
          <w:sz w:val="22"/>
          <w:szCs w:val="22"/>
          <w:lang w:val="sr-Cyrl-CS"/>
        </w:rPr>
        <w:tab/>
      </w:r>
      <w:r w:rsidRPr="008D14E1">
        <w:rPr>
          <w:sz w:val="22"/>
          <w:szCs w:val="22"/>
          <w:lang w:val="sr-Cyrl-CS"/>
        </w:rPr>
        <w:t>The Closing Date is December 31, 2022.</w:t>
      </w:r>
    </w:p>
    <w:p w:rsidR="00117C44" w:rsidRPr="008D14E1" w:rsidRDefault="00117C44" w:rsidP="00117C44">
      <w:pPr>
        <w:pStyle w:val="BodyText"/>
        <w:jc w:val="left"/>
        <w:rPr>
          <w:sz w:val="22"/>
          <w:szCs w:val="22"/>
          <w:lang w:val="sr-Cyrl-CS"/>
        </w:rPr>
      </w:pPr>
    </w:p>
    <w:p w:rsidR="00117C44" w:rsidRPr="008D14E1" w:rsidRDefault="00117C44" w:rsidP="00117C44">
      <w:pPr>
        <w:pStyle w:val="BodyText"/>
        <w:rPr>
          <w:b/>
          <w:bCs/>
          <w:sz w:val="22"/>
          <w:szCs w:val="22"/>
          <w:lang w:val="sr-Cyrl-CS"/>
        </w:rPr>
      </w:pPr>
    </w:p>
    <w:p w:rsidR="00117C44" w:rsidRPr="008D14E1" w:rsidRDefault="00117C44" w:rsidP="00117C44">
      <w:pPr>
        <w:pStyle w:val="BodyText"/>
        <w:rPr>
          <w:b/>
          <w:bCs/>
          <w:sz w:val="22"/>
          <w:szCs w:val="22"/>
          <w:lang w:val="sr-Cyrl-CS"/>
        </w:rPr>
      </w:pPr>
      <w:r w:rsidRPr="008D14E1">
        <w:rPr>
          <w:b/>
          <w:bCs/>
          <w:sz w:val="22"/>
          <w:szCs w:val="22"/>
          <w:lang w:val="sr-Cyrl-CS"/>
        </w:rPr>
        <w:t>Section IV.</w:t>
      </w:r>
      <w:r w:rsidRPr="008D14E1">
        <w:rPr>
          <w:b/>
          <w:bCs/>
          <w:sz w:val="22"/>
          <w:szCs w:val="22"/>
          <w:lang w:val="sr-Cyrl-CS"/>
        </w:rPr>
        <w:tab/>
      </w:r>
      <w:r w:rsidRPr="008D14E1">
        <w:rPr>
          <w:b/>
          <w:bCs/>
          <w:sz w:val="22"/>
          <w:szCs w:val="22"/>
          <w:u w:val="single"/>
          <w:lang w:val="sr-Cyrl-CS"/>
        </w:rPr>
        <w:t>Other Covenants</w:t>
      </w:r>
    </w:p>
    <w:p w:rsidR="00117C44" w:rsidRPr="008D14E1" w:rsidRDefault="00117C44" w:rsidP="00117C44">
      <w:pPr>
        <w:pStyle w:val="BodyText"/>
        <w:ind w:left="30"/>
        <w:jc w:val="left"/>
        <w:rPr>
          <w:sz w:val="22"/>
          <w:szCs w:val="22"/>
          <w:lang w:val="sr-Cyrl-CS"/>
        </w:rPr>
      </w:pPr>
    </w:p>
    <w:p w:rsidR="00117C44" w:rsidRPr="008D14E1" w:rsidRDefault="00117C44" w:rsidP="00117C44">
      <w:pPr>
        <w:pStyle w:val="BodyText"/>
        <w:numPr>
          <w:ilvl w:val="0"/>
          <w:numId w:val="39"/>
        </w:numPr>
        <w:ind w:hanging="720"/>
        <w:rPr>
          <w:sz w:val="22"/>
          <w:szCs w:val="22"/>
          <w:lang w:val="sr-Cyrl-CS"/>
        </w:rPr>
      </w:pPr>
      <w:r w:rsidRPr="008D14E1">
        <w:rPr>
          <w:sz w:val="22"/>
          <w:szCs w:val="22"/>
          <w:lang w:val="sr-Cyrl-CS"/>
        </w:rPr>
        <w:t>In connection with the provision of Training, the Borrower shall: (a) not later than December 1 of each year during Project implementation, furnish to Bank for its approval, a proposal for the Training plan to be carried out under the Project during the following calendar year, including: (i) an overview of the scope and content of the Training programs or activities; (ii) an explanation of how each training program or activity is expected to contribute to achieving the objectives of the Project; (iii) the budget to be made available therefore; (iv) the criteria for the selection of the beneficiaries and the providers of Training; and (v) the schedule for implementation of the Training plan; and (b) immediately thereafter, carry out the pertinent annual Training plan in accordance with its terms, and in a manner acceptable to the Bank.</w:t>
      </w:r>
    </w:p>
    <w:p w:rsidR="00117C44" w:rsidRPr="008D14E1" w:rsidRDefault="00117C44" w:rsidP="00117C44">
      <w:pPr>
        <w:pStyle w:val="BodyText"/>
        <w:ind w:left="30"/>
        <w:jc w:val="left"/>
        <w:rPr>
          <w:sz w:val="22"/>
          <w:szCs w:val="22"/>
          <w:lang w:val="sr-Cyrl-CS"/>
        </w:rPr>
      </w:pPr>
    </w:p>
    <w:p w:rsidR="00117C44" w:rsidRPr="008D14E1" w:rsidRDefault="00117C44" w:rsidP="00117C44">
      <w:pPr>
        <w:pStyle w:val="BodyText"/>
        <w:numPr>
          <w:ilvl w:val="0"/>
          <w:numId w:val="39"/>
        </w:numPr>
        <w:ind w:hanging="720"/>
        <w:rPr>
          <w:sz w:val="22"/>
          <w:szCs w:val="22"/>
          <w:lang w:val="sr-Cyrl-CS"/>
        </w:rPr>
      </w:pPr>
      <w:r w:rsidRPr="008D14E1">
        <w:rPr>
          <w:sz w:val="22"/>
          <w:szCs w:val="22"/>
          <w:lang w:val="sr-Cyrl-CS"/>
        </w:rPr>
        <w:t>Without limitation to the provisions of Sections 5.03 and 5.06 of the General Conditions, the Borrower shall:</w:t>
      </w:r>
    </w:p>
    <w:p w:rsidR="00117C44" w:rsidRPr="008D14E1" w:rsidRDefault="00117C44" w:rsidP="00117C44">
      <w:pPr>
        <w:pStyle w:val="BodyText"/>
        <w:jc w:val="left"/>
        <w:rPr>
          <w:sz w:val="22"/>
          <w:szCs w:val="22"/>
          <w:lang w:val="sr-Cyrl-CS"/>
        </w:rPr>
      </w:pPr>
    </w:p>
    <w:p w:rsidR="00117C44" w:rsidRPr="008D14E1" w:rsidRDefault="00117C44" w:rsidP="00117C44">
      <w:pPr>
        <w:pStyle w:val="BodyText"/>
        <w:numPr>
          <w:ilvl w:val="0"/>
          <w:numId w:val="40"/>
        </w:numPr>
        <w:ind w:left="1440" w:hanging="720"/>
        <w:rPr>
          <w:sz w:val="22"/>
          <w:szCs w:val="22"/>
          <w:lang w:val="sr-Cyrl-CS"/>
        </w:rPr>
      </w:pPr>
      <w:r w:rsidRPr="008D14E1">
        <w:rPr>
          <w:sz w:val="22"/>
          <w:szCs w:val="22"/>
          <w:lang w:val="sr-Cyrl-CS"/>
        </w:rPr>
        <w:t>ensure that all RGA offices enhanced under Part III (iv) of the Project are provided with the necessary funds and resources, and furnished and equipped to provide the necessary services to the public, all in a manner satisfactory to the Bank; and</w:t>
      </w:r>
    </w:p>
    <w:p w:rsidR="00117C44" w:rsidRPr="008D14E1" w:rsidRDefault="00117C44" w:rsidP="00117C44">
      <w:pPr>
        <w:pStyle w:val="BodyText"/>
        <w:ind w:left="720"/>
        <w:jc w:val="left"/>
        <w:rPr>
          <w:sz w:val="22"/>
          <w:szCs w:val="22"/>
          <w:lang w:val="sr-Cyrl-CS"/>
        </w:rPr>
      </w:pPr>
    </w:p>
    <w:p w:rsidR="00117C44" w:rsidRPr="008D14E1" w:rsidRDefault="00117C44" w:rsidP="00117C44">
      <w:pPr>
        <w:pStyle w:val="BodyText"/>
        <w:numPr>
          <w:ilvl w:val="0"/>
          <w:numId w:val="40"/>
        </w:numPr>
        <w:ind w:left="1440" w:hanging="720"/>
        <w:rPr>
          <w:sz w:val="22"/>
          <w:szCs w:val="22"/>
          <w:lang w:val="sr-Cyrl-CS"/>
        </w:rPr>
      </w:pPr>
      <w:r w:rsidRPr="008D14E1">
        <w:rPr>
          <w:sz w:val="22"/>
          <w:szCs w:val="22"/>
          <w:lang w:val="sr-Cyrl-CS"/>
        </w:rPr>
        <w:t>ensure that the RGA offices provided with mobile services under Part III (iv) of the Project are provided with the necessary funds and resources (including resources for the operation and maintenance of vehicles) and adequately staffed, all in a manner acceptable to the Bank.</w:t>
      </w:r>
    </w:p>
    <w:p w:rsidR="00117C44" w:rsidRPr="008D14E1" w:rsidRDefault="00117C44" w:rsidP="00117C44">
      <w:pPr>
        <w:pStyle w:val="BodyText"/>
        <w:ind w:left="720" w:hanging="720"/>
        <w:jc w:val="center"/>
        <w:rPr>
          <w:sz w:val="22"/>
          <w:szCs w:val="22"/>
          <w:lang w:val="sr-Cyrl-CS"/>
        </w:rPr>
      </w:pPr>
    </w:p>
    <w:p w:rsidR="00117C44" w:rsidRPr="008D14E1" w:rsidRDefault="00117C44" w:rsidP="00117C44">
      <w:pPr>
        <w:pStyle w:val="BodyText"/>
        <w:ind w:left="720" w:hanging="720"/>
        <w:jc w:val="center"/>
        <w:rPr>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r w:rsidRPr="008D14E1">
        <w:rPr>
          <w:b/>
          <w:sz w:val="22"/>
          <w:szCs w:val="22"/>
          <w:lang w:val="sr-Cyrl-CS"/>
        </w:rPr>
        <w:lastRenderedPageBreak/>
        <w:t>SCHEDULE 3</w:t>
      </w:r>
    </w:p>
    <w:p w:rsidR="00117C44" w:rsidRPr="008D14E1" w:rsidRDefault="00117C44" w:rsidP="00117C44">
      <w:pPr>
        <w:pStyle w:val="BodyText"/>
        <w:jc w:val="center"/>
        <w:rPr>
          <w:b/>
          <w:sz w:val="22"/>
          <w:szCs w:val="22"/>
          <w:lang w:val="sr-Cyrl-CS"/>
        </w:rPr>
      </w:pPr>
    </w:p>
    <w:p w:rsidR="00117C44" w:rsidRPr="008D14E1" w:rsidRDefault="00117C44" w:rsidP="00117C44">
      <w:pPr>
        <w:pStyle w:val="BodyText"/>
        <w:jc w:val="center"/>
        <w:rPr>
          <w:b/>
          <w:sz w:val="22"/>
          <w:szCs w:val="22"/>
          <w:lang w:val="sr-Cyrl-CS"/>
        </w:rPr>
      </w:pPr>
      <w:r w:rsidRPr="008D14E1">
        <w:rPr>
          <w:b/>
          <w:sz w:val="22"/>
          <w:szCs w:val="22"/>
          <w:lang w:val="sr-Cyrl-CS"/>
        </w:rPr>
        <w:t>Commitment-Linked Amortization Repayment Schedule</w:t>
      </w:r>
    </w:p>
    <w:p w:rsidR="00117C44" w:rsidRPr="008D14E1" w:rsidRDefault="00117C44" w:rsidP="00117C44">
      <w:pPr>
        <w:pStyle w:val="BodyText"/>
        <w:rPr>
          <w:b/>
          <w:sz w:val="22"/>
          <w:szCs w:val="22"/>
          <w:lang w:val="sr-Cyrl-CS"/>
        </w:rPr>
      </w:pPr>
    </w:p>
    <w:p w:rsidR="00117C44" w:rsidRPr="008D14E1" w:rsidRDefault="00117C44" w:rsidP="00117C44">
      <w:pPr>
        <w:pStyle w:val="BodyText"/>
        <w:rPr>
          <w:sz w:val="22"/>
          <w:szCs w:val="22"/>
          <w:lang w:val="sr-Cyrl-CS"/>
        </w:rPr>
      </w:pPr>
      <w:r w:rsidRPr="008D14E1">
        <w:rPr>
          <w:sz w:val="22"/>
          <w:szCs w:val="22"/>
          <w:lang w:val="sr-Cyrl-CS"/>
        </w:rPr>
        <w:t xml:space="preserve">The following table sets forth the Principal Payment Dates of the Loan and the percentage of the total principal amount of the Loan payable on each Principal Payment Date (“Installment Share”). </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ind w:left="720"/>
        <w:jc w:val="center"/>
        <w:rPr>
          <w:b/>
          <w:bCs/>
          <w:sz w:val="22"/>
          <w:szCs w:val="22"/>
          <w:lang w:val="sr-Cyrl-CS"/>
        </w:rPr>
      </w:pPr>
      <w:r w:rsidRPr="008D14E1">
        <w:rPr>
          <w:b/>
          <w:bCs/>
          <w:sz w:val="22"/>
          <w:szCs w:val="22"/>
          <w:lang w:val="sr-Cyrl-CS"/>
        </w:rPr>
        <w:t>Level Principal Repayments</w:t>
      </w:r>
    </w:p>
    <w:p w:rsidR="00117C44" w:rsidRPr="008D14E1" w:rsidRDefault="00117C44" w:rsidP="00117C44">
      <w:pPr>
        <w:pStyle w:val="BodyText"/>
        <w:ind w:left="720"/>
        <w:jc w:val="center"/>
        <w:rPr>
          <w:b/>
          <w:bCs/>
          <w:i/>
          <w:iCs/>
          <w:sz w:val="22"/>
          <w:szCs w:val="22"/>
          <w:lang w:val="sr-Cyrl-CS"/>
        </w:rPr>
      </w:pPr>
    </w:p>
    <w:tbl>
      <w:tblPr>
        <w:tblW w:w="4693" w:type="pct"/>
        <w:tblCellMar>
          <w:left w:w="0" w:type="dxa"/>
          <w:right w:w="0" w:type="dxa"/>
        </w:tblCellMar>
        <w:tblLook w:val="04A0" w:firstRow="1" w:lastRow="0" w:firstColumn="1" w:lastColumn="0" w:noHBand="0" w:noVBand="1"/>
      </w:tblPr>
      <w:tblGrid>
        <w:gridCol w:w="3818"/>
        <w:gridCol w:w="3818"/>
      </w:tblGrid>
      <w:tr w:rsidR="00117C44" w:rsidRPr="008D14E1" w:rsidTr="00A85146">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17C44" w:rsidRPr="008D14E1" w:rsidRDefault="00117C44" w:rsidP="00A85146">
            <w:pPr>
              <w:pStyle w:val="BodyText"/>
              <w:spacing w:before="120" w:after="120"/>
              <w:jc w:val="center"/>
              <w:rPr>
                <w:b/>
                <w:bCs/>
                <w:sz w:val="22"/>
                <w:szCs w:val="22"/>
                <w:lang w:val="sr-Cyrl-CS"/>
              </w:rPr>
            </w:pPr>
            <w:r w:rsidRPr="008D14E1">
              <w:rPr>
                <w:b/>
                <w:bCs/>
                <w:sz w:val="22"/>
                <w:szCs w:val="22"/>
                <w:lang w:val="sr-Cyrl-CS"/>
              </w:rPr>
              <w:t>Principal Payment Date</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7C44" w:rsidRPr="008D14E1" w:rsidRDefault="00117C44" w:rsidP="00A85146">
            <w:pPr>
              <w:pStyle w:val="BodyText"/>
              <w:spacing w:before="120" w:after="120"/>
              <w:jc w:val="center"/>
              <w:rPr>
                <w:sz w:val="22"/>
                <w:szCs w:val="22"/>
                <w:lang w:val="sr-Cyrl-CS"/>
              </w:rPr>
            </w:pPr>
            <w:r w:rsidRPr="008D14E1">
              <w:rPr>
                <w:b/>
                <w:bCs/>
                <w:sz w:val="22"/>
                <w:szCs w:val="22"/>
                <w:lang w:val="sr-Cyrl-CS"/>
              </w:rPr>
              <w:t>Installment Share</w:t>
            </w:r>
          </w:p>
        </w:tc>
      </w:tr>
      <w:tr w:rsidR="00117C44" w:rsidRPr="008D14E1" w:rsidTr="00A85146">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7C44" w:rsidRPr="008D14E1" w:rsidRDefault="00117C44" w:rsidP="00A85146">
            <w:pPr>
              <w:pStyle w:val="BodyText"/>
              <w:spacing w:before="120" w:after="120"/>
              <w:rPr>
                <w:sz w:val="22"/>
                <w:szCs w:val="22"/>
                <w:lang w:val="sr-Cyrl-CS"/>
              </w:rPr>
            </w:pPr>
            <w:r w:rsidRPr="008D14E1">
              <w:rPr>
                <w:sz w:val="22"/>
                <w:szCs w:val="22"/>
                <w:lang w:val="sr-Cyrl-CS"/>
              </w:rPr>
              <w:t>On each May 15 and November 15</w:t>
            </w:r>
          </w:p>
          <w:p w:rsidR="00117C44" w:rsidRPr="008D14E1" w:rsidRDefault="00117C44" w:rsidP="00A85146">
            <w:pPr>
              <w:pStyle w:val="BodyText"/>
              <w:spacing w:line="252" w:lineRule="auto"/>
              <w:rPr>
                <w:sz w:val="22"/>
                <w:szCs w:val="22"/>
                <w:lang w:val="sr-Cyrl-CS"/>
              </w:rPr>
            </w:pPr>
            <w:r w:rsidRPr="008D14E1">
              <w:rPr>
                <w:sz w:val="22"/>
                <w:szCs w:val="22"/>
                <w:lang w:val="sr-Cyrl-CS"/>
              </w:rPr>
              <w:tab/>
              <w:t>Beginning May 15, 2023</w:t>
            </w:r>
          </w:p>
          <w:p w:rsidR="00117C44" w:rsidRPr="008D14E1" w:rsidRDefault="00117C44" w:rsidP="00A85146">
            <w:pPr>
              <w:pStyle w:val="BodyText"/>
              <w:spacing w:after="120"/>
              <w:rPr>
                <w:sz w:val="22"/>
                <w:szCs w:val="22"/>
                <w:lang w:val="sr-Cyrl-CS"/>
              </w:rPr>
            </w:pPr>
            <w:r w:rsidRPr="008D14E1">
              <w:rPr>
                <w:sz w:val="22"/>
                <w:szCs w:val="22"/>
                <w:lang w:val="sr-Cyrl-CS"/>
              </w:rPr>
              <w:tab/>
              <w:t>through May 15, 2031</w:t>
            </w: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tcPr>
          <w:p w:rsidR="00117C44" w:rsidRPr="008D14E1" w:rsidRDefault="00117C44" w:rsidP="00A85146">
            <w:pPr>
              <w:pStyle w:val="BodyText"/>
              <w:spacing w:line="252" w:lineRule="auto"/>
              <w:jc w:val="center"/>
              <w:rPr>
                <w:sz w:val="22"/>
                <w:szCs w:val="22"/>
                <w:lang w:val="sr-Cyrl-CS"/>
              </w:rPr>
            </w:pPr>
            <w:r w:rsidRPr="008D14E1">
              <w:rPr>
                <w:sz w:val="22"/>
                <w:szCs w:val="22"/>
                <w:lang w:val="sr-Cyrl-CS"/>
              </w:rPr>
              <w:t>5.56%</w:t>
            </w:r>
          </w:p>
        </w:tc>
      </w:tr>
      <w:tr w:rsidR="00117C44" w:rsidRPr="008D14E1" w:rsidTr="00A85146">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7C44" w:rsidRPr="008D14E1" w:rsidRDefault="00117C44" w:rsidP="00A85146">
            <w:pPr>
              <w:pStyle w:val="BodyText"/>
              <w:spacing w:before="120" w:after="120"/>
              <w:rPr>
                <w:sz w:val="22"/>
                <w:szCs w:val="22"/>
                <w:lang w:val="sr-Cyrl-CS"/>
              </w:rPr>
            </w:pPr>
            <w:r w:rsidRPr="008D14E1">
              <w:rPr>
                <w:sz w:val="22"/>
                <w:szCs w:val="22"/>
                <w:lang w:val="sr-Cyrl-CS"/>
              </w:rPr>
              <w:t>On November 15, 2031</w:t>
            </w:r>
          </w:p>
        </w:tc>
        <w:tc>
          <w:tcPr>
            <w:tcW w:w="2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17C44" w:rsidRPr="008D14E1" w:rsidRDefault="00117C44" w:rsidP="00A85146">
            <w:pPr>
              <w:pStyle w:val="BodyText"/>
              <w:spacing w:line="252" w:lineRule="auto"/>
              <w:jc w:val="center"/>
              <w:rPr>
                <w:sz w:val="22"/>
                <w:szCs w:val="22"/>
                <w:lang w:val="sr-Cyrl-CS"/>
              </w:rPr>
            </w:pPr>
            <w:r w:rsidRPr="008D14E1">
              <w:rPr>
                <w:sz w:val="22"/>
                <w:szCs w:val="22"/>
                <w:lang w:val="sr-Cyrl-CS"/>
              </w:rPr>
              <w:t>5.48%</w:t>
            </w:r>
          </w:p>
        </w:tc>
      </w:tr>
    </w:tbl>
    <w:p w:rsidR="008D57CD" w:rsidRPr="008D14E1" w:rsidRDefault="008D57CD" w:rsidP="00117C44">
      <w:pPr>
        <w:pStyle w:val="BodyText"/>
        <w:ind w:left="720" w:hanging="720"/>
        <w:jc w:val="center"/>
        <w:rPr>
          <w:sz w:val="22"/>
          <w:szCs w:val="22"/>
          <w:lang w:val="sr-Cyrl-CS"/>
        </w:rPr>
      </w:pPr>
      <w:r w:rsidRPr="008D14E1">
        <w:rPr>
          <w:sz w:val="22"/>
          <w:szCs w:val="22"/>
          <w:lang w:val="sr-Cyrl-CS"/>
        </w:rPr>
        <w:br w:type="page"/>
      </w:r>
    </w:p>
    <w:p w:rsidR="00117C44" w:rsidRPr="008D14E1" w:rsidRDefault="00117C44" w:rsidP="00117C44">
      <w:pPr>
        <w:pStyle w:val="BodyText"/>
        <w:ind w:left="720" w:hanging="720"/>
        <w:jc w:val="center"/>
        <w:rPr>
          <w:b/>
          <w:bCs/>
          <w:sz w:val="22"/>
          <w:szCs w:val="22"/>
          <w:lang w:val="sr-Cyrl-CS"/>
        </w:rPr>
      </w:pPr>
      <w:r w:rsidRPr="008D14E1">
        <w:rPr>
          <w:b/>
          <w:bCs/>
          <w:sz w:val="22"/>
          <w:szCs w:val="22"/>
          <w:lang w:val="sr-Cyrl-CS"/>
        </w:rPr>
        <w:lastRenderedPageBreak/>
        <w:t>APPENDIX</w:t>
      </w:r>
    </w:p>
    <w:p w:rsidR="00117C44" w:rsidRPr="008D14E1" w:rsidRDefault="00117C44" w:rsidP="00117C44">
      <w:pPr>
        <w:pStyle w:val="BodyText"/>
        <w:ind w:left="720" w:hanging="720"/>
        <w:rPr>
          <w:b/>
          <w:bCs/>
          <w:sz w:val="22"/>
          <w:szCs w:val="22"/>
          <w:lang w:val="sr-Cyrl-CS"/>
        </w:rPr>
      </w:pPr>
    </w:p>
    <w:p w:rsidR="00117C44" w:rsidRPr="008D14E1" w:rsidRDefault="00117C44" w:rsidP="00117C44">
      <w:pPr>
        <w:pStyle w:val="BodyText"/>
        <w:ind w:left="720" w:hanging="720"/>
        <w:rPr>
          <w:b/>
          <w:bCs/>
          <w:sz w:val="22"/>
          <w:szCs w:val="22"/>
          <w:lang w:val="sr-Cyrl-CS"/>
        </w:rPr>
      </w:pPr>
      <w:r w:rsidRPr="008D14E1">
        <w:rPr>
          <w:b/>
          <w:bCs/>
          <w:sz w:val="22"/>
          <w:szCs w:val="22"/>
          <w:u w:val="single"/>
          <w:lang w:val="sr-Cyrl-CS"/>
        </w:rPr>
        <w:t>Definitions</w:t>
      </w:r>
    </w:p>
    <w:p w:rsidR="00117C44" w:rsidRPr="008D14E1" w:rsidRDefault="00117C44" w:rsidP="00117C44">
      <w:pPr>
        <w:pStyle w:val="BodyText"/>
        <w:ind w:left="720" w:hanging="720"/>
        <w:rPr>
          <w:b/>
          <w:bCs/>
          <w:sz w:val="22"/>
          <w:szCs w:val="22"/>
          <w:lang w:val="sr-Cyrl-CS"/>
        </w:rPr>
      </w:pPr>
    </w:p>
    <w:p w:rsidR="00117C44" w:rsidRPr="008D14E1" w:rsidRDefault="00117C44" w:rsidP="00117C44">
      <w:pPr>
        <w:pStyle w:val="ModelNrmlDouble"/>
        <w:numPr>
          <w:ilvl w:val="0"/>
          <w:numId w:val="5"/>
        </w:numPr>
        <w:tabs>
          <w:tab w:val="clear" w:pos="1080"/>
        </w:tabs>
        <w:spacing w:after="240" w:line="240" w:lineRule="auto"/>
        <w:ind w:left="720" w:hanging="720"/>
        <w:rPr>
          <w:szCs w:val="22"/>
          <w:lang w:val="sr-Cyrl-CS"/>
        </w:rPr>
      </w:pPr>
      <w:r w:rsidRPr="008D14E1">
        <w:rPr>
          <w:szCs w:val="22"/>
          <w:lang w:val="sr-Cyrl-CS"/>
        </w:rPr>
        <w:t>“AGROS” means Active Geodetic Reference Network of Serbia, the Borrower’s basic infrastructure network, providing geodetic reference services to RGA and to public and private sector enterprises.</w:t>
      </w:r>
    </w:p>
    <w:p w:rsidR="00117C44" w:rsidRPr="008D14E1" w:rsidRDefault="00117C44" w:rsidP="00117C44">
      <w:pPr>
        <w:pStyle w:val="ModelNrmlDouble"/>
        <w:numPr>
          <w:ilvl w:val="0"/>
          <w:numId w:val="5"/>
        </w:numPr>
        <w:tabs>
          <w:tab w:val="clear" w:pos="1080"/>
        </w:tabs>
        <w:spacing w:after="240" w:line="240" w:lineRule="auto"/>
        <w:ind w:left="720" w:hanging="720"/>
        <w:rPr>
          <w:szCs w:val="22"/>
          <w:lang w:val="sr-Cyrl-CS"/>
        </w:rPr>
      </w:pPr>
      <w:r w:rsidRPr="008D14E1">
        <w:rPr>
          <w:szCs w:val="22"/>
          <w:lang w:val="sr-Cyrl-CS"/>
        </w:rPr>
        <w:t>“Anti-Corruption Guidelines” means, for purposes of paragraph 5 of the Appendix to the General Conditions, the “Guidelines on Preventing and Combating Fraud and Corruption in Projects Financed by IBRD Loans and IDA Credits and Grants”, dated October 15, 2006 and revised in January 2011 and as of July 1, 2016.</w:t>
      </w:r>
    </w:p>
    <w:p w:rsidR="00117C44" w:rsidRPr="008D14E1" w:rsidRDefault="00117C44" w:rsidP="00117C44">
      <w:pPr>
        <w:pStyle w:val="ModelNrmlDouble"/>
        <w:numPr>
          <w:ilvl w:val="0"/>
          <w:numId w:val="5"/>
        </w:numPr>
        <w:tabs>
          <w:tab w:val="clear" w:pos="1080"/>
        </w:tabs>
        <w:spacing w:after="240" w:line="240" w:lineRule="auto"/>
        <w:ind w:left="720" w:hanging="720"/>
        <w:rPr>
          <w:szCs w:val="22"/>
          <w:lang w:val="sr-Cyrl-CS"/>
        </w:rPr>
      </w:pPr>
      <w:r w:rsidRPr="008D14E1">
        <w:rPr>
          <w:szCs w:val="22"/>
          <w:lang w:val="sr-Cyrl-CS"/>
        </w:rPr>
        <w:t>“Category” means a category set forth in the table in Section III.A of Schedule 2 to this Agreement.</w:t>
      </w: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“EMP” means a site-specific Environmental Management Plan satisfactory to the Bank, prepared and adopted by the Borrower and disclosed in the Bank’s external website on September 25, 2019, covering Project activities to be carried out in the Borrower’s city of  Belgrade (Municipality of Zemun), each comprised of an environmental mitigation plan and an environmental monitoring plan, and to be implemented in accordance with the provisions of Schedule 2, Section I of this Agreement, satisfactory to the Bank, wherein are set forth specific details of measures to manage identified or potential environmental risks and to mitigate, reduce and/or offset adverse environmental impacts associated with the implementation of activities under the Project, together with an environmental and social baseline, details of the relevant environmental legislative framework, adequate institutional, monitoring and reporting arrangements capable of ensuring proper implementation of, and regular feedback on compliance with, the term of the EMP, as the same may be amended and supplemented from time to time with the Bank’s prior written approval.</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“General Conditions” means the “International Bank for Reconstruction and Development General Conditions for IBRD Financing, Investment Project Financing”, dated December 14, 2018.</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“Involuntary Resettlement” means the impact of an involuntary taking of land under the Project, which taking causes affected persons to have their: (i) standard of living adversely affected; or (ii) right, title or interest in any house, land (including premises, agricultural and grazing land) or any other fixed or movable asset acquired or possessed, temporarily or permanently; or (iii) access to productive assets adversely affected, temporarily or permanently; or (iv) business, occupation, work or place of residence or habitat adversely affected, temporarily or permanently.</w:t>
      </w:r>
    </w:p>
    <w:p w:rsidR="00117C44" w:rsidRPr="008D14E1" w:rsidRDefault="00117C44" w:rsidP="00117C44">
      <w:pPr>
        <w:pStyle w:val="BodyText"/>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“Mass Appraisal” means a methodology for valuing all properties in a defined geographical area, usually for property tax assessment purposes.</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lastRenderedPageBreak/>
        <w:t>“MCTI” means the Borrower’s Ministry of Construction, Transport and Infrastructure, or any successor thereto.</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lang w:val="sr-Cyrl-CS"/>
        </w:rPr>
      </w:pPr>
      <w:r w:rsidRPr="008D14E1">
        <w:rPr>
          <w:sz w:val="22"/>
          <w:szCs w:val="22"/>
          <w:lang w:val="sr-Cyrl-CS"/>
        </w:rPr>
        <w:t xml:space="preserve">“National Reference System” means the Borrower’s permanent network of stations with established and approved coordinates, as described in the Borrower’s Law on State Survey and Cadaster, published in </w:t>
      </w:r>
      <w:r w:rsidRPr="008D14E1">
        <w:rPr>
          <w:sz w:val="22"/>
          <w:lang w:val="sr-Cyrl-CS"/>
        </w:rPr>
        <w:t>the Borrower’s</w:t>
      </w:r>
      <w:r w:rsidRPr="008D14E1">
        <w:rPr>
          <w:sz w:val="22"/>
          <w:szCs w:val="22"/>
          <w:lang w:val="sr-Cyrl-CS"/>
        </w:rPr>
        <w:t xml:space="preserve"> </w:t>
      </w:r>
      <w:r w:rsidRPr="008D14E1">
        <w:rPr>
          <w:sz w:val="22"/>
          <w:lang w:val="sr-Cyrl-CS"/>
        </w:rPr>
        <w:t>Official Gazette No. 72/2009, 18/</w:t>
      </w:r>
      <w:r w:rsidRPr="008D14E1">
        <w:rPr>
          <w:sz w:val="22"/>
          <w:szCs w:val="22"/>
          <w:lang w:val="sr-Cyrl-CS"/>
        </w:rPr>
        <w:t>2010,</w:t>
      </w:r>
      <w:r w:rsidRPr="008D14E1">
        <w:rPr>
          <w:sz w:val="22"/>
          <w:lang w:val="sr-Cyrl-CS"/>
        </w:rPr>
        <w:t xml:space="preserve"> 65/2013</w:t>
      </w:r>
      <w:r w:rsidRPr="008D14E1">
        <w:rPr>
          <w:sz w:val="22"/>
          <w:szCs w:val="22"/>
          <w:lang w:val="sr-Cyrl-CS"/>
        </w:rPr>
        <w:t>, 15/2015 - CC decision, 96/2015, 47/2017 – authentic interpretation, 113/2017 - other Law, 27/2018 - other Law, 41/2018 – other Law</w:t>
      </w:r>
      <w:r w:rsidRPr="008D14E1">
        <w:rPr>
          <w:sz w:val="22"/>
          <w:lang w:val="sr-Cyrl-CS"/>
        </w:rPr>
        <w:t>.</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“Operating Costs” means the reasonable and incremental expenses incurred by RGA, on account of implementation of the Project, for office supplies and other consumables, office rent, internet connection and communications costs, support for information systems, translation costs, utilities, reasonable travel, transportation,</w:t>
      </w:r>
      <w:r w:rsidRPr="008D14E1">
        <w:rPr>
          <w:i/>
          <w:sz w:val="22"/>
          <w:szCs w:val="22"/>
          <w:lang w:val="sr-Cyrl-CS"/>
        </w:rPr>
        <w:t xml:space="preserve"> per diem</w:t>
      </w:r>
      <w:r w:rsidRPr="008D14E1">
        <w:rPr>
          <w:sz w:val="22"/>
          <w:szCs w:val="22"/>
          <w:lang w:val="sr-Cyrl-CS"/>
        </w:rPr>
        <w:t>, accommodation costs (lodging), and other reasonable expenditures directly associated with the implementation of the Project, as agreed between the Borrower and the Bank on the basis of semi-annual budgets acceptable to the Bank, excluding salaries of the Borrower’s civil service.</w:t>
      </w:r>
    </w:p>
    <w:p w:rsidR="00117C44" w:rsidRPr="008D14E1" w:rsidRDefault="00117C44" w:rsidP="00117C44">
      <w:pPr>
        <w:pStyle w:val="BodyText"/>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 xml:space="preserve">“Operational Manual” means the Borrower’s manual satisfactory to the Bank, describing and setting forth procedures for implementation of the Project and institutional arrangements, consistent with the provisions of this Agreement including, </w:t>
      </w:r>
      <w:r w:rsidRPr="008D14E1">
        <w:rPr>
          <w:i/>
          <w:sz w:val="22"/>
          <w:szCs w:val="22"/>
          <w:lang w:val="sr-Cyrl-CS"/>
        </w:rPr>
        <w:t>inter alia</w:t>
      </w:r>
      <w:r w:rsidRPr="008D14E1">
        <w:rPr>
          <w:sz w:val="22"/>
          <w:szCs w:val="22"/>
          <w:lang w:val="sr-Cyrl-CS"/>
        </w:rPr>
        <w:t>, timetables of actions required to be carried out under the Project, the respective roles and responsibilities of the Borrower’s agencies involved in the implementation of the Project, selection criteria and list of cadastral municipalities to be mapped under Part III(iii) of the Project, selection criteria and list of municipalities in which enhancement of office infrastructure activities will be carried out under Part III(iv) of the Project, selection criteria and list of local RGA offices at which mobile services will be set up under Part III(iv) of the Project, staffing, the fiduciary, technical and operational aspects and procedures for implementation of the Project, including the financial management procedures (budgeting, accounting and internal control, disbursement and flow of funds, financial reporting, annual reports, internal and external audit arrangements procedures and including the Project specific chart of accounts), procurement procedures, monitoring and evaluation arrangements, and other fiduciary and administrative arrangements and necessary terms of reference, as the same may be amended from time to time by agreement with the Bank.</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 xml:space="preserve">“PIU” means the Project Implementing Unit, referred to in Section I of Schedule 2 of this Agreement. </w:t>
      </w:r>
    </w:p>
    <w:p w:rsidR="00117C44" w:rsidRPr="008D14E1" w:rsidRDefault="00117C44" w:rsidP="00117C44">
      <w:pPr>
        <w:pStyle w:val="BodyText"/>
        <w:ind w:left="720" w:hanging="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“Procurement Regulations” means, for purposes of paragraph 85 of the Appendix to the General Conditions, the “World Bank Procurement Regulations for IPF Borrowers”, dated July 2016, revised November 2017 and August 2018.</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“Project Council” means the council specified in Section I.A.4 of Schedule 2 to this Agreement.</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lastRenderedPageBreak/>
        <w:t xml:space="preserve">“RGA” means Republic Geodetic Authority of the Borrower, an agency of the Borrower responsible for national mapping, surveying and registration of property rights, established pursuant to Borrower’s Law on State Survey and Cadaster, published </w:t>
      </w:r>
      <w:r w:rsidRPr="008D14E1">
        <w:rPr>
          <w:sz w:val="22"/>
          <w:lang w:val="sr-Cyrl-CS"/>
        </w:rPr>
        <w:t>in the Borrower’s Official Gazette No. 72/2009, 18/</w:t>
      </w:r>
      <w:r w:rsidRPr="008D14E1">
        <w:rPr>
          <w:sz w:val="22"/>
          <w:szCs w:val="22"/>
          <w:lang w:val="sr-Cyrl-CS"/>
        </w:rPr>
        <w:t>2010,</w:t>
      </w:r>
      <w:r w:rsidRPr="008D14E1">
        <w:rPr>
          <w:sz w:val="22"/>
          <w:lang w:val="sr-Cyrl-CS"/>
        </w:rPr>
        <w:t xml:space="preserve"> 65/2013, </w:t>
      </w:r>
      <w:r w:rsidRPr="008D14E1">
        <w:rPr>
          <w:sz w:val="22"/>
          <w:szCs w:val="22"/>
          <w:lang w:val="sr-Cyrl-CS"/>
        </w:rPr>
        <w:t>15/2015 - CC decision, 96/2015, 47/2017 – authentic interpretation, 113/2017 - other Law, 27/2018 - other Law, 41/2018 – other Law, or any successor thereto.</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“Signature Date” means the later of the two dates on which the Borrower and the Bank signed this Agreement and such definition applies to all references to “the date of the Loan Agreement” in the General Conditions.</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 xml:space="preserve"> “Statistical Office” means the Borrower’s agency responsible for production, analysis, dissemination and publication of official statistical information, established pursuant to Law on Official Statistics (RS Official Gazette No. 104/2009).</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“Steering Committee” means the committee referred to in Section I.A.5 of Schedule 2 to this Agreement.</w:t>
      </w:r>
    </w:p>
    <w:p w:rsidR="00117C44" w:rsidRPr="008D14E1" w:rsidRDefault="00117C44" w:rsidP="00117C44">
      <w:pPr>
        <w:pStyle w:val="BodyText"/>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“Tax Administration” means Serbian Tax Administration, a government body  within the Borrower’s Ministry of Finance established pursuant to the Borrower’s Law on Tax Procedures and Tax Administration, as amended, duly published in the RS Official Gazette No. 80/2002, 84/2002, 23/2003, 70/2003, 55/2004, 61/2005, 85/2005, 62/2006, 63/2006, 61/2007, 20/2009, 72/2009, 53/2010, 101/2011, 2/2012, 93/2012, 47/2013, 108/2013, 68/2014, 105/2014, 91/2015, 112/2015, 15/2016, 108/2016, 30/2018 and 95/2018.</w:t>
      </w:r>
    </w:p>
    <w:p w:rsidR="00117C44" w:rsidRPr="008D14E1" w:rsidRDefault="00117C44" w:rsidP="00117C44">
      <w:pPr>
        <w:pStyle w:val="BodyText"/>
        <w:ind w:left="720"/>
        <w:rPr>
          <w:sz w:val="22"/>
          <w:szCs w:val="22"/>
          <w:lang w:val="sr-Cyrl-CS"/>
        </w:rPr>
      </w:pPr>
    </w:p>
    <w:p w:rsidR="00117C44" w:rsidRPr="008D14E1" w:rsidRDefault="00117C44" w:rsidP="00117C44">
      <w:pPr>
        <w:pStyle w:val="BodyText"/>
        <w:numPr>
          <w:ilvl w:val="0"/>
          <w:numId w:val="5"/>
        </w:numPr>
        <w:tabs>
          <w:tab w:val="clear" w:pos="1080"/>
        </w:tabs>
        <w:ind w:left="720" w:hanging="720"/>
        <w:rPr>
          <w:sz w:val="22"/>
          <w:szCs w:val="22"/>
          <w:lang w:val="sr-Cyrl-CS"/>
        </w:rPr>
      </w:pPr>
      <w:r w:rsidRPr="008D14E1">
        <w:rPr>
          <w:sz w:val="22"/>
          <w:szCs w:val="22"/>
          <w:lang w:val="sr-Cyrl-CS"/>
        </w:rPr>
        <w:t xml:space="preserve">“Training” means expenditures (other than for consultants’ services), incurred during the implementation of the Project, based on periodic budgets acceptable to the Bank, for: (i) reasonable travel, room, board and </w:t>
      </w:r>
      <w:r w:rsidRPr="008D14E1">
        <w:rPr>
          <w:i/>
          <w:sz w:val="22"/>
          <w:szCs w:val="22"/>
          <w:lang w:val="sr-Cyrl-CS"/>
        </w:rPr>
        <w:t>per diem</w:t>
      </w:r>
      <w:r w:rsidRPr="008D14E1">
        <w:rPr>
          <w:sz w:val="22"/>
          <w:szCs w:val="22"/>
          <w:lang w:val="sr-Cyrl-CS"/>
        </w:rPr>
        <w:t xml:space="preserve"> expenditures incurred by trainers  and trainees in connection with their training; (ii) course fees; (iii) training/workshop facility and equipment rentals; and (iv) training material preparation, acquisition, reproduction and distribution expenses not otherwise covered under this paragraph.</w:t>
      </w:r>
    </w:p>
    <w:p w:rsidR="00117C44" w:rsidRPr="008D14E1" w:rsidRDefault="00117C44" w:rsidP="00117C44">
      <w:pPr>
        <w:pStyle w:val="BodyText"/>
        <w:ind w:left="720"/>
        <w:rPr>
          <w:sz w:val="22"/>
          <w:szCs w:val="22"/>
          <w:lang w:val="sr-Cyrl-CS"/>
        </w:rPr>
      </w:pPr>
    </w:p>
    <w:p w:rsidR="00102021" w:rsidRPr="008D14E1" w:rsidRDefault="00102021" w:rsidP="00117C44">
      <w:pPr>
        <w:suppressAutoHyphens/>
        <w:spacing w:line="240" w:lineRule="auto"/>
        <w:jc w:val="both"/>
        <w:rPr>
          <w:bCs/>
          <w:sz w:val="22"/>
          <w:szCs w:val="22"/>
          <w:lang w:val="sr-Cyrl-CS"/>
        </w:rPr>
      </w:pPr>
    </w:p>
    <w:sectPr w:rsidR="00102021" w:rsidRPr="008D14E1" w:rsidSect="006A5DA8">
      <w:headerReference w:type="default" r:id="rId20"/>
      <w:headerReference w:type="first" r:id="rId21"/>
      <w:pgSz w:w="12240" w:h="15840"/>
      <w:pgMar w:top="709" w:right="2160" w:bottom="2160" w:left="216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19" w:rsidRDefault="00D40B19">
      <w:r>
        <w:separator/>
      </w:r>
    </w:p>
  </w:endnote>
  <w:endnote w:type="continuationSeparator" w:id="0">
    <w:p w:rsidR="00D40B19" w:rsidRDefault="00D4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63" w:rsidRDefault="00717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8864"/>
      <w:docPartObj>
        <w:docPartGallery w:val="Page Numbers (Bottom of Page)"/>
        <w:docPartUnique/>
      </w:docPartObj>
    </w:sdtPr>
    <w:sdtEndPr>
      <w:rPr>
        <w:noProof/>
      </w:rPr>
    </w:sdtEndPr>
    <w:sdtContent>
      <w:p w:rsidR="00717263" w:rsidRDefault="00717263">
        <w:pPr>
          <w:pStyle w:val="Footer"/>
          <w:jc w:val="center"/>
        </w:pPr>
        <w:r>
          <w:fldChar w:fldCharType="begin"/>
        </w:r>
        <w:r>
          <w:instrText xml:space="preserve"> PAGE   \* MERGEFORMAT </w:instrText>
        </w:r>
        <w:r>
          <w:fldChar w:fldCharType="separate"/>
        </w:r>
        <w:r w:rsidR="00C8266C">
          <w:rPr>
            <w:noProof/>
          </w:rPr>
          <w:t>15</w:t>
        </w:r>
        <w:r>
          <w:rPr>
            <w:noProof/>
          </w:rPr>
          <w:fldChar w:fldCharType="end"/>
        </w:r>
      </w:p>
    </w:sdtContent>
  </w:sdt>
  <w:p w:rsidR="00717263" w:rsidRDefault="007172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63" w:rsidRDefault="00717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19" w:rsidRDefault="00D40B19">
      <w:r>
        <w:separator/>
      </w:r>
    </w:p>
  </w:footnote>
  <w:footnote w:type="continuationSeparator" w:id="0">
    <w:p w:rsidR="00D40B19" w:rsidRDefault="00D4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63" w:rsidRDefault="00717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7CD" w:rsidRDefault="008D57CD" w:rsidP="004B4F72">
    <w:pPr>
      <w:pStyle w:val="Header"/>
      <w:spacing w:line="240" w:lineRule="auto"/>
    </w:pPr>
  </w:p>
  <w:p w:rsidR="008D57CD" w:rsidRPr="00522CB3" w:rsidRDefault="008D57CD" w:rsidP="004B4F72">
    <w:pPr>
      <w:pStyle w:val="Heade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63" w:rsidRDefault="007172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4E6" w:rsidRPr="00562E0E" w:rsidRDefault="00E604E6">
    <w:pPr>
      <w:pStyle w:val="Header"/>
      <w:spacing w:line="240" w:lineRule="auto"/>
      <w:rPr>
        <w:b/>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099855"/>
      <w:docPartObj>
        <w:docPartGallery w:val="Page Numbers (Top of Page)"/>
        <w:docPartUnique/>
      </w:docPartObj>
    </w:sdtPr>
    <w:sdtEndPr>
      <w:rPr>
        <w:noProof/>
      </w:rPr>
    </w:sdtEndPr>
    <w:sdtContent>
      <w:p w:rsidR="00E604E6" w:rsidRDefault="00E604E6">
        <w:pPr>
          <w:pStyle w:val="Header"/>
          <w:jc w:val="center"/>
          <w:rPr>
            <w:noProof/>
          </w:rPr>
        </w:pPr>
      </w:p>
      <w:p w:rsidR="00E604E6" w:rsidRDefault="00D40B19" w:rsidP="00981102">
        <w:pPr>
          <w:pStyle w:val="Header"/>
          <w:rPr>
            <w:b/>
            <w:bCs/>
            <w:u w:val="single"/>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F266A2E"/>
    <w:multiLevelType w:val="hybridMultilevel"/>
    <w:tmpl w:val="ADB6A510"/>
    <w:lvl w:ilvl="0" w:tplc="8F96CF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262C7E"/>
    <w:multiLevelType w:val="hybridMultilevel"/>
    <w:tmpl w:val="7CE29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E3104E"/>
    <w:multiLevelType w:val="hybridMultilevel"/>
    <w:tmpl w:val="563CD4B4"/>
    <w:lvl w:ilvl="0" w:tplc="12B64D12">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9011F"/>
    <w:multiLevelType w:val="hybridMultilevel"/>
    <w:tmpl w:val="75108956"/>
    <w:lvl w:ilvl="0" w:tplc="3112F03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6DB345B"/>
    <w:multiLevelType w:val="hybridMultilevel"/>
    <w:tmpl w:val="828CADFC"/>
    <w:lvl w:ilvl="0" w:tplc="9CD6507E">
      <w:start w:val="1"/>
      <w:numFmt w:val="lowerRoman"/>
      <w:lvlText w:val="(%1)"/>
      <w:lvlJc w:val="left"/>
      <w:pPr>
        <w:ind w:left="138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A3FA4"/>
    <w:multiLevelType w:val="hybridMultilevel"/>
    <w:tmpl w:val="E4541202"/>
    <w:lvl w:ilvl="0" w:tplc="39AE38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6"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E70537E"/>
    <w:multiLevelType w:val="hybridMultilevel"/>
    <w:tmpl w:val="42E0EA7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0525A"/>
    <w:multiLevelType w:val="hybridMultilevel"/>
    <w:tmpl w:val="5B3EED52"/>
    <w:lvl w:ilvl="0" w:tplc="778CAAD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37" w15:restartNumberingAfterBreak="0">
    <w:nsid w:val="6CCA4B2C"/>
    <w:multiLevelType w:val="hybridMultilevel"/>
    <w:tmpl w:val="8900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9B31F31"/>
    <w:multiLevelType w:val="hybridMultilevel"/>
    <w:tmpl w:val="7FF082C8"/>
    <w:lvl w:ilvl="0" w:tplc="BD98178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35"/>
  </w:num>
  <w:num w:numId="2">
    <w:abstractNumId w:val="23"/>
  </w:num>
  <w:num w:numId="3">
    <w:abstractNumId w:val="29"/>
  </w:num>
  <w:num w:numId="4">
    <w:abstractNumId w:val="26"/>
  </w:num>
  <w:num w:numId="5">
    <w:abstractNumId w:val="21"/>
  </w:num>
  <w:num w:numId="6">
    <w:abstractNumId w:val="22"/>
  </w:num>
  <w:num w:numId="7">
    <w:abstractNumId w:val="25"/>
  </w:num>
  <w:num w:numId="8">
    <w:abstractNumId w:val="27"/>
  </w:num>
  <w:num w:numId="9">
    <w:abstractNumId w:val="0"/>
  </w:num>
  <w:num w:numId="10">
    <w:abstractNumId w:val="16"/>
  </w:num>
  <w:num w:numId="11">
    <w:abstractNumId w:val="33"/>
  </w:num>
  <w:num w:numId="12">
    <w:abstractNumId w:val="8"/>
  </w:num>
  <w:num w:numId="13">
    <w:abstractNumId w:val="34"/>
  </w:num>
  <w:num w:numId="14">
    <w:abstractNumId w:val="2"/>
  </w:num>
  <w:num w:numId="15">
    <w:abstractNumId w:val="24"/>
  </w:num>
  <w:num w:numId="16">
    <w:abstractNumId w:val="1"/>
  </w:num>
  <w:num w:numId="17">
    <w:abstractNumId w:val="3"/>
  </w:num>
  <w:num w:numId="18">
    <w:abstractNumId w:val="11"/>
  </w:num>
  <w:num w:numId="19">
    <w:abstractNumId w:val="39"/>
  </w:num>
  <w:num w:numId="20">
    <w:abstractNumId w:val="15"/>
  </w:num>
  <w:num w:numId="21">
    <w:abstractNumId w:val="20"/>
  </w:num>
  <w:num w:numId="22">
    <w:abstractNumId w:val="14"/>
  </w:num>
  <w:num w:numId="23">
    <w:abstractNumId w:val="30"/>
  </w:num>
  <w:num w:numId="24">
    <w:abstractNumId w:val="7"/>
  </w:num>
  <w:num w:numId="25">
    <w:abstractNumId w:val="37"/>
  </w:num>
  <w:num w:numId="26">
    <w:abstractNumId w:val="13"/>
  </w:num>
  <w:num w:numId="27">
    <w:abstractNumId w:val="31"/>
  </w:num>
  <w:num w:numId="28">
    <w:abstractNumId w:val="5"/>
  </w:num>
  <w:num w:numId="29">
    <w:abstractNumId w:val="12"/>
  </w:num>
  <w:num w:numId="30">
    <w:abstractNumId w:val="36"/>
  </w:num>
  <w:num w:numId="31">
    <w:abstractNumId w:val="19"/>
  </w:num>
  <w:num w:numId="32">
    <w:abstractNumId w:val="9"/>
  </w:num>
  <w:num w:numId="33">
    <w:abstractNumId w:val="38"/>
  </w:num>
  <w:num w:numId="34">
    <w:abstractNumId w:val="18"/>
  </w:num>
  <w:num w:numId="35">
    <w:abstractNumId w:val="4"/>
  </w:num>
  <w:num w:numId="36">
    <w:abstractNumId w:val="17"/>
  </w:num>
  <w:num w:numId="37">
    <w:abstractNumId w:val="10"/>
  </w:num>
  <w:num w:numId="38">
    <w:abstractNumId w:val="28"/>
  </w:num>
  <w:num w:numId="39">
    <w:abstractNumId w:val="6"/>
  </w:num>
  <w:num w:numId="40">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754"/>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17C44"/>
    <w:rsid w:val="00122378"/>
    <w:rsid w:val="0012312B"/>
    <w:rsid w:val="0012770D"/>
    <w:rsid w:val="001303F7"/>
    <w:rsid w:val="00133421"/>
    <w:rsid w:val="00135D57"/>
    <w:rsid w:val="00136189"/>
    <w:rsid w:val="00143A55"/>
    <w:rsid w:val="00144A34"/>
    <w:rsid w:val="00147191"/>
    <w:rsid w:val="001475E2"/>
    <w:rsid w:val="0015433F"/>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93EDB"/>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552A"/>
    <w:rsid w:val="00217570"/>
    <w:rsid w:val="002175C3"/>
    <w:rsid w:val="002201BC"/>
    <w:rsid w:val="00220293"/>
    <w:rsid w:val="00221EFA"/>
    <w:rsid w:val="00222667"/>
    <w:rsid w:val="00224EDD"/>
    <w:rsid w:val="00226D47"/>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645"/>
    <w:rsid w:val="002D1F59"/>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5CF6"/>
    <w:rsid w:val="00357BB1"/>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0A"/>
    <w:rsid w:val="003B1D86"/>
    <w:rsid w:val="003B693D"/>
    <w:rsid w:val="003C1F83"/>
    <w:rsid w:val="003C28AA"/>
    <w:rsid w:val="003C2942"/>
    <w:rsid w:val="003C2AB7"/>
    <w:rsid w:val="003C6949"/>
    <w:rsid w:val="003C6D16"/>
    <w:rsid w:val="003C7D85"/>
    <w:rsid w:val="003D0C80"/>
    <w:rsid w:val="003D4AAB"/>
    <w:rsid w:val="003D7010"/>
    <w:rsid w:val="003D7F46"/>
    <w:rsid w:val="003E7CA6"/>
    <w:rsid w:val="003F1A31"/>
    <w:rsid w:val="003F3B28"/>
    <w:rsid w:val="003F5E52"/>
    <w:rsid w:val="003F5FA1"/>
    <w:rsid w:val="003F7259"/>
    <w:rsid w:val="00400530"/>
    <w:rsid w:val="00403C1D"/>
    <w:rsid w:val="00406167"/>
    <w:rsid w:val="00406D20"/>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3997"/>
    <w:rsid w:val="00545D83"/>
    <w:rsid w:val="005463F1"/>
    <w:rsid w:val="005474C2"/>
    <w:rsid w:val="00550C27"/>
    <w:rsid w:val="005540F5"/>
    <w:rsid w:val="005548C0"/>
    <w:rsid w:val="0055539C"/>
    <w:rsid w:val="005557C2"/>
    <w:rsid w:val="005568AC"/>
    <w:rsid w:val="00560451"/>
    <w:rsid w:val="00560D78"/>
    <w:rsid w:val="00561693"/>
    <w:rsid w:val="00562110"/>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0D2"/>
    <w:rsid w:val="005B069B"/>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61E0"/>
    <w:rsid w:val="006176F8"/>
    <w:rsid w:val="00617BB0"/>
    <w:rsid w:val="006226CB"/>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6294"/>
    <w:rsid w:val="00667837"/>
    <w:rsid w:val="006679C7"/>
    <w:rsid w:val="00670BD0"/>
    <w:rsid w:val="00671490"/>
    <w:rsid w:val="00672E43"/>
    <w:rsid w:val="00681211"/>
    <w:rsid w:val="00691CEF"/>
    <w:rsid w:val="0069292C"/>
    <w:rsid w:val="00692C55"/>
    <w:rsid w:val="00693905"/>
    <w:rsid w:val="006952F8"/>
    <w:rsid w:val="00697347"/>
    <w:rsid w:val="0069772A"/>
    <w:rsid w:val="006A18F2"/>
    <w:rsid w:val="006A19FE"/>
    <w:rsid w:val="006A1EA8"/>
    <w:rsid w:val="006A2184"/>
    <w:rsid w:val="006A409D"/>
    <w:rsid w:val="006A5DA8"/>
    <w:rsid w:val="006A6FB5"/>
    <w:rsid w:val="006A73A5"/>
    <w:rsid w:val="006B0C3E"/>
    <w:rsid w:val="006B3EF4"/>
    <w:rsid w:val="006B442D"/>
    <w:rsid w:val="006B6C11"/>
    <w:rsid w:val="006B7153"/>
    <w:rsid w:val="006B78A1"/>
    <w:rsid w:val="006C140A"/>
    <w:rsid w:val="006C4C69"/>
    <w:rsid w:val="006C5187"/>
    <w:rsid w:val="006C7625"/>
    <w:rsid w:val="006D124D"/>
    <w:rsid w:val="006D197E"/>
    <w:rsid w:val="006D31E7"/>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6666"/>
    <w:rsid w:val="0070733F"/>
    <w:rsid w:val="00711001"/>
    <w:rsid w:val="00712749"/>
    <w:rsid w:val="00713973"/>
    <w:rsid w:val="00714EE7"/>
    <w:rsid w:val="00717263"/>
    <w:rsid w:val="007175CF"/>
    <w:rsid w:val="00720AF2"/>
    <w:rsid w:val="007216F4"/>
    <w:rsid w:val="00721F55"/>
    <w:rsid w:val="00722AC7"/>
    <w:rsid w:val="007233D8"/>
    <w:rsid w:val="00725C72"/>
    <w:rsid w:val="00727FCB"/>
    <w:rsid w:val="00733738"/>
    <w:rsid w:val="0073443C"/>
    <w:rsid w:val="00736FBB"/>
    <w:rsid w:val="0074323D"/>
    <w:rsid w:val="00745125"/>
    <w:rsid w:val="007451C6"/>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6249"/>
    <w:rsid w:val="007777A6"/>
    <w:rsid w:val="00777B5A"/>
    <w:rsid w:val="007802CC"/>
    <w:rsid w:val="00784386"/>
    <w:rsid w:val="00787CC8"/>
    <w:rsid w:val="00787F23"/>
    <w:rsid w:val="007905D9"/>
    <w:rsid w:val="00793B67"/>
    <w:rsid w:val="00796B04"/>
    <w:rsid w:val="0079784B"/>
    <w:rsid w:val="00797D8D"/>
    <w:rsid w:val="007A1F9C"/>
    <w:rsid w:val="007A4E30"/>
    <w:rsid w:val="007A517B"/>
    <w:rsid w:val="007A52A9"/>
    <w:rsid w:val="007A60A1"/>
    <w:rsid w:val="007B2F18"/>
    <w:rsid w:val="007B43B1"/>
    <w:rsid w:val="007B476B"/>
    <w:rsid w:val="007B607D"/>
    <w:rsid w:val="007B67BC"/>
    <w:rsid w:val="007C4225"/>
    <w:rsid w:val="007C7321"/>
    <w:rsid w:val="007D037B"/>
    <w:rsid w:val="007D0F98"/>
    <w:rsid w:val="007D2601"/>
    <w:rsid w:val="007D3F47"/>
    <w:rsid w:val="007D618A"/>
    <w:rsid w:val="007D6A6D"/>
    <w:rsid w:val="007D6B1F"/>
    <w:rsid w:val="007D6FDC"/>
    <w:rsid w:val="007E017E"/>
    <w:rsid w:val="007E16F6"/>
    <w:rsid w:val="007E4082"/>
    <w:rsid w:val="007E5B44"/>
    <w:rsid w:val="007E6425"/>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45A4"/>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19BC"/>
    <w:rsid w:val="008923B0"/>
    <w:rsid w:val="0089723D"/>
    <w:rsid w:val="008A39EA"/>
    <w:rsid w:val="008B4455"/>
    <w:rsid w:val="008B4757"/>
    <w:rsid w:val="008C0453"/>
    <w:rsid w:val="008C0F98"/>
    <w:rsid w:val="008C18D9"/>
    <w:rsid w:val="008C21A2"/>
    <w:rsid w:val="008C79B7"/>
    <w:rsid w:val="008D14E1"/>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8F66A1"/>
    <w:rsid w:val="00902E96"/>
    <w:rsid w:val="00903950"/>
    <w:rsid w:val="00911627"/>
    <w:rsid w:val="00911B0F"/>
    <w:rsid w:val="00916227"/>
    <w:rsid w:val="00917CAA"/>
    <w:rsid w:val="009209FE"/>
    <w:rsid w:val="0092221C"/>
    <w:rsid w:val="00923E7E"/>
    <w:rsid w:val="00925406"/>
    <w:rsid w:val="00925B9F"/>
    <w:rsid w:val="00926803"/>
    <w:rsid w:val="00926828"/>
    <w:rsid w:val="009310C3"/>
    <w:rsid w:val="009310D7"/>
    <w:rsid w:val="00935AA4"/>
    <w:rsid w:val="0093782E"/>
    <w:rsid w:val="0095197D"/>
    <w:rsid w:val="00956BEB"/>
    <w:rsid w:val="00957003"/>
    <w:rsid w:val="009607CD"/>
    <w:rsid w:val="00961CE5"/>
    <w:rsid w:val="00961E62"/>
    <w:rsid w:val="00962A2D"/>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758"/>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2DE6"/>
    <w:rsid w:val="009D3E32"/>
    <w:rsid w:val="009D45CF"/>
    <w:rsid w:val="009D594A"/>
    <w:rsid w:val="009D6D4B"/>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2852"/>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91AA4"/>
    <w:rsid w:val="00A97879"/>
    <w:rsid w:val="00AB4238"/>
    <w:rsid w:val="00AB4C92"/>
    <w:rsid w:val="00AC09B7"/>
    <w:rsid w:val="00AC11B9"/>
    <w:rsid w:val="00AC32CA"/>
    <w:rsid w:val="00AC7E78"/>
    <w:rsid w:val="00AD4E30"/>
    <w:rsid w:val="00AD5626"/>
    <w:rsid w:val="00AD61C2"/>
    <w:rsid w:val="00AD7209"/>
    <w:rsid w:val="00AE1B1F"/>
    <w:rsid w:val="00AE5DBE"/>
    <w:rsid w:val="00AF0C3F"/>
    <w:rsid w:val="00AF428F"/>
    <w:rsid w:val="00AF4CF8"/>
    <w:rsid w:val="00AF68BF"/>
    <w:rsid w:val="00AF72F4"/>
    <w:rsid w:val="00B0255A"/>
    <w:rsid w:val="00B061FD"/>
    <w:rsid w:val="00B07CE8"/>
    <w:rsid w:val="00B10233"/>
    <w:rsid w:val="00B1068B"/>
    <w:rsid w:val="00B10AEC"/>
    <w:rsid w:val="00B1174F"/>
    <w:rsid w:val="00B139D2"/>
    <w:rsid w:val="00B13EEF"/>
    <w:rsid w:val="00B22FE6"/>
    <w:rsid w:val="00B23294"/>
    <w:rsid w:val="00B24EA2"/>
    <w:rsid w:val="00B258D4"/>
    <w:rsid w:val="00B26023"/>
    <w:rsid w:val="00B26FD1"/>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0A67"/>
    <w:rsid w:val="00B92A48"/>
    <w:rsid w:val="00B96E3B"/>
    <w:rsid w:val="00BA0616"/>
    <w:rsid w:val="00BA0BD7"/>
    <w:rsid w:val="00BA22B9"/>
    <w:rsid w:val="00BB2486"/>
    <w:rsid w:val="00BB2847"/>
    <w:rsid w:val="00BB5729"/>
    <w:rsid w:val="00BB76D4"/>
    <w:rsid w:val="00BC0358"/>
    <w:rsid w:val="00BC297F"/>
    <w:rsid w:val="00BC3C16"/>
    <w:rsid w:val="00BC4B87"/>
    <w:rsid w:val="00BC526C"/>
    <w:rsid w:val="00BC5598"/>
    <w:rsid w:val="00BD1023"/>
    <w:rsid w:val="00BD1D05"/>
    <w:rsid w:val="00BD3F10"/>
    <w:rsid w:val="00BE026E"/>
    <w:rsid w:val="00BE38FF"/>
    <w:rsid w:val="00BF06A0"/>
    <w:rsid w:val="00BF0791"/>
    <w:rsid w:val="00BF0BD1"/>
    <w:rsid w:val="00BF0DB4"/>
    <w:rsid w:val="00BF2D73"/>
    <w:rsid w:val="00BF30EA"/>
    <w:rsid w:val="00C013CB"/>
    <w:rsid w:val="00C022E1"/>
    <w:rsid w:val="00C02E21"/>
    <w:rsid w:val="00C03FC4"/>
    <w:rsid w:val="00C04D90"/>
    <w:rsid w:val="00C06DB8"/>
    <w:rsid w:val="00C075A6"/>
    <w:rsid w:val="00C11C3D"/>
    <w:rsid w:val="00C13055"/>
    <w:rsid w:val="00C15C9F"/>
    <w:rsid w:val="00C15D8E"/>
    <w:rsid w:val="00C20F1B"/>
    <w:rsid w:val="00C2256A"/>
    <w:rsid w:val="00C257EF"/>
    <w:rsid w:val="00C264E1"/>
    <w:rsid w:val="00C276C6"/>
    <w:rsid w:val="00C3047A"/>
    <w:rsid w:val="00C31019"/>
    <w:rsid w:val="00C33FC6"/>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347D"/>
    <w:rsid w:val="00C64837"/>
    <w:rsid w:val="00C64ABE"/>
    <w:rsid w:val="00C6757D"/>
    <w:rsid w:val="00C7080F"/>
    <w:rsid w:val="00C73020"/>
    <w:rsid w:val="00C74F12"/>
    <w:rsid w:val="00C81EAE"/>
    <w:rsid w:val="00C8266C"/>
    <w:rsid w:val="00C82937"/>
    <w:rsid w:val="00C82B02"/>
    <w:rsid w:val="00C82F66"/>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04DA"/>
    <w:rsid w:val="00D21CCD"/>
    <w:rsid w:val="00D22362"/>
    <w:rsid w:val="00D24796"/>
    <w:rsid w:val="00D26B87"/>
    <w:rsid w:val="00D30CF8"/>
    <w:rsid w:val="00D3192F"/>
    <w:rsid w:val="00D31ABE"/>
    <w:rsid w:val="00D32BD8"/>
    <w:rsid w:val="00D357A3"/>
    <w:rsid w:val="00D36452"/>
    <w:rsid w:val="00D40B19"/>
    <w:rsid w:val="00D41249"/>
    <w:rsid w:val="00D417F3"/>
    <w:rsid w:val="00D45585"/>
    <w:rsid w:val="00D4645C"/>
    <w:rsid w:val="00D46546"/>
    <w:rsid w:val="00D46C2A"/>
    <w:rsid w:val="00D47D74"/>
    <w:rsid w:val="00D518CD"/>
    <w:rsid w:val="00D64A2E"/>
    <w:rsid w:val="00D66213"/>
    <w:rsid w:val="00D66E49"/>
    <w:rsid w:val="00D6701C"/>
    <w:rsid w:val="00D67171"/>
    <w:rsid w:val="00D70915"/>
    <w:rsid w:val="00D72C95"/>
    <w:rsid w:val="00D73163"/>
    <w:rsid w:val="00D7590E"/>
    <w:rsid w:val="00D77222"/>
    <w:rsid w:val="00D77BCF"/>
    <w:rsid w:val="00D80EC9"/>
    <w:rsid w:val="00D8134C"/>
    <w:rsid w:val="00D860E1"/>
    <w:rsid w:val="00D9011C"/>
    <w:rsid w:val="00D9269D"/>
    <w:rsid w:val="00D93771"/>
    <w:rsid w:val="00D95183"/>
    <w:rsid w:val="00D951C4"/>
    <w:rsid w:val="00D9532C"/>
    <w:rsid w:val="00D96A6A"/>
    <w:rsid w:val="00DA1DB7"/>
    <w:rsid w:val="00DA4D60"/>
    <w:rsid w:val="00DA50D7"/>
    <w:rsid w:val="00DA57E9"/>
    <w:rsid w:val="00DA6EC2"/>
    <w:rsid w:val="00DA7AD3"/>
    <w:rsid w:val="00DB2AAB"/>
    <w:rsid w:val="00DB5942"/>
    <w:rsid w:val="00DB7E09"/>
    <w:rsid w:val="00DC0769"/>
    <w:rsid w:val="00DC11D4"/>
    <w:rsid w:val="00DC6E77"/>
    <w:rsid w:val="00DD07D1"/>
    <w:rsid w:val="00DD2C59"/>
    <w:rsid w:val="00DD3772"/>
    <w:rsid w:val="00DD4DB5"/>
    <w:rsid w:val="00DD7CFC"/>
    <w:rsid w:val="00DE2A8E"/>
    <w:rsid w:val="00DE34D3"/>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0007"/>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7738F"/>
    <w:rsid w:val="00E83386"/>
    <w:rsid w:val="00E86B94"/>
    <w:rsid w:val="00E86EF4"/>
    <w:rsid w:val="00E87814"/>
    <w:rsid w:val="00E9118C"/>
    <w:rsid w:val="00E91760"/>
    <w:rsid w:val="00E91F65"/>
    <w:rsid w:val="00E94267"/>
    <w:rsid w:val="00E95302"/>
    <w:rsid w:val="00E96AFC"/>
    <w:rsid w:val="00EA45F1"/>
    <w:rsid w:val="00EA78DF"/>
    <w:rsid w:val="00EA7C50"/>
    <w:rsid w:val="00EB1261"/>
    <w:rsid w:val="00EB1948"/>
    <w:rsid w:val="00EB55D9"/>
    <w:rsid w:val="00EC5A74"/>
    <w:rsid w:val="00EC5D83"/>
    <w:rsid w:val="00EC6170"/>
    <w:rsid w:val="00EC6175"/>
    <w:rsid w:val="00ED0041"/>
    <w:rsid w:val="00ED15BF"/>
    <w:rsid w:val="00ED2218"/>
    <w:rsid w:val="00ED44ED"/>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601"/>
    <w:rsid w:val="00F83B5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C1DEE"/>
    <w:rsid w:val="00FC20DF"/>
    <w:rsid w:val="00FC3859"/>
    <w:rsid w:val="00FC4E94"/>
    <w:rsid w:val="00FE204B"/>
    <w:rsid w:val="00FE2813"/>
    <w:rsid w:val="00FE2D7D"/>
    <w:rsid w:val="00FE401D"/>
    <w:rsid w:val="00FF0643"/>
    <w:rsid w:val="00FF17C2"/>
    <w:rsid w:val="00FF1A99"/>
    <w:rsid w:val="00FF2B4F"/>
    <w:rsid w:val="00FF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320D69-C582-475F-B51E-3D469B50D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kabinet@mfin.gov.r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B42F0811-3946-41C7-A4D1-18C48E094DD7}">
  <ds:schemaRefs>
    <ds:schemaRef ds:uri="http://schemas.openxmlformats.org/officeDocument/2006/bibliography"/>
  </ds:schemaRefs>
</ds:datastoreItem>
</file>

<file path=customXml/itemProps5.xml><?xml version="1.0" encoding="utf-8"?>
<ds:datastoreItem xmlns:ds="http://schemas.openxmlformats.org/officeDocument/2006/customXml" ds:itemID="{FE825E4B-F61D-4B31-929B-6CB5F8431AF5}">
  <ds:schemaRefs>
    <ds:schemaRef ds:uri="http://schemas.openxmlformats.org/officeDocument/2006/bibliography"/>
  </ds:schemaRefs>
</ds:datastoreItem>
</file>

<file path=customXml/itemProps6.xml><?xml version="1.0" encoding="utf-8"?>
<ds:datastoreItem xmlns:ds="http://schemas.openxmlformats.org/officeDocument/2006/customXml" ds:itemID="{4C2F4761-A896-4556-A72F-311346583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3458</Words>
  <Characters>19715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23127</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Grgic</cp:lastModifiedBy>
  <cp:revision>2</cp:revision>
  <cp:lastPrinted>2019-12-12T17:54:00Z</cp:lastPrinted>
  <dcterms:created xsi:type="dcterms:W3CDTF">2019-12-13T15:55:00Z</dcterms:created>
  <dcterms:modified xsi:type="dcterms:W3CDTF">2019-12-13T15:55:00Z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