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EB1" w:rsidRPr="00043562" w:rsidRDefault="00CF4EB1" w:rsidP="00CF4EB1">
      <w:pPr>
        <w:jc w:val="center"/>
        <w:outlineLvl w:val="0"/>
        <w:rPr>
          <w:rFonts w:ascii="Times New Roman" w:hAnsi="Times New Roman"/>
          <w:szCs w:val="24"/>
          <w:lang w:val="sr-Cyrl-CS"/>
        </w:rPr>
      </w:pPr>
      <w:r w:rsidRPr="00043562">
        <w:rPr>
          <w:rFonts w:ascii="Times New Roman" w:hAnsi="Times New Roman"/>
          <w:szCs w:val="24"/>
          <w:lang w:val="sr-Cyrl-CS"/>
        </w:rPr>
        <w:t>О Б Р А З Л О Ж Е Њ Е</w:t>
      </w:r>
    </w:p>
    <w:p w:rsidR="00CF4EB1" w:rsidRPr="00043562" w:rsidRDefault="00CF4EB1" w:rsidP="00CF4EB1">
      <w:pPr>
        <w:ind w:firstLine="720"/>
        <w:jc w:val="center"/>
        <w:rPr>
          <w:rFonts w:ascii="Times New Roman" w:hAnsi="Times New Roman"/>
          <w:szCs w:val="24"/>
          <w:lang w:val="sr-Cyrl-CS"/>
        </w:rPr>
      </w:pPr>
    </w:p>
    <w:p w:rsidR="00CF4EB1" w:rsidRPr="00043562" w:rsidRDefault="00CF4EB1" w:rsidP="00CF4EB1">
      <w:pPr>
        <w:ind w:firstLine="709"/>
        <w:rPr>
          <w:rFonts w:ascii="Times New Roman" w:hAnsi="Times New Roman"/>
          <w:bCs/>
          <w:szCs w:val="24"/>
          <w:lang w:val="sr-Cyrl-CS"/>
        </w:rPr>
      </w:pPr>
      <w:r w:rsidRPr="00043562">
        <w:rPr>
          <w:rFonts w:ascii="Times New Roman" w:hAnsi="Times New Roman"/>
          <w:bCs/>
          <w:szCs w:val="24"/>
          <w:lang w:val="sr-Cyrl-CS"/>
        </w:rPr>
        <w:t xml:space="preserve"> I. УСТАВНИ ОСНОВ ЗА ДОНОШЕЊЕ ЗАКОНА</w:t>
      </w:r>
    </w:p>
    <w:p w:rsidR="00CF4EB1" w:rsidRPr="00043562" w:rsidRDefault="00CF4EB1" w:rsidP="00CF4EB1">
      <w:pPr>
        <w:rPr>
          <w:rFonts w:ascii="Times New Roman" w:hAnsi="Times New Roman"/>
          <w:bCs/>
          <w:szCs w:val="24"/>
          <w:lang w:val="sr-Cyrl-CS"/>
        </w:rPr>
      </w:pPr>
    </w:p>
    <w:p w:rsidR="00CF4EB1" w:rsidRPr="00043562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043562">
        <w:rPr>
          <w:rFonts w:ascii="Times New Roman" w:hAnsi="Times New Roman"/>
          <w:szCs w:val="24"/>
          <w:lang w:val="sr-Cyrl-CS"/>
        </w:rPr>
        <w:t xml:space="preserve"> </w:t>
      </w:r>
      <w:r w:rsidRPr="00043562">
        <w:rPr>
          <w:rFonts w:ascii="Times New Roman" w:hAnsi="Times New Roman"/>
          <w:szCs w:val="24"/>
          <w:lang w:val="sr-Cyrl-CS"/>
        </w:rPr>
        <w:tab/>
        <w:t>Уставни основ за доношење овог закона садржан је у члану 99. став 1. тачка 4. Устава Републике Србије према коме Народна скупштина потврђује међународне уговоре када је законом предвиђена обавеза њиховог потврђивања.</w:t>
      </w:r>
    </w:p>
    <w:p w:rsidR="00CF4EB1" w:rsidRPr="00043562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043562">
        <w:rPr>
          <w:rFonts w:ascii="Times New Roman" w:hAnsi="Times New Roman"/>
          <w:szCs w:val="24"/>
          <w:highlight w:val="yellow"/>
          <w:lang w:val="sr-Cyrl-CS"/>
        </w:rPr>
        <w:t xml:space="preserve"> </w:t>
      </w:r>
    </w:p>
    <w:p w:rsidR="00187CCB" w:rsidRPr="00BB2B19" w:rsidRDefault="00187CCB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RS" w:eastAsia="en-US"/>
        </w:rPr>
      </w:pPr>
      <w:r w:rsidRPr="00043562">
        <w:rPr>
          <w:rFonts w:ascii="Times New Roman" w:hAnsi="Times New Roman"/>
          <w:bCs/>
          <w:szCs w:val="24"/>
          <w:lang w:val="sr-Cyrl-CS" w:eastAsia="en-US"/>
        </w:rPr>
        <w:t>II. РАЗЛОЗИ ЗА ПОТВРЂИВАЊЕ</w:t>
      </w:r>
      <w:r w:rsidR="00032215" w:rsidRPr="00043562">
        <w:rPr>
          <w:rFonts w:ascii="Times New Roman" w:hAnsi="Times New Roman"/>
          <w:szCs w:val="24"/>
          <w:lang w:val="sr-Cyrl-CS"/>
        </w:rPr>
        <w:t xml:space="preserve"> </w:t>
      </w:r>
      <w:r w:rsidR="00BB2B19">
        <w:rPr>
          <w:rFonts w:ascii="Times New Roman" w:hAnsi="Times New Roman"/>
          <w:szCs w:val="24"/>
          <w:lang w:val="sr-Cyrl-RS"/>
        </w:rPr>
        <w:t>СПОРАЗУМА</w:t>
      </w:r>
    </w:p>
    <w:p w:rsidR="00CF4EB1" w:rsidRPr="00043562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187CCB" w:rsidRPr="00043562" w:rsidRDefault="00CF4EB1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043562">
        <w:rPr>
          <w:rFonts w:ascii="Times New Roman" w:hAnsi="Times New Roman"/>
          <w:szCs w:val="24"/>
          <w:lang w:val="sr-Cyrl-CS"/>
        </w:rPr>
        <w:t xml:space="preserve">Разлози за </w:t>
      </w:r>
      <w:r w:rsidR="00187CCB" w:rsidRPr="00043562">
        <w:rPr>
          <w:rFonts w:ascii="Times New Roman" w:hAnsi="Times New Roman"/>
          <w:szCs w:val="24"/>
          <w:lang w:val="sr-Cyrl-CS"/>
        </w:rPr>
        <w:t>потврђивање</w:t>
      </w:r>
      <w:r w:rsidRPr="00043562">
        <w:rPr>
          <w:rFonts w:ascii="Times New Roman" w:hAnsi="Times New Roman"/>
          <w:szCs w:val="24"/>
          <w:lang w:val="sr-Cyrl-CS"/>
        </w:rPr>
        <w:t xml:space="preserve"> Споразума о зајму (</w:t>
      </w:r>
      <w:r w:rsidR="00B16010" w:rsidRPr="00043562">
        <w:rPr>
          <w:rFonts w:ascii="Times New Roman" w:hAnsi="Times New Roman"/>
          <w:szCs w:val="24"/>
          <w:lang w:val="sr-Cyrl-CS"/>
        </w:rPr>
        <w:t>Додатно фи</w:t>
      </w:r>
      <w:r w:rsidR="00457040" w:rsidRPr="00043562">
        <w:rPr>
          <w:rFonts w:ascii="Times New Roman" w:hAnsi="Times New Roman"/>
          <w:szCs w:val="24"/>
          <w:lang w:val="sr-Cyrl-CS"/>
        </w:rPr>
        <w:t>нансирање за Пројекат унапређење</w:t>
      </w:r>
      <w:r w:rsidR="00043562">
        <w:rPr>
          <w:rFonts w:ascii="Times New Roman" w:hAnsi="Times New Roman"/>
          <w:szCs w:val="24"/>
          <w:lang w:val="sr-Cyrl-CS"/>
        </w:rPr>
        <w:t xml:space="preserve"> земљишне админист</w:t>
      </w:r>
      <w:r w:rsidR="00B16010" w:rsidRPr="00043562">
        <w:rPr>
          <w:rFonts w:ascii="Times New Roman" w:hAnsi="Times New Roman"/>
          <w:szCs w:val="24"/>
          <w:lang w:val="sr-Cyrl-CS"/>
        </w:rPr>
        <w:t>р</w:t>
      </w:r>
      <w:r w:rsidR="00043562">
        <w:rPr>
          <w:rFonts w:ascii="Times New Roman" w:hAnsi="Times New Roman"/>
          <w:szCs w:val="24"/>
          <w:lang w:val="sr-Cyrl-CS"/>
        </w:rPr>
        <w:t>а</w:t>
      </w:r>
      <w:r w:rsidR="00B16010" w:rsidRPr="00043562">
        <w:rPr>
          <w:rFonts w:ascii="Times New Roman" w:hAnsi="Times New Roman"/>
          <w:szCs w:val="24"/>
          <w:lang w:val="sr-Cyrl-CS"/>
        </w:rPr>
        <w:t>ције у Србији</w:t>
      </w:r>
      <w:r w:rsidR="00537F21" w:rsidRPr="00043562">
        <w:rPr>
          <w:rFonts w:ascii="Times New Roman" w:hAnsi="Times New Roman"/>
          <w:szCs w:val="24"/>
          <w:lang w:val="sr-Cyrl-CS"/>
        </w:rPr>
        <w:t>)</w:t>
      </w:r>
      <w:r w:rsidRPr="00043562">
        <w:rPr>
          <w:rFonts w:ascii="Times New Roman" w:hAnsi="Times New Roman"/>
          <w:szCs w:val="24"/>
          <w:lang w:val="sr-Cyrl-CS"/>
        </w:rPr>
        <w:t xml:space="preserve"> између Републике Србије и Међународне банке за обнову и развој, који је потписан </w:t>
      </w:r>
      <w:r w:rsidR="00F12FAA" w:rsidRPr="00043562">
        <w:rPr>
          <w:rFonts w:ascii="Times New Roman" w:hAnsi="Times New Roman"/>
          <w:szCs w:val="24"/>
          <w:lang w:val="sr-Cyrl-CS"/>
        </w:rPr>
        <w:t>2</w:t>
      </w:r>
      <w:r w:rsidR="00D60BC1" w:rsidRPr="00043562">
        <w:rPr>
          <w:rFonts w:ascii="Times New Roman" w:hAnsi="Times New Roman"/>
          <w:szCs w:val="24"/>
          <w:lang w:val="sr-Cyrl-CS"/>
        </w:rPr>
        <w:t>8</w:t>
      </w:r>
      <w:r w:rsidRPr="00043562">
        <w:rPr>
          <w:rFonts w:ascii="Times New Roman" w:hAnsi="Times New Roman"/>
          <w:szCs w:val="24"/>
          <w:lang w:val="sr-Cyrl-CS"/>
        </w:rPr>
        <w:t xml:space="preserve">. </w:t>
      </w:r>
      <w:r w:rsidR="00F12FAA" w:rsidRPr="00043562">
        <w:rPr>
          <w:rFonts w:ascii="Times New Roman" w:hAnsi="Times New Roman"/>
          <w:szCs w:val="24"/>
          <w:lang w:val="sr-Cyrl-CS"/>
        </w:rPr>
        <w:t>новембра</w:t>
      </w:r>
      <w:r w:rsidRPr="00043562">
        <w:rPr>
          <w:rFonts w:ascii="Times New Roman" w:hAnsi="Times New Roman"/>
          <w:szCs w:val="24"/>
          <w:lang w:val="sr-Cyrl-CS"/>
        </w:rPr>
        <w:t xml:space="preserve"> 201</w:t>
      </w:r>
      <w:r w:rsidR="005540D5" w:rsidRPr="00043562">
        <w:rPr>
          <w:rFonts w:ascii="Times New Roman" w:hAnsi="Times New Roman"/>
          <w:szCs w:val="24"/>
          <w:lang w:val="sr-Cyrl-CS"/>
        </w:rPr>
        <w:t>9</w:t>
      </w:r>
      <w:r w:rsidRPr="00043562">
        <w:rPr>
          <w:rFonts w:ascii="Times New Roman" w:hAnsi="Times New Roman"/>
          <w:szCs w:val="24"/>
          <w:lang w:val="sr-Cyrl-CS"/>
        </w:rPr>
        <w:t xml:space="preserve">. године у Београду, </w:t>
      </w:r>
      <w:r w:rsidR="00187CCB" w:rsidRPr="00043562">
        <w:rPr>
          <w:rFonts w:ascii="Times New Roman" w:hAnsi="Times New Roman"/>
          <w:szCs w:val="24"/>
          <w:lang w:val="sr-Cyrl-CS"/>
        </w:rPr>
        <w:t xml:space="preserve">садржани су у одредби члана 5. став 2. Закона о јавном дугу </w:t>
      </w:r>
      <w:r w:rsidR="00311F46" w:rsidRPr="00043562">
        <w:rPr>
          <w:rFonts w:ascii="Times New Roman" w:hAnsi="Times New Roman"/>
          <w:szCs w:val="24"/>
          <w:lang w:val="sr-Cyrl-CS"/>
        </w:rPr>
        <w:t>(„Службени гласник РС”, бр. 61/05, 107/09, 78/11, 68/15 и 95/18</w:t>
      </w:r>
      <w:r w:rsidR="00187CCB" w:rsidRPr="00043562">
        <w:rPr>
          <w:rFonts w:ascii="Times New Roman" w:hAnsi="Times New Roman"/>
          <w:szCs w:val="24"/>
          <w:lang w:val="sr-Cyrl-CS"/>
        </w:rPr>
        <w:t xml:space="preserve">) према којој Народна скупштина одлучује о задуживању Републике Србије и одредби члана 14. став 1. Закона о закључивању и извршавању међународних уговора </w:t>
      </w:r>
      <w:r w:rsidR="00311F46" w:rsidRPr="00043562">
        <w:rPr>
          <w:rFonts w:ascii="Times New Roman" w:hAnsi="Times New Roman"/>
          <w:szCs w:val="24"/>
          <w:lang w:val="sr-Cyrl-CS"/>
        </w:rPr>
        <w:t>(„Службени гласник РС”, број 32/13</w:t>
      </w:r>
      <w:r w:rsidR="00187CCB" w:rsidRPr="00043562">
        <w:rPr>
          <w:rFonts w:ascii="Times New Roman" w:hAnsi="Times New Roman"/>
          <w:szCs w:val="24"/>
          <w:lang w:val="sr-Cyrl-CS"/>
        </w:rPr>
        <w:t>) према којој Народна скупштина, између осталог, потврђује уговоре којима се стварају финансијске обавезе за Републику Србију.</w:t>
      </w:r>
      <w:r w:rsidR="005540D5" w:rsidRPr="00043562">
        <w:rPr>
          <w:rFonts w:ascii="Times New Roman" w:hAnsi="Times New Roman"/>
          <w:szCs w:val="24"/>
          <w:lang w:val="sr-Cyrl-CS"/>
        </w:rPr>
        <w:t xml:space="preserve"> </w:t>
      </w:r>
      <w:r w:rsidR="00B16010" w:rsidRPr="00043562">
        <w:rPr>
          <w:rFonts w:ascii="Times New Roman" w:hAnsi="Times New Roman"/>
          <w:szCs w:val="24"/>
          <w:lang w:val="sr-Cyrl-CS"/>
        </w:rPr>
        <w:t xml:space="preserve"> </w:t>
      </w:r>
    </w:p>
    <w:p w:rsidR="00537F21" w:rsidRPr="00043562" w:rsidRDefault="005540D5" w:rsidP="00105078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>Законом о буџету Републике Србије за 20</w:t>
      </w:r>
      <w:r w:rsidR="00E7712E" w:rsidRPr="00043562">
        <w:rPr>
          <w:rFonts w:ascii="Times New Roman" w:hAnsi="Times New Roman"/>
          <w:szCs w:val="24"/>
          <w:lang w:val="sr-Cyrl-CS" w:eastAsia="en-US"/>
        </w:rPr>
        <w:t>19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. годину </w:t>
      </w:r>
      <w:r w:rsidR="00E7712E" w:rsidRPr="00043562">
        <w:rPr>
          <w:rFonts w:ascii="Times New Roman" w:hAnsi="Times New Roman"/>
          <w:szCs w:val="24"/>
          <w:lang w:val="sr-Cyrl-CS" w:eastAsia="en-US"/>
        </w:rPr>
        <w:t>(„Службени гласник РС”, бр</w:t>
      </w:r>
      <w:r w:rsidR="00457040" w:rsidRPr="00043562">
        <w:rPr>
          <w:rFonts w:ascii="Times New Roman" w:hAnsi="Times New Roman"/>
          <w:szCs w:val="24"/>
          <w:lang w:val="sr-Cyrl-CS" w:eastAsia="en-US"/>
        </w:rPr>
        <w:t>.</w:t>
      </w:r>
      <w:r w:rsidR="00E7712E" w:rsidRPr="00043562">
        <w:rPr>
          <w:rFonts w:ascii="Times New Roman" w:hAnsi="Times New Roman"/>
          <w:szCs w:val="24"/>
          <w:lang w:val="sr-Cyrl-CS" w:eastAsia="en-US"/>
        </w:rPr>
        <w:t xml:space="preserve"> 95/18 и 72/19)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 у члану 3.Б. </w:t>
      </w:r>
      <w:r w:rsidR="00537F21" w:rsidRPr="00043562">
        <w:rPr>
          <w:rFonts w:ascii="Times New Roman" w:hAnsi="Times New Roman"/>
          <w:szCs w:val="24"/>
          <w:lang w:val="sr-Cyrl-CS" w:eastAsia="en-US"/>
        </w:rPr>
        <w:t xml:space="preserve">предвиђено је задуживање код </w:t>
      </w:r>
      <w:r w:rsidR="00804F8A" w:rsidRPr="00043562">
        <w:rPr>
          <w:rFonts w:ascii="Times New Roman" w:hAnsi="Times New Roman"/>
          <w:szCs w:val="24"/>
          <w:lang w:val="sr-Cyrl-CS" w:eastAsia="en-US"/>
        </w:rPr>
        <w:t xml:space="preserve">Међународне банке за обнову и развој – Додатно финансирање за Пројекат за унапређење катастра непокретности до 25.000.000 </w:t>
      </w:r>
      <w:r w:rsidR="00457040" w:rsidRPr="00043562">
        <w:rPr>
          <w:rFonts w:ascii="Times New Roman" w:hAnsi="Times New Roman"/>
          <w:szCs w:val="24"/>
          <w:lang w:val="sr-Cyrl-CS" w:eastAsia="en-US"/>
        </w:rPr>
        <w:t>USD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, што се односи на зајам који је био предмет преговора одржаних </w:t>
      </w:r>
      <w:r w:rsidR="00804F8A" w:rsidRPr="00043562">
        <w:rPr>
          <w:rFonts w:ascii="Times New Roman" w:hAnsi="Times New Roman"/>
          <w:szCs w:val="24"/>
          <w:lang w:val="sr-Cyrl-CS" w:eastAsia="en-US"/>
        </w:rPr>
        <w:t>15. октобра 2019. године</w:t>
      </w:r>
      <w:r w:rsidRPr="00043562">
        <w:rPr>
          <w:rFonts w:ascii="Times New Roman" w:hAnsi="Times New Roman"/>
          <w:szCs w:val="24"/>
          <w:lang w:val="sr-Cyrl-CS" w:eastAsia="en-US"/>
        </w:rPr>
        <w:t>, у Канцеларији Светске банке у Београду</w:t>
      </w:r>
      <w:r w:rsidR="00537F21" w:rsidRPr="00043562">
        <w:rPr>
          <w:rFonts w:ascii="Times New Roman" w:hAnsi="Times New Roman"/>
          <w:szCs w:val="24"/>
          <w:lang w:val="sr-Cyrl-CS" w:eastAsia="en-US"/>
        </w:rPr>
        <w:t>.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C13BBB" w:rsidRPr="00043562" w:rsidRDefault="00C13BBB" w:rsidP="00C13BBB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 xml:space="preserve">Закључком Владе 05 Број: 48-10181/2019 од 10. октобра 2019. године, утврђена је Oснова за преговоре са Међународном банком за обнову и развој и одређен преговарачки тим Републике Србије. </w:t>
      </w:r>
    </w:p>
    <w:p w:rsidR="00C13BBB" w:rsidRPr="00043562" w:rsidRDefault="00E934B0" w:rsidP="00C13BBB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>Том приликом је утврђен коначан износ зајма изражен у евро противвредности, тако што је примењен курс евра према америчком долару (</w:t>
      </w:r>
      <w:r w:rsidR="00804F8A" w:rsidRPr="00043562">
        <w:rPr>
          <w:rFonts w:ascii="Times New Roman" w:hAnsi="Times New Roman"/>
          <w:szCs w:val="24"/>
          <w:lang w:val="sr-Cyrl-CS" w:eastAsia="en-US"/>
        </w:rPr>
        <w:t xml:space="preserve">0,91562514 </w:t>
      </w:r>
      <w:r w:rsidR="00457040" w:rsidRPr="00043562">
        <w:rPr>
          <w:rFonts w:ascii="Times New Roman" w:hAnsi="Times New Roman"/>
          <w:szCs w:val="24"/>
          <w:lang w:val="sr-Cyrl-CS" w:eastAsia="en-US"/>
        </w:rPr>
        <w:t>USD</w:t>
      </w:r>
      <w:r w:rsidR="00804F8A" w:rsidRPr="00043562">
        <w:rPr>
          <w:rFonts w:ascii="Times New Roman" w:hAnsi="Times New Roman"/>
          <w:szCs w:val="24"/>
          <w:lang w:val="sr-Cyrl-CS" w:eastAsia="en-US"/>
        </w:rPr>
        <w:t>:</w:t>
      </w:r>
      <w:r w:rsidR="008B4E01">
        <w:rPr>
          <w:rFonts w:ascii="Times New Roman" w:hAnsi="Times New Roman"/>
          <w:szCs w:val="24"/>
          <w:lang w:val="en-US" w:eastAsia="en-US"/>
        </w:rPr>
        <w:t xml:space="preserve"> </w:t>
      </w:r>
      <w:r w:rsidR="00804F8A" w:rsidRPr="00043562">
        <w:rPr>
          <w:rFonts w:ascii="Times New Roman" w:hAnsi="Times New Roman"/>
          <w:szCs w:val="24"/>
          <w:lang w:val="sr-Cyrl-CS" w:eastAsia="en-US"/>
        </w:rPr>
        <w:t xml:space="preserve">1 </w:t>
      </w:r>
      <w:r w:rsidR="00457040" w:rsidRPr="00043562">
        <w:rPr>
          <w:rFonts w:ascii="Times New Roman" w:hAnsi="Times New Roman"/>
          <w:szCs w:val="24"/>
          <w:lang w:val="sr-Cyrl-CS" w:eastAsia="en-US"/>
        </w:rPr>
        <w:t>EUR</w:t>
      </w:r>
      <w:r w:rsidR="00804F8A" w:rsidRPr="00043562">
        <w:rPr>
          <w:rFonts w:ascii="Times New Roman" w:hAnsi="Times New Roman"/>
          <w:szCs w:val="24"/>
          <w:lang w:val="sr-Cyrl-CS" w:eastAsia="en-US"/>
        </w:rPr>
        <w:t>) на дан 30. септембар 2019. године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, односно на крају месеца који претходи месецу </w:t>
      </w:r>
      <w:r w:rsidR="00804F8A" w:rsidRPr="00043562">
        <w:rPr>
          <w:rFonts w:ascii="Times New Roman" w:hAnsi="Times New Roman"/>
          <w:szCs w:val="24"/>
          <w:lang w:val="sr-Cyrl-CS" w:eastAsia="en-US"/>
        </w:rPr>
        <w:t>октобру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 2019. године, у којем су</w:t>
      </w:r>
      <w:r w:rsidR="00804F8A" w:rsidRPr="00043562">
        <w:rPr>
          <w:rFonts w:ascii="Times New Roman" w:hAnsi="Times New Roman"/>
          <w:szCs w:val="24"/>
          <w:lang w:val="sr-Cyrl-CS" w:eastAsia="en-US"/>
        </w:rPr>
        <w:t xml:space="preserve"> преговори одржани, што износи 21</w:t>
      </w:r>
      <w:r w:rsidRPr="00043562">
        <w:rPr>
          <w:rFonts w:ascii="Times New Roman" w:hAnsi="Times New Roman"/>
          <w:szCs w:val="24"/>
          <w:lang w:val="sr-Cyrl-CS" w:eastAsia="en-US"/>
        </w:rPr>
        <w:t>.000.000 евра.</w:t>
      </w:r>
      <w:r w:rsidR="00C13BBB" w:rsidRPr="00043562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C13BBB" w:rsidRPr="00043562" w:rsidRDefault="00C13BBB" w:rsidP="00C13BBB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>На преговорима су стране договориле услове и начин коришћења новог зајма у износу од 21.000.000 евра и усагласиле одредбе Споразума о зајму (Додатно фи</w:t>
      </w:r>
      <w:r w:rsidR="00457040" w:rsidRPr="00043562">
        <w:rPr>
          <w:rFonts w:ascii="Times New Roman" w:hAnsi="Times New Roman"/>
          <w:szCs w:val="24"/>
          <w:lang w:val="sr-Cyrl-CS" w:eastAsia="en-US"/>
        </w:rPr>
        <w:t>нансирање за Пројекат унапређењe</w:t>
      </w:r>
      <w:r w:rsidR="008D0447">
        <w:rPr>
          <w:rFonts w:ascii="Times New Roman" w:hAnsi="Times New Roman"/>
          <w:szCs w:val="24"/>
          <w:lang w:val="sr-Cyrl-CS" w:eastAsia="en-US"/>
        </w:rPr>
        <w:t xml:space="preserve"> земљишне админист</w:t>
      </w:r>
      <w:r w:rsidRPr="00043562">
        <w:rPr>
          <w:rFonts w:ascii="Times New Roman" w:hAnsi="Times New Roman"/>
          <w:szCs w:val="24"/>
          <w:lang w:val="sr-Cyrl-CS" w:eastAsia="en-US"/>
        </w:rPr>
        <w:t>р</w:t>
      </w:r>
      <w:r w:rsidR="008D0447">
        <w:rPr>
          <w:rFonts w:ascii="Times New Roman" w:hAnsi="Times New Roman"/>
          <w:szCs w:val="24"/>
          <w:lang w:val="sr-Cyrl-CS" w:eastAsia="en-US"/>
        </w:rPr>
        <w:t>а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ције у Србији) између Републике Србије и Међународне банке за обнову и развој (у даљем тексту: Споразум о зајму за додатно финансирање), чије је потврђивање предмет овог закона. </w:t>
      </w:r>
    </w:p>
    <w:p w:rsidR="00C13BBB" w:rsidRPr="00043562" w:rsidRDefault="00C13BBB" w:rsidP="00C13BBB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 xml:space="preserve">Споразум о зајму </w:t>
      </w:r>
      <w:r w:rsidR="00824A02" w:rsidRPr="00043562">
        <w:rPr>
          <w:rFonts w:ascii="Times New Roman" w:hAnsi="Times New Roman"/>
          <w:szCs w:val="24"/>
          <w:lang w:val="sr-Cyrl-CS" w:eastAsia="en-US"/>
        </w:rPr>
        <w:t xml:space="preserve">у износу од </w:t>
      </w:r>
      <w:r w:rsidR="008366C0" w:rsidRPr="00043562">
        <w:rPr>
          <w:rFonts w:ascii="Times New Roman" w:hAnsi="Times New Roman"/>
          <w:szCs w:val="24"/>
          <w:lang w:val="sr-Cyrl-CS" w:eastAsia="en-US"/>
        </w:rPr>
        <w:t>21</w:t>
      </w:r>
      <w:r w:rsidR="00824A02" w:rsidRPr="00043562">
        <w:rPr>
          <w:rFonts w:ascii="Times New Roman" w:hAnsi="Times New Roman"/>
          <w:szCs w:val="24"/>
          <w:lang w:val="sr-Cyrl-CS" w:eastAsia="en-US"/>
        </w:rPr>
        <w:t xml:space="preserve">.000.000 евра који је Међународна банка за обнову и развој одобрила Републици Србији за </w:t>
      </w:r>
      <w:r w:rsidR="008366C0" w:rsidRPr="00043562">
        <w:rPr>
          <w:rFonts w:ascii="Times New Roman" w:hAnsi="Times New Roman"/>
          <w:szCs w:val="24"/>
          <w:lang w:val="sr-Cyrl-CS" w:eastAsia="en-US"/>
        </w:rPr>
        <w:t>додатно фи</w:t>
      </w:r>
      <w:r w:rsidR="00457040" w:rsidRPr="00043562">
        <w:rPr>
          <w:rFonts w:ascii="Times New Roman" w:hAnsi="Times New Roman"/>
          <w:szCs w:val="24"/>
          <w:lang w:val="sr-Cyrl-CS" w:eastAsia="en-US"/>
        </w:rPr>
        <w:t>нансирање за Пројекат унапређењe</w:t>
      </w:r>
      <w:r w:rsidR="008366C0" w:rsidRPr="00043562">
        <w:rPr>
          <w:rFonts w:ascii="Times New Roman" w:hAnsi="Times New Roman"/>
          <w:szCs w:val="24"/>
          <w:lang w:val="sr-Cyrl-CS" w:eastAsia="en-US"/>
        </w:rPr>
        <w:t xml:space="preserve"> з</w:t>
      </w:r>
      <w:r w:rsidR="00D84DB0">
        <w:rPr>
          <w:rFonts w:ascii="Times New Roman" w:hAnsi="Times New Roman"/>
          <w:szCs w:val="24"/>
          <w:lang w:val="sr-Cyrl-CS" w:eastAsia="en-US"/>
        </w:rPr>
        <w:t>емљишне админист</w:t>
      </w:r>
      <w:r w:rsidR="008366C0" w:rsidRPr="00043562">
        <w:rPr>
          <w:rFonts w:ascii="Times New Roman" w:hAnsi="Times New Roman"/>
          <w:szCs w:val="24"/>
          <w:lang w:val="sr-Cyrl-CS" w:eastAsia="en-US"/>
        </w:rPr>
        <w:t>р</w:t>
      </w:r>
      <w:r w:rsidR="00D84DB0">
        <w:rPr>
          <w:rFonts w:ascii="Times New Roman" w:hAnsi="Times New Roman"/>
          <w:szCs w:val="24"/>
          <w:lang w:val="sr-Cyrl-CS" w:eastAsia="en-US"/>
        </w:rPr>
        <w:t>а</w:t>
      </w:r>
      <w:r w:rsidR="008366C0" w:rsidRPr="00043562">
        <w:rPr>
          <w:rFonts w:ascii="Times New Roman" w:hAnsi="Times New Roman"/>
          <w:szCs w:val="24"/>
          <w:lang w:val="sr-Cyrl-CS" w:eastAsia="en-US"/>
        </w:rPr>
        <w:t>ције у Србији</w:t>
      </w:r>
      <w:r w:rsidR="00824A02" w:rsidRPr="00043562">
        <w:rPr>
          <w:rFonts w:ascii="Times New Roman" w:hAnsi="Times New Roman"/>
          <w:szCs w:val="24"/>
          <w:lang w:val="sr-Cyrl-CS" w:eastAsia="en-US"/>
        </w:rPr>
        <w:t xml:space="preserve"> (у даљем текс</w:t>
      </w:r>
      <w:r w:rsidR="00790912">
        <w:rPr>
          <w:rFonts w:ascii="Times New Roman" w:hAnsi="Times New Roman"/>
          <w:szCs w:val="24"/>
          <w:lang w:val="sr-Cyrl-CS" w:eastAsia="en-US"/>
        </w:rPr>
        <w:t>т</w:t>
      </w:r>
      <w:r w:rsidR="00824A02" w:rsidRPr="00043562">
        <w:rPr>
          <w:rFonts w:ascii="Times New Roman" w:hAnsi="Times New Roman"/>
          <w:szCs w:val="24"/>
          <w:lang w:val="sr-Cyrl-CS" w:eastAsia="en-US"/>
        </w:rPr>
        <w:t xml:space="preserve">у: Пројекат) има за циљ </w:t>
      </w:r>
      <w:r w:rsidR="008366C0" w:rsidRPr="00043562">
        <w:rPr>
          <w:rFonts w:ascii="Times New Roman" w:hAnsi="Times New Roman"/>
          <w:szCs w:val="24"/>
          <w:lang w:val="sr-Cyrl-CS" w:eastAsia="en-US"/>
        </w:rPr>
        <w:t>унапређење ефикасности, транспарентности, доступности и поузданости система за управљање непокретностима Републике Србије.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 Додатним финансирањем се омогућава да се изврши комплетна дигитализација у области земљишне администрације, усаглашавање стандарда са стандардима Е</w:t>
      </w:r>
      <w:r w:rsidR="00E359AD">
        <w:rPr>
          <w:rFonts w:ascii="Times New Roman" w:hAnsi="Times New Roman"/>
          <w:szCs w:val="24"/>
          <w:lang w:val="sr-Cyrl-RS" w:eastAsia="en-US"/>
        </w:rPr>
        <w:t>вропске уније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, унапређење тржишта некретнина и унапређење квалитета података у најширем смислу. </w:t>
      </w:r>
    </w:p>
    <w:p w:rsidR="00F539F5" w:rsidRPr="00043562" w:rsidRDefault="00F539F5" w:rsidP="00C13BBB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</w:p>
    <w:p w:rsidR="00FE4FF0" w:rsidRPr="00043562" w:rsidRDefault="00FE4FF0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lastRenderedPageBreak/>
        <w:t>Средства зајма за додатно финансирање користиће се наменски, по утврђеним компонентама Пројекта, како следи: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Део I: Процена вредности и опорезивање непокретности.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 xml:space="preserve">Део I пружа подршку развоју система за унапређење ефикасности и фер поступања у разрезивању годишњег пореза на имовину помоћу регистра купопродајних цена и софтвера за обраду и дистрибуцију ових података, успостављање регистра објеката, унапређење квалитета индекса цена непокретности, развој пилот програма масовне процене вредности и унапређење оквира и стандарда за процену вредности непокретности. 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 xml:space="preserve">Додатним финансирањем у укупном износу до </w:t>
      </w:r>
      <w:r w:rsidR="00457040" w:rsidRPr="00043562">
        <w:rPr>
          <w:rFonts w:ascii="Times New Roman" w:hAnsi="Times New Roman"/>
          <w:bCs/>
          <w:color w:val="000000"/>
          <w:szCs w:val="24"/>
          <w:lang w:val="sr-Cyrl-CS"/>
        </w:rPr>
        <w:t>EUR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 xml:space="preserve"> 4.800.000 омогућила би се даља подршка за регистар објеката на основу обнове сателитских снимака и развој процеса који омогућавају редовно ажурирање регистра објеката у складу са променама.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Део II: Е-управа за пружање приступа информацијама о непокретностима;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Део II пружа подршку развоју и имплементацији Интегрисаног ИТ система за катастар непокретности и упис права (ИСКН), е-услуга и интероперабилности са кључним државним регистрима; централном аналогном и дигиталном архиву; модернизацији адресног регистра и развоју и пилотном тестирању обједињеног система за издавање дигиталних грађевинских дозвола. Такође</w:t>
      </w:r>
      <w:r w:rsidR="00457040" w:rsidRPr="00043562">
        <w:rPr>
          <w:rFonts w:ascii="Times New Roman" w:hAnsi="Times New Roman"/>
          <w:bCs/>
          <w:color w:val="000000"/>
          <w:szCs w:val="24"/>
          <w:lang w:val="sr-Cyrl-CS"/>
        </w:rPr>
        <w:t>,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 xml:space="preserve"> пружа подршку имплементацији Националне инфраструктуре геопросторних података (НИГП) и унапређењу квалитета података, и пружа подршку Републичком геодетском заводу у развоју и успостављању новог, одрживог модела пословања ради даљег развоја и одржавања ИТ система. 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 xml:space="preserve">Додатно финансирање у укупном износу до </w:t>
      </w:r>
      <w:r w:rsidR="00457040" w:rsidRPr="00043562">
        <w:rPr>
          <w:rFonts w:ascii="Times New Roman" w:hAnsi="Times New Roman"/>
          <w:bCs/>
          <w:color w:val="000000"/>
          <w:szCs w:val="24"/>
          <w:lang w:val="sr-Cyrl-CS"/>
        </w:rPr>
        <w:t>EUR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 xml:space="preserve"> 13.000.</w:t>
      </w:r>
      <w:r w:rsidR="005327C7">
        <w:rPr>
          <w:rFonts w:ascii="Times New Roman" w:hAnsi="Times New Roman"/>
          <w:bCs/>
          <w:color w:val="000000"/>
          <w:szCs w:val="24"/>
          <w:lang w:val="sr-Cyrl-CS"/>
        </w:rPr>
        <w:t>000 ће обезбедити средства за (</w:t>
      </w:r>
      <w:proofErr w:type="spellStart"/>
      <w:r w:rsidR="005327C7">
        <w:rPr>
          <w:rFonts w:ascii="Times New Roman" w:hAnsi="Times New Roman"/>
          <w:bCs/>
          <w:color w:val="000000"/>
          <w:szCs w:val="24"/>
          <w:lang w:val="en-US"/>
        </w:rPr>
        <w:t>i</w:t>
      </w:r>
      <w:proofErr w:type="spellEnd"/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) завршетак система ИСКН, и то (1) развој преосталих модула: катастар водова, модули за управљање људским ресурсима и управљање финансијама и њихову интеграцију са ИСКН-ом, и (2) успостављање информационог система за катастар непо</w:t>
      </w:r>
      <w:r w:rsidR="002C42D1">
        <w:rPr>
          <w:rFonts w:ascii="Times New Roman" w:hAnsi="Times New Roman"/>
          <w:bCs/>
          <w:color w:val="000000"/>
          <w:szCs w:val="24"/>
          <w:lang w:val="sr-Cyrl-CS"/>
        </w:rPr>
        <w:t>кретности на читавој територији</w:t>
      </w:r>
      <w:r w:rsidR="005327C7">
        <w:rPr>
          <w:rFonts w:ascii="Times New Roman" w:hAnsi="Times New Roman"/>
          <w:bCs/>
          <w:color w:val="000000"/>
          <w:szCs w:val="24"/>
          <w:lang w:val="sr-Cyrl-CS"/>
        </w:rPr>
        <w:t xml:space="preserve"> Републике Србије; (</w:t>
      </w:r>
      <w:r w:rsidR="005327C7">
        <w:rPr>
          <w:rFonts w:ascii="Times New Roman" w:hAnsi="Times New Roman"/>
          <w:bCs/>
          <w:color w:val="000000"/>
          <w:szCs w:val="24"/>
          <w:lang w:val="en-US"/>
        </w:rPr>
        <w:t>ii</w:t>
      </w:r>
      <w:r w:rsidR="005327C7">
        <w:rPr>
          <w:rFonts w:ascii="Times New Roman" w:hAnsi="Times New Roman"/>
          <w:bCs/>
          <w:color w:val="000000"/>
          <w:szCs w:val="24"/>
          <w:lang w:val="sr-Cyrl-CS"/>
        </w:rPr>
        <w:t>) имплементацију НИГП-а; (</w:t>
      </w:r>
      <w:r w:rsidR="005327C7">
        <w:rPr>
          <w:rFonts w:ascii="Times New Roman" w:hAnsi="Times New Roman"/>
          <w:bCs/>
          <w:color w:val="000000"/>
          <w:szCs w:val="24"/>
          <w:lang w:val="en-US"/>
        </w:rPr>
        <w:t>iii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) имплементацију одрживог модела пословања за управљање НИГП-ом и ИТ системима у Ре</w:t>
      </w:r>
      <w:r w:rsidR="005327C7">
        <w:rPr>
          <w:rFonts w:ascii="Times New Roman" w:hAnsi="Times New Roman"/>
          <w:bCs/>
          <w:color w:val="000000"/>
          <w:szCs w:val="24"/>
          <w:lang w:val="sr-Cyrl-CS"/>
        </w:rPr>
        <w:t>публичком геодетском заводу; (</w:t>
      </w:r>
      <w:r w:rsidR="005327C7">
        <w:rPr>
          <w:rFonts w:ascii="Times New Roman" w:hAnsi="Times New Roman"/>
          <w:bCs/>
          <w:color w:val="000000"/>
          <w:szCs w:val="24"/>
          <w:lang w:val="en-US"/>
        </w:rPr>
        <w:t>iv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) изградњу аналогног архива (депоа папирне документације); и (</w:t>
      </w:r>
      <w:r w:rsidR="005327C7">
        <w:rPr>
          <w:rFonts w:ascii="Times New Roman" w:hAnsi="Times New Roman"/>
          <w:bCs/>
          <w:color w:val="000000"/>
          <w:szCs w:val="24"/>
          <w:lang w:val="en-US"/>
        </w:rPr>
        <w:t>v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) унапређење квалитета података.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Део III: Институционални развој Републичког геодетског завода.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 xml:space="preserve">Циљ ове компоненте је да подржи и унапреди основни институционални развој Републичког геодетског завода, чиме ће се Републичком геодетском заводу омогућити да унапреди своје услуге и испуни стандарде </w:t>
      </w:r>
      <w:r w:rsidR="002C42D1" w:rsidRPr="00043562">
        <w:rPr>
          <w:rFonts w:ascii="Times New Roman" w:hAnsi="Times New Roman"/>
          <w:szCs w:val="24"/>
          <w:lang w:val="sr-Cyrl-CS" w:eastAsia="en-US"/>
        </w:rPr>
        <w:t>Е</w:t>
      </w:r>
      <w:r w:rsidR="002C42D1">
        <w:rPr>
          <w:rFonts w:ascii="Times New Roman" w:hAnsi="Times New Roman"/>
          <w:szCs w:val="24"/>
          <w:lang w:val="sr-Cyrl-RS" w:eastAsia="en-US"/>
        </w:rPr>
        <w:t>вропске уније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. Из ове компоненте финансира се управљање, стратегија и планирање у Републичком геодетском заводу; јачање националне референтне инфраструктуре; завршетак програма израде дигиталног катастарског плана; унапређење поступака, уклањање заостатака и побољшање инфраструктуре служби.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 xml:space="preserve">Додатно финансирање у укупном износу до </w:t>
      </w:r>
      <w:r w:rsidR="00457040" w:rsidRPr="00043562">
        <w:rPr>
          <w:rFonts w:ascii="Times New Roman" w:hAnsi="Times New Roman"/>
          <w:bCs/>
          <w:color w:val="000000"/>
          <w:szCs w:val="24"/>
          <w:lang w:val="sr-Cyrl-CS"/>
        </w:rPr>
        <w:t>EUR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 xml:space="preserve"> 1.500.000 у оквиру ове компоненте ће подржати (</w:t>
      </w:r>
      <w:proofErr w:type="spellStart"/>
      <w:r w:rsidR="0041276F">
        <w:rPr>
          <w:rFonts w:ascii="Times New Roman" w:hAnsi="Times New Roman"/>
          <w:bCs/>
          <w:color w:val="000000"/>
          <w:szCs w:val="24"/>
          <w:lang w:val="en-US"/>
        </w:rPr>
        <w:t>i</w:t>
      </w:r>
      <w:proofErr w:type="spellEnd"/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) текући процес пословног планирања у Републичком геодетском заводу кроз развој плана пута за институционалну трансформацију; (</w:t>
      </w:r>
      <w:r w:rsidR="0041276F">
        <w:rPr>
          <w:rFonts w:ascii="Times New Roman" w:hAnsi="Times New Roman"/>
          <w:bCs/>
          <w:color w:val="000000"/>
          <w:szCs w:val="24"/>
          <w:lang w:val="en-US"/>
        </w:rPr>
        <w:t>ii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) унапређење националне референтне инфраструктуре (радови на стабилизацији репера и нивелању су завршени у јужним и централним деловима земље, али недостају средства за завршетак северног дела земље); (</w:t>
      </w:r>
      <w:r w:rsidR="0041276F">
        <w:rPr>
          <w:rFonts w:ascii="Times New Roman" w:hAnsi="Times New Roman"/>
          <w:bCs/>
          <w:color w:val="000000"/>
          <w:szCs w:val="24"/>
          <w:lang w:val="en-US"/>
        </w:rPr>
        <w:t>iii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) решавање заосталих првостепених жалби, где су потребе у смислу времена и средстава биле значајно потцењене у фази припреме пројекта.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Део IV: Управљање Пројектом и активности подршке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lastRenderedPageBreak/>
        <w:t>Ова компонента пружа подршку за комуникацију, обуку, опрему и оперативне активности чиме се омогућава спровођење Пројекта, а што обухвата набавку и управљање финансијама, праћење, осењивање и извештавање.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 xml:space="preserve">Додатно финансирање у укупном износу до </w:t>
      </w:r>
      <w:r w:rsidR="00457040" w:rsidRPr="00043562">
        <w:rPr>
          <w:rFonts w:ascii="Times New Roman" w:hAnsi="Times New Roman"/>
          <w:bCs/>
          <w:color w:val="000000"/>
          <w:szCs w:val="24"/>
          <w:lang w:val="sr-Cyrl-CS"/>
        </w:rPr>
        <w:t>EUR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 xml:space="preserve"> 1.600.000 омогући ће финан</w:t>
      </w:r>
      <w:r w:rsidR="00CD51F2">
        <w:rPr>
          <w:rFonts w:ascii="Times New Roman" w:hAnsi="Times New Roman"/>
          <w:bCs/>
          <w:color w:val="000000"/>
          <w:szCs w:val="24"/>
          <w:lang w:val="sr-Cyrl-CS"/>
        </w:rPr>
        <w:t>с</w:t>
      </w:r>
      <w:r w:rsidRPr="00043562">
        <w:rPr>
          <w:rFonts w:ascii="Times New Roman" w:hAnsi="Times New Roman"/>
          <w:bCs/>
          <w:color w:val="000000"/>
          <w:szCs w:val="24"/>
          <w:lang w:val="sr-Cyrl-CS"/>
        </w:rPr>
        <w:t>ирање трошкова продужетка спровођења Пројекта, и то: зараде запослених у Јединици за имплементацију пројекта (ЈИП) и инкременталне оперативне трошкове; наставак кампање изградње јавне свести; спровођење двогодишњих редовних истраживања задовољства корисника; и наставак пружања услуга угроженим групама.</w:t>
      </w:r>
    </w:p>
    <w:p w:rsidR="00F539F5" w:rsidRPr="00043562" w:rsidRDefault="00F539F5" w:rsidP="00F539F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 xml:space="preserve">Пројекат </w:t>
      </w:r>
      <w:r w:rsidR="00457040" w:rsidRPr="00043562">
        <w:rPr>
          <w:rFonts w:ascii="Times New Roman" w:hAnsi="Times New Roman"/>
          <w:szCs w:val="24"/>
          <w:lang w:val="sr-Cyrl-CS" w:eastAsia="en-US"/>
        </w:rPr>
        <w:t xml:space="preserve">је </w:t>
      </w:r>
      <w:r w:rsidRPr="00043562">
        <w:rPr>
          <w:rFonts w:ascii="Times New Roman" w:hAnsi="Times New Roman"/>
          <w:szCs w:val="24"/>
          <w:lang w:val="sr-Cyrl-CS" w:eastAsia="en-US"/>
        </w:rPr>
        <w:t>усаглашен са Стратешким оквиром за партнерство (Country Partnership Framework - CPF), за период од 2016. до 2020. године у спровођењу програма за Републику Србију, у складу са којим се Србији пружа подршка запошљавању и расту кроз ефикасније пружање услуга, раст приватног сектора и економску инклузију и допринос приоритетним унапређењима пословне климе.</w:t>
      </w:r>
    </w:p>
    <w:p w:rsidR="00AA6051" w:rsidRPr="00043562" w:rsidRDefault="00AA6051" w:rsidP="00AA6051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>Извештај са преговора прихваћен је Закључком  Владе 05 Број: 48-</w:t>
      </w:r>
      <w:r w:rsidR="00C61643" w:rsidRPr="00043562">
        <w:rPr>
          <w:rFonts w:ascii="Times New Roman" w:hAnsi="Times New Roman"/>
          <w:szCs w:val="24"/>
          <w:lang w:val="sr-Cyrl-CS" w:eastAsia="en-US"/>
        </w:rPr>
        <w:t>10660</w:t>
      </w:r>
      <w:r w:rsidR="00C64833" w:rsidRPr="00043562">
        <w:rPr>
          <w:rFonts w:ascii="Times New Roman" w:hAnsi="Times New Roman"/>
          <w:szCs w:val="24"/>
          <w:lang w:val="sr-Cyrl-CS" w:eastAsia="en-US"/>
        </w:rPr>
        <w:t>/</w:t>
      </w:r>
      <w:r w:rsidRPr="00043562">
        <w:rPr>
          <w:rFonts w:ascii="Times New Roman" w:hAnsi="Times New Roman"/>
          <w:szCs w:val="24"/>
          <w:lang w:val="sr-Cyrl-CS" w:eastAsia="en-US"/>
        </w:rPr>
        <w:t>201</w:t>
      </w:r>
      <w:r w:rsidR="00A75CCC" w:rsidRPr="00043562">
        <w:rPr>
          <w:rFonts w:ascii="Times New Roman" w:hAnsi="Times New Roman"/>
          <w:szCs w:val="24"/>
          <w:lang w:val="sr-Cyrl-CS" w:eastAsia="en-US"/>
        </w:rPr>
        <w:t>9</w:t>
      </w:r>
      <w:r w:rsidR="00C64833" w:rsidRPr="00043562">
        <w:rPr>
          <w:rFonts w:ascii="Times New Roman" w:hAnsi="Times New Roman"/>
          <w:szCs w:val="24"/>
          <w:lang w:val="sr-Cyrl-CS" w:eastAsia="en-US"/>
        </w:rPr>
        <w:t xml:space="preserve"> од </w:t>
      </w:r>
      <w:r w:rsidR="00A75CCC" w:rsidRPr="00043562">
        <w:rPr>
          <w:rFonts w:ascii="Times New Roman" w:hAnsi="Times New Roman"/>
          <w:szCs w:val="24"/>
          <w:lang w:val="sr-Cyrl-CS" w:eastAsia="en-US"/>
        </w:rPr>
        <w:t>2</w:t>
      </w:r>
      <w:r w:rsidR="00C61643" w:rsidRPr="00043562">
        <w:rPr>
          <w:rFonts w:ascii="Times New Roman" w:hAnsi="Times New Roman"/>
          <w:szCs w:val="24"/>
          <w:lang w:val="sr-Cyrl-CS" w:eastAsia="en-US"/>
        </w:rPr>
        <w:t>4</w:t>
      </w:r>
      <w:r w:rsidR="00C64833" w:rsidRPr="00043562">
        <w:rPr>
          <w:rFonts w:ascii="Times New Roman" w:hAnsi="Times New Roman"/>
          <w:szCs w:val="24"/>
          <w:lang w:val="sr-Cyrl-CS" w:eastAsia="en-US"/>
        </w:rPr>
        <w:t xml:space="preserve">. </w:t>
      </w:r>
      <w:r w:rsidR="00C61643" w:rsidRPr="00043562">
        <w:rPr>
          <w:rFonts w:ascii="Times New Roman" w:hAnsi="Times New Roman"/>
          <w:szCs w:val="24"/>
          <w:lang w:val="sr-Cyrl-CS" w:eastAsia="en-US"/>
        </w:rPr>
        <w:t>октобра</w:t>
      </w:r>
      <w:r w:rsidR="00A75CCC" w:rsidRPr="00043562">
        <w:rPr>
          <w:rFonts w:ascii="Times New Roman" w:hAnsi="Times New Roman"/>
          <w:szCs w:val="24"/>
          <w:lang w:val="sr-Cyrl-CS" w:eastAsia="en-US"/>
        </w:rPr>
        <w:t xml:space="preserve"> 2019</w:t>
      </w:r>
      <w:r w:rsidRPr="00043562">
        <w:rPr>
          <w:rFonts w:ascii="Times New Roman" w:hAnsi="Times New Roman"/>
          <w:szCs w:val="24"/>
          <w:lang w:val="sr-Cyrl-CS" w:eastAsia="en-US"/>
        </w:rPr>
        <w:t>. године, којим је истовремено усвојен Нацрт споразума о зајму (</w:t>
      </w:r>
      <w:r w:rsidR="00C61643" w:rsidRPr="00043562">
        <w:rPr>
          <w:rFonts w:ascii="Times New Roman" w:hAnsi="Times New Roman"/>
          <w:szCs w:val="24"/>
          <w:lang w:val="sr-Cyrl-CS"/>
        </w:rPr>
        <w:t>Додатно финансирање за Пројекат унапређењ</w:t>
      </w:r>
      <w:r w:rsidR="00457040" w:rsidRPr="00043562">
        <w:rPr>
          <w:rFonts w:ascii="Times New Roman" w:hAnsi="Times New Roman"/>
          <w:szCs w:val="24"/>
          <w:lang w:val="sr-Cyrl-CS"/>
        </w:rPr>
        <w:t>e</w:t>
      </w:r>
      <w:r w:rsidR="00C61643" w:rsidRPr="00043562">
        <w:rPr>
          <w:rFonts w:ascii="Times New Roman" w:hAnsi="Times New Roman"/>
          <w:szCs w:val="24"/>
          <w:lang w:val="sr-Cyrl-CS"/>
        </w:rPr>
        <w:t xml:space="preserve"> земљишне админист</w:t>
      </w:r>
      <w:r w:rsidR="005B4C56">
        <w:rPr>
          <w:rFonts w:ascii="Times New Roman" w:hAnsi="Times New Roman"/>
          <w:szCs w:val="24"/>
          <w:lang w:val="sr-Cyrl-CS"/>
        </w:rPr>
        <w:t>ра</w:t>
      </w:r>
      <w:r w:rsidR="00C61643" w:rsidRPr="00043562">
        <w:rPr>
          <w:rFonts w:ascii="Times New Roman" w:hAnsi="Times New Roman"/>
          <w:szCs w:val="24"/>
          <w:lang w:val="sr-Cyrl-CS"/>
        </w:rPr>
        <w:t>ције у Србији</w:t>
      </w:r>
      <w:r w:rsidRPr="00043562">
        <w:rPr>
          <w:rFonts w:ascii="Times New Roman" w:hAnsi="Times New Roman"/>
          <w:szCs w:val="24"/>
          <w:lang w:val="sr-Cyrl-CS"/>
        </w:rPr>
        <w:t>)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  између Републике Србије и Међународне банке Србије</w:t>
      </w:r>
      <w:r w:rsidR="00315E98" w:rsidRPr="00043562">
        <w:rPr>
          <w:rFonts w:ascii="Times New Roman" w:hAnsi="Times New Roman"/>
          <w:szCs w:val="24"/>
          <w:lang w:val="sr-Cyrl-CS" w:eastAsia="en-US"/>
        </w:rPr>
        <w:t xml:space="preserve">, 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који је </w:t>
      </w:r>
      <w:r w:rsidRPr="00043562">
        <w:rPr>
          <w:rFonts w:ascii="Times New Roman" w:hAnsi="Times New Roman"/>
          <w:szCs w:val="24"/>
          <w:lang w:val="sr-Cyrl-CS"/>
        </w:rPr>
        <w:t xml:space="preserve">потписан </w:t>
      </w:r>
      <w:r w:rsidR="00D60BC1" w:rsidRPr="00043562">
        <w:rPr>
          <w:rFonts w:ascii="Times New Roman" w:hAnsi="Times New Roman"/>
          <w:szCs w:val="24"/>
          <w:lang w:val="sr-Cyrl-CS"/>
        </w:rPr>
        <w:t>28</w:t>
      </w:r>
      <w:r w:rsidRPr="00043562">
        <w:rPr>
          <w:rFonts w:ascii="Times New Roman" w:hAnsi="Times New Roman"/>
          <w:szCs w:val="24"/>
          <w:lang w:val="sr-Cyrl-CS"/>
        </w:rPr>
        <w:t xml:space="preserve">. </w:t>
      </w:r>
      <w:r w:rsidR="00C61643" w:rsidRPr="00043562">
        <w:rPr>
          <w:rFonts w:ascii="Times New Roman" w:hAnsi="Times New Roman"/>
          <w:szCs w:val="24"/>
          <w:lang w:val="sr-Cyrl-CS"/>
        </w:rPr>
        <w:t>новембра</w:t>
      </w:r>
      <w:r w:rsidRPr="00043562">
        <w:rPr>
          <w:rFonts w:ascii="Times New Roman" w:hAnsi="Times New Roman"/>
          <w:szCs w:val="24"/>
          <w:lang w:val="sr-Cyrl-CS"/>
        </w:rPr>
        <w:t xml:space="preserve"> 201</w:t>
      </w:r>
      <w:r w:rsidR="00A75CCC" w:rsidRPr="00043562">
        <w:rPr>
          <w:rFonts w:ascii="Times New Roman" w:hAnsi="Times New Roman"/>
          <w:szCs w:val="24"/>
          <w:lang w:val="sr-Cyrl-CS"/>
        </w:rPr>
        <w:t>9</w:t>
      </w:r>
      <w:r w:rsidRPr="00043562">
        <w:rPr>
          <w:rFonts w:ascii="Times New Roman" w:hAnsi="Times New Roman"/>
          <w:szCs w:val="24"/>
          <w:lang w:val="sr-Cyrl-CS"/>
        </w:rPr>
        <w:t xml:space="preserve">. године у Београду (потписник споразума у име Владе, као заступника Републике Србије, је </w:t>
      </w:r>
      <w:r w:rsidR="00A75CCC" w:rsidRPr="00043562">
        <w:rPr>
          <w:rFonts w:ascii="Times New Roman" w:hAnsi="Times New Roman"/>
          <w:szCs w:val="24"/>
          <w:lang w:val="sr-Cyrl-CS"/>
        </w:rPr>
        <w:t>Синиша Мали</w:t>
      </w:r>
      <w:r w:rsidRPr="00043562">
        <w:rPr>
          <w:rFonts w:ascii="Times New Roman" w:hAnsi="Times New Roman"/>
          <w:szCs w:val="24"/>
          <w:lang w:val="sr-Cyrl-CS"/>
        </w:rPr>
        <w:t>, министар финансија).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8E1154" w:rsidRPr="00043562" w:rsidRDefault="008E1154" w:rsidP="008E1154">
      <w:pPr>
        <w:ind w:firstLine="63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043562">
        <w:rPr>
          <w:rFonts w:ascii="Times New Roman" w:hAnsi="Times New Roman"/>
          <w:bCs/>
          <w:szCs w:val="24"/>
          <w:lang w:val="sr-Cyrl-CS" w:eastAsia="en-US"/>
        </w:rPr>
        <w:t>Пројекат ће се спроводити преко Јединице за имплементацију Пројекта, (ЈУП) формиране у оквиру Републичког геодетског завода. Пројектни савет је надлежан за доношење свих знача</w:t>
      </w:r>
      <w:r w:rsidR="009072F7">
        <w:rPr>
          <w:rFonts w:ascii="Times New Roman" w:hAnsi="Times New Roman"/>
          <w:bCs/>
          <w:szCs w:val="24"/>
          <w:lang w:val="sr-Cyrl-CS" w:eastAsia="en-US"/>
        </w:rPr>
        <w:t>ј</w:t>
      </w:r>
      <w:r w:rsidRPr="00043562">
        <w:rPr>
          <w:rFonts w:ascii="Times New Roman" w:hAnsi="Times New Roman"/>
          <w:bCs/>
          <w:szCs w:val="24"/>
          <w:lang w:val="sr-Cyrl-CS" w:eastAsia="en-US"/>
        </w:rPr>
        <w:t>них одлука у вези са политикама које се односе на имплементацију Пројекта, за генерални надзор над Пројектом, као и за усвајање годишњих планова рада, планова обуке и извештаја. Пројектним саветом председава Координатор из Министарства грађевинарства, саобраћаја и инфраструктуре, а чланство Пројектног савета обухвата представнике следећих институција: Министарства државне управе и локалне самоуправе, Министарства финансија, Министарства правде, Министарства привреде, Пореске управе, Завода за статистику и директора Републичког геоде</w:t>
      </w:r>
      <w:r w:rsidR="00151469">
        <w:rPr>
          <w:rFonts w:ascii="Times New Roman" w:hAnsi="Times New Roman"/>
          <w:bCs/>
          <w:szCs w:val="24"/>
          <w:lang w:val="sr-Cyrl-CS" w:eastAsia="en-US"/>
        </w:rPr>
        <w:t>тс</w:t>
      </w:r>
      <w:r w:rsidRPr="00043562">
        <w:rPr>
          <w:rFonts w:ascii="Times New Roman" w:hAnsi="Times New Roman"/>
          <w:bCs/>
          <w:szCs w:val="24"/>
          <w:lang w:val="sr-Cyrl-CS" w:eastAsia="en-US"/>
        </w:rPr>
        <w:t>ког завода. Руководилац ЈУП има улогу секретара Пројектног савета.</w:t>
      </w:r>
    </w:p>
    <w:p w:rsidR="008E1154" w:rsidRPr="00043562" w:rsidRDefault="008E1154" w:rsidP="008E1154">
      <w:pPr>
        <w:ind w:firstLine="63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043562">
        <w:rPr>
          <w:rFonts w:ascii="Times New Roman" w:hAnsi="Times New Roman"/>
          <w:bCs/>
          <w:szCs w:val="24"/>
          <w:lang w:val="sr-Cyrl-CS" w:eastAsia="en-US"/>
        </w:rPr>
        <w:t>Управни одбор Пројекта, у чијем састав</w:t>
      </w:r>
      <w:r w:rsidR="004930F9">
        <w:rPr>
          <w:rFonts w:ascii="Times New Roman" w:hAnsi="Times New Roman"/>
          <w:bCs/>
          <w:szCs w:val="24"/>
          <w:lang w:val="sr-Cyrl-CS" w:eastAsia="en-US"/>
        </w:rPr>
        <w:t>у су директор Републичког геоде</w:t>
      </w:r>
      <w:r w:rsidRPr="00043562">
        <w:rPr>
          <w:rFonts w:ascii="Times New Roman" w:hAnsi="Times New Roman"/>
          <w:bCs/>
          <w:szCs w:val="24"/>
          <w:lang w:val="sr-Cyrl-CS" w:eastAsia="en-US"/>
        </w:rPr>
        <w:t>т</w:t>
      </w:r>
      <w:r w:rsidR="004930F9">
        <w:rPr>
          <w:rFonts w:ascii="Times New Roman" w:hAnsi="Times New Roman"/>
          <w:bCs/>
          <w:szCs w:val="24"/>
          <w:lang w:val="sr-Cyrl-CS" w:eastAsia="en-US"/>
        </w:rPr>
        <w:t>с</w:t>
      </w:r>
      <w:r w:rsidRPr="00043562">
        <w:rPr>
          <w:rFonts w:ascii="Times New Roman" w:hAnsi="Times New Roman"/>
          <w:bCs/>
          <w:szCs w:val="24"/>
          <w:lang w:val="sr-Cyrl-CS" w:eastAsia="en-US"/>
        </w:rPr>
        <w:t>ког завода, директори релевантних сектора и одељења чије су организационе јединице у директној вези са активностима на Пројекту и одабрани стручњаци из других институција, надлежан је за надзор над редовном имплементацијом активности на Пројекту и доставља извештаје Пројектном савету квартално или по захтеву Пројектног савета.</w:t>
      </w:r>
    </w:p>
    <w:p w:rsidR="008E1154" w:rsidRPr="00043562" w:rsidRDefault="008E1154" w:rsidP="008E1154">
      <w:pPr>
        <w:ind w:firstLine="63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043562">
        <w:rPr>
          <w:rFonts w:ascii="Times New Roman" w:hAnsi="Times New Roman"/>
          <w:bCs/>
          <w:szCs w:val="24"/>
          <w:lang w:val="sr-Cyrl-CS" w:eastAsia="en-US"/>
        </w:rPr>
        <w:t xml:space="preserve">Свeтскa бaнкa ћe прaтити стaтус Прoјекта и спровођење договорених активности, кроз полугодишње мисије за подршку имплементацији. </w:t>
      </w:r>
    </w:p>
    <w:p w:rsidR="00254CC1" w:rsidRPr="00043562" w:rsidRDefault="00254CC1" w:rsidP="008E1154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>У складу са Општим условима Међународне банке за обнову и развој</w:t>
      </w:r>
      <w:r w:rsidR="00963621" w:rsidRPr="00043562">
        <w:rPr>
          <w:rFonts w:ascii="Times New Roman" w:hAnsi="Times New Roman"/>
          <w:szCs w:val="24"/>
          <w:lang w:val="sr-Cyrl-CS"/>
        </w:rPr>
        <w:t xml:space="preserve"> </w:t>
      </w:r>
      <w:r w:rsidR="00963621" w:rsidRPr="00043562">
        <w:rPr>
          <w:rFonts w:ascii="Times New Roman" w:hAnsi="Times New Roman"/>
          <w:szCs w:val="24"/>
          <w:lang w:val="sr-Cyrl-CS" w:eastAsia="en-US"/>
        </w:rPr>
        <w:t>од 14. децембра 2018. године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, </w:t>
      </w:r>
      <w:r w:rsidR="0092470E" w:rsidRPr="00043562">
        <w:rPr>
          <w:rFonts w:ascii="Times New Roman" w:hAnsi="Times New Roman"/>
          <w:szCs w:val="24"/>
          <w:lang w:val="sr-Cyrl-CS" w:eastAsia="en-US"/>
        </w:rPr>
        <w:t>договорени су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 следећи финансијски услови: </w:t>
      </w:r>
    </w:p>
    <w:p w:rsidR="007068CE" w:rsidRPr="00043562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 xml:space="preserve">- износ задужења: </w:t>
      </w:r>
      <w:r w:rsidR="008E1154" w:rsidRPr="00043562">
        <w:rPr>
          <w:rFonts w:ascii="Times New Roman" w:hAnsi="Times New Roman"/>
          <w:szCs w:val="24"/>
          <w:lang w:val="sr-Cyrl-CS" w:eastAsia="en-US"/>
        </w:rPr>
        <w:t>21</w:t>
      </w:r>
      <w:r w:rsidRPr="00043562">
        <w:rPr>
          <w:rFonts w:ascii="Times New Roman" w:hAnsi="Times New Roman"/>
          <w:szCs w:val="24"/>
          <w:lang w:val="sr-Cyrl-CS" w:eastAsia="en-US"/>
        </w:rPr>
        <w:t>.000.000 евра;</w:t>
      </w:r>
    </w:p>
    <w:p w:rsidR="007068CE" w:rsidRPr="00043562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>- повлачење зајма спроводиће се у складу са одредбама Споразума о зајму;</w:t>
      </w:r>
    </w:p>
    <w:p w:rsidR="007068CE" w:rsidRPr="00043562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 xml:space="preserve">- рок доспећа: </w:t>
      </w:r>
      <w:r w:rsidR="008E1154" w:rsidRPr="00043562">
        <w:rPr>
          <w:rFonts w:ascii="Times New Roman" w:hAnsi="Times New Roman"/>
          <w:szCs w:val="24"/>
          <w:lang w:val="sr-Cyrl-CS" w:eastAsia="en-US"/>
        </w:rPr>
        <w:t xml:space="preserve">12 година, укључујући период почека од </w:t>
      </w:r>
      <w:r w:rsidR="00CD1121" w:rsidRPr="00043562">
        <w:rPr>
          <w:rFonts w:ascii="Times New Roman" w:hAnsi="Times New Roman"/>
          <w:szCs w:val="24"/>
          <w:lang w:val="sr-Cyrl-CS" w:eastAsia="en-US"/>
        </w:rPr>
        <w:t>три</w:t>
      </w:r>
      <w:r w:rsidR="008E1154" w:rsidRPr="00043562">
        <w:rPr>
          <w:rFonts w:ascii="Times New Roman" w:hAnsi="Times New Roman"/>
          <w:szCs w:val="24"/>
          <w:lang w:val="sr-Cyrl-CS" w:eastAsia="en-US"/>
        </w:rPr>
        <w:t xml:space="preserve"> годин</w:t>
      </w:r>
      <w:r w:rsidR="00CD1121" w:rsidRPr="00043562">
        <w:rPr>
          <w:rFonts w:ascii="Times New Roman" w:hAnsi="Times New Roman"/>
          <w:szCs w:val="24"/>
          <w:lang w:val="sr-Cyrl-CS" w:eastAsia="en-US"/>
        </w:rPr>
        <w:t>е</w:t>
      </w:r>
      <w:r w:rsidR="008E1154" w:rsidRPr="00043562">
        <w:rPr>
          <w:rFonts w:ascii="Times New Roman" w:hAnsi="Times New Roman"/>
          <w:szCs w:val="24"/>
          <w:lang w:val="sr-Cyrl-CS" w:eastAsia="en-US"/>
        </w:rPr>
        <w:t>, уз от</w:t>
      </w:r>
      <w:r w:rsidR="00F017C7">
        <w:rPr>
          <w:rFonts w:ascii="Times New Roman" w:hAnsi="Times New Roman"/>
          <w:szCs w:val="24"/>
          <w:lang w:val="sr-Cyrl-CS" w:eastAsia="en-US"/>
        </w:rPr>
        <w:t>п</w:t>
      </w:r>
      <w:r w:rsidR="008E1154" w:rsidRPr="00043562">
        <w:rPr>
          <w:rFonts w:ascii="Times New Roman" w:hAnsi="Times New Roman"/>
          <w:szCs w:val="24"/>
          <w:lang w:val="sr-Cyrl-CS" w:eastAsia="en-US"/>
        </w:rPr>
        <w:t>лату главнице у једнаким ратама, од којих прва доспева 15. маја 2023. године, а последња 15. новембра 2031. године</w:t>
      </w:r>
      <w:r w:rsidRPr="00043562">
        <w:rPr>
          <w:rFonts w:ascii="Times New Roman" w:hAnsi="Times New Roman"/>
          <w:szCs w:val="24"/>
          <w:lang w:val="sr-Cyrl-CS" w:eastAsia="en-US"/>
        </w:rPr>
        <w:t>;</w:t>
      </w:r>
    </w:p>
    <w:p w:rsidR="007068CE" w:rsidRPr="00043562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lastRenderedPageBreak/>
        <w:t xml:space="preserve">- </w:t>
      </w:r>
      <w:r w:rsidR="008E1154" w:rsidRPr="00043562">
        <w:rPr>
          <w:rFonts w:ascii="Times New Roman" w:hAnsi="Times New Roman"/>
          <w:szCs w:val="24"/>
          <w:lang w:val="sr-Cyrl-CS" w:eastAsia="en-US"/>
        </w:rPr>
        <w:t xml:space="preserve">рок расположивости зајма: средства зајма се могу повлачити још </w:t>
      </w:r>
      <w:r w:rsidR="00CD1121" w:rsidRPr="00043562">
        <w:rPr>
          <w:rFonts w:ascii="Times New Roman" w:hAnsi="Times New Roman"/>
          <w:szCs w:val="24"/>
          <w:lang w:val="sr-Cyrl-CS" w:eastAsia="en-US"/>
        </w:rPr>
        <w:t>четири</w:t>
      </w:r>
      <w:r w:rsidR="008E1154" w:rsidRPr="00043562">
        <w:rPr>
          <w:rFonts w:ascii="Times New Roman" w:hAnsi="Times New Roman"/>
          <w:szCs w:val="24"/>
          <w:lang w:val="sr-Cyrl-CS" w:eastAsia="en-US"/>
        </w:rPr>
        <w:t xml:space="preserve"> месеца након 31. децембра 2022. године, што је рок за завршетак Пројекта</w:t>
      </w:r>
      <w:r w:rsidRPr="00043562">
        <w:rPr>
          <w:rFonts w:ascii="Times New Roman" w:hAnsi="Times New Roman"/>
          <w:szCs w:val="24"/>
          <w:lang w:val="sr-Cyrl-CS" w:eastAsia="en-US"/>
        </w:rPr>
        <w:t>;</w:t>
      </w:r>
    </w:p>
    <w:p w:rsidR="007068CE" w:rsidRPr="00043562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 xml:space="preserve">- приступна накнада: </w:t>
      </w:r>
      <w:r w:rsidR="008E1154" w:rsidRPr="00043562">
        <w:rPr>
          <w:rFonts w:ascii="Times New Roman" w:hAnsi="Times New Roman"/>
          <w:szCs w:val="24"/>
          <w:lang w:val="sr-Cyrl-CS" w:eastAsia="en-US"/>
        </w:rPr>
        <w:t>0,25% на укупну главницу (52.500 евра) и плаћа се из             средстава зајма једнократно</w:t>
      </w:r>
      <w:r w:rsidR="00D10EAF">
        <w:rPr>
          <w:rFonts w:ascii="Times New Roman" w:hAnsi="Times New Roman"/>
          <w:szCs w:val="24"/>
          <w:lang w:val="sr-Cyrl-CS" w:eastAsia="en-US"/>
        </w:rPr>
        <w:t>;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7068CE" w:rsidRPr="00043562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>-</w:t>
      </w:r>
      <w:r w:rsidRPr="00043562">
        <w:rPr>
          <w:rFonts w:ascii="Times New Roman" w:hAnsi="Times New Roman"/>
          <w:szCs w:val="24"/>
          <w:lang w:val="sr-Cyrl-CS" w:eastAsia="en-US"/>
        </w:rPr>
        <w:tab/>
        <w:t xml:space="preserve"> накнада за неповучена средства: 0,25% на годишњем нивоу на неповучени износ главнице</w:t>
      </w:r>
      <w:r w:rsidR="00CD1121" w:rsidRPr="00043562">
        <w:rPr>
          <w:rFonts w:ascii="Times New Roman" w:hAnsi="Times New Roman"/>
          <w:szCs w:val="24"/>
          <w:lang w:val="sr-Cyrl-CS" w:eastAsia="en-US"/>
        </w:rPr>
        <w:t>;</w:t>
      </w:r>
      <w:r w:rsidR="008E1154" w:rsidRPr="00043562">
        <w:rPr>
          <w:lang w:val="sr-Cyrl-CS"/>
        </w:rPr>
        <w:t xml:space="preserve"> </w:t>
      </w:r>
      <w:r w:rsidR="00CD1121" w:rsidRPr="00043562">
        <w:rPr>
          <w:rFonts w:ascii="Times New Roman" w:hAnsi="Times New Roman"/>
          <w:lang w:val="sr-Cyrl-CS"/>
        </w:rPr>
        <w:t>о</w:t>
      </w:r>
      <w:r w:rsidR="008E1154" w:rsidRPr="00043562">
        <w:rPr>
          <w:rFonts w:ascii="Times New Roman" w:hAnsi="Times New Roman"/>
          <w:szCs w:val="24"/>
          <w:lang w:val="sr-Cyrl-CS" w:eastAsia="en-US"/>
        </w:rPr>
        <w:t>брачун провизије на неповучена средства почиње након истека периода од 60 дана након датума потписивања Споразума о зајму</w:t>
      </w:r>
      <w:r w:rsidRPr="00043562">
        <w:rPr>
          <w:rFonts w:ascii="Times New Roman" w:hAnsi="Times New Roman"/>
          <w:szCs w:val="24"/>
          <w:lang w:val="sr-Cyrl-CS" w:eastAsia="en-US"/>
        </w:rPr>
        <w:t>;</w:t>
      </w:r>
    </w:p>
    <w:p w:rsidR="00254CC1" w:rsidRPr="00043562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043562">
        <w:rPr>
          <w:rFonts w:ascii="Times New Roman" w:hAnsi="Times New Roman"/>
          <w:szCs w:val="24"/>
          <w:lang w:val="sr-Cyrl-CS" w:eastAsia="en-US"/>
        </w:rPr>
        <w:tab/>
        <w:t xml:space="preserve">- каматна стопа: зајмопримац плаћа камату полугодишње (15. мајa и 15. новембра сваке године), за сваки каматни пeриод по Рeфeрeнтноj стопи за валуту заjма (шестомесечни </w:t>
      </w:r>
      <w:r w:rsidR="00457040" w:rsidRPr="00043562">
        <w:rPr>
          <w:rFonts w:ascii="Times New Roman" w:hAnsi="Times New Roman"/>
          <w:szCs w:val="24"/>
          <w:lang w:val="sr-Cyrl-CS" w:eastAsia="en-US"/>
        </w:rPr>
        <w:t>E</w:t>
      </w:r>
      <w:r w:rsidR="006E408E">
        <w:rPr>
          <w:rFonts w:ascii="Times New Roman" w:hAnsi="Times New Roman"/>
          <w:szCs w:val="24"/>
          <w:lang w:val="sr-Cyrl-RS" w:eastAsia="en-US"/>
        </w:rPr>
        <w:t>УРИБОР</w:t>
      </w:r>
      <w:bookmarkStart w:id="0" w:name="_GoBack"/>
      <w:bookmarkEnd w:id="0"/>
      <w:r w:rsidRPr="00043562">
        <w:rPr>
          <w:rFonts w:ascii="Times New Roman" w:hAnsi="Times New Roman"/>
          <w:szCs w:val="24"/>
          <w:lang w:val="sr-Cyrl-CS" w:eastAsia="en-US"/>
        </w:rPr>
        <w:t>) ув</w:t>
      </w:r>
      <w:r w:rsidR="008E1154" w:rsidRPr="00043562">
        <w:rPr>
          <w:rFonts w:ascii="Times New Roman" w:hAnsi="Times New Roman"/>
          <w:szCs w:val="24"/>
          <w:lang w:val="sr-Cyrl-CS" w:eastAsia="en-US"/>
        </w:rPr>
        <w:t>eћаној за фиксну маржу од 0,50%,</w:t>
      </w:r>
      <w:r w:rsidRPr="00043562">
        <w:rPr>
          <w:rFonts w:ascii="Times New Roman" w:hAnsi="Times New Roman"/>
          <w:szCs w:val="24"/>
          <w:lang w:val="sr-Cyrl-CS" w:eastAsia="en-US"/>
        </w:rPr>
        <w:t xml:space="preserve"> </w:t>
      </w:r>
      <w:r w:rsidR="008E1154" w:rsidRPr="00043562">
        <w:rPr>
          <w:rFonts w:ascii="Times New Roman" w:hAnsi="Times New Roman"/>
          <w:szCs w:val="24"/>
          <w:lang w:val="sr-Cyrl-CS" w:eastAsia="en-US"/>
        </w:rPr>
        <w:t>уз могућност различитих врста конверзије, ако се процени да је повољније са становишта управљања јавним дугом</w:t>
      </w:r>
      <w:r w:rsidRPr="00043562">
        <w:rPr>
          <w:rFonts w:ascii="Times New Roman" w:hAnsi="Times New Roman"/>
          <w:szCs w:val="24"/>
          <w:lang w:val="sr-Cyrl-CS" w:eastAsia="en-US"/>
        </w:rPr>
        <w:t>.</w:t>
      </w:r>
    </w:p>
    <w:p w:rsidR="007068CE" w:rsidRPr="00043562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</w:p>
    <w:p w:rsidR="00CF4EB1" w:rsidRPr="00043562" w:rsidRDefault="001E331C" w:rsidP="001E331C">
      <w:pPr>
        <w:ind w:firstLine="63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 xml:space="preserve">III. </w:t>
      </w:r>
      <w:r w:rsidR="00CF4EB1" w:rsidRPr="00043562">
        <w:rPr>
          <w:rFonts w:ascii="Times New Roman" w:hAnsi="Times New Roman"/>
          <w:bCs/>
          <w:szCs w:val="24"/>
          <w:lang w:val="sr-Cyrl-CS"/>
        </w:rPr>
        <w:t>ОБЈАШЊЕЊЕ ОСНОВНИХ ПРАВНИХ ИНСТИТУТА И ПОЈЕДИНАЧНИХ РЕШЕЊА</w:t>
      </w:r>
    </w:p>
    <w:p w:rsidR="00CF4EB1" w:rsidRPr="00043562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CF4EB1" w:rsidRPr="00043562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043562">
        <w:rPr>
          <w:rFonts w:ascii="Times New Roman" w:hAnsi="Times New Roman"/>
          <w:szCs w:val="24"/>
          <w:lang w:val="sr-Cyrl-CS"/>
        </w:rPr>
        <w:t xml:space="preserve">Одредбом члана 1. Предлога закона предвиђа се потврђивање Споразума о зајму. </w:t>
      </w:r>
      <w:r w:rsidR="005B62C6" w:rsidRPr="00043562">
        <w:rPr>
          <w:rFonts w:ascii="Times New Roman" w:hAnsi="Times New Roman"/>
          <w:szCs w:val="24"/>
          <w:lang w:val="sr-Cyrl-CS"/>
        </w:rPr>
        <w:t xml:space="preserve"> </w:t>
      </w:r>
      <w:r w:rsidR="00825352" w:rsidRPr="00043562">
        <w:rPr>
          <w:rFonts w:ascii="Times New Roman" w:hAnsi="Times New Roman"/>
          <w:szCs w:val="24"/>
          <w:lang w:val="sr-Cyrl-CS"/>
        </w:rPr>
        <w:t xml:space="preserve"> </w:t>
      </w:r>
    </w:p>
    <w:p w:rsidR="00CF4EB1" w:rsidRPr="00043562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043562">
        <w:rPr>
          <w:rFonts w:ascii="Times New Roman" w:hAnsi="Times New Roman"/>
          <w:szCs w:val="24"/>
          <w:lang w:val="sr-Cyrl-CS"/>
        </w:rPr>
        <w:t xml:space="preserve">Одредба члана 2. Предлога закона садржи текст Споразума о зајму у оригиналу на енглеском језику и у преводу на српски језик. </w:t>
      </w:r>
    </w:p>
    <w:p w:rsidR="00CF4EB1" w:rsidRPr="00043562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043562">
        <w:rPr>
          <w:rFonts w:ascii="Times New Roman" w:hAnsi="Times New Roman"/>
          <w:szCs w:val="24"/>
          <w:lang w:val="sr-Cyrl-CS"/>
        </w:rPr>
        <w:t xml:space="preserve">Одредбом члана 3. Предлога закона уређује се ступање на снагу овог закона.  </w:t>
      </w:r>
    </w:p>
    <w:p w:rsidR="00CF4EB1" w:rsidRPr="00043562" w:rsidRDefault="00CF4EB1" w:rsidP="00CF4EB1">
      <w:pPr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CF4EB1" w:rsidRPr="00043562" w:rsidRDefault="00CF4EB1" w:rsidP="00CF4EB1">
      <w:pPr>
        <w:pStyle w:val="BodyText"/>
        <w:tabs>
          <w:tab w:val="left" w:pos="0"/>
        </w:tabs>
        <w:rPr>
          <w:rFonts w:ascii="Times New Roman" w:hAnsi="Times New Roman"/>
          <w:color w:val="auto"/>
          <w:szCs w:val="24"/>
          <w:lang w:val="sr-Cyrl-CS"/>
        </w:rPr>
      </w:pPr>
      <w:r w:rsidRPr="00043562">
        <w:rPr>
          <w:rFonts w:ascii="Times New Roman" w:hAnsi="Times New Roman"/>
          <w:bCs/>
          <w:color w:val="auto"/>
          <w:szCs w:val="24"/>
          <w:lang w:val="sr-Cyrl-CS"/>
        </w:rPr>
        <w:tab/>
        <w:t xml:space="preserve">IV. </w:t>
      </w:r>
      <w:r w:rsidRPr="00043562">
        <w:rPr>
          <w:rFonts w:ascii="Times New Roman" w:hAnsi="Times New Roman"/>
          <w:color w:val="auto"/>
          <w:szCs w:val="24"/>
          <w:lang w:val="sr-Cyrl-CS"/>
        </w:rPr>
        <w:t xml:space="preserve">ФИНАНСИЈСКЕ ОБАВЕЗЕ И ПРОЦЕНА ФИНАНСИЈСКИХ СРЕДСТАВА КОЈА НАСТАЈУ ИЗВРШАВАЊЕМ ЗАКОНА    </w:t>
      </w:r>
      <w:r w:rsidRPr="00043562">
        <w:rPr>
          <w:rFonts w:ascii="Times New Roman" w:hAnsi="Times New Roman"/>
          <w:color w:val="auto"/>
          <w:szCs w:val="24"/>
          <w:lang w:val="sr-Cyrl-CS"/>
        </w:rPr>
        <w:tab/>
        <w:t xml:space="preserve"> </w:t>
      </w:r>
    </w:p>
    <w:p w:rsidR="00CF4EB1" w:rsidRPr="00043562" w:rsidRDefault="00CF4EB1" w:rsidP="00CF4EB1">
      <w:pPr>
        <w:ind w:firstLine="720"/>
        <w:jc w:val="both"/>
        <w:rPr>
          <w:rFonts w:ascii="Times New Roman" w:hAnsi="Times New Roman"/>
          <w:b/>
          <w:bCs/>
          <w:szCs w:val="24"/>
          <w:lang w:val="sr-Cyrl-CS"/>
        </w:rPr>
      </w:pPr>
    </w:p>
    <w:p w:rsidR="00CF4EB1" w:rsidRPr="00043562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043562">
        <w:rPr>
          <w:rFonts w:ascii="Times New Roman" w:hAnsi="Times New Roman"/>
          <w:szCs w:val="24"/>
          <w:lang w:val="sr-Cyrl-CS"/>
        </w:rPr>
        <w:t xml:space="preserve"> </w:t>
      </w:r>
      <w:r w:rsidRPr="00043562">
        <w:rPr>
          <w:rFonts w:ascii="Times New Roman" w:hAnsi="Times New Roman"/>
          <w:szCs w:val="24"/>
          <w:lang w:val="sr-Cyrl-CS"/>
        </w:rPr>
        <w:tab/>
        <w:t xml:space="preserve">За спровођење овог закона обезбеђиваће се средства у буџету Републике Србије. </w:t>
      </w:r>
    </w:p>
    <w:p w:rsidR="0014452F" w:rsidRPr="00043562" w:rsidRDefault="0014452F" w:rsidP="0014452F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sectPr w:rsidR="0014452F" w:rsidRPr="00043562" w:rsidSect="00187C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13" w:h="16834" w:code="9"/>
      <w:pgMar w:top="993" w:right="1411" w:bottom="1260" w:left="1699" w:header="850" w:footer="36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05A" w:rsidRDefault="0097705A" w:rsidP="00E65142">
      <w:pPr>
        <w:spacing w:line="240" w:lineRule="auto"/>
      </w:pPr>
      <w:r>
        <w:separator/>
      </w:r>
    </w:p>
  </w:endnote>
  <w:endnote w:type="continuationSeparator" w:id="0">
    <w:p w:rsidR="0097705A" w:rsidRDefault="0097705A" w:rsidP="00E65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121" w:rsidRDefault="00CD11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121" w:rsidRDefault="00CD112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C3" w:rsidRDefault="0097705A">
    <w:pPr>
      <w:pStyle w:val="Footer"/>
      <w:jc w:val="center"/>
    </w:pPr>
  </w:p>
  <w:p w:rsidR="00384EC3" w:rsidRDefault="009770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05A" w:rsidRDefault="0097705A" w:rsidP="00E65142">
      <w:pPr>
        <w:spacing w:line="240" w:lineRule="auto"/>
      </w:pPr>
      <w:r>
        <w:separator/>
      </w:r>
    </w:p>
  </w:footnote>
  <w:footnote w:type="continuationSeparator" w:id="0">
    <w:p w:rsidR="0097705A" w:rsidRDefault="0097705A" w:rsidP="00E65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121" w:rsidRDefault="00CD11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165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33D2F" w:rsidRPr="00CD1121" w:rsidRDefault="00AA4A42">
        <w:pPr>
          <w:pStyle w:val="Header"/>
          <w:jc w:val="center"/>
          <w:rPr>
            <w:rFonts w:ascii="Times New Roman" w:hAnsi="Times New Roman"/>
          </w:rPr>
        </w:pPr>
        <w:r w:rsidRPr="00CD1121">
          <w:rPr>
            <w:rFonts w:ascii="Times New Roman" w:hAnsi="Times New Roman"/>
          </w:rPr>
          <w:fldChar w:fldCharType="begin"/>
        </w:r>
        <w:r w:rsidR="002258F5" w:rsidRPr="00CD1121">
          <w:rPr>
            <w:rFonts w:ascii="Times New Roman" w:hAnsi="Times New Roman"/>
          </w:rPr>
          <w:instrText xml:space="preserve"> PAGE   \* MERGEFORMAT </w:instrText>
        </w:r>
        <w:r w:rsidRPr="00CD1121">
          <w:rPr>
            <w:rFonts w:ascii="Times New Roman" w:hAnsi="Times New Roman"/>
          </w:rPr>
          <w:fldChar w:fldCharType="separate"/>
        </w:r>
        <w:r w:rsidR="006E408E">
          <w:rPr>
            <w:rFonts w:ascii="Times New Roman" w:hAnsi="Times New Roman"/>
            <w:noProof/>
          </w:rPr>
          <w:t>4</w:t>
        </w:r>
        <w:r w:rsidRPr="00CD1121">
          <w:rPr>
            <w:rFonts w:ascii="Times New Roman" w:hAnsi="Times New Roman"/>
            <w:noProof/>
          </w:rPr>
          <w:fldChar w:fldCharType="end"/>
        </w:r>
      </w:p>
    </w:sdtContent>
  </w:sdt>
  <w:p w:rsidR="00384EC3" w:rsidRPr="00E12214" w:rsidRDefault="0097705A" w:rsidP="00F56649">
    <w:pPr>
      <w:pStyle w:val="Header"/>
      <w:spacing w:after="480" w:line="240" w:lineRule="auto"/>
      <w:ind w:left="360"/>
      <w:jc w:val="center"/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C3" w:rsidRDefault="0097705A" w:rsidP="0098438F">
    <w:pPr>
      <w:tabs>
        <w:tab w:val="right" w:pos="8789"/>
      </w:tabs>
      <w:spacing w:line="240" w:lineRule="auto"/>
      <w:rPr>
        <w:b/>
        <w:vanish/>
        <w:sz w:val="22"/>
        <w:szCs w:val="22"/>
        <w:u w:val="single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F3C41"/>
    <w:multiLevelType w:val="hybridMultilevel"/>
    <w:tmpl w:val="24AE975C"/>
    <w:lvl w:ilvl="0" w:tplc="9B0474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EB1"/>
    <w:rsid w:val="00004F42"/>
    <w:rsid w:val="00032215"/>
    <w:rsid w:val="0004216F"/>
    <w:rsid w:val="00043562"/>
    <w:rsid w:val="0008575A"/>
    <w:rsid w:val="000B5708"/>
    <w:rsid w:val="000F5A42"/>
    <w:rsid w:val="000F6DD4"/>
    <w:rsid w:val="00105078"/>
    <w:rsid w:val="00114E85"/>
    <w:rsid w:val="00133D2F"/>
    <w:rsid w:val="0014452F"/>
    <w:rsid w:val="00151469"/>
    <w:rsid w:val="00170734"/>
    <w:rsid w:val="00187CCB"/>
    <w:rsid w:val="001E331C"/>
    <w:rsid w:val="002258F5"/>
    <w:rsid w:val="002458EF"/>
    <w:rsid w:val="00254CC1"/>
    <w:rsid w:val="002C42D1"/>
    <w:rsid w:val="002F4319"/>
    <w:rsid w:val="00311F46"/>
    <w:rsid w:val="00315E98"/>
    <w:rsid w:val="003451B8"/>
    <w:rsid w:val="003612D3"/>
    <w:rsid w:val="003625EB"/>
    <w:rsid w:val="003C234D"/>
    <w:rsid w:val="003E1349"/>
    <w:rsid w:val="003E1D94"/>
    <w:rsid w:val="0041276F"/>
    <w:rsid w:val="004140B1"/>
    <w:rsid w:val="004562F9"/>
    <w:rsid w:val="00457040"/>
    <w:rsid w:val="004673B9"/>
    <w:rsid w:val="004734D9"/>
    <w:rsid w:val="00481024"/>
    <w:rsid w:val="00484076"/>
    <w:rsid w:val="00492098"/>
    <w:rsid w:val="004930F9"/>
    <w:rsid w:val="004B0D47"/>
    <w:rsid w:val="004C67E8"/>
    <w:rsid w:val="00513EC9"/>
    <w:rsid w:val="00525C0E"/>
    <w:rsid w:val="005327C7"/>
    <w:rsid w:val="00537F21"/>
    <w:rsid w:val="0054220E"/>
    <w:rsid w:val="005540D5"/>
    <w:rsid w:val="005B4C56"/>
    <w:rsid w:val="005B62C6"/>
    <w:rsid w:val="005C022D"/>
    <w:rsid w:val="00600C7B"/>
    <w:rsid w:val="00625249"/>
    <w:rsid w:val="00633327"/>
    <w:rsid w:val="0063383A"/>
    <w:rsid w:val="006C197E"/>
    <w:rsid w:val="006C6514"/>
    <w:rsid w:val="006E408E"/>
    <w:rsid w:val="007016DD"/>
    <w:rsid w:val="007068CE"/>
    <w:rsid w:val="0072685A"/>
    <w:rsid w:val="00740D5F"/>
    <w:rsid w:val="0074774E"/>
    <w:rsid w:val="007524A6"/>
    <w:rsid w:val="00790912"/>
    <w:rsid w:val="007C3BC8"/>
    <w:rsid w:val="00804F8A"/>
    <w:rsid w:val="00824A02"/>
    <w:rsid w:val="00825352"/>
    <w:rsid w:val="008366C0"/>
    <w:rsid w:val="00877F65"/>
    <w:rsid w:val="00886370"/>
    <w:rsid w:val="008967A7"/>
    <w:rsid w:val="008A3F4A"/>
    <w:rsid w:val="008B4E01"/>
    <w:rsid w:val="008C534B"/>
    <w:rsid w:val="008D0447"/>
    <w:rsid w:val="008D21B9"/>
    <w:rsid w:val="008D499B"/>
    <w:rsid w:val="008E1154"/>
    <w:rsid w:val="008F5D1A"/>
    <w:rsid w:val="0090120A"/>
    <w:rsid w:val="009056A1"/>
    <w:rsid w:val="009072F7"/>
    <w:rsid w:val="0092470E"/>
    <w:rsid w:val="00945C29"/>
    <w:rsid w:val="009544E6"/>
    <w:rsid w:val="00963621"/>
    <w:rsid w:val="0097705A"/>
    <w:rsid w:val="00A112BA"/>
    <w:rsid w:val="00A67625"/>
    <w:rsid w:val="00A75CCC"/>
    <w:rsid w:val="00A97C3D"/>
    <w:rsid w:val="00AA4A42"/>
    <w:rsid w:val="00AA6051"/>
    <w:rsid w:val="00AB5020"/>
    <w:rsid w:val="00B0351F"/>
    <w:rsid w:val="00B06225"/>
    <w:rsid w:val="00B16010"/>
    <w:rsid w:val="00B17E1A"/>
    <w:rsid w:val="00B42BBE"/>
    <w:rsid w:val="00B91557"/>
    <w:rsid w:val="00BB2B19"/>
    <w:rsid w:val="00BF508C"/>
    <w:rsid w:val="00C13BBB"/>
    <w:rsid w:val="00C26BE4"/>
    <w:rsid w:val="00C50D5F"/>
    <w:rsid w:val="00C61643"/>
    <w:rsid w:val="00C64833"/>
    <w:rsid w:val="00C72384"/>
    <w:rsid w:val="00C938F9"/>
    <w:rsid w:val="00CA038F"/>
    <w:rsid w:val="00CA1E6B"/>
    <w:rsid w:val="00CA3AA7"/>
    <w:rsid w:val="00CD1121"/>
    <w:rsid w:val="00CD51F2"/>
    <w:rsid w:val="00CF4EB1"/>
    <w:rsid w:val="00D10EAF"/>
    <w:rsid w:val="00D243BD"/>
    <w:rsid w:val="00D60BC1"/>
    <w:rsid w:val="00D613BE"/>
    <w:rsid w:val="00D8402F"/>
    <w:rsid w:val="00D84DB0"/>
    <w:rsid w:val="00D955B4"/>
    <w:rsid w:val="00DB2C5A"/>
    <w:rsid w:val="00DE1C18"/>
    <w:rsid w:val="00DF3578"/>
    <w:rsid w:val="00E359AD"/>
    <w:rsid w:val="00E52B2A"/>
    <w:rsid w:val="00E65142"/>
    <w:rsid w:val="00E732FC"/>
    <w:rsid w:val="00E739DA"/>
    <w:rsid w:val="00E7712E"/>
    <w:rsid w:val="00E934B0"/>
    <w:rsid w:val="00E93A79"/>
    <w:rsid w:val="00E97698"/>
    <w:rsid w:val="00EC02EF"/>
    <w:rsid w:val="00F017C7"/>
    <w:rsid w:val="00F12FAA"/>
    <w:rsid w:val="00F228BF"/>
    <w:rsid w:val="00F347E6"/>
    <w:rsid w:val="00F539F5"/>
    <w:rsid w:val="00F7544C"/>
    <w:rsid w:val="00FD154F"/>
    <w:rsid w:val="00FE4FF0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22D"/>
    <w:pPr>
      <w:spacing w:line="240" w:lineRule="auto"/>
    </w:pPr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22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2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D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D47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Cyrl-RS" w:eastAsia="sr-Cyrl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Strahinja Vujicic</cp:lastModifiedBy>
  <cp:revision>89</cp:revision>
  <cp:lastPrinted>2019-12-10T15:37:00Z</cp:lastPrinted>
  <dcterms:created xsi:type="dcterms:W3CDTF">2017-01-04T11:24:00Z</dcterms:created>
  <dcterms:modified xsi:type="dcterms:W3CDTF">2019-12-13T09:14:00Z</dcterms:modified>
</cp:coreProperties>
</file>