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F7" w:rsidRPr="00FE746B" w:rsidRDefault="005000F7" w:rsidP="005000F7">
      <w:pPr>
        <w:pStyle w:val="Zakon1"/>
        <w:spacing w:after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FE746B">
        <w:rPr>
          <w:rFonts w:ascii="Times New Roman" w:hAnsi="Times New Roman" w:cs="Times New Roman"/>
          <w:sz w:val="24"/>
          <w:szCs w:val="24"/>
        </w:rPr>
        <w:t>vI. анализа ефеката закона</w:t>
      </w:r>
    </w:p>
    <w:p w:rsidR="005000F7" w:rsidRPr="00FE746B" w:rsidRDefault="005000F7" w:rsidP="005000F7">
      <w:pPr>
        <w:autoSpaceDE w:val="0"/>
        <w:autoSpaceDN w:val="0"/>
        <w:adjustRightInd w:val="0"/>
        <w:ind w:firstLine="708"/>
        <w:jc w:val="both"/>
        <w:rPr>
          <w:szCs w:val="24"/>
          <w:lang w:val="sr-Cyrl-CS"/>
        </w:rPr>
      </w:pPr>
    </w:p>
    <w:p w:rsidR="005000F7" w:rsidRPr="00FE746B" w:rsidRDefault="005000F7" w:rsidP="003971EC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:rsidR="00CC44B0" w:rsidRPr="00FE746B" w:rsidRDefault="005000F7" w:rsidP="00CC44B0">
      <w:pPr>
        <w:spacing w:after="100" w:afterAutospacing="1"/>
        <w:ind w:firstLine="720"/>
        <w:jc w:val="both"/>
        <w:rPr>
          <w:lang w:val="sr-Cyrl-CS"/>
        </w:rPr>
      </w:pPr>
      <w:r w:rsidRPr="00FE746B">
        <w:rPr>
          <w:lang w:val="sr-Cyrl-CS"/>
        </w:rPr>
        <w:t>Приликом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давања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сагласности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Министарство</w:t>
      </w:r>
      <w:r w:rsidR="003971EC" w:rsidRPr="00FE746B">
        <w:rPr>
          <w:lang w:val="sr-Cyrl-CS"/>
        </w:rPr>
        <w:t xml:space="preserve"> финансија 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поред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испуњености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услова</w:t>
      </w:r>
      <w:r w:rsidR="00CC44B0" w:rsidRPr="00FE746B">
        <w:rPr>
          <w:lang w:val="sr-Cyrl-CS"/>
        </w:rPr>
        <w:t xml:space="preserve"> </w:t>
      </w:r>
      <w:r w:rsidRPr="00FE746B">
        <w:rPr>
          <w:lang w:val="sr-Cyrl-CS"/>
        </w:rPr>
        <w:t>о задуживању, узима у обзир и: проценат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остварења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прихода и примања у односу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на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планиране, проценат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извршења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расхода и издатака у односу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на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планиране, висину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планираног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буџетског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дефицита, висину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неизмирених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обавеза, висину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постојећег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кредитног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задужења, као и све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друге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релевантне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околности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везане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за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буџет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локалне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>власти.</w:t>
      </w:r>
      <w:r w:rsidR="00FE746B">
        <w:rPr>
          <w:lang w:val="sr-Cyrl-CS"/>
        </w:rPr>
        <w:t xml:space="preserve"> </w:t>
      </w:r>
      <w:r w:rsidRPr="00FE746B">
        <w:rPr>
          <w:lang w:val="sr-Cyrl-CS"/>
        </w:rPr>
        <w:t>У</w:t>
      </w:r>
      <w:r w:rsidR="003971EC" w:rsidRPr="00FE746B">
        <w:rPr>
          <w:lang w:val="sr-Cyrl-CS"/>
        </w:rPr>
        <w:t xml:space="preserve"> </w:t>
      </w:r>
      <w:r w:rsidRPr="00FE746B">
        <w:rPr>
          <w:lang w:val="sr-Cyrl-CS"/>
        </w:rPr>
        <w:t xml:space="preserve"> 2019. години, на основу члана 33. Закона о јавном дугу, укупно се задужило 38 јединица локалне самоуправе.</w:t>
      </w:r>
    </w:p>
    <w:p w:rsidR="005000F7" w:rsidRPr="00FE746B" w:rsidRDefault="005000F7" w:rsidP="00CC44B0">
      <w:pPr>
        <w:spacing w:after="100" w:afterAutospacing="1"/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ab/>
      </w:r>
      <w:r w:rsidR="004B7644" w:rsidRPr="004B7644">
        <w:rPr>
          <w:color w:val="000000"/>
          <w:szCs w:val="24"/>
          <w:lang w:val="sr-Cyrl-CS"/>
        </w:rPr>
        <w:t>Централни регист</w:t>
      </w:r>
      <w:r w:rsidR="003F32A0">
        <w:rPr>
          <w:color w:val="000000"/>
          <w:szCs w:val="24"/>
          <w:lang w:val="sr-Cyrl-RS"/>
        </w:rPr>
        <w:t>а</w:t>
      </w:r>
      <w:r w:rsidR="004B7644" w:rsidRPr="004B7644">
        <w:rPr>
          <w:color w:val="000000"/>
          <w:szCs w:val="24"/>
          <w:lang w:val="sr-Cyrl-CS"/>
        </w:rPr>
        <w:t>р, депо и клиринг хартија од вредности а.д. Београд (у даљем тексту: Централни регистар)</w:t>
      </w:r>
      <w:r w:rsidRPr="00FE746B">
        <w:rPr>
          <w:lang w:val="sr-Cyrl-CS"/>
        </w:rPr>
        <w:t>, као и Нар</w:t>
      </w:r>
      <w:r w:rsidR="00966CD9" w:rsidRPr="00FE746B">
        <w:rPr>
          <w:lang w:val="sr-Cyrl-CS"/>
        </w:rPr>
        <w:t>одна банка Србије су испоштовали</w:t>
      </w:r>
      <w:r w:rsidRPr="00FE746B">
        <w:rPr>
          <w:lang w:val="sr-Cyrl-CS"/>
        </w:rPr>
        <w:t xml:space="preserve"> своје уговорне обавезе, као и спровођење прописа. Увођење друго</w:t>
      </w:r>
      <w:r w:rsidR="003F32A0">
        <w:rPr>
          <w:lang w:val="sr-Cyrl-CS"/>
        </w:rPr>
        <w:t>г</w:t>
      </w:r>
      <w:r w:rsidRPr="00FE746B">
        <w:rPr>
          <w:lang w:val="sr-Cyrl-CS"/>
        </w:rPr>
        <w:t xml:space="preserve"> страног правног лица које обавља послове клиринга и салдирања не значи и престанак сарадње са </w:t>
      </w:r>
      <w:r w:rsidR="00966CD9" w:rsidRPr="00FE746B">
        <w:rPr>
          <w:color w:val="000000"/>
          <w:szCs w:val="24"/>
          <w:lang w:val="sr-Cyrl-CS"/>
        </w:rPr>
        <w:t>Централним регистром</w:t>
      </w:r>
      <w:r w:rsidRPr="00FE746B">
        <w:rPr>
          <w:lang w:val="sr-Cyrl-CS"/>
        </w:rPr>
        <w:t xml:space="preserve"> и Народном банком Србије, већ </w:t>
      </w:r>
      <w:r w:rsidR="003F32A0">
        <w:rPr>
          <w:lang w:val="sr-Cyrl-CS"/>
        </w:rPr>
        <w:t xml:space="preserve">се </w:t>
      </w:r>
      <w:r w:rsidRPr="00FE746B">
        <w:rPr>
          <w:lang w:val="sr-Cyrl-CS"/>
        </w:rPr>
        <w:t>пружа додатн</w:t>
      </w:r>
      <w:r w:rsidR="003F32A0">
        <w:rPr>
          <w:lang w:val="sr-Cyrl-CS"/>
        </w:rPr>
        <w:t>а</w:t>
      </w:r>
      <w:r w:rsidRPr="00FE746B">
        <w:rPr>
          <w:lang w:val="sr-Cyrl-CS"/>
        </w:rPr>
        <w:t xml:space="preserve"> могућност новим страним инвеститорима за приступ домаћем финансијском тржишту, а који ће утицати на побољшање ликвидности, повећање броја и врсте инвеститора у државне хартије од вредности и </w:t>
      </w:r>
      <w:r w:rsidRPr="00FE746B">
        <w:rPr>
          <w:rFonts w:eastAsia="Calibri"/>
          <w:lang w:val="sr-Cyrl-CS"/>
        </w:rPr>
        <w:t>смањење трошков</w:t>
      </w:r>
      <w:r w:rsidR="003F32A0">
        <w:rPr>
          <w:rFonts w:eastAsia="Calibri"/>
          <w:lang w:val="sr-Cyrl-CS"/>
        </w:rPr>
        <w:t>а</w:t>
      </w:r>
      <w:r w:rsidRPr="00FE746B">
        <w:rPr>
          <w:rFonts w:eastAsia="Calibri"/>
          <w:lang w:val="sr-Cyrl-CS"/>
        </w:rPr>
        <w:t xml:space="preserve"> финансирања</w:t>
      </w:r>
      <w:r w:rsidRPr="00FE746B">
        <w:rPr>
          <w:lang w:val="sr-Cyrl-CS"/>
        </w:rPr>
        <w:t xml:space="preserve">. </w:t>
      </w:r>
    </w:p>
    <w:p w:rsidR="005000F7" w:rsidRPr="00FE746B" w:rsidRDefault="005000F7" w:rsidP="005000F7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Да ли су уочени проблеми у области и на кога се они односе? Представити узроке и последице проблема.</w:t>
      </w:r>
    </w:p>
    <w:p w:rsidR="005000F7" w:rsidRPr="00FE746B" w:rsidRDefault="005000F7" w:rsidP="005000F7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 xml:space="preserve">Нису уочени проблеми у раду са </w:t>
      </w:r>
      <w:r w:rsidR="004B7644" w:rsidRPr="00FE746B">
        <w:rPr>
          <w:color w:val="000000"/>
          <w:szCs w:val="24"/>
          <w:lang w:val="sr-Cyrl-CS"/>
        </w:rPr>
        <w:t>Централним регистром</w:t>
      </w:r>
      <w:r w:rsidRPr="00FE746B">
        <w:rPr>
          <w:lang w:val="sr-Cyrl-CS"/>
        </w:rPr>
        <w:t>, већ нови систем олакшава приступ новим инвеститор</w:t>
      </w:r>
      <w:r w:rsidR="00FC274C">
        <w:rPr>
          <w:lang w:val="sr-Cyrl-CS"/>
        </w:rPr>
        <w:t>и</w:t>
      </w:r>
      <w:r w:rsidRPr="00FE746B">
        <w:rPr>
          <w:lang w:val="sr-Cyrl-CS"/>
        </w:rPr>
        <w:t>ма у државне хартије од вредности.</w:t>
      </w:r>
    </w:p>
    <w:p w:rsidR="005000F7" w:rsidRPr="00FE746B" w:rsidRDefault="005000F7" w:rsidP="005000F7">
      <w:pPr>
        <w:jc w:val="both"/>
        <w:rPr>
          <w:b/>
          <w:color w:val="FF0000"/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Да ли је промена заиста неопходна и у ком обиму?</w:t>
      </w:r>
    </w:p>
    <w:p w:rsidR="005000F7" w:rsidRPr="00FE746B" w:rsidRDefault="005000F7" w:rsidP="005000F7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 xml:space="preserve">Увођење страног правног лица које обавља послове клиринга и салдирања не значи и престанак сарадње са </w:t>
      </w:r>
      <w:r w:rsidR="00070738" w:rsidRPr="00FE746B">
        <w:rPr>
          <w:color w:val="000000"/>
          <w:szCs w:val="24"/>
          <w:lang w:val="sr-Cyrl-CS"/>
        </w:rPr>
        <w:t>Централним регистром</w:t>
      </w:r>
      <w:r w:rsidR="00070738" w:rsidRPr="00FE746B">
        <w:rPr>
          <w:lang w:val="sr-Cyrl-CS"/>
        </w:rPr>
        <w:t xml:space="preserve"> </w:t>
      </w:r>
      <w:r w:rsidRPr="00FE746B">
        <w:rPr>
          <w:lang w:val="sr-Cyrl-CS"/>
        </w:rPr>
        <w:t>и Народном банком Србије, већ пружа додатну могућност страним инвеститорима да улажу у домаће хартије од вредности. На домаћем тржишту, осим</w:t>
      </w:r>
      <w:r w:rsidR="00070738" w:rsidRPr="00FE746B">
        <w:rPr>
          <w:lang w:val="sr-Cyrl-CS"/>
        </w:rPr>
        <w:t xml:space="preserve"> </w:t>
      </w:r>
      <w:r w:rsidR="004B7644" w:rsidRPr="00FE746B">
        <w:rPr>
          <w:color w:val="000000"/>
          <w:szCs w:val="24"/>
          <w:lang w:val="sr-Cyrl-CS"/>
        </w:rPr>
        <w:t>Централн</w:t>
      </w:r>
      <w:r w:rsidR="00B44C2B">
        <w:rPr>
          <w:color w:val="000000"/>
          <w:szCs w:val="24"/>
          <w:lang w:val="sr-Cyrl-CS"/>
        </w:rPr>
        <w:t>ог</w:t>
      </w:r>
      <w:r w:rsidR="004B7644" w:rsidRPr="00FE746B">
        <w:rPr>
          <w:color w:val="000000"/>
          <w:szCs w:val="24"/>
          <w:lang w:val="sr-Cyrl-CS"/>
        </w:rPr>
        <w:t xml:space="preserve"> регистр</w:t>
      </w:r>
      <w:r w:rsidR="00B44C2B">
        <w:rPr>
          <w:color w:val="000000"/>
          <w:szCs w:val="24"/>
          <w:lang w:val="sr-Cyrl-CS"/>
        </w:rPr>
        <w:t>а</w:t>
      </w:r>
      <w:r w:rsidR="004B7644" w:rsidRPr="00FE746B">
        <w:rPr>
          <w:lang w:val="sr-Cyrl-CS"/>
        </w:rPr>
        <w:t xml:space="preserve"> </w:t>
      </w:r>
      <w:r w:rsidR="00070738" w:rsidRPr="00FE746B">
        <w:rPr>
          <w:lang w:val="sr-Cyrl-CS"/>
        </w:rPr>
        <w:t>не постоји ни</w:t>
      </w:r>
      <w:r w:rsidRPr="00FE746B">
        <w:rPr>
          <w:lang w:val="sr-Cyrl-CS"/>
        </w:rPr>
        <w:t xml:space="preserve">једно друго правно лице које се бави пословима клиринга и салдирања. </w:t>
      </w:r>
    </w:p>
    <w:p w:rsidR="005000F7" w:rsidRPr="00FE746B" w:rsidRDefault="005000F7" w:rsidP="005000F7">
      <w:pPr>
        <w:ind w:firstLine="720"/>
        <w:jc w:val="both"/>
        <w:rPr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</w:p>
    <w:p w:rsidR="005000F7" w:rsidRPr="00FE746B" w:rsidRDefault="005000F7" w:rsidP="005000F7">
      <w:pPr>
        <w:ind w:firstLine="720"/>
        <w:jc w:val="both"/>
        <w:rPr>
          <w:szCs w:val="24"/>
          <w:lang w:val="sr-Cyrl-CS"/>
        </w:rPr>
      </w:pPr>
      <w:r w:rsidRPr="00FE746B">
        <w:rPr>
          <w:lang w:val="sr-Cyrl-CS"/>
        </w:rPr>
        <w:t>Предложена промена ће се односити на учеснике на финансијском тржишту који посредују у промету домаћих хартија од вредности.</w:t>
      </w:r>
    </w:p>
    <w:p w:rsidR="005000F7" w:rsidRPr="00FE746B" w:rsidRDefault="005000F7" w:rsidP="005000F7">
      <w:pPr>
        <w:jc w:val="both"/>
        <w:rPr>
          <w:color w:val="FF0000"/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:rsidR="005000F7" w:rsidRPr="00FE746B" w:rsidRDefault="005000F7" w:rsidP="005000F7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lastRenderedPageBreak/>
        <w:t>Приступ међународном систему клиринга и салдирања имају скоро све земље у окружењу (Бугарска, Румунија,</w:t>
      </w:r>
      <w:r w:rsidR="00070738" w:rsidRPr="00FE746B">
        <w:rPr>
          <w:lang w:val="sr-Cyrl-CS"/>
        </w:rPr>
        <w:t xml:space="preserve"> Хрватска, Словенија, Мађарска)</w:t>
      </w:r>
      <w:r w:rsidRPr="00FE746B">
        <w:rPr>
          <w:lang w:val="sr-Cyrl-CS"/>
        </w:rPr>
        <w:t xml:space="preserve"> и искуства су позитивна што због повећања броја страних инвеститора који купују државне хартије од вредности, тако и због повећања промета и ликвидности на примарном и секундарном тржишту развоја тржишта капитала у земљи.</w:t>
      </w:r>
    </w:p>
    <w:p w:rsidR="005000F7" w:rsidRPr="00FE746B" w:rsidRDefault="005000F7" w:rsidP="005000F7">
      <w:pPr>
        <w:ind w:firstLine="720"/>
        <w:jc w:val="both"/>
        <w:rPr>
          <w:lang w:val="sr-Cyrl-CS"/>
        </w:rPr>
      </w:pPr>
    </w:p>
    <w:p w:rsidR="005000F7" w:rsidRPr="00FE746B" w:rsidRDefault="005000F7" w:rsidP="00880F6E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szCs w:val="24"/>
          <w:lang w:val="sr-Cyrl-CS"/>
        </w:rPr>
        <w:tab/>
        <w:t>Променом се постиже д</w:t>
      </w:r>
      <w:r w:rsidRPr="00FE746B">
        <w:rPr>
          <w:lang w:val="sr-Cyrl-CS"/>
        </w:rPr>
        <w:t>одатна могућност и избор клиринга и салдирања домаћих хартија од вредности. Циљ је повећати базу и структуру инвеститора,  повећати промет на примарном и секундарном тржишту. Постизањем ових циљев</w:t>
      </w:r>
      <w:r w:rsidR="00070738" w:rsidRPr="00FE746B">
        <w:rPr>
          <w:lang w:val="sr-Cyrl-CS"/>
        </w:rPr>
        <w:t>а допринеће се смањењу трошкова</w:t>
      </w:r>
      <w:r w:rsidRPr="00FE746B">
        <w:rPr>
          <w:lang w:val="sr-Cyrl-CS"/>
        </w:rPr>
        <w:t xml:space="preserve"> задуживања Републике Србије на домаћем тржишту кроз емисије државних обвезница.</w:t>
      </w: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Промет државних обвезница на секундарном тржишту у 2018. години износио је 474 милијарди динара док је промет државних обвезница на секундарном тржишту од почетка 2019. године до 1. новембра, износио 447 милијард</w:t>
      </w:r>
      <w:r w:rsidR="003F32A0">
        <w:rPr>
          <w:lang w:val="sr-Cyrl-CS"/>
        </w:rPr>
        <w:t>и</w:t>
      </w:r>
      <w:r w:rsidRPr="00FE746B">
        <w:rPr>
          <w:lang w:val="sr-Cyrl-CS"/>
        </w:rPr>
        <w:t xml:space="preserve"> динара. Новим изменама које ће омогућити долазак нове врсте инвеститора који би улагали у домаће хартије од вредности очекује се раст промета до 30% на средњи рок (од 3 до 5 година). </w:t>
      </w:r>
    </w:p>
    <w:p w:rsidR="005000F7" w:rsidRPr="00FE746B" w:rsidRDefault="005000F7" w:rsidP="005000F7">
      <w:pPr>
        <w:jc w:val="both"/>
        <w:rPr>
          <w:color w:val="FF0000"/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</w:t>
      </w:r>
    </w:p>
    <w:p w:rsidR="005000F7" w:rsidRPr="00FE746B" w:rsidRDefault="005000F7" w:rsidP="005000F7">
      <w:pPr>
        <w:ind w:firstLine="720"/>
        <w:jc w:val="both"/>
        <w:rPr>
          <w:szCs w:val="24"/>
          <w:lang w:val="sr-Cyrl-CS"/>
        </w:rPr>
      </w:pPr>
      <w:r w:rsidRPr="00FE746B">
        <w:rPr>
          <w:lang w:val="sr-Cyrl-CS"/>
        </w:rPr>
        <w:t>Општи и посебни циљеви су усклађени са приоритетима Владе</w:t>
      </w:r>
      <w:r w:rsidR="00070738" w:rsidRPr="00FE746B">
        <w:rPr>
          <w:lang w:val="sr-Cyrl-CS"/>
        </w:rPr>
        <w:t>,</w:t>
      </w:r>
      <w:r w:rsidRPr="00FE746B">
        <w:rPr>
          <w:lang w:val="sr-Cyrl-CS"/>
        </w:rPr>
        <w:t xml:space="preserve"> кој</w:t>
      </w:r>
      <w:r w:rsidR="00070738" w:rsidRPr="00FE746B">
        <w:rPr>
          <w:lang w:val="sr-Cyrl-CS"/>
        </w:rPr>
        <w:t>и</w:t>
      </w:r>
      <w:r w:rsidRPr="00FE746B">
        <w:rPr>
          <w:lang w:val="sr-Cyrl-CS"/>
        </w:rPr>
        <w:t xml:space="preserve"> се пре свега огледа</w:t>
      </w:r>
      <w:r w:rsidR="00070738" w:rsidRPr="00FE746B">
        <w:rPr>
          <w:lang w:val="sr-Cyrl-CS"/>
        </w:rPr>
        <w:t>ју</w:t>
      </w:r>
      <w:r w:rsidRPr="00FE746B">
        <w:rPr>
          <w:lang w:val="sr-Cyrl-CS"/>
        </w:rPr>
        <w:t xml:space="preserve"> у привлачењу страних инвеститора у државне хартије од вредности и смањењу трошкова задуживања.</w:t>
      </w:r>
    </w:p>
    <w:p w:rsidR="005000F7" w:rsidRPr="00FE746B" w:rsidRDefault="005000F7" w:rsidP="005000F7">
      <w:pPr>
        <w:jc w:val="both"/>
        <w:rPr>
          <w:color w:val="FF0000"/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szCs w:val="24"/>
          <w:lang w:val="sr-Cyrl-CS"/>
        </w:rPr>
        <w:t xml:space="preserve">- </w:t>
      </w:r>
      <w:r w:rsidRPr="00FE746B">
        <w:rPr>
          <w:lang w:val="sr-Cyrl-C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:rsidR="005000F7" w:rsidRPr="00FE746B" w:rsidRDefault="005000F7" w:rsidP="005000F7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 xml:space="preserve">На основу учешћа страних инвеститора у државне хартије од вредности у будућности и повећању ликвидности на примарном и секундарном тржишту као и мањим каматним стопама на државне обвезнице. Већа ликвидност на тржишту хартија од вредности, пре свега државних обвезница, довешће до смањења каматних стопа у просеку од око 28 базна поена у року од три до </w:t>
      </w:r>
      <w:r w:rsidR="003F32A0">
        <w:rPr>
          <w:lang w:val="sr-Cyrl-CS"/>
        </w:rPr>
        <w:t>пет</w:t>
      </w:r>
      <w:r w:rsidRPr="00FE746B">
        <w:rPr>
          <w:lang w:val="sr-Cyrl-CS"/>
        </w:rPr>
        <w:t xml:space="preserve"> година.</w:t>
      </w:r>
    </w:p>
    <w:p w:rsidR="005000F7" w:rsidRPr="00FE746B" w:rsidRDefault="005000F7" w:rsidP="003F32A0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 xml:space="preserve">Учешће страних инвеститора у државне хартије од вредности деноминованим у динарима у 2019. години износи 32% док је овај проценат у 2018. години износио 28%. У наредном периоду </w:t>
      </w:r>
      <w:bookmarkStart w:id="0" w:name="_GoBack"/>
      <w:r w:rsidR="003F32A0" w:rsidRPr="00FE746B">
        <w:rPr>
          <w:lang w:val="sr-Cyrl-CS"/>
        </w:rPr>
        <w:t>ц</w:t>
      </w:r>
      <w:bookmarkEnd w:id="0"/>
      <w:r w:rsidRPr="00FE746B">
        <w:rPr>
          <w:lang w:val="sr-Cyrl-CS"/>
        </w:rPr>
        <w:t>иљ је да учешће страних инвеститора у улагање у државне обвезнице порасте до 40%.</w:t>
      </w:r>
    </w:p>
    <w:p w:rsidR="005000F7" w:rsidRPr="00FE746B" w:rsidRDefault="005000F7" w:rsidP="005000F7">
      <w:pPr>
        <w:jc w:val="both"/>
        <w:rPr>
          <w:b/>
          <w:szCs w:val="24"/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 Које релевантне опције (алтернативне мере, односно групе мера) за остварење циља су узете у разматрање? Да ли је разматрана „</w:t>
      </w:r>
      <w:r w:rsidRPr="00FE746B">
        <w:rPr>
          <w:i/>
          <w:iCs/>
          <w:lang w:val="sr-Cyrl-CS"/>
        </w:rPr>
        <w:t>status quo</w:t>
      </w:r>
      <w:r w:rsidRPr="00FE746B">
        <w:rPr>
          <w:lang w:val="sr-Cyrl-CS"/>
        </w:rPr>
        <w:t>” опција?</w:t>
      </w:r>
    </w:p>
    <w:p w:rsidR="005000F7" w:rsidRPr="00FE746B" w:rsidRDefault="005000F7" w:rsidP="005000F7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 xml:space="preserve">Последњих година ради се на унапређењу тржишта капитала. Емитовањем државних обвезница у домаћој валути на дужи рок привукло је велики број страних инвеститора да улажу у домаће обвезнице. Како су се трошкови задуживања смањили, јавила се потреба за привлачењем нове врсте инвеститора који улажу у земље са мањим ризиком и хартије са мањим приносом. Повезивање регистара и могућност да нови </w:t>
      </w:r>
      <w:r w:rsidRPr="00FE746B">
        <w:rPr>
          <w:lang w:val="sr-Cyrl-CS"/>
        </w:rPr>
        <w:lastRenderedPageBreak/>
        <w:t>инвеститори салдирају трансакције путем међународних клириншких кућа, прошириће се база инвеститора и олакшати</w:t>
      </w:r>
      <w:r w:rsidR="00EC4F68" w:rsidRPr="00FE746B">
        <w:rPr>
          <w:lang w:val="sr-Cyrl-CS"/>
        </w:rPr>
        <w:t xml:space="preserve"> </w:t>
      </w:r>
      <w:r w:rsidRPr="00FE746B">
        <w:rPr>
          <w:lang w:val="sr-Cyrl-CS"/>
        </w:rPr>
        <w:t>куповина државних хартија од вредности.</w:t>
      </w:r>
    </w:p>
    <w:p w:rsidR="005000F7" w:rsidRPr="00FE746B" w:rsidRDefault="005000F7" w:rsidP="005000F7">
      <w:pPr>
        <w:pStyle w:val="ListParagraph"/>
        <w:ind w:left="360"/>
        <w:jc w:val="both"/>
        <w:rPr>
          <w:lang w:val="sr-Cyrl-CS"/>
        </w:rPr>
      </w:pPr>
    </w:p>
    <w:p w:rsidR="005000F7" w:rsidRPr="00FE746B" w:rsidRDefault="005000F7" w:rsidP="00070738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070738" w:rsidRPr="00FE746B">
        <w:rPr>
          <w:lang w:val="sr-Cyrl-CS"/>
        </w:rPr>
        <w:t xml:space="preserve"> </w:t>
      </w:r>
      <w:r w:rsidRPr="00FE746B">
        <w:rPr>
          <w:lang w:val="sr-Cyrl-CS"/>
        </w:rPr>
        <w:t>Какве ће ефекте изабранa опцијa имати на јавне приходе и расходе у средњем и дугом року?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ab/>
        <w:t>Очекује се даљи пад камате на државне хартије од вредности, због повећаног броја инвеститора, смањење трошкова финансирања и бољ</w:t>
      </w:r>
      <w:r w:rsidR="00070738" w:rsidRPr="00FE746B">
        <w:rPr>
          <w:lang w:val="sr-Cyrl-CS"/>
        </w:rPr>
        <w:t>а</w:t>
      </w:r>
      <w:r w:rsidRPr="00FE746B">
        <w:rPr>
          <w:lang w:val="sr-Cyrl-CS"/>
        </w:rPr>
        <w:t xml:space="preserve"> ликвидност тржишта хартија од вредности. Даљи развој тржишта капитала</w:t>
      </w:r>
      <w:r w:rsidR="00070738" w:rsidRPr="00FE746B">
        <w:rPr>
          <w:lang w:val="sr-Cyrl-CS"/>
        </w:rPr>
        <w:t xml:space="preserve"> </w:t>
      </w:r>
      <w:r w:rsidRPr="00FE746B">
        <w:rPr>
          <w:lang w:val="sr-Cyrl-CS"/>
        </w:rPr>
        <w:t>ће утицат</w:t>
      </w:r>
      <w:r w:rsidR="00070738" w:rsidRPr="00FE746B">
        <w:rPr>
          <w:lang w:val="sr-Cyrl-CS"/>
        </w:rPr>
        <w:t xml:space="preserve">и на већи промет и обим послова, </w:t>
      </w:r>
      <w:r w:rsidRPr="00FE746B">
        <w:rPr>
          <w:lang w:val="sr-Cyrl-CS"/>
        </w:rPr>
        <w:t>а самим тим и на приходе осталих учесника на тржишту капитала.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EC4F68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Како ће спровођење изабране опције утицати на међународне финансијске обавезе?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 xml:space="preserve">    </w:t>
      </w:r>
      <w:r w:rsidR="00880F6E" w:rsidRPr="00FE746B">
        <w:rPr>
          <w:lang w:val="sr-Cyrl-CS"/>
        </w:rPr>
        <w:t xml:space="preserve">   </w:t>
      </w:r>
      <w:r w:rsidRPr="00FE746B">
        <w:rPr>
          <w:lang w:val="sr-Cyrl-CS"/>
        </w:rPr>
        <w:t xml:space="preserve">    Ова опција неће имати никаквог ефекта на међународне финансијске обавезе.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EC4F68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Да ли изабрана опција утиче на конкурентност привредних субјеката на домаћем и иностраном тржишту (укључујући и ефекте на конкурентност цена) и на који начин?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ab/>
        <w:t>Осим</w:t>
      </w:r>
      <w:r w:rsidR="00EC4F68" w:rsidRPr="00FE746B">
        <w:rPr>
          <w:lang w:val="sr-Cyrl-CS"/>
        </w:rPr>
        <w:t xml:space="preserve"> </w:t>
      </w:r>
      <w:r w:rsidR="00D62F65" w:rsidRPr="00FE746B">
        <w:rPr>
          <w:color w:val="000000"/>
          <w:szCs w:val="24"/>
          <w:lang w:val="sr-Cyrl-CS"/>
        </w:rPr>
        <w:t>Централн</w:t>
      </w:r>
      <w:r w:rsidR="00D62F65">
        <w:rPr>
          <w:color w:val="000000"/>
          <w:szCs w:val="24"/>
          <w:lang w:val="sr-Cyrl-RS"/>
        </w:rPr>
        <w:t>ог</w:t>
      </w:r>
      <w:r w:rsidR="00D62F65" w:rsidRPr="00FE746B">
        <w:rPr>
          <w:color w:val="000000"/>
          <w:szCs w:val="24"/>
          <w:lang w:val="sr-Cyrl-CS"/>
        </w:rPr>
        <w:t xml:space="preserve"> регистр</w:t>
      </w:r>
      <w:r w:rsidR="00D62F65">
        <w:rPr>
          <w:color w:val="000000"/>
          <w:szCs w:val="24"/>
          <w:lang w:val="sr-Cyrl-CS"/>
        </w:rPr>
        <w:t>а</w:t>
      </w:r>
      <w:r w:rsidR="00EC4F68" w:rsidRPr="00FE746B">
        <w:rPr>
          <w:lang w:val="sr-Cyrl-CS"/>
        </w:rPr>
        <w:t>, не постоји ни</w:t>
      </w:r>
      <w:r w:rsidRPr="00FE746B">
        <w:rPr>
          <w:lang w:val="sr-Cyrl-CS"/>
        </w:rPr>
        <w:t>једно друго домаће правно лице које се бави пословима клиринга и салдирања.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880F6E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Колике трошкове и користи (материјалне и нематеријалне) ће изабрана опција проузроковати грађанима?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ab/>
        <w:t>Измен</w:t>
      </w:r>
      <w:r w:rsidR="00880F6E" w:rsidRPr="00FE746B">
        <w:rPr>
          <w:lang w:val="sr-Cyrl-CS"/>
        </w:rPr>
        <w:t>а</w:t>
      </w:r>
      <w:r w:rsidRPr="00FE746B">
        <w:rPr>
          <w:lang w:val="sr-Cyrl-CS"/>
        </w:rPr>
        <w:t xml:space="preserve"> члана 33. постојећег Закона</w:t>
      </w:r>
      <w:r w:rsidR="00880F6E" w:rsidRPr="00FE746B">
        <w:rPr>
          <w:lang w:val="sr-Cyrl-CS"/>
        </w:rPr>
        <w:t xml:space="preserve"> о јавном дугу </w:t>
      </w:r>
      <w:r w:rsidRPr="00FE746B">
        <w:rPr>
          <w:lang w:val="sr-Cyrl-CS"/>
        </w:rPr>
        <w:t>допринеће бољој контроли и планирању буџета јединица локалне самоуправе, што ће позитивно утицати на рад локалних самоуправа,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бољој контроли буџета,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а самим тим и већим приходима, мањим расходима и боље</w:t>
      </w:r>
      <w:r w:rsidR="00880F6E" w:rsidRPr="00FE746B">
        <w:rPr>
          <w:lang w:val="sr-Cyrl-CS"/>
        </w:rPr>
        <w:t>м</w:t>
      </w:r>
      <w:r w:rsidRPr="00FE746B">
        <w:rPr>
          <w:lang w:val="sr-Cyrl-CS"/>
        </w:rPr>
        <w:t xml:space="preserve"> управљањ</w:t>
      </w:r>
      <w:r w:rsidR="00880F6E" w:rsidRPr="00FE746B">
        <w:rPr>
          <w:lang w:val="sr-Cyrl-CS"/>
        </w:rPr>
        <w:t>у</w:t>
      </w:r>
      <w:r w:rsidRPr="00FE746B">
        <w:rPr>
          <w:lang w:val="sr-Cyrl-CS"/>
        </w:rPr>
        <w:t xml:space="preserve"> пројектима од локалног значаја.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880F6E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Да ли се изабраном опцијом уводе организационе, управљачке или институционалне промене и које су то промене?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 xml:space="preserve">        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 xml:space="preserve"> Ове промене не доводе до организационих, управљачких и институционалних промена. 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880F6E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 xml:space="preserve">         Јединиц</w:t>
      </w:r>
      <w:r w:rsidR="00880F6E" w:rsidRPr="00FE746B">
        <w:rPr>
          <w:lang w:val="sr-Cyrl-CS"/>
        </w:rPr>
        <w:t>е</w:t>
      </w:r>
      <w:r w:rsidRPr="00FE746B">
        <w:rPr>
          <w:lang w:val="sr-Cyrl-CS"/>
        </w:rPr>
        <w:t xml:space="preserve"> локалне самоуправе поседуј</w:t>
      </w:r>
      <w:r w:rsidR="00880F6E" w:rsidRPr="00FE746B">
        <w:rPr>
          <w:lang w:val="sr-Cyrl-CS"/>
        </w:rPr>
        <w:t>у</w:t>
      </w:r>
      <w:r w:rsidRPr="00FE746B">
        <w:rPr>
          <w:lang w:val="sr-Cyrl-CS"/>
        </w:rPr>
        <w:t xml:space="preserve"> капацитете за спровођење додатних процедура, јер су у питању само одређени захтеви у смислу извршења буџета које јединице локалне самоуправе морају да доставе министарству како би министарство могло да да сагласност на само задужење локалне самоуправе.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880F6E">
      <w:pPr>
        <w:ind w:firstLine="720"/>
        <w:jc w:val="both"/>
        <w:rPr>
          <w:lang w:val="sr-Cyrl-CS"/>
        </w:rPr>
      </w:pPr>
      <w:r w:rsidRPr="00FE746B">
        <w:rPr>
          <w:lang w:val="sr-Cyrl-CS"/>
        </w:rPr>
        <w:t>-</w:t>
      </w:r>
      <w:r w:rsidR="00880F6E" w:rsidRPr="00FE746B">
        <w:rPr>
          <w:lang w:val="sr-Cyrl-CS"/>
        </w:rPr>
        <w:t xml:space="preserve"> </w:t>
      </w:r>
      <w:r w:rsidRPr="00FE746B">
        <w:rPr>
          <w:lang w:val="sr-Cyrl-CS"/>
        </w:rPr>
        <w:t>Да ли постоји још неки ризик за спровођење изабране опције?</w:t>
      </w:r>
    </w:p>
    <w:p w:rsidR="005000F7" w:rsidRPr="00FE746B" w:rsidRDefault="005000F7" w:rsidP="005000F7">
      <w:pPr>
        <w:jc w:val="both"/>
        <w:rPr>
          <w:lang w:val="sr-Cyrl-CS"/>
        </w:rPr>
      </w:pPr>
      <w:r w:rsidRPr="00FE746B">
        <w:rPr>
          <w:lang w:val="sr-Cyrl-CS"/>
        </w:rPr>
        <w:t xml:space="preserve">        </w:t>
      </w:r>
      <w:r w:rsidR="00880F6E" w:rsidRPr="00FE746B">
        <w:rPr>
          <w:lang w:val="sr-Cyrl-CS"/>
        </w:rPr>
        <w:t xml:space="preserve">  </w:t>
      </w:r>
      <w:r w:rsidRPr="00FE746B">
        <w:rPr>
          <w:lang w:val="sr-Cyrl-CS"/>
        </w:rPr>
        <w:t xml:space="preserve"> Не постоји ризик за спровођење предложених законских измена.</w:t>
      </w:r>
    </w:p>
    <w:p w:rsidR="005000F7" w:rsidRPr="00FE746B" w:rsidRDefault="005000F7" w:rsidP="005000F7">
      <w:pPr>
        <w:jc w:val="both"/>
        <w:rPr>
          <w:lang w:val="sr-Cyrl-CS"/>
        </w:rPr>
      </w:pPr>
    </w:p>
    <w:p w:rsidR="005000F7" w:rsidRPr="00FE746B" w:rsidRDefault="005000F7" w:rsidP="005000F7">
      <w:pPr>
        <w:jc w:val="both"/>
        <w:rPr>
          <w:lang w:val="sr-Cyrl-CS"/>
        </w:rPr>
      </w:pPr>
    </w:p>
    <w:p w:rsidR="00560042" w:rsidRPr="00FE746B" w:rsidRDefault="00560042">
      <w:pPr>
        <w:rPr>
          <w:lang w:val="sr-Cyrl-CS"/>
        </w:rPr>
      </w:pPr>
    </w:p>
    <w:sectPr w:rsidR="00560042" w:rsidRPr="00FE746B" w:rsidSect="005826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AAA" w:rsidRDefault="008E1AAA" w:rsidP="0058269E">
      <w:r>
        <w:separator/>
      </w:r>
    </w:p>
  </w:endnote>
  <w:endnote w:type="continuationSeparator" w:id="0">
    <w:p w:rsidR="008E1AAA" w:rsidRDefault="008E1AAA" w:rsidP="0058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E" w:rsidRDefault="005826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5177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F43" w:rsidRDefault="00B60F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2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269E" w:rsidRDefault="005826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E" w:rsidRDefault="00582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AAA" w:rsidRDefault="008E1AAA" w:rsidP="0058269E">
      <w:r>
        <w:separator/>
      </w:r>
    </w:p>
  </w:footnote>
  <w:footnote w:type="continuationSeparator" w:id="0">
    <w:p w:rsidR="008E1AAA" w:rsidRDefault="008E1AAA" w:rsidP="00582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E" w:rsidRDefault="005826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E" w:rsidRDefault="005826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E" w:rsidRDefault="00582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0F7"/>
    <w:rsid w:val="00070738"/>
    <w:rsid w:val="003971EC"/>
    <w:rsid w:val="003F32A0"/>
    <w:rsid w:val="004B7644"/>
    <w:rsid w:val="005000F7"/>
    <w:rsid w:val="00560042"/>
    <w:rsid w:val="0058269E"/>
    <w:rsid w:val="0076227E"/>
    <w:rsid w:val="007E28C9"/>
    <w:rsid w:val="00880F6E"/>
    <w:rsid w:val="008E1AAA"/>
    <w:rsid w:val="009146B5"/>
    <w:rsid w:val="00966CD9"/>
    <w:rsid w:val="00AC0F56"/>
    <w:rsid w:val="00B44C2B"/>
    <w:rsid w:val="00B60F43"/>
    <w:rsid w:val="00B61836"/>
    <w:rsid w:val="00CC44B0"/>
    <w:rsid w:val="00D62F65"/>
    <w:rsid w:val="00DD3EDD"/>
    <w:rsid w:val="00E24350"/>
    <w:rsid w:val="00EC4F68"/>
    <w:rsid w:val="00FC274C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0F7"/>
    <w:pPr>
      <w:ind w:left="720"/>
      <w:contextualSpacing/>
    </w:pPr>
  </w:style>
  <w:style w:type="paragraph" w:customStyle="1" w:styleId="Zakon1">
    <w:name w:val="Zakon1"/>
    <w:basedOn w:val="Normal"/>
    <w:rsid w:val="005000F7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826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69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69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Strahinja Vujicic</cp:lastModifiedBy>
  <cp:revision>15</cp:revision>
  <dcterms:created xsi:type="dcterms:W3CDTF">2019-11-20T14:25:00Z</dcterms:created>
  <dcterms:modified xsi:type="dcterms:W3CDTF">2019-11-22T07:55:00Z</dcterms:modified>
</cp:coreProperties>
</file>