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A74" w:rsidRPr="00BE2D88" w:rsidRDefault="003F2A74" w:rsidP="007F6C83">
      <w:pPr>
        <w:ind w:left="7920" w:firstLine="720"/>
        <w:jc w:val="center"/>
        <w:rPr>
          <w:rFonts w:ascii="Times New Roman" w:eastAsia="Times New Roman" w:hAnsi="Times New Roman" w:cs="Times New Roman"/>
          <w:color w:val="000000"/>
          <w:lang w:val="sr-Cyrl-CS"/>
        </w:rPr>
      </w:pPr>
      <w:r w:rsidRPr="00BE2D88">
        <w:rPr>
          <w:rFonts w:ascii="Times New Roman" w:eastAsia="Times New Roman" w:hAnsi="Times New Roman" w:cs="Times New Roman"/>
          <w:color w:val="000000"/>
          <w:lang w:val="sr-Cyrl-CS"/>
        </w:rPr>
        <w:t>Прилог 9.</w:t>
      </w:r>
    </w:p>
    <w:p w:rsidR="007F6C83" w:rsidRPr="00BE2D88" w:rsidRDefault="007F6C83" w:rsidP="007F6C83">
      <w:pPr>
        <w:jc w:val="center"/>
        <w:rPr>
          <w:rFonts w:ascii="Times New Roman" w:eastAsia="Times New Roman" w:hAnsi="Times New Roman" w:cs="Times New Roman"/>
          <w:b/>
          <w:color w:val="000000"/>
          <w:lang w:val="sr-Cyrl-CS"/>
        </w:rPr>
      </w:pPr>
    </w:p>
    <w:p w:rsidR="007F6C83" w:rsidRPr="00BE2D88" w:rsidRDefault="007F6C83" w:rsidP="007F6C83">
      <w:pPr>
        <w:jc w:val="center"/>
        <w:rPr>
          <w:rFonts w:ascii="Times New Roman" w:eastAsia="Times New Roman" w:hAnsi="Times New Roman" w:cs="Times New Roman"/>
          <w:b/>
          <w:color w:val="000000"/>
          <w:lang w:val="sr-Cyrl-CS"/>
        </w:rPr>
      </w:pPr>
    </w:p>
    <w:p w:rsidR="003F2A74" w:rsidRPr="00AB0723" w:rsidRDefault="003F2A74" w:rsidP="007F6C83">
      <w:pPr>
        <w:jc w:val="center"/>
        <w:rPr>
          <w:rFonts w:ascii="Times New Roman" w:eastAsia="Times New Roman" w:hAnsi="Times New Roman" w:cs="Times New Roman"/>
          <w:color w:val="000000"/>
          <w:lang w:val="sr-Cyrl-CS"/>
        </w:rPr>
      </w:pPr>
      <w:r w:rsidRPr="00AB0723">
        <w:rPr>
          <w:rFonts w:ascii="Times New Roman" w:eastAsia="Times New Roman" w:hAnsi="Times New Roman" w:cs="Times New Roman"/>
          <w:color w:val="000000"/>
          <w:lang w:val="sr-Cyrl-CS"/>
        </w:rPr>
        <w:t>СПИСАК ПРАВНИХ АКАТА ЕВРОПСКЕ УНИЈЕ</w:t>
      </w:r>
    </w:p>
    <w:p w:rsidR="00647CC7" w:rsidRPr="00AB0723" w:rsidRDefault="00647CC7" w:rsidP="007F6C83">
      <w:pPr>
        <w:jc w:val="center"/>
        <w:rPr>
          <w:rFonts w:ascii="Times New Roman" w:eastAsia="Times New Roman" w:hAnsi="Times New Roman" w:cs="Times New Roman"/>
          <w:color w:val="000000"/>
          <w:lang w:val="sr-Cyrl-CS"/>
        </w:rPr>
      </w:pPr>
    </w:p>
    <w:p w:rsidR="003F2A74" w:rsidRPr="00AB0723" w:rsidRDefault="003F2A74" w:rsidP="007F6C83">
      <w:pPr>
        <w:tabs>
          <w:tab w:val="left" w:pos="720"/>
        </w:tabs>
        <w:jc w:val="center"/>
        <w:rPr>
          <w:rFonts w:ascii="Times New Roman" w:eastAsia="Times New Roman" w:hAnsi="Times New Roman" w:cs="Times New Roman"/>
          <w:color w:val="000000"/>
          <w:lang w:val="sr-Cyrl-CS"/>
        </w:rPr>
      </w:pPr>
      <w:r w:rsidRPr="00AB0723">
        <w:rPr>
          <w:rFonts w:ascii="Times New Roman" w:eastAsia="Times New Roman" w:hAnsi="Times New Roman" w:cs="Times New Roman"/>
          <w:color w:val="000000"/>
          <w:lang w:val="sr-Cyrl-CS"/>
        </w:rPr>
        <w:t>I</w:t>
      </w:r>
      <w:r w:rsidR="00647CC7" w:rsidRPr="00AB0723">
        <w:rPr>
          <w:rFonts w:ascii="Times New Roman" w:eastAsia="Times New Roman" w:hAnsi="Times New Roman" w:cs="Times New Roman"/>
          <w:color w:val="000000"/>
          <w:lang w:val="sr-Cyrl-CS"/>
        </w:rPr>
        <w:t>.</w:t>
      </w:r>
      <w:r w:rsidRPr="00AB0723">
        <w:rPr>
          <w:rFonts w:ascii="Times New Roman" w:eastAsia="Times New Roman" w:hAnsi="Times New Roman" w:cs="Times New Roman"/>
          <w:color w:val="000000"/>
          <w:lang w:val="sr-Cyrl-CS"/>
        </w:rPr>
        <w:t xml:space="preserve"> СПИСАК ПРАВНИХ АКАТА ЕВРОПСКЕ УНИЈЕ </w:t>
      </w:r>
    </w:p>
    <w:p w:rsidR="00A80246" w:rsidRPr="00BE2D88" w:rsidRDefault="00A80246" w:rsidP="007F6C83">
      <w:pPr>
        <w:tabs>
          <w:tab w:val="left" w:pos="720"/>
        </w:tabs>
        <w:jc w:val="center"/>
        <w:rPr>
          <w:rFonts w:ascii="Times New Roman" w:eastAsia="Times New Roman" w:hAnsi="Times New Roman" w:cs="Times New Roman"/>
          <w:b/>
          <w:color w:val="000000"/>
          <w:lang w:val="sr-Cyrl-CS"/>
        </w:rPr>
      </w:pPr>
    </w:p>
    <w:p w:rsidR="003F2A74" w:rsidRPr="00BE2D88" w:rsidRDefault="003F2A74" w:rsidP="007F6C83">
      <w:pPr>
        <w:tabs>
          <w:tab w:val="left" w:pos="720"/>
        </w:tabs>
        <w:jc w:val="center"/>
        <w:rPr>
          <w:rFonts w:ascii="Times New Roman" w:eastAsia="Times New Roman" w:hAnsi="Times New Roman" w:cs="Times New Roman"/>
          <w:color w:val="000000"/>
          <w:lang w:val="sr-Cyrl-CS"/>
        </w:rPr>
      </w:pPr>
      <w:r w:rsidRPr="00BE2D88">
        <w:rPr>
          <w:rFonts w:ascii="Times New Roman" w:eastAsia="Times New Roman" w:hAnsi="Times New Roman" w:cs="Times New Roman"/>
          <w:color w:val="000000"/>
          <w:lang w:val="sr-Cyrl-CS"/>
        </w:rPr>
        <w:t>(члан 4. став 5. тачка</w:t>
      </w:r>
      <w:r w:rsidR="007F6C83" w:rsidRPr="00BE2D88">
        <w:rPr>
          <w:rFonts w:ascii="Times New Roman" w:eastAsia="Times New Roman" w:hAnsi="Times New Roman" w:cs="Times New Roman"/>
          <w:color w:val="000000"/>
          <w:lang w:val="sr-Cyrl-CS"/>
        </w:rPr>
        <w:t xml:space="preserve"> 2)</w:t>
      </w:r>
      <w:r w:rsidRPr="00BE2D88">
        <w:rPr>
          <w:rFonts w:ascii="Times New Roman" w:eastAsia="Times New Roman" w:hAnsi="Times New Roman" w:cs="Times New Roman"/>
          <w:color w:val="000000"/>
          <w:lang w:val="sr-Cyrl-CS"/>
        </w:rPr>
        <w:t xml:space="preserve"> овог закона)</w:t>
      </w:r>
    </w:p>
    <w:p w:rsidR="007F6C83" w:rsidRPr="00BE2D88" w:rsidRDefault="007F6C83" w:rsidP="007F6C83">
      <w:pPr>
        <w:tabs>
          <w:tab w:val="left" w:pos="720"/>
        </w:tabs>
        <w:jc w:val="center"/>
        <w:rPr>
          <w:rFonts w:ascii="Times New Roman" w:eastAsia="Times New Roman" w:hAnsi="Times New Roman" w:cs="Times New Roman"/>
          <w:b/>
          <w:color w:val="000000"/>
          <w:lang w:val="sr-Cyrl-CS"/>
        </w:rPr>
      </w:pPr>
    </w:p>
    <w:p w:rsidR="003F2A74" w:rsidRPr="00BE2D88" w:rsidRDefault="00A80246" w:rsidP="003F2A74">
      <w:pPr>
        <w:tabs>
          <w:tab w:val="left" w:pos="720"/>
        </w:tabs>
        <w:spacing w:after="240"/>
        <w:jc w:val="both"/>
        <w:rPr>
          <w:rFonts w:ascii="Times New Roman" w:eastAsia="Times New Roman" w:hAnsi="Times New Roman" w:cs="Times New Roman"/>
          <w:lang w:val="sr-Cyrl-CS"/>
        </w:rPr>
      </w:pPr>
      <w:r w:rsidRPr="00BE2D88">
        <w:rPr>
          <w:rFonts w:ascii="Times New Roman" w:eastAsia="Times New Roman" w:hAnsi="Times New Roman" w:cs="Times New Roman"/>
          <w:color w:val="1A171C"/>
          <w:lang w:val="sr-Cyrl-CS"/>
        </w:rPr>
        <w:tab/>
      </w:r>
      <w:r w:rsidR="003F2A74" w:rsidRPr="00BE2D88">
        <w:rPr>
          <w:rFonts w:ascii="Times New Roman" w:eastAsia="Times New Roman" w:hAnsi="Times New Roman" w:cs="Times New Roman"/>
          <w:lang w:val="sr-Cyrl-CS"/>
        </w:rPr>
        <w:t xml:space="preserve">Права која су додељена у поступку за који је обезбеђена одговарајућа јавност и у којем су та права додељена на основу објективних критеријума не представљају посебна или искључива права у смислу члана 4. овог закона. Доле су наведени поступци у којима се обезбеђује претходна одговарајућа транспарентност, за издавање дозвола на основу правних аката </w:t>
      </w:r>
      <w:r w:rsidR="004325A2" w:rsidRPr="00BE2D88">
        <w:rPr>
          <w:rFonts w:ascii="Times New Roman" w:eastAsia="Times New Roman" w:hAnsi="Times New Roman" w:cs="Times New Roman"/>
          <w:lang w:val="sr-Cyrl-CS"/>
        </w:rPr>
        <w:t>Европске у</w:t>
      </w:r>
      <w:r w:rsidR="003F2A74" w:rsidRPr="00BE2D88">
        <w:rPr>
          <w:rFonts w:ascii="Times New Roman" w:eastAsia="Times New Roman" w:hAnsi="Times New Roman" w:cs="Times New Roman"/>
          <w:lang w:val="sr-Cyrl-CS"/>
        </w:rPr>
        <w:t>није које не представљају посебна или искључива права у смислу члана 4</w:t>
      </w:r>
      <w:r w:rsidRPr="00BE2D88">
        <w:rPr>
          <w:rFonts w:ascii="Times New Roman" w:eastAsia="Times New Roman" w:hAnsi="Times New Roman" w:cs="Times New Roman"/>
          <w:lang w:val="sr-Cyrl-CS"/>
        </w:rPr>
        <w:t>.</w:t>
      </w:r>
      <w:r w:rsidR="003F2A74" w:rsidRPr="00BE2D88">
        <w:rPr>
          <w:rFonts w:ascii="Times New Roman" w:eastAsia="Times New Roman" w:hAnsi="Times New Roman" w:cs="Times New Roman"/>
          <w:lang w:val="sr-Cyrl-CS"/>
        </w:rPr>
        <w:t xml:space="preserve"> овог закона:</w:t>
      </w:r>
    </w:p>
    <w:p w:rsidR="003F2A74" w:rsidRPr="00BE2D88" w:rsidRDefault="00A80246" w:rsidP="003F2A74">
      <w:pPr>
        <w:tabs>
          <w:tab w:val="left" w:pos="250"/>
        </w:tabs>
        <w:spacing w:after="240"/>
        <w:jc w:val="both"/>
        <w:rPr>
          <w:rFonts w:ascii="Times New Roman" w:eastAsia="Times New Roman" w:hAnsi="Times New Roman" w:cs="Times New Roman"/>
          <w:lang w:val="sr-Cyrl-CS"/>
        </w:rPr>
      </w:pPr>
      <w:r w:rsidRPr="00BE2D88">
        <w:rPr>
          <w:rFonts w:ascii="Times New Roman" w:eastAsia="Times New Roman" w:hAnsi="Times New Roman" w:cs="Times New Roman"/>
          <w:lang w:val="sr-Cyrl-CS"/>
        </w:rPr>
        <w:tab/>
      </w:r>
      <w:r w:rsidRPr="00BE2D88">
        <w:rPr>
          <w:rFonts w:ascii="Times New Roman" w:eastAsia="Times New Roman" w:hAnsi="Times New Roman" w:cs="Times New Roman"/>
          <w:lang w:val="sr-Cyrl-CS"/>
        </w:rPr>
        <w:tab/>
      </w:r>
      <w:r w:rsidR="003F2A74" w:rsidRPr="00BE2D88">
        <w:rPr>
          <w:rFonts w:ascii="Times New Roman" w:eastAsia="Times New Roman" w:hAnsi="Times New Roman" w:cs="Times New Roman"/>
          <w:lang w:val="sr-Cyrl-CS"/>
        </w:rPr>
        <w:t>1) издавање дозвола за рад на постројењима за природни гас, у складу са поступцима утврђеним у члану 4. Директиве 2009/73/ЕЗ;</w:t>
      </w:r>
    </w:p>
    <w:p w:rsidR="003F2A74" w:rsidRPr="00BE2D88" w:rsidRDefault="00A80246" w:rsidP="003F2A74">
      <w:pPr>
        <w:tabs>
          <w:tab w:val="left" w:pos="250"/>
          <w:tab w:val="left" w:pos="720"/>
        </w:tabs>
        <w:spacing w:after="240"/>
        <w:jc w:val="both"/>
        <w:rPr>
          <w:rFonts w:ascii="Times New Roman" w:eastAsia="Times New Roman" w:hAnsi="Times New Roman" w:cs="Times New Roman"/>
          <w:lang w:val="sr-Cyrl-CS"/>
        </w:rPr>
      </w:pPr>
      <w:r w:rsidRPr="00BE2D88">
        <w:rPr>
          <w:rFonts w:ascii="Times New Roman" w:eastAsia="Times New Roman" w:hAnsi="Times New Roman" w:cs="Times New Roman"/>
          <w:lang w:val="sr-Cyrl-CS"/>
        </w:rPr>
        <w:tab/>
      </w:r>
      <w:r w:rsidRPr="00BE2D88">
        <w:rPr>
          <w:rFonts w:ascii="Times New Roman" w:eastAsia="Times New Roman" w:hAnsi="Times New Roman" w:cs="Times New Roman"/>
          <w:lang w:val="sr-Cyrl-CS"/>
        </w:rPr>
        <w:tab/>
      </w:r>
      <w:r w:rsidR="003F2A74" w:rsidRPr="00BE2D88">
        <w:rPr>
          <w:rFonts w:ascii="Times New Roman" w:eastAsia="Times New Roman" w:hAnsi="Times New Roman" w:cs="Times New Roman"/>
          <w:lang w:val="sr-Cyrl-CS"/>
        </w:rPr>
        <w:t>2) издавање дозвола или позив за подношење понуда за изградњу нових постројења за производњу електричне енергије, у складу са Директивом 2009/72/ЕЗ;</w:t>
      </w:r>
    </w:p>
    <w:p w:rsidR="003F2A74" w:rsidRPr="00BE2D88" w:rsidRDefault="00A80246" w:rsidP="003F2A74">
      <w:pPr>
        <w:tabs>
          <w:tab w:val="left" w:pos="250"/>
          <w:tab w:val="left" w:pos="720"/>
        </w:tabs>
        <w:spacing w:after="240"/>
        <w:jc w:val="both"/>
        <w:rPr>
          <w:rFonts w:ascii="Times New Roman" w:eastAsia="Times New Roman" w:hAnsi="Times New Roman" w:cs="Times New Roman"/>
          <w:lang w:val="sr-Cyrl-CS"/>
        </w:rPr>
      </w:pPr>
      <w:r w:rsidRPr="00BE2D88">
        <w:rPr>
          <w:rFonts w:ascii="Times New Roman" w:eastAsia="Times New Roman" w:hAnsi="Times New Roman" w:cs="Times New Roman"/>
          <w:lang w:val="sr-Cyrl-CS"/>
        </w:rPr>
        <w:tab/>
      </w:r>
      <w:r w:rsidRPr="00BE2D88">
        <w:rPr>
          <w:rFonts w:ascii="Times New Roman" w:eastAsia="Times New Roman" w:hAnsi="Times New Roman" w:cs="Times New Roman"/>
          <w:lang w:val="sr-Cyrl-CS"/>
        </w:rPr>
        <w:tab/>
      </w:r>
      <w:r w:rsidR="003F2A74" w:rsidRPr="00BE2D88">
        <w:rPr>
          <w:rFonts w:ascii="Times New Roman" w:eastAsia="Times New Roman" w:hAnsi="Times New Roman" w:cs="Times New Roman"/>
          <w:lang w:val="sr-Cyrl-CS"/>
        </w:rPr>
        <w:t>3) издавање дозвола, у складу са поступцима утврђеним у члану 9. Директиве 97/67/ЕЗ, за поштанску услугу која није или не сме да буде резервисана;</w:t>
      </w:r>
    </w:p>
    <w:p w:rsidR="003F2A74" w:rsidRPr="00BE2D88" w:rsidRDefault="00A80246" w:rsidP="003F2A74">
      <w:pPr>
        <w:tabs>
          <w:tab w:val="left" w:pos="250"/>
        </w:tabs>
        <w:spacing w:after="240"/>
        <w:jc w:val="both"/>
        <w:rPr>
          <w:rFonts w:ascii="Times New Roman" w:eastAsia="Times New Roman" w:hAnsi="Times New Roman" w:cs="Times New Roman"/>
          <w:lang w:val="sr-Cyrl-CS"/>
        </w:rPr>
      </w:pPr>
      <w:r w:rsidRPr="00BE2D88">
        <w:rPr>
          <w:rFonts w:ascii="Times New Roman" w:eastAsia="Times New Roman" w:hAnsi="Times New Roman" w:cs="Times New Roman"/>
          <w:lang w:val="sr-Cyrl-CS"/>
        </w:rPr>
        <w:tab/>
      </w:r>
      <w:r w:rsidRPr="00BE2D88">
        <w:rPr>
          <w:rFonts w:ascii="Times New Roman" w:eastAsia="Times New Roman" w:hAnsi="Times New Roman" w:cs="Times New Roman"/>
          <w:lang w:val="sr-Cyrl-CS"/>
        </w:rPr>
        <w:tab/>
      </w:r>
      <w:r w:rsidR="003F2A74" w:rsidRPr="00BE2D88">
        <w:rPr>
          <w:rFonts w:ascii="Times New Roman" w:eastAsia="Times New Roman" w:hAnsi="Times New Roman" w:cs="Times New Roman"/>
          <w:lang w:val="sr-Cyrl-CS"/>
        </w:rPr>
        <w:t xml:space="preserve">4) поступак издавања дозволе за обављање делатности која се односи на искоришћавање угљоводоника, у складу са Директивом 94/22/ЕЗ; </w:t>
      </w:r>
    </w:p>
    <w:p w:rsidR="003F2A74" w:rsidRPr="00BE2D88" w:rsidRDefault="00A80246" w:rsidP="003F2A74">
      <w:pPr>
        <w:tabs>
          <w:tab w:val="left" w:pos="250"/>
          <w:tab w:val="left" w:pos="720"/>
        </w:tabs>
        <w:spacing w:after="240"/>
        <w:jc w:val="both"/>
        <w:rPr>
          <w:rFonts w:ascii="Times New Roman" w:eastAsia="Times New Roman" w:hAnsi="Times New Roman" w:cs="Times New Roman"/>
          <w:lang w:val="sr-Cyrl-CS"/>
        </w:rPr>
      </w:pPr>
      <w:r w:rsidRPr="00BE2D88">
        <w:rPr>
          <w:rFonts w:ascii="Times New Roman" w:eastAsia="Times New Roman" w:hAnsi="Times New Roman" w:cs="Times New Roman"/>
          <w:lang w:val="sr-Cyrl-CS"/>
        </w:rPr>
        <w:tab/>
      </w:r>
      <w:r w:rsidRPr="00BE2D88">
        <w:rPr>
          <w:rFonts w:ascii="Times New Roman" w:eastAsia="Times New Roman" w:hAnsi="Times New Roman" w:cs="Times New Roman"/>
          <w:lang w:val="sr-Cyrl-CS"/>
        </w:rPr>
        <w:tab/>
      </w:r>
      <w:r w:rsidR="003F2A74" w:rsidRPr="00BE2D88">
        <w:rPr>
          <w:rFonts w:ascii="Times New Roman" w:eastAsia="Times New Roman" w:hAnsi="Times New Roman" w:cs="Times New Roman"/>
          <w:lang w:val="sr-Cyrl-CS"/>
        </w:rPr>
        <w:t xml:space="preserve">5) уговори о јавним набавкама услуга у смислу Уредбе (ЕЗ) број 1370/2007 за пружање услуга јавног превоза путника аутобусом, трамвајем, железницом или подземном железницом, који су додељени на основу конкурентског тендерског поступка, у складу са чланом 5. став 3. те уредбе, под условом да је његово трајање, у складу са чланом 4. став 3. или 4. те уредбе. </w:t>
      </w:r>
    </w:p>
    <w:p w:rsidR="003F2A74" w:rsidRPr="00AB0723" w:rsidRDefault="003F2A74" w:rsidP="003F2A74">
      <w:pPr>
        <w:tabs>
          <w:tab w:val="left" w:pos="720"/>
        </w:tabs>
        <w:spacing w:before="240" w:after="240"/>
        <w:jc w:val="center"/>
        <w:rPr>
          <w:rFonts w:ascii="Times New Roman" w:eastAsia="Times New Roman" w:hAnsi="Times New Roman" w:cs="Times New Roman"/>
          <w:lang w:val="sr-Cyrl-CS"/>
        </w:rPr>
      </w:pPr>
      <w:r w:rsidRPr="00AB0723">
        <w:rPr>
          <w:rFonts w:ascii="Times New Roman" w:eastAsia="Times New Roman" w:hAnsi="Times New Roman" w:cs="Times New Roman"/>
          <w:lang w:val="sr-Cyrl-CS"/>
        </w:rPr>
        <w:t>II</w:t>
      </w:r>
      <w:r w:rsidR="001B6765" w:rsidRPr="00AB0723">
        <w:rPr>
          <w:rFonts w:ascii="Times New Roman" w:eastAsia="Times New Roman" w:hAnsi="Times New Roman" w:cs="Times New Roman"/>
          <w:lang w:val="sr-Cyrl-CS"/>
        </w:rPr>
        <w:t>.</w:t>
      </w:r>
      <w:r w:rsidRPr="00AB0723">
        <w:rPr>
          <w:rFonts w:ascii="Times New Roman" w:eastAsia="Times New Roman" w:hAnsi="Times New Roman" w:cs="Times New Roman"/>
          <w:lang w:val="sr-Cyrl-CS"/>
        </w:rPr>
        <w:t xml:space="preserve"> СПИСАК ПРАВНИХ АКАТА ЕВРОПСКЕ УНИЈЕ</w:t>
      </w:r>
    </w:p>
    <w:p w:rsidR="003F2A74" w:rsidRPr="00BE2D88" w:rsidRDefault="003F2A74" w:rsidP="003F2A74">
      <w:pPr>
        <w:tabs>
          <w:tab w:val="left" w:pos="720"/>
        </w:tabs>
        <w:spacing w:before="240" w:after="240"/>
        <w:jc w:val="center"/>
        <w:rPr>
          <w:rFonts w:ascii="Times New Roman" w:eastAsia="Times New Roman" w:hAnsi="Times New Roman" w:cs="Times New Roman"/>
          <w:lang w:val="sr-Cyrl-CS"/>
        </w:rPr>
      </w:pPr>
      <w:r w:rsidRPr="00BE2D88">
        <w:rPr>
          <w:rFonts w:ascii="Times New Roman" w:eastAsia="Times New Roman" w:hAnsi="Times New Roman" w:cs="Times New Roman"/>
          <w:lang w:val="sr-Cyrl-CS"/>
        </w:rPr>
        <w:t>(члан 134. став 4. овог закона)</w:t>
      </w:r>
    </w:p>
    <w:p w:rsidR="003F2A74" w:rsidRPr="00BE2D88" w:rsidRDefault="003F2A74" w:rsidP="001B6765">
      <w:pPr>
        <w:spacing w:before="240" w:after="240"/>
        <w:ind w:firstLine="720"/>
        <w:rPr>
          <w:rFonts w:ascii="Times New Roman" w:hAnsi="Times New Roman" w:cs="Times New Roman"/>
          <w:lang w:val="sr-Cyrl-CS"/>
        </w:rPr>
      </w:pPr>
      <w:r w:rsidRPr="00BE2D88">
        <w:rPr>
          <w:rFonts w:ascii="Times New Roman" w:eastAsia="Times New Roman" w:hAnsi="Times New Roman" w:cs="Times New Roman"/>
          <w:lang w:val="sr-Cyrl-CS"/>
        </w:rPr>
        <w:t xml:space="preserve">Директива 2009/33/ЕЗ </w:t>
      </w:r>
      <w:r w:rsidRPr="00BE2D88">
        <w:rPr>
          <w:rFonts w:ascii="Times New Roman" w:hAnsi="Times New Roman" w:cs="Times New Roman"/>
          <w:lang w:val="sr-Cyrl-CS"/>
        </w:rPr>
        <w:t>Европског парламента и Савета од 23. априла 2009. године о промоцији чистих и енергетски ефикасних возила у друмском саобраћају.</w:t>
      </w:r>
    </w:p>
    <w:p w:rsidR="003F2A74" w:rsidRPr="00AB0723" w:rsidRDefault="003F2A74" w:rsidP="003F2A74">
      <w:pPr>
        <w:tabs>
          <w:tab w:val="left" w:pos="720"/>
        </w:tabs>
        <w:spacing w:before="240" w:after="240"/>
        <w:jc w:val="center"/>
        <w:rPr>
          <w:rFonts w:ascii="Times New Roman" w:eastAsia="Times New Roman" w:hAnsi="Times New Roman" w:cs="Times New Roman"/>
          <w:lang w:val="sr-Cyrl-CS"/>
        </w:rPr>
      </w:pPr>
      <w:r w:rsidRPr="00AB0723">
        <w:rPr>
          <w:rFonts w:ascii="Times New Roman" w:eastAsia="Times New Roman" w:hAnsi="Times New Roman" w:cs="Times New Roman"/>
          <w:lang w:val="sr-Cyrl-CS"/>
        </w:rPr>
        <w:t>III</w:t>
      </w:r>
      <w:r w:rsidR="001B6765" w:rsidRPr="00AB0723">
        <w:rPr>
          <w:rFonts w:ascii="Times New Roman" w:eastAsia="Times New Roman" w:hAnsi="Times New Roman" w:cs="Times New Roman"/>
          <w:lang w:val="sr-Cyrl-CS"/>
        </w:rPr>
        <w:t>.</w:t>
      </w:r>
      <w:r w:rsidRPr="00AB0723">
        <w:rPr>
          <w:rFonts w:ascii="Times New Roman" w:eastAsia="Times New Roman" w:hAnsi="Times New Roman" w:cs="Times New Roman"/>
          <w:lang w:val="sr-Cyrl-CS"/>
        </w:rPr>
        <w:t xml:space="preserve"> СПИСАК ПРАВНИХ АКАТА ЕВРОПСКЕ УНИЈЕ </w:t>
      </w:r>
    </w:p>
    <w:p w:rsidR="003F2A74" w:rsidRPr="00BE2D88" w:rsidRDefault="003F2A74" w:rsidP="003F2A74">
      <w:pPr>
        <w:tabs>
          <w:tab w:val="left" w:pos="720"/>
        </w:tabs>
        <w:spacing w:before="240" w:after="240"/>
        <w:jc w:val="center"/>
        <w:rPr>
          <w:rFonts w:ascii="Times New Roman" w:eastAsia="Times New Roman" w:hAnsi="Times New Roman" w:cs="Times New Roman"/>
          <w:lang w:val="sr-Cyrl-CS"/>
        </w:rPr>
      </w:pPr>
      <w:r w:rsidRPr="00BE2D88">
        <w:rPr>
          <w:rFonts w:ascii="Times New Roman" w:eastAsia="Times New Roman" w:hAnsi="Times New Roman" w:cs="Times New Roman"/>
          <w:lang w:val="sr-Cyrl-CS"/>
        </w:rPr>
        <w:t>(члан 173. став 9. овог закона)</w:t>
      </w:r>
    </w:p>
    <w:p w:rsidR="003F2A74" w:rsidRPr="00AB0723" w:rsidRDefault="003F2A74" w:rsidP="001B6765">
      <w:pPr>
        <w:tabs>
          <w:tab w:val="left" w:pos="250"/>
        </w:tabs>
        <w:jc w:val="center"/>
        <w:rPr>
          <w:rFonts w:ascii="Times New Roman" w:eastAsia="Times New Roman" w:hAnsi="Times New Roman" w:cs="Times New Roman"/>
          <w:lang w:val="sr-Cyrl-CS"/>
        </w:rPr>
      </w:pPr>
      <w:r w:rsidRPr="00AB0723">
        <w:rPr>
          <w:rFonts w:ascii="Times New Roman" w:eastAsia="Times New Roman" w:hAnsi="Times New Roman" w:cs="Times New Roman"/>
          <w:lang w:val="sr-Cyrl-CS"/>
        </w:rPr>
        <w:t>Транспорт или дистрибуција гаса или топлотне енергије</w:t>
      </w:r>
    </w:p>
    <w:p w:rsidR="003F2A74" w:rsidRPr="00BE2D88" w:rsidRDefault="003F2A74" w:rsidP="001B6765">
      <w:pPr>
        <w:spacing w:before="240" w:after="240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  <w:r w:rsidRPr="00BE2D88">
        <w:rPr>
          <w:rFonts w:ascii="Times New Roman" w:eastAsia="Times New Roman" w:hAnsi="Times New Roman" w:cs="Times New Roman"/>
          <w:lang w:val="sr-Cyrl-CS"/>
        </w:rPr>
        <w:t>Директива 2009/73/ЕЗ Европског парламента и Савета од 13. јула 2009. године о заједничким правилима за унутрашње тржиште природног гаса којом се укида Директива 2003/54/ЕЗ</w:t>
      </w:r>
      <w:r w:rsidR="001B6765" w:rsidRPr="00BE2D88">
        <w:rPr>
          <w:rFonts w:ascii="Times New Roman" w:eastAsia="Times New Roman" w:hAnsi="Times New Roman" w:cs="Times New Roman"/>
          <w:lang w:val="sr-Cyrl-CS"/>
        </w:rPr>
        <w:t>;</w:t>
      </w:r>
      <w:r w:rsidRPr="00BE2D88">
        <w:rPr>
          <w:rFonts w:ascii="Times New Roman" w:eastAsia="Times New Roman" w:hAnsi="Times New Roman" w:cs="Times New Roman"/>
          <w:lang w:val="sr-Cyrl-CS"/>
        </w:rPr>
        <w:t xml:space="preserve"> </w:t>
      </w:r>
    </w:p>
    <w:p w:rsidR="001B6765" w:rsidRPr="00BE2D88" w:rsidRDefault="001B6765" w:rsidP="001B6765">
      <w:pPr>
        <w:spacing w:before="240" w:after="240"/>
        <w:ind w:firstLine="720"/>
        <w:rPr>
          <w:rFonts w:ascii="Times New Roman" w:eastAsia="Times New Roman" w:hAnsi="Times New Roman" w:cs="Times New Roman"/>
          <w:lang w:val="sr-Cyrl-CS"/>
        </w:rPr>
      </w:pPr>
    </w:p>
    <w:p w:rsidR="001B6765" w:rsidRPr="00BE2D88" w:rsidRDefault="001B6765" w:rsidP="001B6765">
      <w:pPr>
        <w:spacing w:before="240" w:after="240"/>
        <w:ind w:firstLine="720"/>
        <w:rPr>
          <w:rFonts w:ascii="Times New Roman" w:eastAsia="Times New Roman" w:hAnsi="Times New Roman" w:cs="Times New Roman"/>
          <w:lang w:val="sr-Cyrl-CS"/>
        </w:rPr>
      </w:pPr>
    </w:p>
    <w:p w:rsidR="003F2A74" w:rsidRPr="00AB0723" w:rsidRDefault="003F2A74" w:rsidP="001B6765">
      <w:pPr>
        <w:tabs>
          <w:tab w:val="left" w:pos="254"/>
        </w:tabs>
        <w:jc w:val="center"/>
        <w:rPr>
          <w:rFonts w:ascii="Times New Roman" w:eastAsia="Times New Roman" w:hAnsi="Times New Roman" w:cs="Times New Roman"/>
          <w:lang w:val="sr-Cyrl-CS"/>
        </w:rPr>
      </w:pPr>
      <w:r w:rsidRPr="00AB0723">
        <w:rPr>
          <w:rFonts w:ascii="Times New Roman" w:eastAsia="Times New Roman" w:hAnsi="Times New Roman" w:cs="Times New Roman"/>
          <w:lang w:val="sr-Cyrl-CS"/>
        </w:rPr>
        <w:t>Производња, пренос или дистрибуција електричне енергије</w:t>
      </w:r>
    </w:p>
    <w:p w:rsidR="003F2A74" w:rsidRPr="00BE2D88" w:rsidRDefault="003F2A74" w:rsidP="003F2A74">
      <w:pPr>
        <w:tabs>
          <w:tab w:val="left" w:pos="254"/>
        </w:tabs>
        <w:rPr>
          <w:rFonts w:ascii="Times New Roman" w:eastAsia="Times New Roman" w:hAnsi="Times New Roman" w:cs="Times New Roman"/>
          <w:lang w:val="sr-Cyrl-CS"/>
        </w:rPr>
      </w:pPr>
    </w:p>
    <w:p w:rsidR="003F2A74" w:rsidRPr="00BE2D88" w:rsidRDefault="003F2A74" w:rsidP="001B6765">
      <w:pPr>
        <w:spacing w:before="240" w:after="240"/>
        <w:ind w:firstLine="720"/>
        <w:jc w:val="both"/>
        <w:rPr>
          <w:rFonts w:ascii="Times New Roman" w:eastAsia="Times New Roman" w:hAnsi="Times New Roman" w:cs="Times New Roman"/>
          <w:lang w:val="sr-Cyrl-CS"/>
        </w:rPr>
      </w:pPr>
      <w:r w:rsidRPr="00BE2D88">
        <w:rPr>
          <w:rFonts w:ascii="Times New Roman" w:eastAsia="Times New Roman" w:hAnsi="Times New Roman" w:cs="Times New Roman"/>
          <w:lang w:val="sr-Cyrl-CS"/>
        </w:rPr>
        <w:t>Директива 2009/72/ЕЗ Европског парламента и Савета од 13. јула 2009. године о заједничким правилима за унутрашње тржиште електричне енергије којом се укида Директива 2003/54/ЕЗ;</w:t>
      </w:r>
    </w:p>
    <w:p w:rsidR="003F2A74" w:rsidRPr="00AB0723" w:rsidRDefault="003F2A74" w:rsidP="001B6765">
      <w:pPr>
        <w:tabs>
          <w:tab w:val="left" w:pos="250"/>
        </w:tabs>
        <w:jc w:val="center"/>
        <w:rPr>
          <w:rFonts w:ascii="Times New Roman" w:eastAsia="Times New Roman" w:hAnsi="Times New Roman" w:cs="Times New Roman"/>
          <w:lang w:val="sr-Cyrl-CS"/>
        </w:rPr>
      </w:pPr>
      <w:r w:rsidRPr="00AB0723">
        <w:rPr>
          <w:rFonts w:ascii="Times New Roman" w:eastAsia="Times New Roman" w:hAnsi="Times New Roman" w:cs="Times New Roman"/>
          <w:lang w:val="sr-Cyrl-CS"/>
        </w:rPr>
        <w:t>Наручиоци у области поштанских услуга</w:t>
      </w:r>
    </w:p>
    <w:p w:rsidR="003F2A74" w:rsidRPr="00BE2D88" w:rsidRDefault="003F2A74" w:rsidP="001B6765">
      <w:pPr>
        <w:spacing w:before="240" w:after="240"/>
        <w:ind w:firstLine="720"/>
        <w:rPr>
          <w:rFonts w:ascii="Times New Roman" w:eastAsia="Times New Roman" w:hAnsi="Times New Roman" w:cs="Times New Roman"/>
          <w:lang w:val="sr-Cyrl-CS"/>
        </w:rPr>
      </w:pPr>
      <w:r w:rsidRPr="00BE2D88">
        <w:rPr>
          <w:rFonts w:ascii="Times New Roman" w:eastAsia="Times New Roman" w:hAnsi="Times New Roman" w:cs="Times New Roman"/>
          <w:lang w:val="sr-Cyrl-CS"/>
        </w:rPr>
        <w:t>Директива 97/67/ЕЗ Општа правила за развој тржишта поштанских услуга и побољшања квалитета услуга;</w:t>
      </w:r>
    </w:p>
    <w:p w:rsidR="003F2A74" w:rsidRPr="008820A1" w:rsidRDefault="003F2A74" w:rsidP="001B6765">
      <w:pPr>
        <w:tabs>
          <w:tab w:val="left" w:pos="250"/>
        </w:tabs>
        <w:jc w:val="center"/>
        <w:rPr>
          <w:rFonts w:ascii="Times New Roman" w:eastAsia="Times New Roman" w:hAnsi="Times New Roman" w:cs="Times New Roman"/>
          <w:lang w:val="sr-Cyrl-CS"/>
        </w:rPr>
      </w:pPr>
      <w:bookmarkStart w:id="0" w:name="_GoBack"/>
      <w:r w:rsidRPr="008820A1">
        <w:rPr>
          <w:rFonts w:ascii="Times New Roman" w:eastAsia="Times New Roman" w:hAnsi="Times New Roman" w:cs="Times New Roman"/>
          <w:lang w:val="sr-Cyrl-CS"/>
        </w:rPr>
        <w:t>Вађење нафте или гаса</w:t>
      </w:r>
    </w:p>
    <w:bookmarkEnd w:id="0"/>
    <w:p w:rsidR="003F2A74" w:rsidRPr="00BE2D88" w:rsidRDefault="003F2A74" w:rsidP="001B6765">
      <w:pPr>
        <w:spacing w:before="240" w:after="240"/>
        <w:ind w:firstLine="720"/>
        <w:rPr>
          <w:rFonts w:ascii="Times New Roman" w:eastAsia="Times New Roman" w:hAnsi="Times New Roman" w:cs="Times New Roman"/>
          <w:lang w:val="sr-Cyrl-CS"/>
        </w:rPr>
      </w:pPr>
      <w:r w:rsidRPr="00BE2D88">
        <w:rPr>
          <w:rFonts w:ascii="Times New Roman" w:eastAsia="Times New Roman" w:hAnsi="Times New Roman" w:cs="Times New Roman"/>
          <w:lang w:val="sr-Cyrl-CS"/>
        </w:rPr>
        <w:t>Директива 94/22/ЕЗ Европскога парламента и Савета од 30. маја 1994. године о условима за давање и коришћење одобрења за тражење, истраживање и производњу угљоводоника</w:t>
      </w:r>
      <w:r w:rsidR="001B6765" w:rsidRPr="00BE2D88">
        <w:rPr>
          <w:rFonts w:ascii="Times New Roman" w:eastAsia="Times New Roman" w:hAnsi="Times New Roman" w:cs="Times New Roman"/>
          <w:lang w:val="sr-Cyrl-CS"/>
        </w:rPr>
        <w:t>.</w:t>
      </w:r>
    </w:p>
    <w:p w:rsidR="003F2A74" w:rsidRPr="00BE2D88" w:rsidRDefault="003F2A74" w:rsidP="003F2A74">
      <w:pPr>
        <w:rPr>
          <w:rFonts w:hint="eastAsia"/>
          <w:lang w:val="sr-Cyrl-CS"/>
        </w:rPr>
      </w:pPr>
    </w:p>
    <w:p w:rsidR="003F2A74" w:rsidRPr="00BE2D88" w:rsidRDefault="003F2A74" w:rsidP="003F2A74">
      <w:pPr>
        <w:spacing w:after="21" w:line="256" w:lineRule="auto"/>
        <w:ind w:left="720"/>
        <w:rPr>
          <w:rFonts w:hint="eastAsia"/>
          <w:lang w:val="sr-Cyrl-CS"/>
        </w:rPr>
      </w:pPr>
    </w:p>
    <w:p w:rsidR="003F2A74" w:rsidRPr="00BE2D88" w:rsidRDefault="003F2A74" w:rsidP="003F2A74">
      <w:pPr>
        <w:rPr>
          <w:rFonts w:hint="eastAsia"/>
          <w:lang w:val="sr-Cyrl-CS"/>
        </w:rPr>
      </w:pPr>
    </w:p>
    <w:p w:rsidR="003F2A74" w:rsidRPr="00BE2D88" w:rsidRDefault="003F2A74" w:rsidP="003F2A74">
      <w:pPr>
        <w:ind w:right="48"/>
        <w:jc w:val="both"/>
        <w:rPr>
          <w:rFonts w:hint="eastAsia"/>
          <w:lang w:val="sr-Cyrl-CS"/>
        </w:rPr>
      </w:pPr>
    </w:p>
    <w:p w:rsidR="00F35DE9" w:rsidRPr="00BE2D88" w:rsidRDefault="00F35DE9">
      <w:pPr>
        <w:rPr>
          <w:rFonts w:hint="eastAsia"/>
          <w:lang w:val="sr-Cyrl-CS"/>
        </w:rPr>
      </w:pPr>
    </w:p>
    <w:sectPr w:rsidR="00F35DE9" w:rsidRPr="00BE2D88" w:rsidSect="00700C76">
      <w:footerReference w:type="default" r:id="rId7"/>
      <w:pgSz w:w="12240" w:h="15840"/>
      <w:pgMar w:top="993" w:right="1134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90E" w:rsidRDefault="0069190E">
      <w:pPr>
        <w:rPr>
          <w:rFonts w:hint="eastAsia"/>
        </w:rPr>
      </w:pPr>
      <w:r>
        <w:separator/>
      </w:r>
    </w:p>
  </w:endnote>
  <w:endnote w:type="continuationSeparator" w:id="0">
    <w:p w:rsidR="0069190E" w:rsidRDefault="0069190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31517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00C76" w:rsidRDefault="00700C76">
        <w:pPr>
          <w:pStyle w:val="Footer"/>
          <w:jc w:val="right"/>
          <w:rPr>
            <w:rFonts w:hint="eastAsia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20A1">
          <w:rPr>
            <w:rFonts w:hint="eastAsia"/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F2C39" w:rsidRDefault="0069190E">
    <w:pPr>
      <w:pStyle w:val="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90E" w:rsidRDefault="0069190E">
      <w:pPr>
        <w:rPr>
          <w:rFonts w:hint="eastAsia"/>
        </w:rPr>
      </w:pPr>
      <w:r>
        <w:separator/>
      </w:r>
    </w:p>
  </w:footnote>
  <w:footnote w:type="continuationSeparator" w:id="0">
    <w:p w:rsidR="0069190E" w:rsidRDefault="0069190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A74"/>
    <w:rsid w:val="001B6765"/>
    <w:rsid w:val="003646D0"/>
    <w:rsid w:val="003F2A74"/>
    <w:rsid w:val="004325A2"/>
    <w:rsid w:val="005A3097"/>
    <w:rsid w:val="00647CC7"/>
    <w:rsid w:val="0069190E"/>
    <w:rsid w:val="00700C76"/>
    <w:rsid w:val="007F6C83"/>
    <w:rsid w:val="008820A1"/>
    <w:rsid w:val="008827CD"/>
    <w:rsid w:val="0099568E"/>
    <w:rsid w:val="00A56A7A"/>
    <w:rsid w:val="00A65B54"/>
    <w:rsid w:val="00A80246"/>
    <w:rsid w:val="00AB0723"/>
    <w:rsid w:val="00BE2D88"/>
    <w:rsid w:val="00E80AD5"/>
    <w:rsid w:val="00F35DE9"/>
    <w:rsid w:val="00F7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A74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1"/>
    <w:uiPriority w:val="99"/>
    <w:rsid w:val="003F2A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sid w:val="003F2A74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customStyle="1" w:styleId="FooterChar1">
    <w:name w:val="Footer Char1"/>
    <w:basedOn w:val="DefaultParagraphFont"/>
    <w:link w:val="Footer"/>
    <w:uiPriority w:val="99"/>
    <w:rsid w:val="003F2A74"/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700C76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700C76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A74"/>
    <w:pPr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1"/>
    <w:uiPriority w:val="99"/>
    <w:rsid w:val="003F2A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sid w:val="003F2A74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customStyle="1" w:styleId="FooterChar1">
    <w:name w:val="Footer Char1"/>
    <w:basedOn w:val="DefaultParagraphFont"/>
    <w:link w:val="Footer"/>
    <w:uiPriority w:val="99"/>
    <w:rsid w:val="003F2A74"/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700C76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700C76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Strahinja Vujicic</cp:lastModifiedBy>
  <cp:revision>7</cp:revision>
  <dcterms:created xsi:type="dcterms:W3CDTF">2019-09-27T12:21:00Z</dcterms:created>
  <dcterms:modified xsi:type="dcterms:W3CDTF">2019-09-30T11:01:00Z</dcterms:modified>
</cp:coreProperties>
</file>