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1A6F" w:rsidRPr="004408F0" w:rsidRDefault="00E61A6F" w:rsidP="00E61A6F">
      <w:pPr>
        <w:rPr>
          <w:sz w:val="24"/>
          <w:szCs w:val="24"/>
          <w:u w:val="single"/>
          <w:lang w:val="sr-Cyrl-CS"/>
        </w:rPr>
      </w:pPr>
      <w:bookmarkStart w:id="0" w:name="_GoBack"/>
      <w:bookmarkEnd w:id="0"/>
    </w:p>
    <w:p w:rsidR="00E61A6F" w:rsidRDefault="00E61A6F" w:rsidP="0012265A">
      <w:pPr>
        <w:tabs>
          <w:tab w:val="left" w:pos="1440"/>
        </w:tabs>
        <w:jc w:val="both"/>
        <w:rPr>
          <w:sz w:val="24"/>
          <w:szCs w:val="24"/>
          <w:lang w:val="sr-Cyrl-CS"/>
        </w:rPr>
      </w:pPr>
    </w:p>
    <w:p w:rsidR="0012265A" w:rsidRPr="00B67E8B" w:rsidRDefault="0012265A" w:rsidP="0012265A">
      <w:pPr>
        <w:tabs>
          <w:tab w:val="left" w:pos="1440"/>
        </w:tabs>
        <w:jc w:val="both"/>
        <w:rPr>
          <w:sz w:val="24"/>
          <w:szCs w:val="24"/>
          <w:lang w:val="sr-Cyrl-CS"/>
        </w:rPr>
      </w:pPr>
      <w:r w:rsidRPr="00B67E8B">
        <w:rPr>
          <w:sz w:val="24"/>
          <w:szCs w:val="24"/>
          <w:lang w:val="sr-Cyrl-CS"/>
        </w:rPr>
        <w:t xml:space="preserve">На основу члана 3. став 2. Закона о обнови након елементарне и друге непогоде („Службени гласник РС”, број 112/15) и члана 42. став 1. Закона о Влади („Службени гласник РС”, бр. 55/05, 71/05 </w:t>
      </w:r>
      <w:r w:rsidRPr="00B67E8B">
        <w:rPr>
          <w:sz w:val="24"/>
          <w:szCs w:val="24"/>
          <w:lang w:val="sr-Cyrl-CS"/>
        </w:rPr>
        <w:sym w:font="Symbol" w:char="002D"/>
      </w:r>
      <w:r w:rsidRPr="00B67E8B">
        <w:rPr>
          <w:sz w:val="24"/>
          <w:szCs w:val="24"/>
          <w:lang w:val="sr-Cyrl-CS"/>
        </w:rPr>
        <w:t xml:space="preserve"> исправка, 101/07, 65/08, 16/11, 68/12 </w:t>
      </w:r>
      <w:r w:rsidRPr="00B67E8B">
        <w:rPr>
          <w:sz w:val="24"/>
          <w:szCs w:val="24"/>
          <w:lang w:val="sr-Cyrl-CS"/>
        </w:rPr>
        <w:sym w:font="Symbol" w:char="002D"/>
      </w:r>
      <w:r w:rsidRPr="00B67E8B">
        <w:rPr>
          <w:sz w:val="24"/>
          <w:szCs w:val="24"/>
          <w:lang w:val="sr-Cyrl-CS"/>
        </w:rPr>
        <w:t xml:space="preserve"> УС, 72/12, 7/14 </w:t>
      </w:r>
      <w:r w:rsidRPr="00B67E8B">
        <w:rPr>
          <w:sz w:val="24"/>
          <w:szCs w:val="24"/>
          <w:lang w:val="sr-Cyrl-CS"/>
        </w:rPr>
        <w:sym w:font="Symbol" w:char="002D"/>
      </w:r>
      <w:r w:rsidRPr="00B67E8B">
        <w:rPr>
          <w:sz w:val="24"/>
          <w:szCs w:val="24"/>
          <w:lang w:val="sr-Cyrl-CS"/>
        </w:rPr>
        <w:t xml:space="preserve"> УС, 44/14 и 30/18 </w:t>
      </w:r>
      <w:r w:rsidRPr="00B67E8B">
        <w:rPr>
          <w:sz w:val="24"/>
          <w:szCs w:val="24"/>
          <w:lang w:val="sr-Cyrl-CS"/>
        </w:rPr>
        <w:sym w:font="Symbol" w:char="002D"/>
      </w:r>
      <w:r w:rsidRPr="00B67E8B">
        <w:rPr>
          <w:sz w:val="24"/>
          <w:szCs w:val="24"/>
          <w:lang w:val="sr-Cyrl-CS"/>
        </w:rPr>
        <w:t xml:space="preserve"> др. закон), </w:t>
      </w:r>
    </w:p>
    <w:p w:rsidR="0012265A" w:rsidRPr="00B67E8B" w:rsidRDefault="0012265A" w:rsidP="0012265A">
      <w:pPr>
        <w:jc w:val="both"/>
        <w:rPr>
          <w:sz w:val="24"/>
          <w:szCs w:val="24"/>
          <w:lang w:val="sr-Cyrl-CS"/>
        </w:rPr>
      </w:pPr>
    </w:p>
    <w:p w:rsidR="0012265A" w:rsidRPr="00B67E8B" w:rsidRDefault="0012265A" w:rsidP="0012265A">
      <w:pPr>
        <w:tabs>
          <w:tab w:val="left" w:pos="1440"/>
        </w:tabs>
        <w:jc w:val="both"/>
        <w:rPr>
          <w:sz w:val="24"/>
          <w:szCs w:val="24"/>
          <w:lang w:val="sr-Cyrl-CS"/>
        </w:rPr>
      </w:pPr>
      <w:r w:rsidRPr="00B67E8B">
        <w:rPr>
          <w:sz w:val="24"/>
          <w:szCs w:val="24"/>
          <w:lang w:val="sr-Cyrl-CS"/>
        </w:rPr>
        <w:tab/>
        <w:t>Влада доноси</w:t>
      </w:r>
    </w:p>
    <w:p w:rsidR="0012265A" w:rsidRPr="00B67E8B" w:rsidRDefault="0012265A" w:rsidP="0012265A">
      <w:pPr>
        <w:jc w:val="both"/>
        <w:rPr>
          <w:sz w:val="24"/>
          <w:szCs w:val="24"/>
          <w:lang w:val="sr-Cyrl-CS"/>
        </w:rPr>
      </w:pPr>
    </w:p>
    <w:p w:rsidR="0012265A" w:rsidRPr="00B67E8B" w:rsidRDefault="0012265A" w:rsidP="0012265A">
      <w:pPr>
        <w:jc w:val="center"/>
        <w:rPr>
          <w:sz w:val="24"/>
          <w:szCs w:val="24"/>
          <w:lang w:val="sr-Cyrl-CS"/>
        </w:rPr>
      </w:pPr>
      <w:r w:rsidRPr="00B67E8B">
        <w:rPr>
          <w:sz w:val="24"/>
          <w:szCs w:val="24"/>
          <w:lang w:val="sr-Cyrl-CS"/>
        </w:rPr>
        <w:t xml:space="preserve">У Р Е Д Б У </w:t>
      </w:r>
    </w:p>
    <w:p w:rsidR="0012265A" w:rsidRPr="00B67E8B" w:rsidRDefault="0012265A" w:rsidP="0012265A">
      <w:pPr>
        <w:jc w:val="center"/>
        <w:rPr>
          <w:sz w:val="24"/>
          <w:szCs w:val="24"/>
          <w:lang w:val="sr-Cyrl-CS"/>
        </w:rPr>
      </w:pPr>
      <w:r w:rsidRPr="00B67E8B">
        <w:rPr>
          <w:sz w:val="24"/>
          <w:szCs w:val="24"/>
          <w:lang w:val="sr-Cyrl-CS"/>
        </w:rPr>
        <w:t xml:space="preserve">О УТВРЂИВАЊУ </w:t>
      </w:r>
      <w:bookmarkStart w:id="1" w:name="_Hlk487097465"/>
      <w:r w:rsidRPr="00B67E8B">
        <w:rPr>
          <w:sz w:val="24"/>
          <w:szCs w:val="24"/>
          <w:lang w:val="sr-Cyrl-CS"/>
        </w:rPr>
        <w:t xml:space="preserve">ДРЖАВНОГ ПРОГРАМА ОБНОВЕ, ОДНОСНО </w:t>
      </w:r>
    </w:p>
    <w:p w:rsidR="0012265A" w:rsidRPr="00B67E8B" w:rsidRDefault="0012265A" w:rsidP="0012265A">
      <w:pPr>
        <w:jc w:val="center"/>
        <w:rPr>
          <w:sz w:val="24"/>
          <w:szCs w:val="24"/>
          <w:lang w:val="sr-Cyrl-CS"/>
        </w:rPr>
      </w:pPr>
      <w:r w:rsidRPr="00B67E8B">
        <w:rPr>
          <w:sz w:val="24"/>
          <w:szCs w:val="24"/>
          <w:lang w:val="sr-Cyrl-CS"/>
        </w:rPr>
        <w:t xml:space="preserve">ХИТНИХ РАДОВА НА САНАЦИЈИ ОБЈЕКАТА ЗА ЗАШТИТУ </w:t>
      </w:r>
    </w:p>
    <w:p w:rsidR="0012265A" w:rsidRPr="00B67E8B" w:rsidRDefault="0012265A" w:rsidP="0012265A">
      <w:pPr>
        <w:jc w:val="center"/>
        <w:rPr>
          <w:sz w:val="24"/>
          <w:szCs w:val="24"/>
          <w:lang w:val="sr-Cyrl-CS"/>
        </w:rPr>
      </w:pPr>
      <w:r w:rsidRPr="00B67E8B">
        <w:rPr>
          <w:sz w:val="24"/>
          <w:szCs w:val="24"/>
          <w:lang w:val="sr-Cyrl-CS"/>
        </w:rPr>
        <w:t xml:space="preserve">ОД ВОДА ОШТЕЋЕНИХ У ПОПЛАВАМА </w:t>
      </w:r>
      <w:bookmarkEnd w:id="1"/>
      <w:r w:rsidRPr="00B67E8B">
        <w:rPr>
          <w:sz w:val="24"/>
          <w:szCs w:val="24"/>
          <w:lang w:val="sr-Cyrl-CS"/>
        </w:rPr>
        <w:t>ИЗАЗВАНИМ</w:t>
      </w:r>
    </w:p>
    <w:p w:rsidR="0012265A" w:rsidRPr="00B67E8B" w:rsidRDefault="0012265A" w:rsidP="0012265A">
      <w:pPr>
        <w:jc w:val="center"/>
        <w:rPr>
          <w:sz w:val="24"/>
          <w:szCs w:val="24"/>
          <w:lang w:val="sr-Cyrl-CS"/>
        </w:rPr>
      </w:pPr>
      <w:r w:rsidRPr="00B67E8B">
        <w:rPr>
          <w:sz w:val="24"/>
          <w:szCs w:val="24"/>
          <w:lang w:val="sr-Cyrl-CS"/>
        </w:rPr>
        <w:t xml:space="preserve"> ЕЛЕМЕНТАРНОМ НЕПОГОДОМ У ЈУНУ 2019. ГОДИНЕ</w:t>
      </w:r>
    </w:p>
    <w:p w:rsidR="0012265A" w:rsidRPr="00B67E8B" w:rsidRDefault="0012265A" w:rsidP="0012265A">
      <w:pPr>
        <w:jc w:val="center"/>
        <w:rPr>
          <w:sz w:val="24"/>
          <w:szCs w:val="24"/>
          <w:lang w:val="sr-Cyrl-CS"/>
        </w:rPr>
      </w:pPr>
    </w:p>
    <w:p w:rsidR="0012265A" w:rsidRPr="00B67E8B" w:rsidRDefault="0012265A" w:rsidP="0012265A">
      <w:pPr>
        <w:jc w:val="center"/>
        <w:rPr>
          <w:sz w:val="24"/>
          <w:szCs w:val="24"/>
          <w:lang w:val="sr-Cyrl-CS"/>
        </w:rPr>
      </w:pPr>
      <w:r w:rsidRPr="00B67E8B">
        <w:rPr>
          <w:sz w:val="24"/>
          <w:szCs w:val="24"/>
          <w:lang w:val="sr-Cyrl-CS"/>
        </w:rPr>
        <w:t>Члан 1.</w:t>
      </w:r>
    </w:p>
    <w:p w:rsidR="0012265A" w:rsidRPr="00B67E8B" w:rsidRDefault="0012265A" w:rsidP="0012265A">
      <w:pPr>
        <w:jc w:val="center"/>
        <w:rPr>
          <w:sz w:val="24"/>
          <w:szCs w:val="24"/>
          <w:lang w:val="sr-Cyrl-CS"/>
        </w:rPr>
      </w:pPr>
    </w:p>
    <w:p w:rsidR="0012265A" w:rsidRPr="00B67E8B" w:rsidRDefault="0012265A" w:rsidP="0012265A">
      <w:pPr>
        <w:tabs>
          <w:tab w:val="left" w:pos="1440"/>
        </w:tabs>
        <w:jc w:val="both"/>
        <w:rPr>
          <w:sz w:val="24"/>
          <w:szCs w:val="24"/>
          <w:lang w:val="sr-Cyrl-CS"/>
        </w:rPr>
      </w:pPr>
      <w:r w:rsidRPr="00B67E8B">
        <w:rPr>
          <w:sz w:val="24"/>
          <w:szCs w:val="24"/>
          <w:lang w:val="sr-Cyrl-CS"/>
        </w:rPr>
        <w:tab/>
        <w:t>Овом уредбом утврђује се</w:t>
      </w:r>
      <w:r w:rsidRPr="00B67E8B">
        <w:rPr>
          <w:i/>
          <w:sz w:val="24"/>
          <w:szCs w:val="24"/>
          <w:lang w:val="sr-Cyrl-CS"/>
        </w:rPr>
        <w:t xml:space="preserve"> </w:t>
      </w:r>
      <w:r w:rsidRPr="00B67E8B">
        <w:rPr>
          <w:sz w:val="24"/>
          <w:szCs w:val="24"/>
          <w:lang w:val="sr-Cyrl-CS"/>
        </w:rPr>
        <w:t>Државни програм обнове, односно хитних радова на санацији објеката за заштиту од вода оштећених у поплавама изазваним елементарном непогодом у јуну 2019. године.</w:t>
      </w:r>
    </w:p>
    <w:p w:rsidR="0012265A" w:rsidRPr="00B67E8B" w:rsidRDefault="0012265A" w:rsidP="0012265A">
      <w:pPr>
        <w:rPr>
          <w:sz w:val="24"/>
          <w:szCs w:val="24"/>
          <w:lang w:val="sr-Cyrl-CS"/>
        </w:rPr>
      </w:pPr>
    </w:p>
    <w:p w:rsidR="0012265A" w:rsidRPr="00B67E8B" w:rsidRDefault="0012265A" w:rsidP="0012265A">
      <w:pPr>
        <w:jc w:val="center"/>
        <w:rPr>
          <w:sz w:val="24"/>
          <w:szCs w:val="24"/>
          <w:lang w:val="sr-Cyrl-CS"/>
        </w:rPr>
      </w:pPr>
      <w:r w:rsidRPr="00B67E8B">
        <w:rPr>
          <w:sz w:val="24"/>
          <w:szCs w:val="24"/>
          <w:lang w:val="sr-Cyrl-CS"/>
        </w:rPr>
        <w:t>Члан 2.</w:t>
      </w:r>
    </w:p>
    <w:p w:rsidR="0012265A" w:rsidRPr="00B67E8B" w:rsidRDefault="0012265A" w:rsidP="0012265A">
      <w:pPr>
        <w:jc w:val="center"/>
        <w:rPr>
          <w:sz w:val="24"/>
          <w:szCs w:val="24"/>
          <w:lang w:val="sr-Cyrl-CS"/>
        </w:rPr>
      </w:pPr>
    </w:p>
    <w:p w:rsidR="0012265A" w:rsidRPr="00B67E8B" w:rsidRDefault="0012265A" w:rsidP="0012265A">
      <w:pPr>
        <w:tabs>
          <w:tab w:val="left" w:pos="1440"/>
        </w:tabs>
        <w:jc w:val="both"/>
        <w:rPr>
          <w:sz w:val="24"/>
          <w:szCs w:val="24"/>
          <w:lang w:val="sr-Cyrl-CS"/>
        </w:rPr>
      </w:pPr>
      <w:r w:rsidRPr="00B67E8B">
        <w:rPr>
          <w:sz w:val="24"/>
          <w:szCs w:val="24"/>
          <w:lang w:val="sr-Cyrl-CS"/>
        </w:rPr>
        <w:tab/>
        <w:t>Државни програм из члана 1. ове уредбе одштампан је уз ову уредбу и чини њен саставни део.</w:t>
      </w:r>
    </w:p>
    <w:p w:rsidR="0012265A" w:rsidRPr="00B67E8B" w:rsidRDefault="0012265A" w:rsidP="0012265A">
      <w:pPr>
        <w:jc w:val="center"/>
        <w:rPr>
          <w:sz w:val="24"/>
          <w:szCs w:val="24"/>
          <w:lang w:val="sr-Cyrl-CS"/>
        </w:rPr>
      </w:pPr>
    </w:p>
    <w:p w:rsidR="0012265A" w:rsidRPr="00B67E8B" w:rsidRDefault="0012265A" w:rsidP="0012265A">
      <w:pPr>
        <w:jc w:val="center"/>
        <w:rPr>
          <w:sz w:val="24"/>
          <w:szCs w:val="24"/>
          <w:lang w:val="sr-Cyrl-CS"/>
        </w:rPr>
      </w:pPr>
    </w:p>
    <w:p w:rsidR="0012265A" w:rsidRPr="00B67E8B" w:rsidRDefault="0012265A" w:rsidP="0012265A">
      <w:pPr>
        <w:jc w:val="center"/>
        <w:rPr>
          <w:sz w:val="24"/>
          <w:szCs w:val="24"/>
          <w:lang w:val="sr-Cyrl-CS"/>
        </w:rPr>
      </w:pPr>
      <w:r w:rsidRPr="00B67E8B">
        <w:rPr>
          <w:sz w:val="24"/>
          <w:szCs w:val="24"/>
          <w:lang w:val="sr-Cyrl-CS"/>
        </w:rPr>
        <w:t>Члан 3.</w:t>
      </w:r>
    </w:p>
    <w:p w:rsidR="0012265A" w:rsidRPr="00B67E8B" w:rsidRDefault="0012265A" w:rsidP="0012265A">
      <w:pPr>
        <w:jc w:val="center"/>
        <w:rPr>
          <w:sz w:val="24"/>
          <w:szCs w:val="24"/>
          <w:lang w:val="sr-Cyrl-CS"/>
        </w:rPr>
      </w:pPr>
    </w:p>
    <w:p w:rsidR="0012265A" w:rsidRPr="00B67E8B" w:rsidRDefault="0012265A" w:rsidP="0012265A">
      <w:pPr>
        <w:tabs>
          <w:tab w:val="left" w:pos="1440"/>
        </w:tabs>
        <w:jc w:val="both"/>
        <w:rPr>
          <w:sz w:val="24"/>
          <w:szCs w:val="24"/>
          <w:lang w:val="sr-Cyrl-CS"/>
        </w:rPr>
      </w:pPr>
      <w:r w:rsidRPr="00B67E8B">
        <w:rPr>
          <w:sz w:val="24"/>
          <w:szCs w:val="24"/>
          <w:lang w:val="sr-Cyrl-CS"/>
        </w:rPr>
        <w:tab/>
        <w:t>Ова уредба ступа на снагу наредног дана од дана објављивања у „Службеном гласнику Републике Србије”.</w:t>
      </w:r>
    </w:p>
    <w:p w:rsidR="0012265A" w:rsidRPr="00B67E8B" w:rsidRDefault="0012265A" w:rsidP="0012265A">
      <w:pPr>
        <w:tabs>
          <w:tab w:val="left" w:pos="1440"/>
        </w:tabs>
        <w:jc w:val="both"/>
        <w:rPr>
          <w:sz w:val="24"/>
          <w:szCs w:val="24"/>
          <w:lang w:val="sr-Cyrl-CS"/>
        </w:rPr>
      </w:pPr>
    </w:p>
    <w:p w:rsidR="0012265A" w:rsidRPr="00B67E8B" w:rsidRDefault="0012265A" w:rsidP="0012265A">
      <w:pPr>
        <w:tabs>
          <w:tab w:val="left" w:pos="1440"/>
        </w:tabs>
        <w:jc w:val="both"/>
        <w:rPr>
          <w:sz w:val="24"/>
          <w:szCs w:val="24"/>
          <w:lang w:val="sr-Cyrl-CS"/>
        </w:rPr>
      </w:pPr>
    </w:p>
    <w:p w:rsidR="0012265A" w:rsidRPr="00B67E8B" w:rsidRDefault="0012265A" w:rsidP="0012265A">
      <w:pPr>
        <w:tabs>
          <w:tab w:val="left" w:pos="1440"/>
        </w:tabs>
        <w:jc w:val="both"/>
        <w:rPr>
          <w:sz w:val="24"/>
          <w:szCs w:val="24"/>
          <w:lang w:val="sr-Cyrl-CS"/>
        </w:rPr>
      </w:pPr>
    </w:p>
    <w:p w:rsidR="0012265A" w:rsidRPr="00B67E8B" w:rsidRDefault="0012265A" w:rsidP="0012265A">
      <w:pPr>
        <w:jc w:val="both"/>
        <w:rPr>
          <w:sz w:val="24"/>
          <w:szCs w:val="24"/>
          <w:lang w:val="sr-Cyrl-CS"/>
        </w:rPr>
      </w:pPr>
      <w:r w:rsidRPr="00B67E8B">
        <w:rPr>
          <w:color w:val="000000"/>
          <w:sz w:val="24"/>
          <w:szCs w:val="24"/>
          <w:lang w:val="sr-Cyrl-CS"/>
        </w:rPr>
        <w:t>05 Број: 110-7058/2019</w:t>
      </w:r>
    </w:p>
    <w:p w:rsidR="0012265A" w:rsidRPr="00B67E8B" w:rsidRDefault="0012265A" w:rsidP="0012265A">
      <w:pPr>
        <w:tabs>
          <w:tab w:val="left" w:pos="1425"/>
        </w:tabs>
        <w:rPr>
          <w:sz w:val="24"/>
          <w:szCs w:val="24"/>
          <w:lang w:val="sr-Cyrl-CS"/>
        </w:rPr>
      </w:pPr>
      <w:r w:rsidRPr="00B67E8B">
        <w:rPr>
          <w:sz w:val="24"/>
          <w:szCs w:val="24"/>
          <w:lang w:val="sr-Cyrl-CS"/>
        </w:rPr>
        <w:t>У Београду, 11. јула 2019. године</w:t>
      </w:r>
    </w:p>
    <w:p w:rsidR="0012265A" w:rsidRPr="00B67E8B" w:rsidRDefault="0012265A" w:rsidP="0012265A">
      <w:pPr>
        <w:tabs>
          <w:tab w:val="left" w:pos="1425"/>
        </w:tabs>
        <w:jc w:val="center"/>
        <w:outlineLvl w:val="0"/>
        <w:rPr>
          <w:sz w:val="24"/>
          <w:szCs w:val="24"/>
          <w:lang w:val="sr-Cyrl-CS"/>
        </w:rPr>
      </w:pPr>
    </w:p>
    <w:p w:rsidR="0012265A" w:rsidRPr="00B67E8B" w:rsidRDefault="0012265A" w:rsidP="0012265A">
      <w:pPr>
        <w:tabs>
          <w:tab w:val="left" w:pos="1425"/>
        </w:tabs>
        <w:jc w:val="center"/>
        <w:outlineLvl w:val="0"/>
        <w:rPr>
          <w:sz w:val="24"/>
          <w:szCs w:val="24"/>
          <w:lang w:val="sr-Cyrl-CS"/>
        </w:rPr>
      </w:pPr>
      <w:r w:rsidRPr="00B67E8B">
        <w:rPr>
          <w:sz w:val="24"/>
          <w:szCs w:val="24"/>
          <w:lang w:val="sr-Cyrl-CS"/>
        </w:rPr>
        <w:t>В Л А Д А</w:t>
      </w:r>
    </w:p>
    <w:p w:rsidR="0012265A" w:rsidRPr="00B67E8B" w:rsidRDefault="0012265A" w:rsidP="0012265A">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12265A" w:rsidRPr="00B67E8B" w:rsidTr="004C6D3A">
        <w:tc>
          <w:tcPr>
            <w:tcW w:w="4360" w:type="dxa"/>
          </w:tcPr>
          <w:p w:rsidR="0012265A" w:rsidRPr="00B67E8B" w:rsidRDefault="0012265A" w:rsidP="004C6D3A">
            <w:pPr>
              <w:jc w:val="center"/>
              <w:rPr>
                <w:sz w:val="24"/>
                <w:szCs w:val="24"/>
                <w:lang w:val="sr-Cyrl-CS"/>
              </w:rPr>
            </w:pPr>
          </w:p>
        </w:tc>
        <w:tc>
          <w:tcPr>
            <w:tcW w:w="4360" w:type="dxa"/>
          </w:tcPr>
          <w:p w:rsidR="0012265A" w:rsidRPr="00B67E8B" w:rsidRDefault="0012265A" w:rsidP="004C6D3A">
            <w:pPr>
              <w:jc w:val="center"/>
              <w:rPr>
                <w:sz w:val="24"/>
                <w:szCs w:val="24"/>
                <w:lang w:val="sr-Cyrl-CS"/>
              </w:rPr>
            </w:pPr>
          </w:p>
          <w:p w:rsidR="0012265A" w:rsidRPr="00B67E8B" w:rsidRDefault="0012265A" w:rsidP="004C6D3A">
            <w:pPr>
              <w:jc w:val="center"/>
              <w:rPr>
                <w:sz w:val="24"/>
                <w:szCs w:val="24"/>
                <w:lang w:val="sr-Cyrl-CS"/>
              </w:rPr>
            </w:pPr>
            <w:r w:rsidRPr="00B67E8B">
              <w:rPr>
                <w:sz w:val="24"/>
                <w:szCs w:val="24"/>
                <w:lang w:val="sr-Cyrl-CS"/>
              </w:rPr>
              <w:t>ПРЕДСЕДНИК</w:t>
            </w:r>
          </w:p>
          <w:p w:rsidR="0012265A" w:rsidRPr="00B67E8B" w:rsidRDefault="0012265A" w:rsidP="004C6D3A">
            <w:pPr>
              <w:rPr>
                <w:sz w:val="24"/>
                <w:szCs w:val="24"/>
                <w:lang w:val="sr-Cyrl-CS"/>
              </w:rPr>
            </w:pPr>
          </w:p>
          <w:p w:rsidR="0012265A" w:rsidRPr="00B67E8B" w:rsidRDefault="0012265A" w:rsidP="004C6D3A">
            <w:pPr>
              <w:rPr>
                <w:sz w:val="24"/>
                <w:szCs w:val="24"/>
                <w:lang w:val="sr-Cyrl-CS"/>
              </w:rPr>
            </w:pPr>
          </w:p>
          <w:p w:rsidR="0012265A" w:rsidRPr="00B67E8B" w:rsidRDefault="0012265A" w:rsidP="004C6D3A">
            <w:pPr>
              <w:pStyle w:val="Footer"/>
              <w:jc w:val="center"/>
              <w:rPr>
                <w:sz w:val="24"/>
                <w:szCs w:val="24"/>
                <w:lang w:val="sr-Cyrl-CS"/>
              </w:rPr>
            </w:pPr>
            <w:r w:rsidRPr="00B67E8B">
              <w:rPr>
                <w:sz w:val="24"/>
                <w:szCs w:val="24"/>
                <w:lang w:val="sr-Cyrl-CS"/>
              </w:rPr>
              <w:t>Ана Брнабић, с.р.</w:t>
            </w:r>
          </w:p>
        </w:tc>
      </w:tr>
    </w:tbl>
    <w:p w:rsidR="0012265A" w:rsidRPr="00B67E8B" w:rsidRDefault="0012265A" w:rsidP="0012265A">
      <w:pPr>
        <w:jc w:val="center"/>
        <w:rPr>
          <w:b/>
          <w:sz w:val="24"/>
          <w:szCs w:val="24"/>
          <w:lang w:val="sr-Cyrl-CS"/>
        </w:rPr>
        <w:sectPr w:rsidR="0012265A" w:rsidRPr="00B67E8B" w:rsidSect="00333A39">
          <w:headerReference w:type="even" r:id="rId7"/>
          <w:headerReference w:type="default" r:id="rId8"/>
          <w:footerReference w:type="even" r:id="rId9"/>
          <w:footerReference w:type="default" r:id="rId10"/>
          <w:headerReference w:type="first" r:id="rId11"/>
          <w:footerReference w:type="first" r:id="rId12"/>
          <w:pgSz w:w="11907" w:h="16840" w:code="9"/>
          <w:pgMar w:top="1440" w:right="1797" w:bottom="1440" w:left="1797" w:header="720" w:footer="720" w:gutter="0"/>
          <w:pgNumType w:start="1"/>
          <w:cols w:space="720"/>
          <w:titlePg/>
          <w:docGrid w:linePitch="360"/>
        </w:sectPr>
      </w:pPr>
      <w:bookmarkStart w:id="2" w:name="_Hlk487097657"/>
    </w:p>
    <w:p w:rsidR="0012265A" w:rsidRPr="00B67E8B" w:rsidRDefault="0012265A" w:rsidP="0012265A">
      <w:pPr>
        <w:jc w:val="center"/>
        <w:rPr>
          <w:b/>
          <w:sz w:val="24"/>
          <w:szCs w:val="24"/>
          <w:lang w:val="sr-Cyrl-CS"/>
        </w:rPr>
      </w:pPr>
      <w:r w:rsidRPr="00B67E8B">
        <w:rPr>
          <w:b/>
          <w:sz w:val="24"/>
          <w:szCs w:val="24"/>
          <w:lang w:val="sr-Cyrl-CS"/>
        </w:rPr>
        <w:lastRenderedPageBreak/>
        <w:t xml:space="preserve">ДРЖАВНИ ПРОГРАМ ОБНОВЕ, ОДНОСНО ХИТНИХ РАДОВА НА САНАЦИЈИ ОБЈЕКАТА ЗА ЗАШТИТУ ОД ВОДА ОШТЕЋЕНИХ У ПОПЛАВАМА ИЗАЗВАНИМ ЕЛЕМЕНТАРНОМ НЕПОГОДОМ </w:t>
      </w:r>
    </w:p>
    <w:p w:rsidR="0012265A" w:rsidRPr="00B67E8B" w:rsidRDefault="0012265A" w:rsidP="0012265A">
      <w:pPr>
        <w:jc w:val="center"/>
        <w:rPr>
          <w:b/>
          <w:sz w:val="24"/>
          <w:szCs w:val="24"/>
          <w:lang w:val="sr-Cyrl-CS"/>
        </w:rPr>
      </w:pPr>
      <w:r w:rsidRPr="00B67E8B">
        <w:rPr>
          <w:b/>
          <w:sz w:val="24"/>
          <w:szCs w:val="24"/>
          <w:lang w:val="sr-Cyrl-CS"/>
        </w:rPr>
        <w:t>У ЈУНУ 2019. ГОДИНЕ</w:t>
      </w:r>
    </w:p>
    <w:p w:rsidR="0012265A" w:rsidRPr="00B67E8B" w:rsidRDefault="0012265A" w:rsidP="0012265A">
      <w:pPr>
        <w:jc w:val="center"/>
        <w:rPr>
          <w:b/>
          <w:sz w:val="24"/>
          <w:szCs w:val="24"/>
          <w:lang w:val="sr-Cyrl-CS"/>
        </w:rPr>
      </w:pPr>
    </w:p>
    <w:bookmarkEnd w:id="2"/>
    <w:p w:rsidR="0012265A" w:rsidRPr="00B67E8B" w:rsidRDefault="0012265A" w:rsidP="0012265A">
      <w:pPr>
        <w:pStyle w:val="ListParagraph"/>
        <w:numPr>
          <w:ilvl w:val="0"/>
          <w:numId w:val="1"/>
        </w:numPr>
        <w:spacing w:before="240" w:after="120" w:line="259" w:lineRule="auto"/>
        <w:ind w:left="0" w:firstLine="0"/>
        <w:jc w:val="both"/>
        <w:rPr>
          <w:rFonts w:ascii="Times New Roman" w:hAnsi="Times New Roman"/>
          <w:b/>
          <w:sz w:val="24"/>
          <w:szCs w:val="24"/>
          <w:lang w:val="sr-Cyrl-CS"/>
        </w:rPr>
      </w:pPr>
      <w:r w:rsidRPr="00B67E8B">
        <w:rPr>
          <w:rFonts w:ascii="Times New Roman" w:hAnsi="Times New Roman"/>
          <w:b/>
          <w:sz w:val="24"/>
          <w:szCs w:val="24"/>
          <w:lang w:val="sr-Cyrl-CS"/>
        </w:rPr>
        <w:t>Област у којој се спроводе мере и територија на којој се спроводе мере</w:t>
      </w:r>
    </w:p>
    <w:p w:rsidR="0012265A" w:rsidRPr="00B67E8B" w:rsidRDefault="0012265A" w:rsidP="0012265A">
      <w:pPr>
        <w:pStyle w:val="ListParagraph"/>
        <w:spacing w:before="240" w:after="120" w:line="259" w:lineRule="auto"/>
        <w:ind w:left="0"/>
        <w:jc w:val="both"/>
        <w:rPr>
          <w:rFonts w:ascii="Times New Roman" w:hAnsi="Times New Roman"/>
          <w:b/>
          <w:sz w:val="24"/>
          <w:szCs w:val="24"/>
          <w:lang w:val="sr-Cyrl-CS"/>
        </w:rPr>
      </w:pPr>
    </w:p>
    <w:p w:rsidR="0012265A" w:rsidRPr="00B67E8B" w:rsidRDefault="0012265A" w:rsidP="0012265A">
      <w:pPr>
        <w:pStyle w:val="ListParagraph"/>
        <w:ind w:left="0"/>
        <w:jc w:val="both"/>
        <w:rPr>
          <w:rFonts w:ascii="Times New Roman" w:hAnsi="Times New Roman"/>
          <w:sz w:val="24"/>
          <w:szCs w:val="24"/>
          <w:lang w:val="sr-Cyrl-CS"/>
        </w:rPr>
      </w:pPr>
      <w:r w:rsidRPr="00B67E8B">
        <w:rPr>
          <w:rFonts w:ascii="Times New Roman" w:hAnsi="Times New Roman"/>
          <w:sz w:val="24"/>
          <w:szCs w:val="24"/>
          <w:lang w:val="sr-Cyrl-CS"/>
        </w:rPr>
        <w:tab/>
        <w:t>Државни програм хитних радова на санацији оштећених објеката за заштиту од вода, обухвата радове које треба предузети у циљу отклањања последица разорних поплава и постизања потребног степена заштите од поплава подручја јединица локалних самоуправа које су погођене поплавама изазваним елементарном непогодом у јуну 2019. године, органе државне управе надлежне за координацију, односно носиоце спровођења појединих мера и активности, као и процену потребних финансијских средстава и изворе финансирања.</w:t>
      </w:r>
    </w:p>
    <w:p w:rsidR="0012265A" w:rsidRPr="00B67E8B" w:rsidRDefault="0012265A" w:rsidP="0012265A">
      <w:pPr>
        <w:ind w:firstLine="708"/>
        <w:jc w:val="both"/>
        <w:rPr>
          <w:sz w:val="24"/>
          <w:szCs w:val="24"/>
          <w:lang w:val="sr-Cyrl-CS"/>
        </w:rPr>
      </w:pPr>
      <w:r w:rsidRPr="00B67E8B">
        <w:rPr>
          <w:sz w:val="24"/>
          <w:szCs w:val="24"/>
          <w:lang w:val="sr-Cyrl-CS"/>
        </w:rPr>
        <w:t xml:space="preserve">Мере утврђене овим програмом спроводе се на територији Републике Србије у складу са </w:t>
      </w:r>
      <w:bookmarkStart w:id="3" w:name="_Hlk490128477"/>
      <w:r w:rsidRPr="00B67E8B">
        <w:rPr>
          <w:sz w:val="24"/>
          <w:szCs w:val="24"/>
          <w:lang w:val="sr-Cyrl-CS"/>
        </w:rPr>
        <w:t xml:space="preserve">Одлуком о проглашењу </w:t>
      </w:r>
      <w:bookmarkStart w:id="4" w:name="_Hlk490126714"/>
      <w:r w:rsidRPr="00B67E8B">
        <w:rPr>
          <w:sz w:val="24"/>
          <w:szCs w:val="24"/>
          <w:lang w:val="sr-Cyrl-CS"/>
        </w:rPr>
        <w:t>елементарне непогоде</w:t>
      </w:r>
      <w:bookmarkStart w:id="5" w:name="_Hlk490126743"/>
      <w:bookmarkEnd w:id="4"/>
      <w:r w:rsidRPr="00B67E8B">
        <w:rPr>
          <w:sz w:val="24"/>
          <w:szCs w:val="24"/>
          <w:lang w:val="sr-Cyrl-CS"/>
        </w:rPr>
        <w:t xml:space="preserve"> („Службени гласник РС”, број </w:t>
      </w:r>
      <w:bookmarkEnd w:id="5"/>
      <w:r w:rsidRPr="00B67E8B">
        <w:rPr>
          <w:sz w:val="24"/>
          <w:szCs w:val="24"/>
          <w:lang w:val="sr-Cyrl-CS"/>
        </w:rPr>
        <w:t xml:space="preserve">40/19) и Одлукoм о допуни Одлуке о проглашењу елементарне непогоде („Службени гласник РС”, број 48/19).  </w:t>
      </w:r>
      <w:bookmarkEnd w:id="3"/>
    </w:p>
    <w:p w:rsidR="0012265A" w:rsidRPr="00B67E8B" w:rsidRDefault="0012265A" w:rsidP="0012265A">
      <w:pPr>
        <w:ind w:firstLine="708"/>
        <w:jc w:val="both"/>
        <w:rPr>
          <w:sz w:val="24"/>
          <w:szCs w:val="24"/>
          <w:lang w:val="sr-Cyrl-CS"/>
        </w:rPr>
      </w:pPr>
    </w:p>
    <w:p w:rsidR="0012265A" w:rsidRPr="00B67E8B" w:rsidRDefault="0012265A" w:rsidP="0012265A">
      <w:pPr>
        <w:pStyle w:val="ListParagraph"/>
        <w:numPr>
          <w:ilvl w:val="0"/>
          <w:numId w:val="1"/>
        </w:numPr>
        <w:jc w:val="both"/>
        <w:rPr>
          <w:rFonts w:ascii="Times New Roman" w:hAnsi="Times New Roman"/>
          <w:b/>
          <w:sz w:val="24"/>
          <w:szCs w:val="24"/>
          <w:lang w:val="sr-Cyrl-CS"/>
        </w:rPr>
      </w:pPr>
      <w:r w:rsidRPr="00B67E8B">
        <w:rPr>
          <w:rFonts w:ascii="Times New Roman" w:hAnsi="Times New Roman"/>
          <w:b/>
          <w:sz w:val="24"/>
          <w:szCs w:val="24"/>
          <w:lang w:val="sr-Cyrl-CS"/>
        </w:rPr>
        <w:t>Анализа затеченог стања и настале штете и сагледавање даљих поплавних последица</w:t>
      </w:r>
    </w:p>
    <w:p w:rsidR="0012265A" w:rsidRPr="00B67E8B" w:rsidRDefault="0012265A" w:rsidP="0012265A">
      <w:pPr>
        <w:ind w:firstLine="720"/>
        <w:jc w:val="both"/>
        <w:rPr>
          <w:sz w:val="24"/>
          <w:szCs w:val="24"/>
          <w:lang w:val="sr-Cyrl-CS"/>
        </w:rPr>
      </w:pPr>
      <w:bookmarkStart w:id="6" w:name="_Hlk487633336"/>
      <w:r w:rsidRPr="00B67E8B">
        <w:rPr>
          <w:sz w:val="24"/>
          <w:szCs w:val="24"/>
          <w:lang w:val="sr-Cyrl-CS"/>
        </w:rPr>
        <w:t xml:space="preserve">У периоду након катастрофалних поплавних таласа у 2014. години, када </w:t>
      </w:r>
      <w:r w:rsidRPr="00B67E8B">
        <w:rPr>
          <w:color w:val="000000"/>
          <w:sz w:val="24"/>
          <w:szCs w:val="24"/>
          <w:lang w:val="sr-Cyrl-CS"/>
        </w:rPr>
        <w:t>је поплавама било угрожено готово 25% територије Републике Србије,</w:t>
      </w:r>
      <w:r w:rsidRPr="00B67E8B">
        <w:rPr>
          <w:color w:val="FF0000"/>
          <w:sz w:val="24"/>
          <w:szCs w:val="24"/>
          <w:lang w:val="sr-Cyrl-CS"/>
        </w:rPr>
        <w:t xml:space="preserve"> </w:t>
      </w:r>
      <w:r w:rsidR="006B3BF7" w:rsidRPr="00B67E8B">
        <w:rPr>
          <w:sz w:val="24"/>
          <w:szCs w:val="24"/>
          <w:lang w:val="sr-Cyrl-CS"/>
        </w:rPr>
        <w:t xml:space="preserve">Уредбом о утврђивању </w:t>
      </w:r>
      <w:r w:rsidRPr="00B67E8B">
        <w:rPr>
          <w:sz w:val="24"/>
          <w:szCs w:val="24"/>
          <w:lang w:val="sr-Cyrl-CS"/>
        </w:rPr>
        <w:t>Државн</w:t>
      </w:r>
      <w:r w:rsidR="006B3BF7" w:rsidRPr="00B67E8B">
        <w:rPr>
          <w:sz w:val="24"/>
          <w:szCs w:val="24"/>
          <w:lang w:val="sr-Cyrl-CS"/>
        </w:rPr>
        <w:t>ог</w:t>
      </w:r>
      <w:r w:rsidRPr="00B67E8B">
        <w:rPr>
          <w:color w:val="000000"/>
          <w:sz w:val="24"/>
          <w:szCs w:val="24"/>
          <w:lang w:val="sr-Cyrl-CS"/>
        </w:rPr>
        <w:t xml:space="preserve"> програм</w:t>
      </w:r>
      <w:r w:rsidR="006B3BF7" w:rsidRPr="00B67E8B">
        <w:rPr>
          <w:color w:val="000000"/>
          <w:sz w:val="24"/>
          <w:szCs w:val="24"/>
          <w:lang w:val="sr-Cyrl-CS"/>
        </w:rPr>
        <w:t>а</w:t>
      </w:r>
      <w:r w:rsidRPr="00B67E8B">
        <w:rPr>
          <w:color w:val="000000"/>
          <w:sz w:val="24"/>
          <w:szCs w:val="24"/>
          <w:lang w:val="sr-Cyrl-CS"/>
        </w:rPr>
        <w:t xml:space="preserve"> обнове оштећених водних објеката за уређење водотокова, водних објеката за заштиту од поплава, ерозије и бујица и водних објеката за </w:t>
      </w:r>
      <w:r w:rsidRPr="00B67E8B">
        <w:rPr>
          <w:sz w:val="24"/>
          <w:szCs w:val="24"/>
          <w:lang w:val="sr-Cyrl-CS"/>
        </w:rPr>
        <w:t xml:space="preserve">одводњавање („Службени гласник РС”, бр. 86/14, 103/14, 69/15, 75/15, 109/15, 33/16 и 80/16), обухваћене су деонице и локалитети водотока на којима су хитне санације биле неопходне за обезбеђење функционалне и статичке стабилности заштитних објеката у циљу заштите угрожених подручја. Ефекти ових хитних санационих радова били су позитивни што је потврђено приликом каснијих поплавних догађаја у 2016, 2017. и 2018. години – на санираним деоницама  нису евидентирани проблеми у одбрани од поплава и нису забележена изливања и плављења приобалних подручја. </w:t>
      </w:r>
    </w:p>
    <w:p w:rsidR="0012265A" w:rsidRPr="00B67E8B" w:rsidRDefault="0012265A" w:rsidP="0012265A">
      <w:pPr>
        <w:ind w:firstLine="720"/>
        <w:jc w:val="both"/>
        <w:rPr>
          <w:sz w:val="24"/>
          <w:szCs w:val="24"/>
          <w:lang w:val="sr-Cyrl-CS"/>
        </w:rPr>
      </w:pPr>
      <w:r w:rsidRPr="00B67E8B">
        <w:rPr>
          <w:sz w:val="24"/>
          <w:szCs w:val="24"/>
          <w:lang w:val="sr-Cyrl-CS"/>
        </w:rPr>
        <w:t xml:space="preserve">Почетком јуна 2019. године, услед великих падавина у веома кратком периоду, забележени су поплавни таласи на великом броју бујичних водотока I и II реда, готово на целом подручју Републике Србије. Велике штете, услед размера поплава, условиле су и проглашење ванредне ситуације на подручјима јединица локалних самоуправа, и то: Краљево, Нови Пазар, Кнић, Ариље, Лучани, Тутин, Трстеник, Пожега, Врњачка Бања, Параћин, Чачак, Коцељева, Сремска Митровица, Крагујевац, Свилајнац, Рача, Деспотовац, Ћуприја, Љиг, Петровац на Млави, Ивањица и Крупањ и градска општина Палилула града Београда. Стручне службе Јавног водопривредног предузећа „Србијаводе” (у даљем тексту: ЈВП „Србијаводе”) су, у сарадњи са штабовима за вaнредне ситуације јединица локалних самоуправа, активно учествовале у бројним интервентним мерама, не само на заштитним објектима које су у надлежности ЈВП „Србијаводе”, већ и на деоницама водотока II реда. Главни руководилац одбране од поплава (ЈВП </w:t>
      </w:r>
      <w:r w:rsidRPr="00B67E8B">
        <w:rPr>
          <w:sz w:val="24"/>
          <w:szCs w:val="24"/>
          <w:lang w:val="sr-Cyrl-CS"/>
        </w:rPr>
        <w:lastRenderedPageBreak/>
        <w:t>„Србијаводе”) је због размера поплавног догађаја, величине штета и присутног ризика да се поплавни таласи могу поновити, наложио извршење хитних истражних радова и експертиза у циљу дефинисања интервентних, краткорочних и дугорочних мера и радова. Циљ ових активности је обезбеђење елементарне и функционалне стабилности заштитних објеката, али и унапређење заштите ради смањења ризика од нових поплава. Као резултат, припремљена је шира листа хитних санационих радова са дефинисаним приоритетима. Приоритет је дат подручјима на којима су били угрожени и људски животи, која су претрпела највеће материјалне штете и на којима је висок степен ризика од нових поплава, чак и у 2019. години.</w:t>
      </w:r>
    </w:p>
    <w:p w:rsidR="0012265A" w:rsidRPr="00B67E8B" w:rsidRDefault="0012265A" w:rsidP="0012265A">
      <w:pPr>
        <w:ind w:firstLine="720"/>
        <w:jc w:val="both"/>
        <w:rPr>
          <w:sz w:val="24"/>
          <w:szCs w:val="24"/>
          <w:lang w:val="sr-Cyrl-CS"/>
        </w:rPr>
      </w:pPr>
      <w:r w:rsidRPr="00B67E8B">
        <w:rPr>
          <w:sz w:val="24"/>
          <w:szCs w:val="24"/>
          <w:lang w:val="sr-Cyrl-CS"/>
        </w:rPr>
        <w:t xml:space="preserve">У другој половини јуна, ванредно велике падавине забележене су и у градским срединама које су превазишле капацитете постојећих система за одводњавање (атмосферске одводне системе). Највеће последице ових урбаних поплава забележене су на територији града Београда, а посебно на подручју Панчевачког рита (градска општина Палилула). </w:t>
      </w:r>
    </w:p>
    <w:p w:rsidR="0012265A" w:rsidRPr="00B67E8B" w:rsidRDefault="0012265A" w:rsidP="0012265A">
      <w:pPr>
        <w:ind w:firstLine="720"/>
        <w:jc w:val="both"/>
        <w:rPr>
          <w:sz w:val="24"/>
          <w:szCs w:val="24"/>
          <w:lang w:val="sr-Cyrl-CS"/>
        </w:rPr>
      </w:pPr>
      <w:r w:rsidRPr="00B67E8B">
        <w:rPr>
          <w:sz w:val="24"/>
          <w:szCs w:val="24"/>
          <w:lang w:val="sr-Cyrl-CS"/>
        </w:rPr>
        <w:t>Размере штета услед плављења насеља, путне инфраструктуре и обрадивих површина у зони Борче и Крњаче последица су и стања веома комплексног система за заштиту подручја Панчевачког рита, са изузетно неповољним положајем у односу на Дунав и Тамиш, и дугогодишњом непланском урбанизацијом и неадекватним коришћењем водне инфраструктуре. На овом подручју површине 40.707 hа, са осам насељa штићеним од спољних и унутрашњих вода, заштитни систем обухвата 90 km насипа дуж Дунава и Тамиша, 689 km канала за одводњавање, са преко 90 km главне каналске мреже и шест црпних станица значајног капацитета.</w:t>
      </w:r>
    </w:p>
    <w:p w:rsidR="0012265A" w:rsidRPr="00B67E8B" w:rsidRDefault="0012265A" w:rsidP="0012265A">
      <w:pPr>
        <w:ind w:firstLine="720"/>
        <w:jc w:val="both"/>
        <w:rPr>
          <w:sz w:val="24"/>
          <w:szCs w:val="24"/>
          <w:lang w:val="sr-Cyrl-CS"/>
        </w:rPr>
      </w:pPr>
    </w:p>
    <w:bookmarkEnd w:id="6"/>
    <w:p w:rsidR="0012265A" w:rsidRPr="00B67E8B" w:rsidRDefault="0012265A" w:rsidP="0012265A">
      <w:pPr>
        <w:pStyle w:val="ListParagraph"/>
        <w:numPr>
          <w:ilvl w:val="0"/>
          <w:numId w:val="1"/>
        </w:numPr>
        <w:spacing w:after="160" w:line="240" w:lineRule="auto"/>
        <w:ind w:left="0" w:firstLine="0"/>
        <w:jc w:val="both"/>
        <w:rPr>
          <w:rFonts w:ascii="Times New Roman" w:hAnsi="Times New Roman"/>
          <w:b/>
          <w:sz w:val="24"/>
          <w:szCs w:val="24"/>
          <w:lang w:val="sr-Cyrl-CS"/>
        </w:rPr>
      </w:pPr>
      <w:r w:rsidRPr="00B67E8B">
        <w:rPr>
          <w:rFonts w:ascii="Times New Roman" w:hAnsi="Times New Roman"/>
          <w:b/>
          <w:sz w:val="24"/>
          <w:szCs w:val="24"/>
          <w:lang w:val="sr-Cyrl-CS"/>
        </w:rPr>
        <w:t xml:space="preserve">Мере које треба предузети </w:t>
      </w:r>
    </w:p>
    <w:p w:rsidR="0012265A" w:rsidRPr="00B67E8B" w:rsidRDefault="0012265A" w:rsidP="0012265A">
      <w:pPr>
        <w:ind w:firstLine="720"/>
        <w:jc w:val="both"/>
        <w:rPr>
          <w:sz w:val="24"/>
          <w:szCs w:val="24"/>
          <w:lang w:val="sr-Cyrl-CS"/>
        </w:rPr>
      </w:pPr>
      <w:r w:rsidRPr="00B67E8B">
        <w:rPr>
          <w:sz w:val="24"/>
          <w:szCs w:val="24"/>
          <w:lang w:val="sr-Cyrl-CS"/>
        </w:rPr>
        <w:t>Ови радови имају карактер хитних и морају се спровести у циљу санације оштећења и обезбеђења потребног степена заштите поплављених подручја.</w:t>
      </w:r>
    </w:p>
    <w:p w:rsidR="0012265A" w:rsidRPr="00B67E8B" w:rsidRDefault="0012265A" w:rsidP="0012265A">
      <w:pPr>
        <w:ind w:firstLine="720"/>
        <w:jc w:val="both"/>
        <w:rPr>
          <w:sz w:val="24"/>
          <w:szCs w:val="24"/>
          <w:lang w:val="sr-Cyrl-CS"/>
        </w:rPr>
      </w:pPr>
      <w:r w:rsidRPr="00B67E8B">
        <w:rPr>
          <w:sz w:val="24"/>
          <w:szCs w:val="24"/>
          <w:lang w:val="sr-Cyrl-CS"/>
        </w:rPr>
        <w:t>Оцењује се да би, при појави нових падавина и великих вода, била могућа нова и већа оштећења на заштитним водним објектима, као и да се због смањене пропусне моћи регулисаних корита могу десити изливања и на деоницама непосредно низводно и узводно од заштитних система, као и на деоницама бујичних водотока II реда (притокама водотока I реда).</w:t>
      </w:r>
    </w:p>
    <w:p w:rsidR="0012265A" w:rsidRPr="00B67E8B" w:rsidRDefault="0012265A" w:rsidP="0012265A">
      <w:pPr>
        <w:ind w:firstLine="720"/>
        <w:jc w:val="both"/>
        <w:rPr>
          <w:sz w:val="24"/>
          <w:szCs w:val="24"/>
          <w:lang w:val="sr-Cyrl-CS"/>
        </w:rPr>
      </w:pPr>
      <w:r w:rsidRPr="00B67E8B">
        <w:rPr>
          <w:sz w:val="24"/>
          <w:szCs w:val="24"/>
          <w:lang w:val="sr-Cyrl-CS"/>
        </w:rPr>
        <w:t>За сагледавање узрока и дефинисање концепције унапређења заштите и смањења ризика од посебног значаја биће резултати експертиза поплавних догађаја. Подаци са терена, који се прикупљају по налогу главног руководиоца одбране од поплава, значајни су за израду експертиза (за подручја општина Крупањ, Лучани и Трстеник и града Краљева) и израду техничке документације за извођење приоритетних хитних санационих радова. За одређене локалите</w:t>
      </w:r>
      <w:r w:rsidR="00893197">
        <w:rPr>
          <w:sz w:val="24"/>
          <w:szCs w:val="24"/>
          <w:lang w:val="sr-Cyrl-CS"/>
        </w:rPr>
        <w:t>те</w:t>
      </w:r>
      <w:r w:rsidRPr="00B67E8B">
        <w:rPr>
          <w:sz w:val="24"/>
          <w:szCs w:val="24"/>
          <w:lang w:val="sr-Cyrl-CS"/>
        </w:rPr>
        <w:t xml:space="preserve"> неопходно је израдити и пројекте хитних радова: 1) за заштиту насеља Ђераћ од великих вода Бјелице и 2) за заштиту приобаља у зони Краљева (Адрани 1. и Адрани 2.) од великих вода Западне Мораве и притока.</w:t>
      </w:r>
    </w:p>
    <w:p w:rsidR="0012265A" w:rsidRPr="00B67E8B" w:rsidRDefault="0012265A" w:rsidP="0012265A">
      <w:pPr>
        <w:ind w:firstLine="720"/>
        <w:jc w:val="both"/>
        <w:rPr>
          <w:sz w:val="24"/>
          <w:szCs w:val="24"/>
          <w:lang w:val="sr-Cyrl-CS"/>
        </w:rPr>
      </w:pPr>
      <w:r w:rsidRPr="00B67E8B">
        <w:rPr>
          <w:sz w:val="24"/>
          <w:szCs w:val="24"/>
          <w:lang w:val="sr-Cyrl-CS"/>
        </w:rPr>
        <w:t xml:space="preserve">За поменуте локалитете првог ранга приоритета (на подручју града Краљева и општине Лучани) пројекти хитних радова морају се завршити до половине августа 2019. године. Техничка решења ових хитних радова обезбеђују подизање степена заштите поплављених подручја и поузданост заштитних објеката.  </w:t>
      </w:r>
    </w:p>
    <w:p w:rsidR="006B3BF7" w:rsidRPr="00B67E8B" w:rsidRDefault="006B3BF7" w:rsidP="0012265A">
      <w:pPr>
        <w:ind w:firstLine="720"/>
        <w:jc w:val="both"/>
        <w:rPr>
          <w:sz w:val="24"/>
          <w:szCs w:val="24"/>
          <w:lang w:val="sr-Cyrl-CS"/>
        </w:rPr>
      </w:pPr>
    </w:p>
    <w:p w:rsidR="0012265A" w:rsidRPr="00B67E8B" w:rsidRDefault="0012265A" w:rsidP="0012265A">
      <w:pPr>
        <w:ind w:firstLine="720"/>
        <w:jc w:val="both"/>
        <w:rPr>
          <w:sz w:val="24"/>
          <w:szCs w:val="24"/>
          <w:lang w:val="sr-Cyrl-CS"/>
        </w:rPr>
      </w:pPr>
      <w:r w:rsidRPr="00B67E8B">
        <w:rPr>
          <w:sz w:val="24"/>
          <w:szCs w:val="24"/>
          <w:lang w:val="sr-Cyrl-CS"/>
        </w:rPr>
        <w:t xml:space="preserve">За хитне санационе радове за рехабилитацију система за одводњавање у јавној својини на подручју Панчевачког рита, ЈВП „Србијаводе” припрема </w:t>
      </w:r>
      <w:r w:rsidRPr="00B67E8B">
        <w:rPr>
          <w:sz w:val="24"/>
          <w:szCs w:val="24"/>
          <w:lang w:val="sr-Cyrl-CS"/>
        </w:rPr>
        <w:lastRenderedPageBreak/>
        <w:t xml:space="preserve">техничку документацију. </w:t>
      </w:r>
    </w:p>
    <w:p w:rsidR="0012265A" w:rsidRPr="00B67E8B" w:rsidRDefault="0012265A" w:rsidP="0012265A">
      <w:pPr>
        <w:pStyle w:val="ListParagraph"/>
        <w:numPr>
          <w:ilvl w:val="0"/>
          <w:numId w:val="1"/>
        </w:numPr>
        <w:spacing w:before="240" w:after="120" w:line="240" w:lineRule="auto"/>
        <w:ind w:left="0" w:firstLine="0"/>
        <w:jc w:val="both"/>
        <w:rPr>
          <w:rFonts w:ascii="Times New Roman" w:hAnsi="Times New Roman"/>
          <w:sz w:val="24"/>
          <w:szCs w:val="24"/>
          <w:lang w:val="sr-Cyrl-CS"/>
        </w:rPr>
      </w:pPr>
      <w:bookmarkStart w:id="7" w:name="_Hlk487632867"/>
      <w:r w:rsidRPr="00B67E8B">
        <w:rPr>
          <w:rFonts w:ascii="Times New Roman" w:hAnsi="Times New Roman"/>
          <w:b/>
          <w:sz w:val="24"/>
          <w:szCs w:val="24"/>
          <w:lang w:val="sr-Cyrl-CS"/>
        </w:rPr>
        <w:t>Начин и обим спровођења мера, као и критеријуми за спровођење мера</w:t>
      </w:r>
      <w:r w:rsidRPr="00B67E8B">
        <w:rPr>
          <w:rFonts w:ascii="Times New Roman" w:hAnsi="Times New Roman"/>
          <w:b/>
          <w:strike/>
          <w:sz w:val="24"/>
          <w:szCs w:val="24"/>
          <w:lang w:val="sr-Cyrl-CS"/>
        </w:rPr>
        <w:t xml:space="preserve"> </w:t>
      </w:r>
    </w:p>
    <w:bookmarkEnd w:id="7"/>
    <w:p w:rsidR="0012265A" w:rsidRPr="00B67E8B" w:rsidRDefault="0012265A" w:rsidP="0012265A">
      <w:pPr>
        <w:ind w:firstLine="720"/>
        <w:jc w:val="both"/>
        <w:rPr>
          <w:sz w:val="24"/>
          <w:szCs w:val="24"/>
          <w:lang w:val="sr-Cyrl-CS"/>
        </w:rPr>
      </w:pPr>
      <w:r w:rsidRPr="00B67E8B">
        <w:rPr>
          <w:sz w:val="24"/>
          <w:szCs w:val="24"/>
          <w:lang w:val="sr-Cyrl-CS"/>
        </w:rPr>
        <w:t xml:space="preserve">Хитним санационим радовима на речним деоницама обезбеђује се: повећана пропусна моћ корита на ширем потезу речних деоница уз линијска надвишења обала за подизање степена заштите  (посебно у зони мостова и у зони насеља), санација оштећења заштитних водних објеката, (насипа, обалоутврда, обала и дна регулисаних речних корита), противерозиона заштита са објектима за спречавање засипања речних корита на бујичним притокама непосредно узводно од угрожених насеља и у зони виталне инфраструктуре. </w:t>
      </w:r>
    </w:p>
    <w:p w:rsidR="0012265A" w:rsidRPr="00B67E8B" w:rsidRDefault="0012265A" w:rsidP="0012265A">
      <w:pPr>
        <w:ind w:firstLine="720"/>
        <w:jc w:val="both"/>
        <w:rPr>
          <w:sz w:val="24"/>
          <w:szCs w:val="24"/>
          <w:lang w:val="sr-Cyrl-CS"/>
        </w:rPr>
      </w:pPr>
      <w:r w:rsidRPr="00B67E8B">
        <w:rPr>
          <w:sz w:val="24"/>
          <w:szCs w:val="24"/>
          <w:lang w:val="sr-Cyrl-CS"/>
        </w:rPr>
        <w:t>Техничка решења ових хитних санационих радова морају бити усаглашена са постојећом угроженом инфраструктуром и морају обезбедити потребан степен заштите и спремност за нове поплавне догађаје.</w:t>
      </w:r>
    </w:p>
    <w:p w:rsidR="0012265A" w:rsidRPr="00B67E8B" w:rsidRDefault="0012265A" w:rsidP="0012265A">
      <w:pPr>
        <w:pStyle w:val="NormalWeb"/>
        <w:spacing w:before="0" w:beforeAutospacing="0" w:after="0" w:afterAutospacing="0"/>
        <w:ind w:firstLine="720"/>
        <w:jc w:val="both"/>
        <w:rPr>
          <w:lang w:val="sr-Cyrl-CS"/>
        </w:rPr>
      </w:pPr>
      <w:r w:rsidRPr="00B67E8B">
        <w:rPr>
          <w:lang w:val="sr-Cyrl-CS"/>
        </w:rPr>
        <w:t>Хитним санационим радовима на системима за одводњавање на подручју Панчевачког рита, (градска општина Палилула града Београда), обезбеђује се потребна пропусна моћ основне каналске мреже и функционисање система у јавној својини на сливу ЦС „Рева” и ЦС „Борча” (рехабилитација хидромашинске опреме, електро опреме, опреме управљачког система и занатско-грађевинских радова).</w:t>
      </w:r>
    </w:p>
    <w:p w:rsidR="0012265A" w:rsidRPr="00B67E8B" w:rsidRDefault="0012265A" w:rsidP="0012265A">
      <w:pPr>
        <w:pStyle w:val="NoSpacing"/>
        <w:ind w:firstLine="720"/>
        <w:jc w:val="both"/>
        <w:rPr>
          <w:rFonts w:ascii="Times New Roman" w:hAnsi="Times New Roman"/>
          <w:sz w:val="24"/>
          <w:szCs w:val="24"/>
          <w:lang w:val="sr-Cyrl-CS"/>
        </w:rPr>
      </w:pPr>
      <w:bookmarkStart w:id="8" w:name="_Hlk487109148"/>
      <w:r w:rsidRPr="00B67E8B">
        <w:rPr>
          <w:rFonts w:ascii="Times New Roman" w:hAnsi="Times New Roman"/>
          <w:sz w:val="24"/>
          <w:szCs w:val="24"/>
          <w:lang w:val="sr-Cyrl-CS"/>
        </w:rPr>
        <w:t>Ј</w:t>
      </w:r>
      <w:bookmarkEnd w:id="8"/>
      <w:r w:rsidRPr="00B67E8B">
        <w:rPr>
          <w:rFonts w:ascii="Times New Roman" w:hAnsi="Times New Roman"/>
          <w:sz w:val="24"/>
          <w:szCs w:val="24"/>
          <w:lang w:val="sr-Cyrl-CS"/>
        </w:rPr>
        <w:t>ВП „Србијаводе” покрећe и спроводи поступaк јавне набавке и закључује уговор са извођачем радова. ЈВП „Србијаводе” дужно је да редовно о свим фазама реализације овог државног програма извештава Канцеларију за управљање јавним улагањима (у даљем тексту: Канцеларија), у складу са уговором којим се уређују права и обавезе у реализацији овог државног програма, закљученим између Канцеларије и ЈВП „Србијаводе”.</w:t>
      </w:r>
    </w:p>
    <w:p w:rsidR="0012265A" w:rsidRPr="00B67E8B" w:rsidRDefault="0012265A" w:rsidP="0012265A">
      <w:pPr>
        <w:ind w:firstLine="720"/>
        <w:jc w:val="both"/>
        <w:rPr>
          <w:sz w:val="24"/>
          <w:szCs w:val="24"/>
          <w:lang w:val="sr-Cyrl-CS"/>
        </w:rPr>
      </w:pPr>
      <w:r w:rsidRPr="00B67E8B">
        <w:rPr>
          <w:sz w:val="24"/>
          <w:szCs w:val="24"/>
          <w:lang w:val="sr-Cyrl-CS"/>
        </w:rPr>
        <w:t>Рокови за завршетак санационих радова условљени су метеоролошким и хидролошким условима за извођење радова на терену и очекује се да буду изведени најкасније почетком 2020. године.</w:t>
      </w:r>
    </w:p>
    <w:p w:rsidR="0012265A" w:rsidRPr="00B67E8B" w:rsidRDefault="0012265A" w:rsidP="0012265A">
      <w:pPr>
        <w:pStyle w:val="NoSpacing"/>
        <w:ind w:firstLine="720"/>
        <w:jc w:val="both"/>
        <w:rPr>
          <w:rFonts w:ascii="Times New Roman" w:hAnsi="Times New Roman"/>
          <w:sz w:val="24"/>
          <w:szCs w:val="24"/>
          <w:lang w:val="sr-Cyrl-CS"/>
        </w:rPr>
      </w:pPr>
      <w:r w:rsidRPr="00B67E8B">
        <w:rPr>
          <w:rFonts w:ascii="Times New Roman" w:hAnsi="Times New Roman"/>
          <w:sz w:val="24"/>
          <w:szCs w:val="24"/>
          <w:lang w:val="sr-Cyrl-CS"/>
        </w:rPr>
        <w:t>ЈВП „Србијаводе” доставља Канцеларији, ради плаћања, потписан и оверен захтев за плаћање са документацијом о реализацији уговора (привремене и окончану ситуацију, фактуре, банкарске гаранције и друго) и извештајем стручног надзора. Преглед хитних радова на санацији објеката за заштиту од вода, оштећених у поплавама изазваним елементарном непогодом у јуну 2019. године, дат је у Прилогу</w:t>
      </w:r>
      <w:r w:rsidR="006B3BF7" w:rsidRPr="00B67E8B">
        <w:rPr>
          <w:rFonts w:ascii="Times New Roman" w:hAnsi="Times New Roman"/>
          <w:sz w:val="24"/>
          <w:szCs w:val="24"/>
          <w:lang w:val="sr-Cyrl-CS"/>
        </w:rPr>
        <w:t xml:space="preserve"> који је саставни део овог програма</w:t>
      </w:r>
      <w:r w:rsidRPr="00B67E8B">
        <w:rPr>
          <w:rFonts w:ascii="Times New Roman" w:hAnsi="Times New Roman"/>
          <w:sz w:val="24"/>
          <w:szCs w:val="24"/>
          <w:lang w:val="sr-Cyrl-CS"/>
        </w:rPr>
        <w:t>.</w:t>
      </w:r>
    </w:p>
    <w:p w:rsidR="0012265A" w:rsidRPr="00B67E8B" w:rsidRDefault="0012265A" w:rsidP="0012265A">
      <w:pPr>
        <w:jc w:val="both"/>
        <w:rPr>
          <w:b/>
          <w:sz w:val="12"/>
          <w:szCs w:val="12"/>
          <w:lang w:val="sr-Cyrl-CS"/>
        </w:rPr>
      </w:pPr>
    </w:p>
    <w:p w:rsidR="0012265A" w:rsidRPr="00B67E8B" w:rsidRDefault="0012265A" w:rsidP="0012265A">
      <w:pPr>
        <w:jc w:val="both"/>
        <w:rPr>
          <w:b/>
          <w:sz w:val="12"/>
          <w:szCs w:val="12"/>
          <w:lang w:val="sr-Cyrl-CS"/>
        </w:rPr>
      </w:pPr>
    </w:p>
    <w:p w:rsidR="0012265A" w:rsidRPr="00B67E8B" w:rsidRDefault="0012265A" w:rsidP="0012265A">
      <w:pPr>
        <w:jc w:val="both"/>
        <w:rPr>
          <w:b/>
          <w:sz w:val="24"/>
          <w:szCs w:val="24"/>
          <w:lang w:val="sr-Cyrl-CS"/>
        </w:rPr>
      </w:pPr>
      <w:r w:rsidRPr="00B67E8B">
        <w:rPr>
          <w:b/>
          <w:sz w:val="24"/>
          <w:szCs w:val="24"/>
          <w:lang w:val="sr-Cyrl-CS"/>
        </w:rPr>
        <w:t>5. Редослед спровођења мера и</w:t>
      </w:r>
      <w:r w:rsidRPr="00B67E8B">
        <w:rPr>
          <w:sz w:val="24"/>
          <w:szCs w:val="24"/>
          <w:lang w:val="sr-Cyrl-CS"/>
        </w:rPr>
        <w:t xml:space="preserve"> </w:t>
      </w:r>
      <w:r w:rsidRPr="00B67E8B">
        <w:rPr>
          <w:b/>
          <w:sz w:val="24"/>
          <w:szCs w:val="24"/>
          <w:lang w:val="sr-Cyrl-CS"/>
        </w:rPr>
        <w:t>рокови за спровођење мера</w:t>
      </w:r>
    </w:p>
    <w:p w:rsidR="0012265A" w:rsidRPr="00B67E8B" w:rsidRDefault="0012265A" w:rsidP="0012265A">
      <w:pPr>
        <w:jc w:val="both"/>
        <w:rPr>
          <w:b/>
          <w:sz w:val="12"/>
          <w:szCs w:val="12"/>
          <w:lang w:val="sr-Cyrl-CS"/>
        </w:rPr>
      </w:pPr>
    </w:p>
    <w:p w:rsidR="0012265A" w:rsidRPr="00B67E8B" w:rsidRDefault="0012265A" w:rsidP="0012265A">
      <w:pPr>
        <w:ind w:firstLine="709"/>
        <w:jc w:val="both"/>
        <w:rPr>
          <w:sz w:val="24"/>
          <w:szCs w:val="24"/>
          <w:lang w:val="sr-Cyrl-CS"/>
        </w:rPr>
      </w:pPr>
      <w:r w:rsidRPr="00B67E8B">
        <w:rPr>
          <w:sz w:val="24"/>
          <w:szCs w:val="24"/>
          <w:lang w:val="sr-Cyrl-CS"/>
        </w:rPr>
        <w:t xml:space="preserve">У току одбране од поплава на поплављеним подручјима, стручне службе ЈВП „Србијаводе” извршиле су хитне интервенције на критичним локалитетима у циљу заштите заштитне водне инфраструктуре, како би се спречиле веће штете. Отклањање последица великих вода, елементарно обезбеђење стабилности оштећених објеката и обезбеђење пропусне моћи изведено је само локално, на  најкритичнијим локалитетима. </w:t>
      </w:r>
    </w:p>
    <w:p w:rsidR="0012265A" w:rsidRPr="00B67E8B" w:rsidRDefault="0012265A" w:rsidP="0012265A">
      <w:pPr>
        <w:ind w:firstLine="709"/>
        <w:jc w:val="both"/>
        <w:rPr>
          <w:sz w:val="24"/>
          <w:szCs w:val="24"/>
          <w:lang w:val="sr-Cyrl-CS"/>
        </w:rPr>
      </w:pPr>
      <w:r w:rsidRPr="00B67E8B">
        <w:rPr>
          <w:sz w:val="24"/>
          <w:szCs w:val="24"/>
          <w:lang w:val="sr-Cyrl-CS"/>
        </w:rPr>
        <w:t xml:space="preserve">Након снижења водостаја, извршено је снимање оштећења и започета је техничка припрема за санационе радове - на одређеним локалитетима, започете су хитне хидротехничке анализе са геодетском и геотехничком припремом подлога. Напред наведене активности део су хитних мера и извршиће се док су трагови штетног дејства вода видљиви, за потребе усвајања оптималних техничких решења санационих радова и у складу су са Наредбом о утврђивању </w:t>
      </w:r>
      <w:r w:rsidRPr="00B67E8B">
        <w:rPr>
          <w:sz w:val="24"/>
          <w:szCs w:val="24"/>
          <w:lang w:val="sr-Cyrl-CS"/>
        </w:rPr>
        <w:lastRenderedPageBreak/>
        <w:t>Оперативног плана за одбрану од поплава за 2019. годину („Службени гласник РС”, број 14/19) и Уредбом о утврђивању Општег плана за одбрану од поплава („Службени гласник РС”, број 18/19).</w:t>
      </w:r>
    </w:p>
    <w:p w:rsidR="0012265A" w:rsidRPr="00B67E8B" w:rsidRDefault="0012265A" w:rsidP="0012265A">
      <w:pPr>
        <w:ind w:firstLine="709"/>
        <w:jc w:val="both"/>
        <w:rPr>
          <w:sz w:val="24"/>
          <w:szCs w:val="24"/>
          <w:lang w:val="sr-Cyrl-CS"/>
        </w:rPr>
      </w:pPr>
      <w:r w:rsidRPr="00B67E8B">
        <w:rPr>
          <w:sz w:val="24"/>
          <w:szCs w:val="24"/>
          <w:lang w:val="sr-Cyrl-CS"/>
        </w:rPr>
        <w:t>ЈВП „Србијаводе” врши инвеститорско управљање санационим радовима (припрема и спровођење п</w:t>
      </w:r>
      <w:r w:rsidR="00B67E8B">
        <w:rPr>
          <w:sz w:val="24"/>
          <w:szCs w:val="24"/>
          <w:lang w:val="sr-Cyrl-CS"/>
        </w:rPr>
        <w:t>р</w:t>
      </w:r>
      <w:r w:rsidRPr="00B67E8B">
        <w:rPr>
          <w:sz w:val="24"/>
          <w:szCs w:val="24"/>
          <w:lang w:val="sr-Cyrl-CS"/>
        </w:rPr>
        <w:t>оцедуре јавних набавки, уговарање, увођења извођача у посао, управљање хитним санационим радовима и вршење стручног надзора).</w:t>
      </w:r>
    </w:p>
    <w:p w:rsidR="0012265A" w:rsidRPr="00B67E8B" w:rsidRDefault="0012265A" w:rsidP="0012265A">
      <w:pPr>
        <w:ind w:firstLine="709"/>
        <w:jc w:val="both"/>
        <w:rPr>
          <w:sz w:val="24"/>
          <w:szCs w:val="24"/>
          <w:lang w:val="sr-Cyrl-CS"/>
        </w:rPr>
      </w:pPr>
      <w:r w:rsidRPr="00B67E8B">
        <w:rPr>
          <w:sz w:val="24"/>
          <w:szCs w:val="24"/>
          <w:lang w:val="sr-Cyrl-CS"/>
        </w:rPr>
        <w:tab/>
        <w:t>Израда техничке документације за предметне хитне санационе радове је у току, како би се радови започели најкасније до краја јула 2019. године, са кратким роковима извршења, имајући у виду да је реч о бујичним водотоцима на којима су извесни процеси урушавања речних обала које могу прерасти у критичне деонице и локалитете.</w:t>
      </w:r>
    </w:p>
    <w:p w:rsidR="0012265A" w:rsidRPr="00B67E8B" w:rsidRDefault="0012265A" w:rsidP="0012265A">
      <w:pPr>
        <w:pStyle w:val="a"/>
        <w:numPr>
          <w:ilvl w:val="0"/>
          <w:numId w:val="0"/>
        </w:numPr>
        <w:tabs>
          <w:tab w:val="left" w:pos="0"/>
        </w:tabs>
        <w:spacing w:before="0"/>
        <w:rPr>
          <w:rFonts w:ascii="Times New Roman" w:hAnsi="Times New Roman"/>
          <w:sz w:val="24"/>
          <w:szCs w:val="24"/>
          <w:lang w:val="sr-Cyrl-CS"/>
        </w:rPr>
      </w:pPr>
      <w:r w:rsidRPr="00B67E8B">
        <w:rPr>
          <w:rFonts w:ascii="Times New Roman" w:hAnsi="Times New Roman"/>
          <w:sz w:val="24"/>
          <w:szCs w:val="24"/>
          <w:lang w:val="sr-Cyrl-CS"/>
        </w:rPr>
        <w:tab/>
        <w:t>Очекивани ефекти санационих радова на локалит</w:t>
      </w:r>
      <w:r w:rsidR="007E70EA">
        <w:rPr>
          <w:rFonts w:ascii="Times New Roman" w:hAnsi="Times New Roman"/>
          <w:sz w:val="24"/>
          <w:szCs w:val="24"/>
          <w:lang w:val="sr-Cyrl-CS"/>
        </w:rPr>
        <w:t>ет</w:t>
      </w:r>
      <w:r w:rsidRPr="00B67E8B">
        <w:rPr>
          <w:rFonts w:ascii="Times New Roman" w:hAnsi="Times New Roman"/>
          <w:sz w:val="24"/>
          <w:szCs w:val="24"/>
          <w:lang w:val="sr-Cyrl-CS"/>
        </w:rPr>
        <w:t xml:space="preserve">има који су добили приоритет су: потребна функционална стабилност санираних заштитних водних објеката (регулисаних корита, обалоутврда, насипа, канала, преграда за задржавање наноса), обезбеђење пропусне моћи корита за велике воде, подизање степена заштите угроженог приобаља и инфраструктуре, локална противерозиона заштита, као и подизање отпорности подручја на нове поплавне догађаје. </w:t>
      </w:r>
    </w:p>
    <w:p w:rsidR="0012265A" w:rsidRPr="00B67E8B" w:rsidRDefault="0012265A" w:rsidP="0012265A">
      <w:pPr>
        <w:pStyle w:val="a"/>
        <w:numPr>
          <w:ilvl w:val="0"/>
          <w:numId w:val="0"/>
        </w:numPr>
        <w:tabs>
          <w:tab w:val="left" w:pos="0"/>
        </w:tabs>
        <w:spacing w:before="0"/>
        <w:rPr>
          <w:rFonts w:ascii="Times New Roman" w:hAnsi="Times New Roman"/>
          <w:sz w:val="24"/>
          <w:szCs w:val="24"/>
          <w:lang w:val="sr-Cyrl-CS"/>
        </w:rPr>
      </w:pPr>
      <w:r w:rsidRPr="00B67E8B">
        <w:rPr>
          <w:rFonts w:ascii="Times New Roman" w:hAnsi="Times New Roman"/>
          <w:sz w:val="24"/>
          <w:szCs w:val="24"/>
          <w:lang w:val="sr-Cyrl-CS"/>
        </w:rPr>
        <w:tab/>
        <w:t>Очекивани ефекти радова на подручју Панчевачког рита су заштита приобалних површина од плављења, што се оствaрује обезбеђењем функционалности и унапређењем експлоатационог режима рада система за одводњавање (канала и црпних станица).</w:t>
      </w:r>
    </w:p>
    <w:p w:rsidR="0012265A" w:rsidRPr="00B67E8B" w:rsidRDefault="0012265A" w:rsidP="0012265A">
      <w:pPr>
        <w:ind w:firstLine="720"/>
        <w:jc w:val="both"/>
        <w:rPr>
          <w:sz w:val="24"/>
          <w:szCs w:val="24"/>
          <w:lang w:val="sr-Cyrl-CS"/>
        </w:rPr>
      </w:pPr>
      <w:bookmarkStart w:id="9" w:name="_Hlk487801724"/>
      <w:r w:rsidRPr="00B67E8B">
        <w:rPr>
          <w:sz w:val="24"/>
          <w:szCs w:val="24"/>
          <w:lang w:val="sr-Cyrl-CS"/>
        </w:rPr>
        <w:t>Рокови за завршетак радова условљени су метеоролошким и хидролошким условима за извођење радова на терену и очекује се да буду изведени у року од девет месеци од дана увођења извођача у посао.</w:t>
      </w:r>
    </w:p>
    <w:p w:rsidR="0012265A" w:rsidRPr="00B67E8B" w:rsidRDefault="0012265A" w:rsidP="0012265A">
      <w:pPr>
        <w:ind w:firstLine="720"/>
        <w:jc w:val="both"/>
        <w:rPr>
          <w:sz w:val="24"/>
          <w:szCs w:val="24"/>
          <w:lang w:val="sr-Cyrl-CS"/>
        </w:rPr>
      </w:pPr>
    </w:p>
    <w:bookmarkEnd w:id="9"/>
    <w:p w:rsidR="0012265A" w:rsidRPr="00B67E8B" w:rsidRDefault="0012265A" w:rsidP="0012265A">
      <w:pPr>
        <w:pStyle w:val="a"/>
        <w:numPr>
          <w:ilvl w:val="0"/>
          <w:numId w:val="0"/>
        </w:numPr>
        <w:spacing w:before="120"/>
        <w:rPr>
          <w:rFonts w:ascii="Times New Roman" w:hAnsi="Times New Roman"/>
          <w:b/>
          <w:sz w:val="24"/>
          <w:szCs w:val="24"/>
          <w:lang w:val="sr-Cyrl-CS"/>
        </w:rPr>
      </w:pPr>
      <w:r w:rsidRPr="00B67E8B">
        <w:rPr>
          <w:rFonts w:ascii="Times New Roman" w:hAnsi="Times New Roman"/>
          <w:b/>
          <w:sz w:val="24"/>
          <w:szCs w:val="24"/>
          <w:lang w:val="sr-Cyrl-CS"/>
        </w:rPr>
        <w:t>6. Органи државне управе надлежни за координацију, односно носиоци спровођења појединих мера и активности</w:t>
      </w:r>
    </w:p>
    <w:p w:rsidR="0012265A" w:rsidRPr="00B67E8B" w:rsidRDefault="0012265A" w:rsidP="0012265A">
      <w:pPr>
        <w:pStyle w:val="ListParagraph"/>
        <w:spacing w:before="240"/>
        <w:ind w:left="0" w:firstLine="720"/>
        <w:jc w:val="both"/>
        <w:rPr>
          <w:rFonts w:ascii="Times New Roman" w:eastAsia="Calibri" w:hAnsi="Times New Roman"/>
          <w:sz w:val="24"/>
          <w:szCs w:val="24"/>
          <w:lang w:val="sr-Cyrl-CS" w:eastAsia="sr-Latn-CS"/>
        </w:rPr>
      </w:pPr>
      <w:r w:rsidRPr="00B67E8B">
        <w:rPr>
          <w:rFonts w:ascii="Times New Roman" w:eastAsia="Calibri" w:hAnsi="Times New Roman"/>
          <w:sz w:val="24"/>
          <w:szCs w:val="24"/>
          <w:lang w:val="sr-Cyrl-CS" w:eastAsia="sr-Latn-CS"/>
        </w:rPr>
        <w:t>Канцеларија за управљање јавним улагањима и министарство надлежно за послове водопривреде координираће спровођење мера из одељака 3. и 4. овог програма, а ЈВП „Србијаводе” носилац је спровођења тих мера.</w:t>
      </w:r>
    </w:p>
    <w:p w:rsidR="0012265A" w:rsidRPr="00B67E8B" w:rsidRDefault="0012265A" w:rsidP="0012265A">
      <w:pPr>
        <w:pStyle w:val="ListParagraph"/>
        <w:ind w:left="0" w:firstLine="720"/>
        <w:jc w:val="both"/>
        <w:rPr>
          <w:rFonts w:ascii="Times New Roman" w:eastAsia="Calibri" w:hAnsi="Times New Roman"/>
          <w:sz w:val="24"/>
          <w:szCs w:val="24"/>
          <w:lang w:val="sr-Cyrl-CS" w:eastAsia="sr-Latn-CS"/>
        </w:rPr>
      </w:pPr>
      <w:r w:rsidRPr="00B67E8B">
        <w:rPr>
          <w:rFonts w:ascii="Times New Roman" w:eastAsia="Calibri" w:hAnsi="Times New Roman"/>
          <w:sz w:val="24"/>
          <w:szCs w:val="24"/>
          <w:lang w:val="sr-Cyrl-CS" w:eastAsia="sr-Latn-CS"/>
        </w:rPr>
        <w:t xml:space="preserve">ЈВП „Србијаводе”, у име и за рачун Републике Србије, врши инвеститорска права са техничком припремом за извођење санационих радова за обнову оштећених заштитних водних објеката. </w:t>
      </w:r>
    </w:p>
    <w:p w:rsidR="0012265A" w:rsidRPr="00B67E8B" w:rsidRDefault="0012265A" w:rsidP="0012265A">
      <w:pPr>
        <w:pStyle w:val="ListParagraph"/>
        <w:ind w:left="0" w:firstLine="720"/>
        <w:jc w:val="both"/>
        <w:rPr>
          <w:rFonts w:ascii="Times New Roman" w:eastAsia="Calibri" w:hAnsi="Times New Roman"/>
          <w:sz w:val="24"/>
          <w:szCs w:val="24"/>
          <w:lang w:val="sr-Cyrl-CS" w:eastAsia="sr-Latn-CS"/>
        </w:rPr>
      </w:pPr>
      <w:r w:rsidRPr="00B67E8B">
        <w:rPr>
          <w:rFonts w:ascii="Times New Roman" w:eastAsia="Calibri" w:hAnsi="Times New Roman"/>
          <w:sz w:val="24"/>
          <w:szCs w:val="24"/>
          <w:lang w:val="sr-Cyrl-CS" w:eastAsia="sr-Latn-CS"/>
        </w:rPr>
        <w:t>Јединице локалне самоуправе донеће одлуке о мерама хитности и обезбедити решавање имовинско-правних питања у складу са својим надлежностима.</w:t>
      </w:r>
    </w:p>
    <w:p w:rsidR="0012265A" w:rsidRPr="00B67E8B" w:rsidRDefault="0012265A" w:rsidP="0012265A">
      <w:pPr>
        <w:pStyle w:val="ListParagraph"/>
        <w:ind w:left="0" w:firstLine="720"/>
        <w:jc w:val="both"/>
        <w:rPr>
          <w:rFonts w:ascii="Times New Roman" w:eastAsia="Calibri" w:hAnsi="Times New Roman"/>
          <w:sz w:val="14"/>
          <w:szCs w:val="14"/>
          <w:lang w:val="sr-Cyrl-CS" w:eastAsia="sr-Latn-CS"/>
        </w:rPr>
      </w:pPr>
    </w:p>
    <w:p w:rsidR="0012265A" w:rsidRPr="00B67E8B" w:rsidRDefault="0012265A" w:rsidP="0012265A">
      <w:pPr>
        <w:spacing w:after="160" w:line="259" w:lineRule="auto"/>
        <w:jc w:val="both"/>
        <w:rPr>
          <w:b/>
          <w:sz w:val="24"/>
          <w:szCs w:val="24"/>
          <w:lang w:val="sr-Cyrl-CS"/>
        </w:rPr>
      </w:pPr>
      <w:r w:rsidRPr="00B67E8B">
        <w:rPr>
          <w:rFonts w:eastAsia="Calibri"/>
          <w:b/>
          <w:sz w:val="24"/>
          <w:szCs w:val="24"/>
          <w:lang w:val="sr-Cyrl-CS"/>
        </w:rPr>
        <w:t>7. Процена</w:t>
      </w:r>
      <w:r w:rsidRPr="00B67E8B">
        <w:rPr>
          <w:b/>
          <w:sz w:val="24"/>
          <w:szCs w:val="24"/>
          <w:lang w:val="sr-Cyrl-CS"/>
        </w:rPr>
        <w:t xml:space="preserve"> потребних финансијских средстава и извори финансирања </w:t>
      </w:r>
    </w:p>
    <w:p w:rsidR="0012265A" w:rsidRPr="00B67E8B" w:rsidRDefault="0012265A" w:rsidP="0012265A">
      <w:pPr>
        <w:ind w:firstLine="720"/>
        <w:jc w:val="both"/>
        <w:rPr>
          <w:sz w:val="24"/>
          <w:szCs w:val="24"/>
          <w:lang w:val="sr-Cyrl-CS"/>
        </w:rPr>
      </w:pPr>
      <w:bookmarkStart w:id="10" w:name="_Hlk514325353"/>
      <w:r w:rsidRPr="00B67E8B">
        <w:rPr>
          <w:sz w:val="24"/>
          <w:szCs w:val="24"/>
          <w:lang w:val="sr-Cyrl-CS"/>
        </w:rPr>
        <w:t>Средства за спровођење овe уредбе у износу од 756.735.000 динара обезбедиће се повећањем извора финансирања 11 – Примања од иностраних задуживања, преносом средстава из Зајма за развојне политике у области управљања ризицима од непогода с опцијом одложеног повлачења средстава у случају непогода (ДРМ ЦАТ-ДОО) из зајма Међународне банке за обнову и развој/Светска банка (IBRD/WB), закљученог 12. маја 2017. године.</w:t>
      </w:r>
    </w:p>
    <w:p w:rsidR="0012265A" w:rsidRPr="00B67E8B" w:rsidRDefault="0012265A" w:rsidP="0012265A">
      <w:pPr>
        <w:ind w:firstLine="720"/>
        <w:jc w:val="both"/>
        <w:rPr>
          <w:sz w:val="24"/>
          <w:szCs w:val="24"/>
          <w:lang w:val="sr-Cyrl-CS"/>
        </w:rPr>
      </w:pPr>
      <w:r w:rsidRPr="00B67E8B">
        <w:rPr>
          <w:sz w:val="24"/>
          <w:szCs w:val="24"/>
          <w:lang w:val="sr-Cyrl-CS"/>
        </w:rPr>
        <w:t xml:space="preserve">Након тога средства ће се распоредити на Раздео 3 - Влада, Глава 3.22 - </w:t>
      </w:r>
      <w:r w:rsidRPr="00B67E8B">
        <w:rPr>
          <w:sz w:val="24"/>
          <w:szCs w:val="24"/>
          <w:lang w:val="sr-Cyrl-CS"/>
        </w:rPr>
        <w:lastRenderedPageBreak/>
        <w:t>Канцеларија за управљање јавним улагањима, Програм -1511 Обнова и изградња објеката јавне намене и санирање последица елементарне непогоде, Функција 110 - Извршни и законодавни органи, финансијски и фискални послови и спољни послови, Извор финансирања 11 – Примања од иностраних задуживања, Програмска активност 0002 – Координација послова након елементарне и друге непогоде, апропријација економска класификација 484 – накнаде штете за повреду или штету насталу услед елементарних непогода или других природних узрока у износу од 756.735.000 динара.</w:t>
      </w:r>
    </w:p>
    <w:bookmarkEnd w:id="10"/>
    <w:p w:rsidR="0012265A" w:rsidRPr="00B67E8B" w:rsidRDefault="0012265A" w:rsidP="0012265A">
      <w:pPr>
        <w:rPr>
          <w:sz w:val="24"/>
          <w:szCs w:val="24"/>
          <w:lang w:val="sr-Cyrl-CS"/>
        </w:rPr>
      </w:pPr>
    </w:p>
    <w:p w:rsidR="0012265A" w:rsidRPr="00B67E8B" w:rsidRDefault="0012265A" w:rsidP="0012265A">
      <w:pPr>
        <w:rPr>
          <w:sz w:val="24"/>
          <w:szCs w:val="24"/>
          <w:lang w:val="sr-Cyrl-CS"/>
        </w:rPr>
      </w:pPr>
    </w:p>
    <w:p w:rsidR="0012265A" w:rsidRPr="00B67E8B" w:rsidRDefault="0012265A" w:rsidP="0012265A">
      <w:pPr>
        <w:rPr>
          <w:sz w:val="24"/>
          <w:szCs w:val="24"/>
          <w:lang w:val="sr-Cyrl-CS"/>
        </w:rPr>
      </w:pPr>
    </w:p>
    <w:p w:rsidR="0012265A" w:rsidRPr="00B67E8B" w:rsidRDefault="0012265A" w:rsidP="0012265A">
      <w:pPr>
        <w:rPr>
          <w:sz w:val="24"/>
          <w:szCs w:val="24"/>
          <w:lang w:val="sr-Cyrl-CS"/>
        </w:rPr>
      </w:pPr>
    </w:p>
    <w:p w:rsidR="0012265A" w:rsidRPr="00B67E8B" w:rsidRDefault="0012265A" w:rsidP="0012265A">
      <w:pPr>
        <w:rPr>
          <w:sz w:val="24"/>
          <w:szCs w:val="24"/>
          <w:lang w:val="sr-Cyrl-CS"/>
        </w:rPr>
      </w:pPr>
    </w:p>
    <w:p w:rsidR="0012265A" w:rsidRPr="00B67E8B" w:rsidRDefault="0012265A" w:rsidP="0012265A">
      <w:pPr>
        <w:rPr>
          <w:sz w:val="24"/>
          <w:szCs w:val="24"/>
          <w:lang w:val="sr-Cyrl-CS"/>
        </w:rPr>
      </w:pPr>
    </w:p>
    <w:p w:rsidR="0012265A" w:rsidRPr="00B67E8B" w:rsidRDefault="0012265A" w:rsidP="0012265A">
      <w:pPr>
        <w:rPr>
          <w:sz w:val="24"/>
          <w:szCs w:val="24"/>
          <w:lang w:val="sr-Cyrl-CS"/>
        </w:rPr>
      </w:pPr>
    </w:p>
    <w:p w:rsidR="0012265A" w:rsidRPr="00B67E8B" w:rsidRDefault="0012265A" w:rsidP="0012265A">
      <w:pPr>
        <w:rPr>
          <w:sz w:val="24"/>
          <w:szCs w:val="24"/>
          <w:lang w:val="sr-Cyrl-CS"/>
        </w:rPr>
      </w:pPr>
    </w:p>
    <w:p w:rsidR="0012265A" w:rsidRPr="00B67E8B" w:rsidRDefault="0012265A" w:rsidP="0012265A">
      <w:pPr>
        <w:rPr>
          <w:sz w:val="24"/>
          <w:szCs w:val="24"/>
          <w:lang w:val="sr-Cyrl-CS"/>
        </w:rPr>
      </w:pPr>
    </w:p>
    <w:p w:rsidR="0012265A" w:rsidRPr="00B67E8B" w:rsidRDefault="0012265A" w:rsidP="0012265A">
      <w:pPr>
        <w:rPr>
          <w:sz w:val="24"/>
          <w:szCs w:val="24"/>
          <w:lang w:val="sr-Cyrl-CS"/>
        </w:rPr>
      </w:pPr>
    </w:p>
    <w:p w:rsidR="0012265A" w:rsidRPr="00B67E8B" w:rsidRDefault="0012265A" w:rsidP="0012265A">
      <w:pPr>
        <w:rPr>
          <w:sz w:val="24"/>
          <w:szCs w:val="24"/>
          <w:lang w:val="sr-Cyrl-CS"/>
        </w:rPr>
      </w:pPr>
    </w:p>
    <w:p w:rsidR="0012265A" w:rsidRPr="00B67E8B" w:rsidRDefault="0012265A" w:rsidP="0012265A">
      <w:pPr>
        <w:rPr>
          <w:sz w:val="24"/>
          <w:szCs w:val="24"/>
          <w:lang w:val="sr-Cyrl-CS"/>
        </w:rPr>
      </w:pPr>
    </w:p>
    <w:p w:rsidR="0012265A" w:rsidRPr="00B67E8B" w:rsidRDefault="0012265A" w:rsidP="0012265A">
      <w:pPr>
        <w:rPr>
          <w:sz w:val="24"/>
          <w:szCs w:val="24"/>
          <w:lang w:val="sr-Cyrl-CS"/>
        </w:rPr>
      </w:pPr>
    </w:p>
    <w:p w:rsidR="0012265A" w:rsidRPr="00B67E8B" w:rsidRDefault="0012265A" w:rsidP="0012265A">
      <w:pPr>
        <w:rPr>
          <w:sz w:val="24"/>
          <w:szCs w:val="24"/>
          <w:lang w:val="sr-Cyrl-CS"/>
        </w:rPr>
      </w:pPr>
    </w:p>
    <w:p w:rsidR="0012265A" w:rsidRPr="00B67E8B" w:rsidRDefault="0012265A" w:rsidP="0012265A">
      <w:pPr>
        <w:rPr>
          <w:sz w:val="24"/>
          <w:szCs w:val="24"/>
          <w:lang w:val="sr-Cyrl-CS"/>
        </w:rPr>
      </w:pPr>
    </w:p>
    <w:p w:rsidR="0012265A" w:rsidRPr="00B67E8B" w:rsidRDefault="0012265A" w:rsidP="0012265A">
      <w:pPr>
        <w:rPr>
          <w:sz w:val="24"/>
          <w:szCs w:val="24"/>
          <w:lang w:val="sr-Cyrl-CS"/>
        </w:rPr>
      </w:pPr>
    </w:p>
    <w:p w:rsidR="0012265A" w:rsidRPr="00B67E8B" w:rsidRDefault="0012265A" w:rsidP="0012265A">
      <w:pPr>
        <w:rPr>
          <w:sz w:val="24"/>
          <w:szCs w:val="24"/>
          <w:lang w:val="sr-Cyrl-CS"/>
        </w:rPr>
      </w:pPr>
    </w:p>
    <w:p w:rsidR="0012265A" w:rsidRPr="00B67E8B" w:rsidRDefault="0012265A" w:rsidP="0012265A">
      <w:pPr>
        <w:rPr>
          <w:sz w:val="24"/>
          <w:szCs w:val="24"/>
          <w:lang w:val="sr-Cyrl-CS"/>
        </w:rPr>
      </w:pPr>
    </w:p>
    <w:p w:rsidR="0012265A" w:rsidRPr="00B67E8B" w:rsidRDefault="0012265A" w:rsidP="0012265A">
      <w:pPr>
        <w:rPr>
          <w:sz w:val="24"/>
          <w:szCs w:val="24"/>
          <w:lang w:val="sr-Cyrl-CS"/>
        </w:rPr>
      </w:pPr>
    </w:p>
    <w:p w:rsidR="0012265A" w:rsidRPr="00B67E8B" w:rsidRDefault="0012265A" w:rsidP="0012265A">
      <w:pPr>
        <w:rPr>
          <w:sz w:val="24"/>
          <w:szCs w:val="24"/>
          <w:lang w:val="sr-Cyrl-CS"/>
        </w:rPr>
      </w:pPr>
    </w:p>
    <w:p w:rsidR="0012265A" w:rsidRPr="00B67E8B" w:rsidRDefault="0012265A" w:rsidP="0012265A">
      <w:pPr>
        <w:rPr>
          <w:sz w:val="24"/>
          <w:szCs w:val="24"/>
          <w:lang w:val="sr-Cyrl-CS"/>
        </w:rPr>
      </w:pPr>
    </w:p>
    <w:p w:rsidR="0012265A" w:rsidRPr="00B67E8B" w:rsidRDefault="0012265A" w:rsidP="0012265A">
      <w:pPr>
        <w:rPr>
          <w:sz w:val="24"/>
          <w:szCs w:val="24"/>
          <w:lang w:val="sr-Cyrl-CS"/>
        </w:rPr>
      </w:pPr>
    </w:p>
    <w:p w:rsidR="0012265A" w:rsidRPr="00B67E8B" w:rsidRDefault="0012265A" w:rsidP="0012265A">
      <w:pPr>
        <w:rPr>
          <w:sz w:val="24"/>
          <w:szCs w:val="24"/>
          <w:lang w:val="sr-Cyrl-CS"/>
        </w:rPr>
      </w:pPr>
    </w:p>
    <w:p w:rsidR="0012265A" w:rsidRPr="00B67E8B" w:rsidRDefault="0012265A" w:rsidP="0012265A">
      <w:pPr>
        <w:rPr>
          <w:sz w:val="24"/>
          <w:szCs w:val="24"/>
          <w:lang w:val="sr-Cyrl-CS"/>
        </w:rPr>
      </w:pPr>
    </w:p>
    <w:p w:rsidR="0012265A" w:rsidRPr="00B67E8B" w:rsidRDefault="0012265A" w:rsidP="0012265A">
      <w:pPr>
        <w:rPr>
          <w:sz w:val="24"/>
          <w:szCs w:val="24"/>
          <w:lang w:val="sr-Cyrl-CS"/>
        </w:rPr>
      </w:pPr>
    </w:p>
    <w:p w:rsidR="0012265A" w:rsidRPr="00B67E8B" w:rsidRDefault="0012265A" w:rsidP="0012265A">
      <w:pPr>
        <w:rPr>
          <w:sz w:val="24"/>
          <w:szCs w:val="24"/>
          <w:lang w:val="sr-Cyrl-CS"/>
        </w:rPr>
      </w:pPr>
    </w:p>
    <w:p w:rsidR="0012265A" w:rsidRPr="00B67E8B" w:rsidRDefault="0012265A" w:rsidP="0012265A">
      <w:pPr>
        <w:rPr>
          <w:sz w:val="24"/>
          <w:szCs w:val="24"/>
          <w:lang w:val="sr-Cyrl-CS"/>
        </w:rPr>
      </w:pPr>
    </w:p>
    <w:p w:rsidR="0012265A" w:rsidRPr="00B67E8B" w:rsidRDefault="0012265A" w:rsidP="0012265A">
      <w:pPr>
        <w:rPr>
          <w:sz w:val="24"/>
          <w:szCs w:val="24"/>
          <w:lang w:val="sr-Cyrl-CS"/>
        </w:rPr>
      </w:pPr>
    </w:p>
    <w:p w:rsidR="0012265A" w:rsidRPr="00B67E8B" w:rsidRDefault="0012265A" w:rsidP="0012265A">
      <w:pPr>
        <w:rPr>
          <w:sz w:val="24"/>
          <w:szCs w:val="24"/>
          <w:lang w:val="sr-Cyrl-CS"/>
        </w:rPr>
      </w:pPr>
    </w:p>
    <w:p w:rsidR="0012265A" w:rsidRPr="00B67E8B" w:rsidRDefault="0012265A" w:rsidP="0012265A">
      <w:pPr>
        <w:rPr>
          <w:sz w:val="24"/>
          <w:szCs w:val="24"/>
          <w:lang w:val="sr-Cyrl-CS"/>
        </w:rPr>
      </w:pPr>
    </w:p>
    <w:p w:rsidR="0012265A" w:rsidRPr="00B67E8B" w:rsidRDefault="0012265A" w:rsidP="0012265A">
      <w:pPr>
        <w:rPr>
          <w:sz w:val="24"/>
          <w:szCs w:val="24"/>
          <w:lang w:val="sr-Cyrl-CS"/>
        </w:rPr>
      </w:pPr>
    </w:p>
    <w:p w:rsidR="0012265A" w:rsidRPr="00B67E8B" w:rsidRDefault="0012265A" w:rsidP="0012265A">
      <w:pPr>
        <w:rPr>
          <w:sz w:val="24"/>
          <w:szCs w:val="24"/>
          <w:lang w:val="sr-Cyrl-CS"/>
        </w:rPr>
      </w:pPr>
    </w:p>
    <w:p w:rsidR="0012265A" w:rsidRPr="00B67E8B" w:rsidRDefault="0012265A" w:rsidP="0012265A">
      <w:pPr>
        <w:rPr>
          <w:sz w:val="24"/>
          <w:szCs w:val="24"/>
          <w:lang w:val="sr-Cyrl-CS"/>
        </w:rPr>
      </w:pPr>
    </w:p>
    <w:p w:rsidR="0012265A" w:rsidRPr="00B67E8B" w:rsidRDefault="0012265A" w:rsidP="0012265A">
      <w:pPr>
        <w:rPr>
          <w:sz w:val="24"/>
          <w:szCs w:val="24"/>
          <w:lang w:val="sr-Cyrl-CS"/>
        </w:rPr>
      </w:pPr>
    </w:p>
    <w:p w:rsidR="0012265A" w:rsidRPr="00B67E8B" w:rsidRDefault="0012265A" w:rsidP="0012265A">
      <w:pPr>
        <w:rPr>
          <w:sz w:val="24"/>
          <w:szCs w:val="24"/>
          <w:lang w:val="sr-Cyrl-CS"/>
        </w:rPr>
      </w:pPr>
    </w:p>
    <w:p w:rsidR="0012265A" w:rsidRPr="00B67E8B" w:rsidRDefault="0012265A" w:rsidP="0012265A">
      <w:pPr>
        <w:rPr>
          <w:sz w:val="24"/>
          <w:szCs w:val="24"/>
          <w:lang w:val="sr-Cyrl-CS"/>
        </w:rPr>
      </w:pPr>
    </w:p>
    <w:p w:rsidR="0012265A" w:rsidRPr="00B67E8B" w:rsidRDefault="0012265A" w:rsidP="0012265A">
      <w:pPr>
        <w:rPr>
          <w:sz w:val="24"/>
          <w:szCs w:val="24"/>
          <w:lang w:val="sr-Cyrl-CS"/>
        </w:rPr>
      </w:pPr>
    </w:p>
    <w:p w:rsidR="0012265A" w:rsidRPr="00B67E8B" w:rsidRDefault="0012265A" w:rsidP="0012265A">
      <w:pPr>
        <w:rPr>
          <w:sz w:val="24"/>
          <w:szCs w:val="24"/>
          <w:lang w:val="sr-Cyrl-CS"/>
        </w:rPr>
      </w:pPr>
    </w:p>
    <w:p w:rsidR="0012265A" w:rsidRPr="00493F25" w:rsidRDefault="0012265A" w:rsidP="0012265A">
      <w:pPr>
        <w:rPr>
          <w:sz w:val="24"/>
          <w:szCs w:val="24"/>
          <w:lang w:val="en-US"/>
        </w:rPr>
      </w:pPr>
    </w:p>
    <w:p w:rsidR="0012265A" w:rsidRPr="00B67E8B" w:rsidRDefault="0012265A" w:rsidP="0012265A">
      <w:pPr>
        <w:jc w:val="right"/>
        <w:rPr>
          <w:b/>
          <w:sz w:val="24"/>
          <w:szCs w:val="24"/>
          <w:lang w:val="sr-Cyrl-CS"/>
        </w:rPr>
      </w:pPr>
      <w:r w:rsidRPr="00B67E8B">
        <w:rPr>
          <w:b/>
          <w:sz w:val="24"/>
          <w:szCs w:val="24"/>
          <w:lang w:val="sr-Cyrl-CS"/>
        </w:rPr>
        <w:t xml:space="preserve">      ПРИЛОГ </w:t>
      </w:r>
    </w:p>
    <w:tbl>
      <w:tblPr>
        <w:tblW w:w="9296" w:type="dxa"/>
        <w:jc w:val="center"/>
        <w:tblLook w:val="00A0" w:firstRow="1" w:lastRow="0" w:firstColumn="1" w:lastColumn="0" w:noHBand="0" w:noVBand="0"/>
      </w:tblPr>
      <w:tblGrid>
        <w:gridCol w:w="9296"/>
      </w:tblGrid>
      <w:tr w:rsidR="0012265A" w:rsidRPr="00B67E8B" w:rsidTr="004C6D3A">
        <w:trPr>
          <w:trHeight w:val="315"/>
          <w:jc w:val="center"/>
        </w:trPr>
        <w:tc>
          <w:tcPr>
            <w:tcW w:w="9296" w:type="dxa"/>
            <w:shd w:val="clear" w:color="000000" w:fill="FFFFFF"/>
          </w:tcPr>
          <w:p w:rsidR="0012265A" w:rsidRPr="00B67E8B" w:rsidRDefault="0012265A" w:rsidP="004C6D3A">
            <w:pPr>
              <w:jc w:val="center"/>
              <w:rPr>
                <w:b/>
                <w:sz w:val="24"/>
                <w:szCs w:val="24"/>
                <w:highlight w:val="yellow"/>
                <w:lang w:val="sr-Cyrl-CS"/>
              </w:rPr>
            </w:pPr>
            <w:r w:rsidRPr="00B67E8B">
              <w:rPr>
                <w:b/>
                <w:sz w:val="24"/>
                <w:szCs w:val="24"/>
                <w:lang w:val="sr-Cyrl-CS"/>
              </w:rPr>
              <w:t>Хитни радови на санацији објеката за заштиту од вода, оштећених у поплавама изазваним елементарном непогодом у јуну 2019. године</w:t>
            </w:r>
          </w:p>
        </w:tc>
      </w:tr>
    </w:tbl>
    <w:p w:rsidR="0012265A" w:rsidRPr="00B67E8B" w:rsidRDefault="0012265A" w:rsidP="0012265A">
      <w:pPr>
        <w:rPr>
          <w:lang w:val="sr-Cyrl-CS"/>
        </w:rPr>
      </w:pPr>
    </w:p>
    <w:tbl>
      <w:tblPr>
        <w:tblW w:w="9260" w:type="dxa"/>
        <w:jc w:val="center"/>
        <w:shd w:val="clear" w:color="auto" w:fill="FFFFFF" w:themeFill="background1"/>
        <w:tblLook w:val="04A0" w:firstRow="1" w:lastRow="0" w:firstColumn="1" w:lastColumn="0" w:noHBand="0" w:noVBand="1"/>
      </w:tblPr>
      <w:tblGrid>
        <w:gridCol w:w="651"/>
        <w:gridCol w:w="1584"/>
        <w:gridCol w:w="1220"/>
        <w:gridCol w:w="4337"/>
        <w:gridCol w:w="1468"/>
      </w:tblGrid>
      <w:tr w:rsidR="0012265A" w:rsidRPr="00B67E8B" w:rsidTr="001E4AA9">
        <w:trPr>
          <w:trHeight w:val="408"/>
          <w:jc w:val="center"/>
        </w:trPr>
        <w:tc>
          <w:tcPr>
            <w:tcW w:w="651" w:type="dxa"/>
            <w:tcBorders>
              <w:top w:val="single" w:sz="4" w:space="0" w:color="auto"/>
              <w:left w:val="single" w:sz="4" w:space="0" w:color="auto"/>
              <w:bottom w:val="single" w:sz="12" w:space="0" w:color="000000"/>
              <w:right w:val="single" w:sz="4" w:space="0" w:color="auto"/>
            </w:tcBorders>
            <w:shd w:val="clear" w:color="auto" w:fill="FFFFFF" w:themeFill="background1"/>
            <w:tcMar>
              <w:top w:w="72" w:type="dxa"/>
              <w:left w:w="72" w:type="dxa"/>
              <w:bottom w:w="72" w:type="dxa"/>
              <w:right w:w="72" w:type="dxa"/>
            </w:tcMar>
            <w:vAlign w:val="center"/>
          </w:tcPr>
          <w:p w:rsidR="0012265A" w:rsidRPr="00B67E8B" w:rsidRDefault="001E4AA9" w:rsidP="001E4AA9">
            <w:pPr>
              <w:jc w:val="center"/>
              <w:rPr>
                <w:b/>
                <w:bCs/>
                <w:sz w:val="16"/>
                <w:szCs w:val="16"/>
                <w:lang w:val="sr-Cyrl-CS" w:eastAsia="sr-Cyrl-RS"/>
              </w:rPr>
            </w:pPr>
            <w:r>
              <w:rPr>
                <w:b/>
                <w:bCs/>
                <w:sz w:val="16"/>
                <w:szCs w:val="16"/>
                <w:lang w:val="sr-Cyrl-CS" w:eastAsia="sr-Cyrl-RS"/>
              </w:rPr>
              <w:t>Редни број</w:t>
            </w:r>
          </w:p>
        </w:tc>
        <w:tc>
          <w:tcPr>
            <w:tcW w:w="1584" w:type="dxa"/>
            <w:tcBorders>
              <w:top w:val="single" w:sz="4" w:space="0" w:color="auto"/>
              <w:left w:val="single" w:sz="4" w:space="0" w:color="auto"/>
              <w:bottom w:val="single" w:sz="12" w:space="0" w:color="000000"/>
              <w:right w:val="single" w:sz="4" w:space="0" w:color="auto"/>
            </w:tcBorders>
            <w:shd w:val="clear" w:color="auto" w:fill="FFFFFF" w:themeFill="background1"/>
            <w:tcMar>
              <w:top w:w="72" w:type="dxa"/>
              <w:left w:w="72" w:type="dxa"/>
              <w:bottom w:w="72" w:type="dxa"/>
              <w:right w:w="72" w:type="dxa"/>
            </w:tcMar>
            <w:vAlign w:val="center"/>
          </w:tcPr>
          <w:p w:rsidR="0012265A" w:rsidRPr="00B67E8B" w:rsidRDefault="001E4AA9" w:rsidP="001E4AA9">
            <w:pPr>
              <w:jc w:val="center"/>
              <w:rPr>
                <w:b/>
                <w:bCs/>
                <w:sz w:val="16"/>
                <w:szCs w:val="16"/>
                <w:lang w:val="sr-Cyrl-CS" w:eastAsia="sr-Cyrl-RS"/>
              </w:rPr>
            </w:pPr>
            <w:r>
              <w:rPr>
                <w:b/>
                <w:bCs/>
                <w:sz w:val="16"/>
                <w:szCs w:val="16"/>
                <w:lang w:val="sr-Cyrl-CS" w:eastAsia="sr-Cyrl-RS"/>
              </w:rPr>
              <w:t>Водна јединица/Сектор/ Деоница/ Број објекта из ОП</w:t>
            </w:r>
          </w:p>
        </w:tc>
        <w:tc>
          <w:tcPr>
            <w:tcW w:w="1220" w:type="dxa"/>
            <w:tcBorders>
              <w:top w:val="single" w:sz="4" w:space="0" w:color="auto"/>
              <w:left w:val="single" w:sz="4" w:space="0" w:color="auto"/>
              <w:bottom w:val="single" w:sz="12" w:space="0" w:color="000000"/>
              <w:right w:val="single" w:sz="4" w:space="0" w:color="auto"/>
            </w:tcBorders>
            <w:shd w:val="clear" w:color="auto" w:fill="FFFFFF" w:themeFill="background1"/>
            <w:tcMar>
              <w:top w:w="72" w:type="dxa"/>
              <w:left w:w="72" w:type="dxa"/>
              <w:bottom w:w="72" w:type="dxa"/>
              <w:right w:w="72" w:type="dxa"/>
            </w:tcMar>
            <w:vAlign w:val="center"/>
          </w:tcPr>
          <w:p w:rsidR="0012265A" w:rsidRPr="00B67E8B" w:rsidRDefault="001E4AA9" w:rsidP="001E4AA9">
            <w:pPr>
              <w:jc w:val="center"/>
              <w:rPr>
                <w:b/>
                <w:bCs/>
                <w:sz w:val="16"/>
                <w:szCs w:val="16"/>
                <w:lang w:val="sr-Cyrl-CS" w:eastAsia="sr-Cyrl-RS"/>
              </w:rPr>
            </w:pPr>
            <w:r>
              <w:rPr>
                <w:b/>
                <w:bCs/>
                <w:sz w:val="16"/>
                <w:szCs w:val="16"/>
                <w:lang w:val="sr-Cyrl-CS" w:eastAsia="sr-Cyrl-RS"/>
              </w:rPr>
              <w:t>Град/ Општина</w:t>
            </w:r>
          </w:p>
        </w:tc>
        <w:tc>
          <w:tcPr>
            <w:tcW w:w="4337" w:type="dxa"/>
            <w:tcBorders>
              <w:top w:val="single" w:sz="4" w:space="0" w:color="auto"/>
              <w:left w:val="single" w:sz="4" w:space="0" w:color="auto"/>
              <w:bottom w:val="single" w:sz="12" w:space="0" w:color="000000"/>
              <w:right w:val="single" w:sz="4" w:space="0" w:color="auto"/>
            </w:tcBorders>
            <w:shd w:val="clear" w:color="auto" w:fill="FFFFFF" w:themeFill="background1"/>
            <w:tcMar>
              <w:top w:w="72" w:type="dxa"/>
              <w:left w:w="72" w:type="dxa"/>
              <w:bottom w:w="72" w:type="dxa"/>
              <w:right w:w="72" w:type="dxa"/>
            </w:tcMar>
            <w:vAlign w:val="center"/>
          </w:tcPr>
          <w:p w:rsidR="0012265A" w:rsidRPr="00B67E8B" w:rsidRDefault="001E4AA9" w:rsidP="001E4AA9">
            <w:pPr>
              <w:jc w:val="center"/>
              <w:rPr>
                <w:b/>
                <w:bCs/>
                <w:sz w:val="16"/>
                <w:szCs w:val="16"/>
                <w:lang w:val="sr-Cyrl-CS" w:eastAsia="sr-Cyrl-RS"/>
              </w:rPr>
            </w:pPr>
            <w:r>
              <w:rPr>
                <w:b/>
                <w:bCs/>
                <w:sz w:val="16"/>
                <w:szCs w:val="16"/>
                <w:lang w:val="sr-Cyrl-CS" w:eastAsia="sr-Cyrl-RS"/>
              </w:rPr>
              <w:t>ОПИС</w:t>
            </w:r>
          </w:p>
        </w:tc>
        <w:tc>
          <w:tcPr>
            <w:tcW w:w="1468" w:type="dxa"/>
            <w:tcBorders>
              <w:top w:val="single" w:sz="4" w:space="0" w:color="auto"/>
              <w:left w:val="single" w:sz="4" w:space="0" w:color="auto"/>
              <w:bottom w:val="single" w:sz="12" w:space="0" w:color="000000"/>
              <w:right w:val="single" w:sz="4" w:space="0" w:color="auto"/>
            </w:tcBorders>
            <w:shd w:val="clear" w:color="auto" w:fill="FFFFFF" w:themeFill="background1"/>
            <w:tcMar>
              <w:top w:w="72" w:type="dxa"/>
              <w:left w:w="72" w:type="dxa"/>
              <w:bottom w:w="72" w:type="dxa"/>
              <w:right w:w="72" w:type="dxa"/>
            </w:tcMar>
            <w:vAlign w:val="center"/>
          </w:tcPr>
          <w:p w:rsidR="0012265A" w:rsidRPr="00B67E8B" w:rsidRDefault="001E4AA9" w:rsidP="001E4AA9">
            <w:pPr>
              <w:jc w:val="center"/>
              <w:rPr>
                <w:b/>
                <w:bCs/>
                <w:sz w:val="16"/>
                <w:szCs w:val="16"/>
                <w:lang w:val="sr-Cyrl-CS" w:eastAsia="sr-Cyrl-RS"/>
              </w:rPr>
            </w:pPr>
            <w:r>
              <w:rPr>
                <w:b/>
                <w:bCs/>
                <w:sz w:val="16"/>
                <w:szCs w:val="16"/>
                <w:lang w:val="sr-Cyrl-CS" w:eastAsia="sr-Cyrl-RS"/>
              </w:rPr>
              <w:t>Вредност радова са ПДВ</w:t>
            </w:r>
          </w:p>
        </w:tc>
      </w:tr>
      <w:tr w:rsidR="0012265A" w:rsidRPr="00B67E8B" w:rsidTr="004F5C0D">
        <w:trPr>
          <w:trHeight w:val="390"/>
          <w:jc w:val="center"/>
        </w:trPr>
        <w:tc>
          <w:tcPr>
            <w:tcW w:w="651" w:type="dxa"/>
            <w:tcBorders>
              <w:top w:val="nil"/>
              <w:left w:val="single" w:sz="4" w:space="0" w:color="auto"/>
              <w:bottom w:val="double" w:sz="6" w:space="0" w:color="auto"/>
              <w:right w:val="nil"/>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b/>
                <w:bCs/>
                <w:sz w:val="16"/>
                <w:szCs w:val="16"/>
                <w:u w:val="single"/>
                <w:lang w:val="sr-Cyrl-CS" w:eastAsia="sr-Cyrl-RS"/>
              </w:rPr>
            </w:pPr>
            <w:r w:rsidRPr="00B67E8B">
              <w:rPr>
                <w:b/>
                <w:bCs/>
                <w:sz w:val="16"/>
                <w:szCs w:val="16"/>
                <w:u w:val="single"/>
                <w:lang w:val="sr-Cyrl-CS" w:eastAsia="sr-Cyrl-RS"/>
              </w:rPr>
              <w:t>А</w:t>
            </w:r>
          </w:p>
        </w:tc>
        <w:tc>
          <w:tcPr>
            <w:tcW w:w="1584" w:type="dxa"/>
            <w:tcBorders>
              <w:top w:val="nil"/>
              <w:left w:val="nil"/>
              <w:bottom w:val="double" w:sz="6" w:space="0" w:color="auto"/>
              <w:right w:val="nil"/>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rPr>
                <w:b/>
                <w:bCs/>
                <w:sz w:val="16"/>
                <w:szCs w:val="16"/>
                <w:u w:val="single"/>
                <w:lang w:val="sr-Cyrl-CS" w:eastAsia="sr-Cyrl-RS"/>
              </w:rPr>
            </w:pPr>
            <w:r w:rsidRPr="00B67E8B">
              <w:rPr>
                <w:b/>
                <w:bCs/>
                <w:sz w:val="16"/>
                <w:szCs w:val="16"/>
                <w:u w:val="single"/>
                <w:lang w:val="sr-Cyrl-CS" w:eastAsia="sr-Cyrl-RS"/>
              </w:rPr>
              <w:t> </w:t>
            </w:r>
          </w:p>
        </w:tc>
        <w:tc>
          <w:tcPr>
            <w:tcW w:w="1220" w:type="dxa"/>
            <w:tcBorders>
              <w:top w:val="nil"/>
              <w:left w:val="nil"/>
              <w:bottom w:val="double" w:sz="6" w:space="0" w:color="auto"/>
              <w:right w:val="nil"/>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rPr>
                <w:b/>
                <w:bCs/>
                <w:sz w:val="16"/>
                <w:szCs w:val="16"/>
                <w:u w:val="single"/>
                <w:lang w:val="sr-Cyrl-CS" w:eastAsia="sr-Cyrl-RS"/>
              </w:rPr>
            </w:pPr>
            <w:r w:rsidRPr="00B67E8B">
              <w:rPr>
                <w:b/>
                <w:bCs/>
                <w:sz w:val="16"/>
                <w:szCs w:val="16"/>
                <w:u w:val="single"/>
                <w:lang w:val="sr-Cyrl-CS" w:eastAsia="sr-Cyrl-RS"/>
              </w:rPr>
              <w:t> </w:t>
            </w:r>
          </w:p>
        </w:tc>
        <w:tc>
          <w:tcPr>
            <w:tcW w:w="4337" w:type="dxa"/>
            <w:tcBorders>
              <w:top w:val="nil"/>
              <w:left w:val="nil"/>
              <w:bottom w:val="double" w:sz="6" w:space="0" w:color="auto"/>
              <w:right w:val="nil"/>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b/>
                <w:bCs/>
                <w:sz w:val="16"/>
                <w:szCs w:val="16"/>
                <w:u w:val="single"/>
                <w:lang w:val="sr-Cyrl-CS" w:eastAsia="sr-Cyrl-RS"/>
              </w:rPr>
            </w:pPr>
            <w:r w:rsidRPr="00B67E8B">
              <w:rPr>
                <w:b/>
                <w:bCs/>
                <w:sz w:val="16"/>
                <w:szCs w:val="16"/>
                <w:u w:val="single"/>
                <w:lang w:val="sr-Cyrl-CS" w:eastAsia="sr-Cyrl-RS"/>
              </w:rPr>
              <w:t>ХИТНИ САНАЦИОНИ РАДОВИ</w:t>
            </w:r>
          </w:p>
        </w:tc>
        <w:tc>
          <w:tcPr>
            <w:tcW w:w="1468" w:type="dxa"/>
            <w:tcBorders>
              <w:top w:val="nil"/>
              <w:left w:val="nil"/>
              <w:bottom w:val="double" w:sz="6"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b/>
                <w:bCs/>
                <w:sz w:val="16"/>
                <w:szCs w:val="16"/>
                <w:u w:val="single"/>
                <w:lang w:val="sr-Cyrl-CS" w:eastAsia="sr-Cyrl-RS"/>
              </w:rPr>
            </w:pPr>
            <w:r w:rsidRPr="00B67E8B">
              <w:rPr>
                <w:b/>
                <w:bCs/>
                <w:sz w:val="16"/>
                <w:szCs w:val="16"/>
                <w:u w:val="single"/>
                <w:lang w:val="sr-Cyrl-CS" w:eastAsia="sr-Cyrl-RS"/>
              </w:rPr>
              <w:t> </w:t>
            </w:r>
          </w:p>
        </w:tc>
      </w:tr>
      <w:tr w:rsidR="0012265A" w:rsidRPr="00B67E8B" w:rsidTr="004F5C0D">
        <w:trPr>
          <w:trHeight w:val="432"/>
          <w:jc w:val="center"/>
        </w:trPr>
        <w:tc>
          <w:tcPr>
            <w:tcW w:w="651" w:type="dxa"/>
            <w:tcBorders>
              <w:top w:val="nil"/>
              <w:left w:val="single" w:sz="4" w:space="0" w:color="auto"/>
              <w:bottom w:val="double" w:sz="6" w:space="0" w:color="auto"/>
              <w:right w:val="nil"/>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b/>
                <w:bCs/>
                <w:sz w:val="16"/>
                <w:szCs w:val="16"/>
                <w:lang w:val="sr-Cyrl-CS" w:eastAsia="sr-Cyrl-RS"/>
              </w:rPr>
            </w:pPr>
            <w:r w:rsidRPr="00B67E8B">
              <w:rPr>
                <w:b/>
                <w:bCs/>
                <w:sz w:val="16"/>
                <w:szCs w:val="16"/>
                <w:lang w:val="sr-Cyrl-CS" w:eastAsia="sr-Cyrl-RS"/>
              </w:rPr>
              <w:t>А.1.</w:t>
            </w:r>
          </w:p>
        </w:tc>
        <w:tc>
          <w:tcPr>
            <w:tcW w:w="1584" w:type="dxa"/>
            <w:tcBorders>
              <w:top w:val="nil"/>
              <w:left w:val="nil"/>
              <w:bottom w:val="double" w:sz="6" w:space="0" w:color="auto"/>
              <w:right w:val="nil"/>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rPr>
                <w:rFonts w:ascii="Calibri" w:hAnsi="Calibri" w:cs="Calibri"/>
                <w:lang w:val="sr-Cyrl-CS" w:eastAsia="sr-Cyrl-RS"/>
              </w:rPr>
            </w:pPr>
            <w:r w:rsidRPr="00B67E8B">
              <w:rPr>
                <w:rFonts w:ascii="Calibri" w:hAnsi="Calibri" w:cs="Calibri"/>
                <w:lang w:val="sr-Cyrl-CS" w:eastAsia="sr-Cyrl-RS"/>
              </w:rPr>
              <w:t> </w:t>
            </w:r>
          </w:p>
        </w:tc>
        <w:tc>
          <w:tcPr>
            <w:tcW w:w="1220" w:type="dxa"/>
            <w:tcBorders>
              <w:top w:val="nil"/>
              <w:left w:val="nil"/>
              <w:bottom w:val="double" w:sz="6" w:space="0" w:color="auto"/>
              <w:right w:val="nil"/>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rPr>
                <w:b/>
                <w:bCs/>
                <w:lang w:val="sr-Cyrl-CS" w:eastAsia="sr-Cyrl-RS"/>
              </w:rPr>
            </w:pPr>
            <w:r w:rsidRPr="00B67E8B">
              <w:rPr>
                <w:b/>
                <w:bCs/>
                <w:lang w:val="sr-Cyrl-CS" w:eastAsia="sr-Cyrl-RS"/>
              </w:rPr>
              <w:t> </w:t>
            </w:r>
          </w:p>
        </w:tc>
        <w:tc>
          <w:tcPr>
            <w:tcW w:w="4337" w:type="dxa"/>
            <w:tcBorders>
              <w:top w:val="nil"/>
              <w:left w:val="nil"/>
              <w:bottom w:val="double" w:sz="6" w:space="0" w:color="auto"/>
              <w:right w:val="nil"/>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b/>
                <w:bCs/>
                <w:sz w:val="16"/>
                <w:szCs w:val="16"/>
                <w:lang w:val="sr-Cyrl-CS" w:eastAsia="sr-Cyrl-RS"/>
              </w:rPr>
            </w:pPr>
            <w:r w:rsidRPr="00B67E8B">
              <w:rPr>
                <w:b/>
                <w:bCs/>
                <w:sz w:val="16"/>
                <w:szCs w:val="16"/>
                <w:lang w:val="sr-Cyrl-CS" w:eastAsia="sr-Cyrl-RS"/>
              </w:rPr>
              <w:t xml:space="preserve"> Водно подручје </w:t>
            </w:r>
            <w:r w:rsidRPr="00B67E8B">
              <w:rPr>
                <w:rFonts w:eastAsia="Calibri"/>
                <w:sz w:val="16"/>
                <w:szCs w:val="16"/>
                <w:lang w:val="sr-Cyrl-CS"/>
              </w:rPr>
              <w:t>„</w:t>
            </w:r>
            <w:r w:rsidRPr="00B67E8B">
              <w:rPr>
                <w:b/>
                <w:bCs/>
                <w:sz w:val="16"/>
                <w:szCs w:val="16"/>
                <w:lang w:val="sr-Cyrl-CS" w:eastAsia="sr-Cyrl-RS"/>
              </w:rPr>
              <w:t>Сава</w:t>
            </w:r>
            <w:r w:rsidRPr="00B67E8B">
              <w:rPr>
                <w:sz w:val="16"/>
                <w:szCs w:val="16"/>
                <w:lang w:val="sr-Cyrl-CS"/>
              </w:rPr>
              <w:t>”</w:t>
            </w:r>
          </w:p>
        </w:tc>
        <w:tc>
          <w:tcPr>
            <w:tcW w:w="1468" w:type="dxa"/>
            <w:tcBorders>
              <w:top w:val="nil"/>
              <w:left w:val="nil"/>
              <w:bottom w:val="double" w:sz="6"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rPr>
                <w:b/>
                <w:bCs/>
                <w:lang w:val="sr-Cyrl-CS" w:eastAsia="sr-Cyrl-RS"/>
              </w:rPr>
            </w:pPr>
            <w:r w:rsidRPr="00B67E8B">
              <w:rPr>
                <w:b/>
                <w:bCs/>
                <w:lang w:val="sr-Cyrl-CS" w:eastAsia="sr-Cyrl-RS"/>
              </w:rPr>
              <w:t> </w:t>
            </w:r>
          </w:p>
        </w:tc>
      </w:tr>
      <w:tr w:rsidR="0012265A" w:rsidRPr="00B67E8B" w:rsidTr="004F5C0D">
        <w:trPr>
          <w:trHeight w:val="2511"/>
          <w:jc w:val="center"/>
        </w:trPr>
        <w:tc>
          <w:tcPr>
            <w:tcW w:w="651" w:type="dxa"/>
            <w:tcBorders>
              <w:top w:val="single" w:sz="4" w:space="0" w:color="auto"/>
              <w:left w:val="single" w:sz="4" w:space="0" w:color="auto"/>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sz w:val="16"/>
                <w:szCs w:val="16"/>
                <w:lang w:val="sr-Cyrl-CS" w:eastAsia="sr-Cyrl-RS"/>
              </w:rPr>
            </w:pPr>
            <w:r w:rsidRPr="00B67E8B">
              <w:rPr>
                <w:sz w:val="16"/>
                <w:szCs w:val="16"/>
                <w:lang w:val="sr-Cyrl-CS" w:eastAsia="sr-Cyrl-RS"/>
              </w:rPr>
              <w:t>1</w:t>
            </w:r>
          </w:p>
        </w:tc>
        <w:tc>
          <w:tcPr>
            <w:tcW w:w="1584" w:type="dxa"/>
            <w:tcBorders>
              <w:top w:val="single" w:sz="4" w:space="0" w:color="auto"/>
              <w:left w:val="nil"/>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sz w:val="16"/>
                <w:szCs w:val="16"/>
                <w:lang w:val="sr-Cyrl-CS" w:eastAsia="sr-Cyrl-RS"/>
              </w:rPr>
            </w:pPr>
            <w:r w:rsidRPr="00B67E8B">
              <w:rPr>
                <w:rFonts w:eastAsia="Calibri"/>
                <w:sz w:val="16"/>
                <w:szCs w:val="16"/>
                <w:lang w:val="sr-Cyrl-CS"/>
              </w:rPr>
              <w:t>„</w:t>
            </w:r>
            <w:r w:rsidRPr="00B67E8B">
              <w:rPr>
                <w:sz w:val="16"/>
                <w:szCs w:val="16"/>
                <w:lang w:val="sr-Cyrl-CS" w:eastAsia="sr-Cyrl-RS"/>
              </w:rPr>
              <w:t>Колубара-Об</w:t>
            </w:r>
            <w:r w:rsidR="00A527FE">
              <w:rPr>
                <w:sz w:val="16"/>
                <w:szCs w:val="16"/>
                <w:lang w:val="sr-Cyrl-RS" w:eastAsia="sr-Cyrl-RS"/>
              </w:rPr>
              <w:t>р</w:t>
            </w:r>
            <w:r w:rsidRPr="00B67E8B">
              <w:rPr>
                <w:sz w:val="16"/>
                <w:szCs w:val="16"/>
                <w:lang w:val="sr-Cyrl-CS" w:eastAsia="sr-Cyrl-RS"/>
              </w:rPr>
              <w:t>еновац,Уб</w:t>
            </w:r>
            <w:r w:rsidRPr="00B67E8B">
              <w:rPr>
                <w:sz w:val="16"/>
                <w:szCs w:val="16"/>
                <w:lang w:val="sr-Cyrl-CS"/>
              </w:rPr>
              <w:t>”</w:t>
            </w:r>
            <w:r w:rsidRPr="00B67E8B">
              <w:rPr>
                <w:sz w:val="16"/>
                <w:szCs w:val="16"/>
                <w:lang w:val="sr-Cyrl-CS" w:eastAsia="sr-Cyrl-RS"/>
              </w:rPr>
              <w:t>/</w:t>
            </w:r>
            <w:r w:rsidRPr="00B67E8B">
              <w:rPr>
                <w:sz w:val="16"/>
                <w:szCs w:val="16"/>
                <w:lang w:val="sr-Cyrl-CS" w:eastAsia="sr-Cyrl-RS"/>
              </w:rPr>
              <w:br/>
              <w:t>С.5./С.5.5.</w:t>
            </w:r>
          </w:p>
        </w:tc>
        <w:tc>
          <w:tcPr>
            <w:tcW w:w="1220" w:type="dxa"/>
            <w:tcBorders>
              <w:top w:val="single" w:sz="4" w:space="0" w:color="auto"/>
              <w:left w:val="nil"/>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rPr>
                <w:sz w:val="16"/>
                <w:szCs w:val="16"/>
                <w:lang w:val="sr-Cyrl-CS" w:eastAsia="sr-Cyrl-RS"/>
              </w:rPr>
            </w:pPr>
            <w:r w:rsidRPr="00B67E8B">
              <w:rPr>
                <w:sz w:val="16"/>
                <w:szCs w:val="16"/>
                <w:lang w:val="sr-Cyrl-CS" w:eastAsia="sr-Cyrl-RS"/>
              </w:rPr>
              <w:t>Доње Црниљево, Коцељева, Шабачка Каменица</w:t>
            </w:r>
          </w:p>
        </w:tc>
        <w:tc>
          <w:tcPr>
            <w:tcW w:w="4337" w:type="dxa"/>
            <w:tcBorders>
              <w:top w:val="single" w:sz="4" w:space="0" w:color="auto"/>
              <w:left w:val="nil"/>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rPr>
                <w:sz w:val="16"/>
                <w:szCs w:val="16"/>
                <w:lang w:val="sr-Cyrl-CS" w:eastAsia="sr-Cyrl-RS"/>
              </w:rPr>
            </w:pPr>
            <w:r w:rsidRPr="00B67E8B">
              <w:rPr>
                <w:sz w:val="16"/>
                <w:szCs w:val="16"/>
                <w:lang w:val="sr-Cyrl-CS" w:eastAsia="sr-Cyrl-RS"/>
              </w:rPr>
              <w:t>Хитни санациони радови на оштећеним деоницама Тамнаве и притока на подручју општине Коцељева:</w:t>
            </w:r>
            <w:r w:rsidRPr="00B67E8B">
              <w:rPr>
                <w:sz w:val="16"/>
                <w:szCs w:val="16"/>
                <w:lang w:val="sr-Cyrl-CS" w:eastAsia="sr-Cyrl-RS"/>
              </w:rPr>
              <w:br/>
              <w:t>1.Санација обале Тамнаве у зони станице за пречишћавање отпадних вода у Доњем Црниљеву:</w:t>
            </w:r>
            <w:r w:rsidRPr="00B67E8B">
              <w:rPr>
                <w:sz w:val="16"/>
                <w:szCs w:val="16"/>
                <w:lang w:val="sr-Cyrl-CS" w:eastAsia="sr-Cyrl-RS"/>
              </w:rPr>
              <w:br/>
              <w:t>2.Радови на обезбеђењу протицајног профила реке Тамнаве низводно од насеља Коцељева у дужини од 1 km и узводно од ушћа Раснице у дужини од 500 m,</w:t>
            </w:r>
            <w:r w:rsidRPr="00B67E8B">
              <w:rPr>
                <w:sz w:val="16"/>
                <w:szCs w:val="16"/>
                <w:lang w:val="sr-Cyrl-CS" w:eastAsia="sr-Cyrl-RS"/>
              </w:rPr>
              <w:br/>
              <w:t>3.Обезбеђење протицајног профила реке Тамнаве у зони улива потока Козарица и Змајевац на дужини од 750 m у зони насеља Шабачка Каменица.</w:t>
            </w:r>
            <w:r w:rsidRPr="00B67E8B">
              <w:rPr>
                <w:sz w:val="16"/>
                <w:szCs w:val="16"/>
                <w:lang w:val="sr-Cyrl-CS" w:eastAsia="sr-Cyrl-RS"/>
              </w:rPr>
              <w:br/>
              <w:t>4.Санација заштитног водног објекта: регулисано корито реке Раснице узводно од улива у Тамнаву од km0+150 дo km0+705 и km1+440 до km1+590 у укупној дужини од 705 m</w:t>
            </w:r>
          </w:p>
        </w:tc>
        <w:tc>
          <w:tcPr>
            <w:tcW w:w="1468" w:type="dxa"/>
            <w:tcBorders>
              <w:top w:val="single" w:sz="4" w:space="0" w:color="auto"/>
              <w:left w:val="nil"/>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sz w:val="16"/>
                <w:szCs w:val="16"/>
                <w:lang w:val="sr-Cyrl-CS" w:eastAsia="sr-Cyrl-RS"/>
              </w:rPr>
            </w:pPr>
            <w:r w:rsidRPr="00B67E8B">
              <w:rPr>
                <w:sz w:val="16"/>
                <w:szCs w:val="16"/>
                <w:lang w:val="sr-Cyrl-CS" w:eastAsia="sr-Cyrl-RS"/>
              </w:rPr>
              <w:t>39.000.000</w:t>
            </w:r>
          </w:p>
        </w:tc>
      </w:tr>
      <w:tr w:rsidR="0012265A" w:rsidRPr="00B67E8B" w:rsidTr="004F5C0D">
        <w:trPr>
          <w:trHeight w:val="1260"/>
          <w:jc w:val="center"/>
        </w:trPr>
        <w:tc>
          <w:tcPr>
            <w:tcW w:w="651" w:type="dxa"/>
            <w:tcBorders>
              <w:top w:val="nil"/>
              <w:left w:val="single" w:sz="4" w:space="0" w:color="auto"/>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sz w:val="16"/>
                <w:szCs w:val="16"/>
                <w:lang w:val="sr-Cyrl-CS" w:eastAsia="sr-Cyrl-RS"/>
              </w:rPr>
            </w:pPr>
            <w:r w:rsidRPr="00B67E8B">
              <w:rPr>
                <w:sz w:val="16"/>
                <w:szCs w:val="16"/>
                <w:lang w:val="sr-Cyrl-CS" w:eastAsia="sr-Cyrl-RS"/>
              </w:rPr>
              <w:t>2</w:t>
            </w:r>
          </w:p>
        </w:tc>
        <w:tc>
          <w:tcPr>
            <w:tcW w:w="1584" w:type="dxa"/>
            <w:tcBorders>
              <w:top w:val="nil"/>
              <w:left w:val="nil"/>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sz w:val="16"/>
                <w:szCs w:val="16"/>
                <w:lang w:val="sr-Cyrl-CS" w:eastAsia="sr-Cyrl-RS"/>
              </w:rPr>
            </w:pPr>
            <w:r w:rsidRPr="00B67E8B">
              <w:rPr>
                <w:rFonts w:eastAsia="Calibri"/>
                <w:sz w:val="16"/>
                <w:szCs w:val="16"/>
                <w:lang w:val="sr-Cyrl-CS"/>
              </w:rPr>
              <w:t>„</w:t>
            </w:r>
            <w:r w:rsidRPr="00B67E8B">
              <w:rPr>
                <w:sz w:val="16"/>
                <w:szCs w:val="16"/>
                <w:lang w:val="sr-Cyrl-CS" w:eastAsia="sr-Cyrl-RS"/>
              </w:rPr>
              <w:t>Колубара-Ваљево</w:t>
            </w:r>
            <w:r w:rsidRPr="00B67E8B">
              <w:rPr>
                <w:sz w:val="16"/>
                <w:szCs w:val="16"/>
                <w:lang w:val="sr-Cyrl-CS"/>
              </w:rPr>
              <w:t>”</w:t>
            </w:r>
            <w:r w:rsidRPr="00B67E8B">
              <w:rPr>
                <w:sz w:val="16"/>
                <w:szCs w:val="16"/>
                <w:lang w:val="sr-Cyrl-CS" w:eastAsia="sr-Cyrl-RS"/>
              </w:rPr>
              <w:t>/</w:t>
            </w:r>
            <w:r w:rsidRPr="00B67E8B">
              <w:rPr>
                <w:sz w:val="16"/>
                <w:szCs w:val="16"/>
                <w:lang w:val="sr-Cyrl-CS" w:eastAsia="sr-Cyrl-RS"/>
              </w:rPr>
              <w:br/>
              <w:t>С.5./С.5.9.</w:t>
            </w:r>
          </w:p>
        </w:tc>
        <w:tc>
          <w:tcPr>
            <w:tcW w:w="1220" w:type="dxa"/>
            <w:tcBorders>
              <w:top w:val="nil"/>
              <w:left w:val="nil"/>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sz w:val="16"/>
                <w:szCs w:val="16"/>
                <w:lang w:val="sr-Cyrl-CS" w:eastAsia="sr-Cyrl-RS"/>
              </w:rPr>
            </w:pPr>
            <w:r w:rsidRPr="00B67E8B">
              <w:rPr>
                <w:sz w:val="16"/>
                <w:szCs w:val="16"/>
                <w:lang w:val="sr-Cyrl-CS" w:eastAsia="sr-Cyrl-RS"/>
              </w:rPr>
              <w:t>Љиг</w:t>
            </w:r>
          </w:p>
        </w:tc>
        <w:tc>
          <w:tcPr>
            <w:tcW w:w="4337" w:type="dxa"/>
            <w:tcBorders>
              <w:top w:val="nil"/>
              <w:left w:val="nil"/>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rPr>
                <w:sz w:val="16"/>
                <w:szCs w:val="16"/>
                <w:lang w:val="sr-Cyrl-CS" w:eastAsia="sr-Cyrl-RS"/>
              </w:rPr>
            </w:pPr>
            <w:r w:rsidRPr="00B67E8B">
              <w:rPr>
                <w:sz w:val="16"/>
                <w:szCs w:val="16"/>
                <w:lang w:val="sr-Cyrl-CS" w:eastAsia="sr-Cyrl-RS"/>
              </w:rPr>
              <w:t>Хитни санациони радови на оштећеним деоницама реке Љиг на подручју општине Љиг:                                            Санација оштећења регулисаног корита реке Љиг низводно од главног друмског моста у Љигу (km 23+565) до ушћа Качера у Љиг (km 21+965) - наставак започете санације којом се обезбеђује и заштита дела Аутопута Е-763</w:t>
            </w:r>
          </w:p>
        </w:tc>
        <w:tc>
          <w:tcPr>
            <w:tcW w:w="1468" w:type="dxa"/>
            <w:tcBorders>
              <w:top w:val="nil"/>
              <w:left w:val="nil"/>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sz w:val="16"/>
                <w:szCs w:val="16"/>
                <w:lang w:val="sr-Cyrl-CS" w:eastAsia="sr-Cyrl-RS"/>
              </w:rPr>
            </w:pPr>
            <w:r w:rsidRPr="00B67E8B">
              <w:rPr>
                <w:sz w:val="16"/>
                <w:szCs w:val="16"/>
                <w:lang w:val="sr-Cyrl-CS" w:eastAsia="sr-Cyrl-RS"/>
              </w:rPr>
              <w:t>19.000.000</w:t>
            </w:r>
          </w:p>
        </w:tc>
      </w:tr>
      <w:tr w:rsidR="0012265A" w:rsidRPr="00B67E8B" w:rsidTr="004F5C0D">
        <w:trPr>
          <w:trHeight w:val="1880"/>
          <w:jc w:val="center"/>
        </w:trPr>
        <w:tc>
          <w:tcPr>
            <w:tcW w:w="651" w:type="dxa"/>
            <w:tcBorders>
              <w:top w:val="nil"/>
              <w:left w:val="single" w:sz="4" w:space="0" w:color="auto"/>
              <w:bottom w:val="double" w:sz="6"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sz w:val="16"/>
                <w:szCs w:val="16"/>
                <w:lang w:val="sr-Cyrl-CS" w:eastAsia="sr-Cyrl-RS"/>
              </w:rPr>
            </w:pPr>
            <w:r w:rsidRPr="00B67E8B">
              <w:rPr>
                <w:sz w:val="16"/>
                <w:szCs w:val="16"/>
                <w:lang w:val="sr-Cyrl-CS" w:eastAsia="sr-Cyrl-RS"/>
              </w:rPr>
              <w:t>3</w:t>
            </w:r>
          </w:p>
        </w:tc>
        <w:tc>
          <w:tcPr>
            <w:tcW w:w="1584" w:type="dxa"/>
            <w:tcBorders>
              <w:top w:val="nil"/>
              <w:left w:val="nil"/>
              <w:bottom w:val="double" w:sz="6"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sz w:val="16"/>
                <w:szCs w:val="16"/>
                <w:lang w:val="sr-Cyrl-CS" w:eastAsia="sr-Cyrl-RS"/>
              </w:rPr>
            </w:pPr>
            <w:r w:rsidRPr="00B67E8B">
              <w:rPr>
                <w:rFonts w:eastAsia="Calibri"/>
                <w:sz w:val="16"/>
                <w:szCs w:val="16"/>
                <w:lang w:val="sr-Cyrl-CS"/>
              </w:rPr>
              <w:t>„</w:t>
            </w:r>
            <w:r w:rsidRPr="00B67E8B">
              <w:rPr>
                <w:sz w:val="16"/>
                <w:szCs w:val="16"/>
                <w:lang w:val="sr-Cyrl-CS" w:eastAsia="sr-Cyrl-RS"/>
              </w:rPr>
              <w:t>Дрина-Лозница</w:t>
            </w:r>
            <w:r w:rsidRPr="00B67E8B">
              <w:rPr>
                <w:sz w:val="16"/>
                <w:szCs w:val="16"/>
                <w:lang w:val="sr-Cyrl-CS"/>
              </w:rPr>
              <w:t>”</w:t>
            </w:r>
            <w:r w:rsidRPr="00B67E8B">
              <w:rPr>
                <w:sz w:val="16"/>
                <w:szCs w:val="16"/>
                <w:lang w:val="sr-Cyrl-CS" w:eastAsia="sr-Cyrl-RS"/>
              </w:rPr>
              <w:t>/</w:t>
            </w:r>
            <w:r w:rsidRPr="00B67E8B">
              <w:rPr>
                <w:sz w:val="16"/>
                <w:szCs w:val="16"/>
                <w:lang w:val="sr-Cyrl-CS" w:eastAsia="sr-Cyrl-RS"/>
              </w:rPr>
              <w:br/>
              <w:t>С.6.3.</w:t>
            </w:r>
          </w:p>
        </w:tc>
        <w:tc>
          <w:tcPr>
            <w:tcW w:w="1220" w:type="dxa"/>
            <w:tcBorders>
              <w:top w:val="nil"/>
              <w:left w:val="nil"/>
              <w:bottom w:val="double" w:sz="6"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sz w:val="16"/>
                <w:szCs w:val="16"/>
                <w:lang w:val="sr-Cyrl-CS" w:eastAsia="sr-Cyrl-RS"/>
              </w:rPr>
            </w:pPr>
            <w:r w:rsidRPr="00B67E8B">
              <w:rPr>
                <w:sz w:val="16"/>
                <w:szCs w:val="16"/>
                <w:lang w:val="sr-Cyrl-CS" w:eastAsia="sr-Cyrl-RS"/>
              </w:rPr>
              <w:t>Крупањ</w:t>
            </w:r>
          </w:p>
        </w:tc>
        <w:tc>
          <w:tcPr>
            <w:tcW w:w="4337" w:type="dxa"/>
            <w:tcBorders>
              <w:top w:val="nil"/>
              <w:left w:val="nil"/>
              <w:bottom w:val="double" w:sz="6"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rPr>
                <w:sz w:val="16"/>
                <w:szCs w:val="16"/>
                <w:lang w:val="sr-Cyrl-CS" w:eastAsia="sr-Cyrl-RS"/>
              </w:rPr>
            </w:pPr>
            <w:r w:rsidRPr="00B67E8B">
              <w:rPr>
                <w:sz w:val="16"/>
                <w:szCs w:val="16"/>
                <w:lang w:val="sr-Cyrl-CS" w:eastAsia="sr-Cyrl-RS"/>
              </w:rPr>
              <w:t xml:space="preserve">Хитни санациони радови на оштећеним деоницама бујичних водотока на подручју општине Крупањ:      </w:t>
            </w:r>
            <w:r w:rsidRPr="00B67E8B">
              <w:rPr>
                <w:sz w:val="16"/>
                <w:szCs w:val="16"/>
                <w:lang w:val="sr-Cyrl-CS" w:eastAsia="sr-Cyrl-RS"/>
              </w:rPr>
              <w:br/>
              <w:t>1. Река Богоштица - регулациони радови и надвишења оштећених обала у зони  школе (480 m) и  формирање система противерозионих бујичних преграда (6 локалитета);</w:t>
            </w:r>
            <w:r w:rsidRPr="00B67E8B">
              <w:rPr>
                <w:sz w:val="16"/>
                <w:szCs w:val="16"/>
                <w:lang w:val="sr-Cyrl-CS" w:eastAsia="sr-Cyrl-RS"/>
              </w:rPr>
              <w:br/>
              <w:t>2. река Ликодра -  санације оштећења корита и обала</w:t>
            </w:r>
          </w:p>
          <w:p w:rsidR="0012265A" w:rsidRPr="00B67E8B" w:rsidRDefault="0012265A" w:rsidP="004C6D3A">
            <w:pPr>
              <w:rPr>
                <w:sz w:val="16"/>
                <w:szCs w:val="16"/>
                <w:lang w:val="sr-Cyrl-CS" w:eastAsia="sr-Cyrl-RS"/>
              </w:rPr>
            </w:pPr>
            <w:r w:rsidRPr="00B67E8B">
              <w:rPr>
                <w:sz w:val="16"/>
                <w:szCs w:val="16"/>
                <w:lang w:val="sr-Cyrl-CS" w:eastAsia="sr-Cyrl-RS"/>
              </w:rPr>
              <w:t>(4 локалитета) и  радови на обезбеђењу протицајног профила низводно од насеља, санација и осигурање оштећеног насипа у зони насеља (600 m),</w:t>
            </w:r>
          </w:p>
        </w:tc>
        <w:tc>
          <w:tcPr>
            <w:tcW w:w="1468" w:type="dxa"/>
            <w:tcBorders>
              <w:top w:val="nil"/>
              <w:left w:val="nil"/>
              <w:bottom w:val="double" w:sz="6"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sz w:val="16"/>
                <w:szCs w:val="16"/>
                <w:lang w:val="sr-Cyrl-CS" w:eastAsia="sr-Cyrl-RS"/>
              </w:rPr>
            </w:pPr>
            <w:r w:rsidRPr="00B67E8B">
              <w:rPr>
                <w:sz w:val="16"/>
                <w:szCs w:val="16"/>
                <w:lang w:val="sr-Cyrl-CS" w:eastAsia="sr-Cyrl-RS"/>
              </w:rPr>
              <w:t>92.000.000</w:t>
            </w:r>
          </w:p>
        </w:tc>
      </w:tr>
      <w:tr w:rsidR="0012265A" w:rsidRPr="00B67E8B" w:rsidTr="004F5C0D">
        <w:trPr>
          <w:trHeight w:val="312"/>
          <w:jc w:val="center"/>
        </w:trPr>
        <w:tc>
          <w:tcPr>
            <w:tcW w:w="651" w:type="dxa"/>
            <w:tcBorders>
              <w:top w:val="double" w:sz="6" w:space="0" w:color="auto"/>
              <w:left w:val="single" w:sz="4" w:space="0" w:color="auto"/>
              <w:bottom w:val="single" w:sz="4" w:space="0" w:color="auto"/>
              <w:right w:val="nil"/>
            </w:tcBorders>
            <w:shd w:val="clear" w:color="auto" w:fill="FFFFFF" w:themeFill="background1"/>
            <w:noWrap/>
            <w:tcMar>
              <w:top w:w="72" w:type="dxa"/>
              <w:left w:w="72" w:type="dxa"/>
              <w:bottom w:w="72" w:type="dxa"/>
              <w:right w:w="72" w:type="dxa"/>
            </w:tcMar>
            <w:vAlign w:val="center"/>
            <w:hideMark/>
          </w:tcPr>
          <w:p w:rsidR="0012265A" w:rsidRPr="00B67E8B" w:rsidRDefault="0012265A" w:rsidP="004C6D3A">
            <w:pPr>
              <w:jc w:val="center"/>
              <w:rPr>
                <w:sz w:val="16"/>
                <w:szCs w:val="16"/>
                <w:lang w:val="sr-Cyrl-CS" w:eastAsia="sr-Cyrl-RS"/>
              </w:rPr>
            </w:pPr>
            <w:r w:rsidRPr="00B67E8B">
              <w:rPr>
                <w:sz w:val="16"/>
                <w:szCs w:val="16"/>
                <w:lang w:val="sr-Cyrl-CS" w:eastAsia="sr-Cyrl-RS"/>
              </w:rPr>
              <w:t> </w:t>
            </w:r>
          </w:p>
        </w:tc>
        <w:tc>
          <w:tcPr>
            <w:tcW w:w="1584" w:type="dxa"/>
            <w:tcBorders>
              <w:top w:val="double" w:sz="6" w:space="0" w:color="auto"/>
              <w:left w:val="nil"/>
              <w:bottom w:val="single" w:sz="4" w:space="0" w:color="auto"/>
              <w:right w:val="nil"/>
            </w:tcBorders>
            <w:shd w:val="clear" w:color="auto" w:fill="FFFFFF" w:themeFill="background1"/>
            <w:noWrap/>
            <w:tcMar>
              <w:top w:w="72" w:type="dxa"/>
              <w:left w:w="72" w:type="dxa"/>
              <w:bottom w:w="72" w:type="dxa"/>
              <w:right w:w="72" w:type="dxa"/>
            </w:tcMar>
            <w:vAlign w:val="center"/>
            <w:hideMark/>
          </w:tcPr>
          <w:p w:rsidR="0012265A" w:rsidRPr="00B67E8B" w:rsidRDefault="0012265A" w:rsidP="004C6D3A">
            <w:pPr>
              <w:jc w:val="center"/>
              <w:rPr>
                <w:sz w:val="16"/>
                <w:szCs w:val="16"/>
                <w:lang w:val="sr-Cyrl-CS" w:eastAsia="sr-Cyrl-RS"/>
              </w:rPr>
            </w:pPr>
            <w:r w:rsidRPr="00B67E8B">
              <w:rPr>
                <w:sz w:val="16"/>
                <w:szCs w:val="16"/>
                <w:lang w:val="sr-Cyrl-CS" w:eastAsia="sr-Cyrl-RS"/>
              </w:rPr>
              <w:t> </w:t>
            </w:r>
          </w:p>
        </w:tc>
        <w:tc>
          <w:tcPr>
            <w:tcW w:w="1220" w:type="dxa"/>
            <w:tcBorders>
              <w:top w:val="double" w:sz="6" w:space="0" w:color="auto"/>
              <w:left w:val="nil"/>
              <w:bottom w:val="single" w:sz="4" w:space="0" w:color="auto"/>
              <w:right w:val="nil"/>
            </w:tcBorders>
            <w:shd w:val="clear" w:color="auto" w:fill="FFFFFF" w:themeFill="background1"/>
            <w:noWrap/>
            <w:tcMar>
              <w:top w:w="72" w:type="dxa"/>
              <w:left w:w="72" w:type="dxa"/>
              <w:bottom w:w="72" w:type="dxa"/>
              <w:right w:w="72" w:type="dxa"/>
            </w:tcMar>
            <w:vAlign w:val="center"/>
            <w:hideMark/>
          </w:tcPr>
          <w:p w:rsidR="0012265A" w:rsidRPr="00B67E8B" w:rsidRDefault="0012265A" w:rsidP="004C6D3A">
            <w:pPr>
              <w:jc w:val="center"/>
              <w:rPr>
                <w:sz w:val="16"/>
                <w:szCs w:val="16"/>
                <w:lang w:val="sr-Cyrl-CS" w:eastAsia="sr-Cyrl-RS"/>
              </w:rPr>
            </w:pPr>
            <w:r w:rsidRPr="00B67E8B">
              <w:rPr>
                <w:sz w:val="16"/>
                <w:szCs w:val="16"/>
                <w:lang w:val="sr-Cyrl-CS" w:eastAsia="sr-Cyrl-RS"/>
              </w:rPr>
              <w:t> </w:t>
            </w:r>
          </w:p>
        </w:tc>
        <w:tc>
          <w:tcPr>
            <w:tcW w:w="4337" w:type="dxa"/>
            <w:tcBorders>
              <w:top w:val="double" w:sz="6" w:space="0" w:color="auto"/>
              <w:left w:val="nil"/>
              <w:bottom w:val="single" w:sz="4" w:space="0" w:color="auto"/>
              <w:right w:val="single" w:sz="8" w:space="0" w:color="auto"/>
            </w:tcBorders>
            <w:shd w:val="clear" w:color="auto" w:fill="FFFFFF" w:themeFill="background1"/>
            <w:noWrap/>
            <w:tcMar>
              <w:top w:w="72" w:type="dxa"/>
              <w:left w:w="72" w:type="dxa"/>
              <w:bottom w:w="72" w:type="dxa"/>
              <w:right w:w="72" w:type="dxa"/>
            </w:tcMar>
            <w:vAlign w:val="center"/>
            <w:hideMark/>
          </w:tcPr>
          <w:p w:rsidR="0012265A" w:rsidRPr="00B67E8B" w:rsidRDefault="0012265A" w:rsidP="004C6D3A">
            <w:pPr>
              <w:jc w:val="right"/>
              <w:rPr>
                <w:b/>
                <w:bCs/>
                <w:sz w:val="16"/>
                <w:szCs w:val="16"/>
                <w:u w:val="single"/>
                <w:lang w:val="sr-Cyrl-CS" w:eastAsia="sr-Cyrl-RS"/>
              </w:rPr>
            </w:pPr>
            <w:r w:rsidRPr="00B67E8B">
              <w:rPr>
                <w:b/>
                <w:bCs/>
                <w:sz w:val="16"/>
                <w:szCs w:val="16"/>
                <w:u w:val="single"/>
                <w:lang w:val="sr-Cyrl-CS" w:eastAsia="sr-Cyrl-RS"/>
              </w:rPr>
              <w:t xml:space="preserve">Водно подручје </w:t>
            </w:r>
            <w:r w:rsidRPr="00B67E8B">
              <w:rPr>
                <w:rFonts w:eastAsia="Calibri"/>
                <w:b/>
                <w:sz w:val="16"/>
                <w:szCs w:val="16"/>
                <w:lang w:val="sr-Cyrl-CS"/>
              </w:rPr>
              <w:t>„</w:t>
            </w:r>
            <w:r w:rsidRPr="00B67E8B">
              <w:rPr>
                <w:b/>
                <w:bCs/>
                <w:sz w:val="16"/>
                <w:szCs w:val="16"/>
                <w:u w:val="single"/>
                <w:lang w:val="sr-Cyrl-CS" w:eastAsia="sr-Cyrl-RS"/>
              </w:rPr>
              <w:t>Сава</w:t>
            </w:r>
            <w:r w:rsidRPr="00B67E8B">
              <w:rPr>
                <w:b/>
                <w:sz w:val="16"/>
                <w:szCs w:val="16"/>
                <w:lang w:val="sr-Cyrl-CS"/>
              </w:rPr>
              <w:t>”</w:t>
            </w:r>
            <w:r w:rsidRPr="00B67E8B">
              <w:rPr>
                <w:b/>
                <w:bCs/>
                <w:sz w:val="16"/>
                <w:szCs w:val="16"/>
                <w:u w:val="single"/>
                <w:lang w:val="sr-Cyrl-CS" w:eastAsia="sr-Cyrl-RS"/>
              </w:rPr>
              <w:t xml:space="preserve">  Свега А.1: </w:t>
            </w:r>
          </w:p>
        </w:tc>
        <w:tc>
          <w:tcPr>
            <w:tcW w:w="1468" w:type="dxa"/>
            <w:tcBorders>
              <w:top w:val="double" w:sz="6" w:space="0" w:color="auto"/>
              <w:left w:val="nil"/>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b/>
                <w:bCs/>
                <w:sz w:val="16"/>
                <w:szCs w:val="16"/>
                <w:lang w:val="sr-Cyrl-CS" w:eastAsia="sr-Cyrl-RS"/>
              </w:rPr>
            </w:pPr>
            <w:r w:rsidRPr="00B67E8B">
              <w:rPr>
                <w:b/>
                <w:bCs/>
                <w:sz w:val="16"/>
                <w:szCs w:val="16"/>
                <w:lang w:val="sr-Cyrl-CS" w:eastAsia="sr-Cyrl-RS"/>
              </w:rPr>
              <w:t>150.000.000</w:t>
            </w:r>
          </w:p>
        </w:tc>
      </w:tr>
      <w:tr w:rsidR="0012265A" w:rsidRPr="00B67E8B" w:rsidTr="004F5C0D">
        <w:trPr>
          <w:trHeight w:val="501"/>
          <w:jc w:val="center"/>
        </w:trPr>
        <w:tc>
          <w:tcPr>
            <w:tcW w:w="651" w:type="dxa"/>
            <w:tcBorders>
              <w:top w:val="single" w:sz="4" w:space="0" w:color="auto"/>
              <w:left w:val="single" w:sz="4" w:space="0" w:color="auto"/>
              <w:bottom w:val="double" w:sz="6" w:space="0" w:color="auto"/>
              <w:right w:val="nil"/>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b/>
                <w:bCs/>
                <w:sz w:val="16"/>
                <w:szCs w:val="16"/>
                <w:lang w:val="sr-Cyrl-CS" w:eastAsia="sr-Cyrl-RS"/>
              </w:rPr>
            </w:pPr>
            <w:r w:rsidRPr="00B67E8B">
              <w:rPr>
                <w:b/>
                <w:bCs/>
                <w:sz w:val="16"/>
                <w:szCs w:val="16"/>
                <w:lang w:val="sr-Cyrl-CS" w:eastAsia="sr-Cyrl-RS"/>
              </w:rPr>
              <w:t>А 2.</w:t>
            </w:r>
          </w:p>
        </w:tc>
        <w:tc>
          <w:tcPr>
            <w:tcW w:w="1584" w:type="dxa"/>
            <w:tcBorders>
              <w:top w:val="single" w:sz="4" w:space="0" w:color="auto"/>
              <w:left w:val="nil"/>
              <w:bottom w:val="double" w:sz="6" w:space="0" w:color="auto"/>
              <w:right w:val="nil"/>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rPr>
                <w:rFonts w:ascii="Calibri" w:hAnsi="Calibri" w:cs="Calibri"/>
                <w:lang w:val="sr-Cyrl-CS" w:eastAsia="sr-Cyrl-RS"/>
              </w:rPr>
            </w:pPr>
            <w:r w:rsidRPr="00B67E8B">
              <w:rPr>
                <w:rFonts w:ascii="Calibri" w:hAnsi="Calibri" w:cs="Calibri"/>
                <w:lang w:val="sr-Cyrl-CS" w:eastAsia="sr-Cyrl-RS"/>
              </w:rPr>
              <w:t> </w:t>
            </w:r>
          </w:p>
        </w:tc>
        <w:tc>
          <w:tcPr>
            <w:tcW w:w="1220" w:type="dxa"/>
            <w:tcBorders>
              <w:top w:val="single" w:sz="4" w:space="0" w:color="auto"/>
              <w:left w:val="nil"/>
              <w:bottom w:val="double" w:sz="6" w:space="0" w:color="auto"/>
              <w:right w:val="nil"/>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rPr>
                <w:b/>
                <w:bCs/>
                <w:lang w:val="sr-Cyrl-CS" w:eastAsia="sr-Cyrl-RS"/>
              </w:rPr>
            </w:pPr>
            <w:r w:rsidRPr="00B67E8B">
              <w:rPr>
                <w:b/>
                <w:bCs/>
                <w:lang w:val="sr-Cyrl-CS" w:eastAsia="sr-Cyrl-RS"/>
              </w:rPr>
              <w:t> </w:t>
            </w:r>
          </w:p>
        </w:tc>
        <w:tc>
          <w:tcPr>
            <w:tcW w:w="4337" w:type="dxa"/>
            <w:tcBorders>
              <w:top w:val="single" w:sz="4" w:space="0" w:color="auto"/>
              <w:left w:val="nil"/>
              <w:bottom w:val="double" w:sz="6" w:space="0" w:color="auto"/>
              <w:right w:val="nil"/>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b/>
                <w:bCs/>
                <w:sz w:val="16"/>
                <w:szCs w:val="16"/>
                <w:lang w:val="sr-Cyrl-CS" w:eastAsia="sr-Cyrl-RS"/>
              </w:rPr>
            </w:pPr>
            <w:r w:rsidRPr="00B67E8B">
              <w:rPr>
                <w:b/>
                <w:bCs/>
                <w:sz w:val="16"/>
                <w:szCs w:val="16"/>
                <w:lang w:val="sr-Cyrl-CS" w:eastAsia="sr-Cyrl-RS"/>
              </w:rPr>
              <w:t xml:space="preserve"> Водно подручје </w:t>
            </w:r>
            <w:r w:rsidRPr="00B67E8B">
              <w:rPr>
                <w:rFonts w:eastAsia="Calibri"/>
                <w:b/>
                <w:sz w:val="16"/>
                <w:szCs w:val="16"/>
                <w:lang w:val="sr-Cyrl-CS"/>
              </w:rPr>
              <w:t>„</w:t>
            </w:r>
            <w:r w:rsidRPr="00B67E8B">
              <w:rPr>
                <w:b/>
                <w:bCs/>
                <w:sz w:val="16"/>
                <w:szCs w:val="16"/>
                <w:lang w:val="sr-Cyrl-CS" w:eastAsia="sr-Cyrl-RS"/>
              </w:rPr>
              <w:t>Морава</w:t>
            </w:r>
            <w:r w:rsidRPr="00B67E8B">
              <w:rPr>
                <w:b/>
                <w:sz w:val="16"/>
                <w:szCs w:val="16"/>
                <w:lang w:val="sr-Cyrl-CS"/>
              </w:rPr>
              <w:t>”</w:t>
            </w:r>
          </w:p>
        </w:tc>
        <w:tc>
          <w:tcPr>
            <w:tcW w:w="1468" w:type="dxa"/>
            <w:tcBorders>
              <w:top w:val="single" w:sz="4" w:space="0" w:color="auto"/>
              <w:left w:val="nil"/>
              <w:bottom w:val="double" w:sz="6"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rPr>
                <w:b/>
                <w:bCs/>
                <w:lang w:val="sr-Cyrl-CS" w:eastAsia="sr-Cyrl-RS"/>
              </w:rPr>
            </w:pPr>
            <w:r w:rsidRPr="00B67E8B">
              <w:rPr>
                <w:b/>
                <w:bCs/>
                <w:lang w:val="sr-Cyrl-CS" w:eastAsia="sr-Cyrl-RS"/>
              </w:rPr>
              <w:t> </w:t>
            </w:r>
          </w:p>
        </w:tc>
      </w:tr>
      <w:tr w:rsidR="0012265A" w:rsidRPr="00B67E8B" w:rsidTr="004F5C0D">
        <w:trPr>
          <w:trHeight w:val="711"/>
          <w:jc w:val="center"/>
        </w:trPr>
        <w:tc>
          <w:tcPr>
            <w:tcW w:w="651" w:type="dxa"/>
            <w:tcBorders>
              <w:top w:val="single" w:sz="4" w:space="0" w:color="auto"/>
              <w:left w:val="single" w:sz="4" w:space="0" w:color="auto"/>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sz w:val="16"/>
                <w:szCs w:val="16"/>
                <w:lang w:val="sr-Cyrl-CS" w:eastAsia="sr-Cyrl-RS"/>
              </w:rPr>
            </w:pPr>
            <w:r w:rsidRPr="00B67E8B">
              <w:rPr>
                <w:sz w:val="16"/>
                <w:szCs w:val="16"/>
                <w:lang w:val="sr-Cyrl-CS" w:eastAsia="sr-Cyrl-RS"/>
              </w:rPr>
              <w:t>4</w:t>
            </w:r>
          </w:p>
        </w:tc>
        <w:tc>
          <w:tcPr>
            <w:tcW w:w="1584" w:type="dxa"/>
            <w:tcBorders>
              <w:top w:val="single" w:sz="4" w:space="0" w:color="auto"/>
              <w:left w:val="nil"/>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sz w:val="16"/>
                <w:szCs w:val="16"/>
                <w:lang w:val="sr-Cyrl-CS" w:eastAsia="sr-Cyrl-RS"/>
              </w:rPr>
            </w:pPr>
            <w:r w:rsidRPr="00B67E8B">
              <w:rPr>
                <w:sz w:val="16"/>
                <w:szCs w:val="16"/>
                <w:lang w:val="sr-Cyrl-CS" w:eastAsia="sr-Cyrl-RS"/>
              </w:rPr>
              <w:t>Лепеница-Крагујевац/ М.3.</w:t>
            </w:r>
          </w:p>
        </w:tc>
        <w:tc>
          <w:tcPr>
            <w:tcW w:w="1220" w:type="dxa"/>
            <w:tcBorders>
              <w:top w:val="single" w:sz="4" w:space="0" w:color="auto"/>
              <w:left w:val="nil"/>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sz w:val="16"/>
                <w:szCs w:val="16"/>
                <w:lang w:val="sr-Cyrl-CS" w:eastAsia="sr-Cyrl-RS"/>
              </w:rPr>
            </w:pPr>
            <w:r w:rsidRPr="00B67E8B">
              <w:rPr>
                <w:sz w:val="16"/>
                <w:szCs w:val="16"/>
                <w:lang w:val="sr-Cyrl-CS" w:eastAsia="sr-Cyrl-RS"/>
              </w:rPr>
              <w:t>Крагујевац</w:t>
            </w:r>
          </w:p>
        </w:tc>
        <w:tc>
          <w:tcPr>
            <w:tcW w:w="4337" w:type="dxa"/>
            <w:tcBorders>
              <w:top w:val="single" w:sz="4" w:space="0" w:color="auto"/>
              <w:left w:val="nil"/>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rPr>
                <w:sz w:val="16"/>
                <w:szCs w:val="16"/>
                <w:lang w:val="sr-Cyrl-CS" w:eastAsia="sr-Cyrl-RS"/>
              </w:rPr>
            </w:pPr>
            <w:r w:rsidRPr="00B67E8B">
              <w:rPr>
                <w:sz w:val="16"/>
                <w:szCs w:val="16"/>
                <w:lang w:val="sr-Cyrl-CS" w:eastAsia="sr-Cyrl-RS"/>
              </w:rPr>
              <w:t xml:space="preserve">Хитни санациони радови на подручју града Крагујевца: река Лепеница- санација и чишћење корита реке Лепенице од моста за Милатовац (km 22+180) до железничког моста </w:t>
            </w:r>
          </w:p>
          <w:p w:rsidR="0012265A" w:rsidRPr="00B67E8B" w:rsidRDefault="0012265A" w:rsidP="004C6D3A">
            <w:pPr>
              <w:rPr>
                <w:sz w:val="16"/>
                <w:szCs w:val="16"/>
                <w:lang w:val="sr-Cyrl-CS" w:eastAsia="sr-Cyrl-RS"/>
              </w:rPr>
            </w:pPr>
            <w:r w:rsidRPr="00B67E8B">
              <w:rPr>
                <w:sz w:val="16"/>
                <w:szCs w:val="16"/>
                <w:lang w:val="sr-Cyrl-CS" w:eastAsia="sr-Cyrl-RS"/>
              </w:rPr>
              <w:t>(km 28+480)</w:t>
            </w:r>
          </w:p>
        </w:tc>
        <w:tc>
          <w:tcPr>
            <w:tcW w:w="1468" w:type="dxa"/>
            <w:tcBorders>
              <w:top w:val="single" w:sz="4" w:space="0" w:color="auto"/>
              <w:left w:val="nil"/>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sz w:val="16"/>
                <w:szCs w:val="16"/>
                <w:lang w:val="sr-Cyrl-CS" w:eastAsia="sr-Cyrl-RS"/>
              </w:rPr>
            </w:pPr>
            <w:r w:rsidRPr="00B67E8B">
              <w:rPr>
                <w:sz w:val="16"/>
                <w:szCs w:val="16"/>
                <w:lang w:val="sr-Cyrl-CS" w:eastAsia="sr-Cyrl-RS"/>
              </w:rPr>
              <w:t>18.500.000</w:t>
            </w:r>
          </w:p>
        </w:tc>
      </w:tr>
      <w:tr w:rsidR="0012265A" w:rsidRPr="00B67E8B" w:rsidTr="001E4AA9">
        <w:trPr>
          <w:trHeight w:val="1070"/>
          <w:jc w:val="center"/>
        </w:trPr>
        <w:tc>
          <w:tcPr>
            <w:tcW w:w="651" w:type="dxa"/>
            <w:tcBorders>
              <w:top w:val="nil"/>
              <w:left w:val="single" w:sz="4" w:space="0" w:color="auto"/>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sz w:val="16"/>
                <w:szCs w:val="16"/>
                <w:lang w:val="sr-Cyrl-CS" w:eastAsia="sr-Cyrl-RS"/>
              </w:rPr>
            </w:pPr>
            <w:r w:rsidRPr="00B67E8B">
              <w:rPr>
                <w:sz w:val="16"/>
                <w:szCs w:val="16"/>
                <w:lang w:val="sr-Cyrl-CS" w:eastAsia="sr-Cyrl-RS"/>
              </w:rPr>
              <w:t>5</w:t>
            </w:r>
          </w:p>
        </w:tc>
        <w:tc>
          <w:tcPr>
            <w:tcW w:w="1584" w:type="dxa"/>
            <w:tcBorders>
              <w:top w:val="nil"/>
              <w:left w:val="nil"/>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493F25" w:rsidRDefault="0012265A" w:rsidP="004C6D3A">
            <w:pPr>
              <w:jc w:val="center"/>
              <w:rPr>
                <w:sz w:val="16"/>
                <w:szCs w:val="16"/>
                <w:lang w:val="en-US" w:eastAsia="sr-Cyrl-RS"/>
              </w:rPr>
            </w:pPr>
            <w:r w:rsidRPr="00B67E8B">
              <w:rPr>
                <w:sz w:val="16"/>
                <w:szCs w:val="16"/>
                <w:lang w:val="sr-Cyrl-CS" w:eastAsia="sr-Cyrl-RS"/>
              </w:rPr>
              <w:t>Није у ОП</w:t>
            </w:r>
          </w:p>
        </w:tc>
        <w:tc>
          <w:tcPr>
            <w:tcW w:w="1220" w:type="dxa"/>
            <w:tcBorders>
              <w:top w:val="nil"/>
              <w:left w:val="nil"/>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sz w:val="16"/>
                <w:szCs w:val="16"/>
                <w:lang w:val="sr-Cyrl-CS" w:eastAsia="sr-Cyrl-RS"/>
              </w:rPr>
            </w:pPr>
            <w:r w:rsidRPr="00B67E8B">
              <w:rPr>
                <w:sz w:val="16"/>
                <w:szCs w:val="16"/>
                <w:lang w:val="sr-Cyrl-CS" w:eastAsia="sr-Cyrl-RS"/>
              </w:rPr>
              <w:t>Рача</w:t>
            </w:r>
          </w:p>
        </w:tc>
        <w:tc>
          <w:tcPr>
            <w:tcW w:w="4337" w:type="dxa"/>
            <w:tcBorders>
              <w:top w:val="nil"/>
              <w:left w:val="nil"/>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rsidR="001E4AA9" w:rsidRPr="001E4AA9" w:rsidRDefault="0012265A" w:rsidP="004C6D3A">
            <w:pPr>
              <w:rPr>
                <w:sz w:val="16"/>
                <w:szCs w:val="16"/>
                <w:lang w:val="en-US" w:eastAsia="sr-Cyrl-RS"/>
              </w:rPr>
            </w:pPr>
            <w:r w:rsidRPr="00B67E8B">
              <w:rPr>
                <w:sz w:val="16"/>
                <w:szCs w:val="16"/>
                <w:lang w:val="sr-Cyrl-CS" w:eastAsia="sr-Cyrl-RS"/>
              </w:rPr>
              <w:t>Хитни санациони радови на подручју општине Рача: Река Јасеница и притоке - санација оштећења корита водотока Саловник увођење у старо корита Јасенице, 6000 m (преко Средњег Јалка, 1000 m), обезбеђење протицајног профила Саловника   са  формирањем  улива у регулисано корито Јасенице на стац. 24+440</w:t>
            </w:r>
          </w:p>
        </w:tc>
        <w:tc>
          <w:tcPr>
            <w:tcW w:w="1468" w:type="dxa"/>
            <w:tcBorders>
              <w:top w:val="nil"/>
              <w:left w:val="nil"/>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sz w:val="16"/>
                <w:szCs w:val="16"/>
                <w:lang w:val="sr-Cyrl-CS" w:eastAsia="sr-Cyrl-RS"/>
              </w:rPr>
            </w:pPr>
            <w:r w:rsidRPr="00B67E8B">
              <w:rPr>
                <w:sz w:val="16"/>
                <w:szCs w:val="16"/>
                <w:lang w:val="sr-Cyrl-CS" w:eastAsia="sr-Cyrl-RS"/>
              </w:rPr>
              <w:t>20.500.000</w:t>
            </w:r>
          </w:p>
        </w:tc>
      </w:tr>
      <w:tr w:rsidR="0012265A" w:rsidRPr="00B67E8B" w:rsidTr="001E4AA9">
        <w:trPr>
          <w:trHeight w:val="1520"/>
          <w:jc w:val="center"/>
        </w:trPr>
        <w:tc>
          <w:tcPr>
            <w:tcW w:w="651" w:type="dxa"/>
            <w:tcBorders>
              <w:top w:val="single" w:sz="4" w:space="0" w:color="auto"/>
              <w:left w:val="single" w:sz="4" w:space="0" w:color="auto"/>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sz w:val="16"/>
                <w:szCs w:val="16"/>
                <w:lang w:val="sr-Cyrl-CS" w:eastAsia="sr-Cyrl-RS"/>
              </w:rPr>
            </w:pPr>
            <w:r w:rsidRPr="00B67E8B">
              <w:rPr>
                <w:sz w:val="16"/>
                <w:szCs w:val="16"/>
                <w:lang w:val="sr-Cyrl-CS" w:eastAsia="sr-Cyrl-RS"/>
              </w:rPr>
              <w:t>6</w:t>
            </w:r>
          </w:p>
        </w:tc>
        <w:tc>
          <w:tcPr>
            <w:tcW w:w="1584" w:type="dxa"/>
            <w:tcBorders>
              <w:top w:val="single" w:sz="4" w:space="0" w:color="auto"/>
              <w:left w:val="nil"/>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sz w:val="16"/>
                <w:szCs w:val="16"/>
                <w:lang w:val="sr-Cyrl-CS" w:eastAsia="sr-Cyrl-RS"/>
              </w:rPr>
            </w:pPr>
            <w:r w:rsidRPr="00B67E8B">
              <w:rPr>
                <w:rFonts w:eastAsia="Calibri"/>
                <w:sz w:val="16"/>
                <w:szCs w:val="16"/>
                <w:lang w:val="sr-Cyrl-CS"/>
              </w:rPr>
              <w:t>„</w:t>
            </w:r>
            <w:r w:rsidRPr="00B67E8B">
              <w:rPr>
                <w:sz w:val="16"/>
                <w:szCs w:val="16"/>
                <w:lang w:val="sr-Cyrl-CS" w:eastAsia="sr-Cyrl-RS"/>
              </w:rPr>
              <w:t>Западна Морава-Чачак</w:t>
            </w:r>
            <w:r w:rsidRPr="00B67E8B">
              <w:rPr>
                <w:sz w:val="16"/>
                <w:szCs w:val="16"/>
                <w:lang w:val="sr-Cyrl-CS"/>
              </w:rPr>
              <w:t>”</w:t>
            </w:r>
            <w:r w:rsidRPr="00B67E8B">
              <w:rPr>
                <w:sz w:val="16"/>
                <w:szCs w:val="16"/>
                <w:lang w:val="sr-Cyrl-CS" w:eastAsia="sr-Cyrl-RS"/>
              </w:rPr>
              <w:t>/</w:t>
            </w:r>
            <w:r w:rsidRPr="00B67E8B">
              <w:rPr>
                <w:sz w:val="16"/>
                <w:szCs w:val="16"/>
                <w:lang w:val="sr-Cyrl-CS" w:eastAsia="sr-Cyrl-RS"/>
              </w:rPr>
              <w:br/>
              <w:t>M.13./М.13.6.</w:t>
            </w:r>
          </w:p>
        </w:tc>
        <w:tc>
          <w:tcPr>
            <w:tcW w:w="1220" w:type="dxa"/>
            <w:tcBorders>
              <w:top w:val="single" w:sz="4" w:space="0" w:color="auto"/>
              <w:left w:val="nil"/>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sz w:val="16"/>
                <w:szCs w:val="16"/>
                <w:lang w:val="sr-Cyrl-CS" w:eastAsia="sr-Cyrl-RS"/>
              </w:rPr>
            </w:pPr>
            <w:r w:rsidRPr="00B67E8B">
              <w:rPr>
                <w:sz w:val="16"/>
                <w:szCs w:val="16"/>
                <w:lang w:val="sr-Cyrl-CS" w:eastAsia="sr-Cyrl-RS"/>
              </w:rPr>
              <w:t>Лучани</w:t>
            </w:r>
          </w:p>
        </w:tc>
        <w:tc>
          <w:tcPr>
            <w:tcW w:w="4337" w:type="dxa"/>
            <w:tcBorders>
              <w:top w:val="single" w:sz="4" w:space="0" w:color="auto"/>
              <w:left w:val="nil"/>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rPr>
                <w:sz w:val="16"/>
                <w:szCs w:val="16"/>
                <w:lang w:val="sr-Cyrl-CS" w:eastAsia="sr-Cyrl-RS"/>
              </w:rPr>
            </w:pPr>
            <w:r w:rsidRPr="00B67E8B">
              <w:rPr>
                <w:sz w:val="16"/>
                <w:szCs w:val="16"/>
                <w:lang w:val="sr-Cyrl-CS" w:eastAsia="sr-Cyrl-RS"/>
              </w:rPr>
              <w:t>Хитни  са</w:t>
            </w:r>
            <w:r w:rsidR="00742AFB">
              <w:rPr>
                <w:sz w:val="16"/>
                <w:szCs w:val="16"/>
                <w:lang w:val="sr-Cyrl-CS" w:eastAsia="sr-Cyrl-RS"/>
              </w:rPr>
              <w:t>национи радови на подручју општи</w:t>
            </w:r>
            <w:r w:rsidRPr="00B67E8B">
              <w:rPr>
                <w:sz w:val="16"/>
                <w:szCs w:val="16"/>
                <w:lang w:val="sr-Cyrl-CS" w:eastAsia="sr-Cyrl-RS"/>
              </w:rPr>
              <w:t>не Лучани за заштиту насеља Ђераћ и Гуча : 1) река Бјелица и притоке у зони насеља Ђераћ - радови на санацији оштећења левог насипа дуж пута Лучани – Гуча - формирање одбрамбене линије  (2150 m) са уливно - изливним грађевинама потока, санација леве обале реке Бјелице узводно од улива Лучанског потока у Бјелицу (1500 m), 2) Река Бјелица и Драгачица у зони Гуче: санација обала и дна на 6 локалитета</w:t>
            </w:r>
          </w:p>
        </w:tc>
        <w:tc>
          <w:tcPr>
            <w:tcW w:w="1468" w:type="dxa"/>
            <w:tcBorders>
              <w:top w:val="single" w:sz="4" w:space="0" w:color="auto"/>
              <w:left w:val="nil"/>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sz w:val="16"/>
                <w:szCs w:val="16"/>
                <w:lang w:val="sr-Cyrl-CS" w:eastAsia="sr-Cyrl-RS"/>
              </w:rPr>
            </w:pPr>
            <w:r w:rsidRPr="00B67E8B">
              <w:rPr>
                <w:sz w:val="16"/>
                <w:szCs w:val="16"/>
                <w:lang w:val="sr-Cyrl-CS" w:eastAsia="sr-Cyrl-RS"/>
              </w:rPr>
              <w:t>78.500.000</w:t>
            </w:r>
          </w:p>
        </w:tc>
      </w:tr>
      <w:tr w:rsidR="0012265A" w:rsidRPr="00B67E8B" w:rsidTr="004F5C0D">
        <w:trPr>
          <w:trHeight w:val="989"/>
          <w:jc w:val="center"/>
        </w:trPr>
        <w:tc>
          <w:tcPr>
            <w:tcW w:w="651" w:type="dxa"/>
            <w:tcBorders>
              <w:top w:val="nil"/>
              <w:left w:val="single" w:sz="4" w:space="0" w:color="auto"/>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sz w:val="18"/>
                <w:szCs w:val="18"/>
                <w:lang w:val="sr-Cyrl-CS" w:eastAsia="sr-Cyrl-RS"/>
              </w:rPr>
            </w:pPr>
            <w:r w:rsidRPr="00B67E8B">
              <w:rPr>
                <w:sz w:val="18"/>
                <w:szCs w:val="18"/>
                <w:lang w:val="sr-Cyrl-CS" w:eastAsia="sr-Cyrl-RS"/>
              </w:rPr>
              <w:lastRenderedPageBreak/>
              <w:t>7</w:t>
            </w:r>
          </w:p>
        </w:tc>
        <w:tc>
          <w:tcPr>
            <w:tcW w:w="1584" w:type="dxa"/>
            <w:tcBorders>
              <w:top w:val="nil"/>
              <w:left w:val="nil"/>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sz w:val="16"/>
                <w:szCs w:val="16"/>
                <w:lang w:val="sr-Cyrl-CS" w:eastAsia="sr-Cyrl-RS"/>
              </w:rPr>
            </w:pPr>
            <w:r w:rsidRPr="00B67E8B">
              <w:rPr>
                <w:rFonts w:eastAsia="Calibri"/>
                <w:sz w:val="16"/>
                <w:szCs w:val="16"/>
                <w:lang w:val="sr-Cyrl-CS"/>
              </w:rPr>
              <w:t>„</w:t>
            </w:r>
            <w:r w:rsidRPr="00B67E8B">
              <w:rPr>
                <w:sz w:val="16"/>
                <w:szCs w:val="16"/>
                <w:lang w:val="sr-Cyrl-CS" w:eastAsia="sr-Cyrl-RS"/>
              </w:rPr>
              <w:t>Западна Морава-Чачак</w:t>
            </w:r>
            <w:r w:rsidRPr="00B67E8B">
              <w:rPr>
                <w:sz w:val="16"/>
                <w:szCs w:val="16"/>
                <w:lang w:val="sr-Cyrl-CS"/>
              </w:rPr>
              <w:t>”</w:t>
            </w:r>
            <w:r w:rsidR="004F5C0D">
              <w:rPr>
                <w:sz w:val="16"/>
                <w:szCs w:val="16"/>
                <w:lang w:val="sr-Cyrl-CS" w:eastAsia="sr-Cyrl-RS"/>
              </w:rPr>
              <w:t>/</w:t>
            </w:r>
            <w:r w:rsidR="004F5C0D">
              <w:rPr>
                <w:sz w:val="16"/>
                <w:szCs w:val="16"/>
                <w:lang w:val="sr-Cyrl-CS" w:eastAsia="sr-Cyrl-RS"/>
              </w:rPr>
              <w:br/>
              <w:t>M.13./ван О</w:t>
            </w:r>
            <w:r w:rsidRPr="00B67E8B">
              <w:rPr>
                <w:sz w:val="16"/>
                <w:szCs w:val="16"/>
                <w:lang w:val="sr-Cyrl-CS" w:eastAsia="sr-Cyrl-RS"/>
              </w:rPr>
              <w:t>П</w:t>
            </w:r>
          </w:p>
        </w:tc>
        <w:tc>
          <w:tcPr>
            <w:tcW w:w="1220" w:type="dxa"/>
            <w:tcBorders>
              <w:top w:val="nil"/>
              <w:left w:val="nil"/>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sz w:val="16"/>
                <w:szCs w:val="16"/>
                <w:lang w:val="sr-Cyrl-CS" w:eastAsia="sr-Cyrl-RS"/>
              </w:rPr>
            </w:pPr>
            <w:r w:rsidRPr="00B67E8B">
              <w:rPr>
                <w:sz w:val="16"/>
                <w:szCs w:val="16"/>
                <w:lang w:val="sr-Cyrl-CS" w:eastAsia="sr-Cyrl-RS"/>
              </w:rPr>
              <w:t>Ариље</w:t>
            </w:r>
          </w:p>
        </w:tc>
        <w:tc>
          <w:tcPr>
            <w:tcW w:w="4337" w:type="dxa"/>
            <w:tcBorders>
              <w:top w:val="nil"/>
              <w:left w:val="nil"/>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rPr>
                <w:sz w:val="16"/>
                <w:szCs w:val="16"/>
                <w:lang w:val="sr-Cyrl-CS" w:eastAsia="sr-Cyrl-RS"/>
              </w:rPr>
            </w:pPr>
            <w:r w:rsidRPr="00B67E8B">
              <w:rPr>
                <w:sz w:val="16"/>
                <w:szCs w:val="16"/>
                <w:lang w:val="sr-Cyrl-CS" w:eastAsia="sr-Cyrl-RS"/>
              </w:rPr>
              <w:t>Хитни  санациони радови на подручју општине Ариље за заштиту објекат</w:t>
            </w:r>
            <w:r w:rsidR="00F67401">
              <w:rPr>
                <w:sz w:val="16"/>
                <w:szCs w:val="16"/>
                <w:lang w:val="sr-Cyrl-CS" w:eastAsia="sr-Cyrl-RS"/>
              </w:rPr>
              <w:t>а, инфраструктуре и пољопривред</w:t>
            </w:r>
            <w:r w:rsidRPr="00B67E8B">
              <w:rPr>
                <w:sz w:val="16"/>
                <w:szCs w:val="16"/>
                <w:lang w:val="sr-Cyrl-CS" w:eastAsia="sr-Cyrl-RS"/>
              </w:rPr>
              <w:t>ног земљишта: река Моравица - Санација и надвишење десног насипа реке Моравице у Ариљу (900 m) у насељу Церова, и левог насипа (150 m) у насељу Груда.</w:t>
            </w:r>
          </w:p>
        </w:tc>
        <w:tc>
          <w:tcPr>
            <w:tcW w:w="1468" w:type="dxa"/>
            <w:tcBorders>
              <w:top w:val="nil"/>
              <w:left w:val="nil"/>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sz w:val="16"/>
                <w:szCs w:val="16"/>
                <w:lang w:val="sr-Cyrl-CS" w:eastAsia="sr-Cyrl-RS"/>
              </w:rPr>
            </w:pPr>
            <w:r w:rsidRPr="00B67E8B">
              <w:rPr>
                <w:sz w:val="16"/>
                <w:szCs w:val="16"/>
                <w:lang w:val="sr-Cyrl-CS" w:eastAsia="sr-Cyrl-RS"/>
              </w:rPr>
              <w:t>30.000.000</w:t>
            </w:r>
          </w:p>
        </w:tc>
      </w:tr>
      <w:tr w:rsidR="0012265A" w:rsidRPr="00B67E8B" w:rsidTr="004F5C0D">
        <w:trPr>
          <w:trHeight w:val="800"/>
          <w:jc w:val="center"/>
        </w:trPr>
        <w:tc>
          <w:tcPr>
            <w:tcW w:w="651" w:type="dxa"/>
            <w:tcBorders>
              <w:top w:val="nil"/>
              <w:left w:val="single" w:sz="4" w:space="0" w:color="auto"/>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sz w:val="18"/>
                <w:szCs w:val="18"/>
                <w:lang w:val="sr-Cyrl-CS" w:eastAsia="sr-Cyrl-RS"/>
              </w:rPr>
            </w:pPr>
            <w:r w:rsidRPr="00B67E8B">
              <w:rPr>
                <w:sz w:val="18"/>
                <w:szCs w:val="18"/>
                <w:lang w:val="sr-Cyrl-CS" w:eastAsia="sr-Cyrl-RS"/>
              </w:rPr>
              <w:t>8</w:t>
            </w:r>
          </w:p>
        </w:tc>
        <w:tc>
          <w:tcPr>
            <w:tcW w:w="1584" w:type="dxa"/>
            <w:tcBorders>
              <w:top w:val="nil"/>
              <w:left w:val="nil"/>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sz w:val="16"/>
                <w:szCs w:val="16"/>
                <w:lang w:val="sr-Cyrl-CS" w:eastAsia="sr-Cyrl-RS"/>
              </w:rPr>
            </w:pPr>
            <w:r w:rsidRPr="00B67E8B">
              <w:rPr>
                <w:rFonts w:eastAsia="Calibri"/>
                <w:sz w:val="16"/>
                <w:szCs w:val="16"/>
                <w:lang w:val="sr-Cyrl-CS"/>
              </w:rPr>
              <w:t>„</w:t>
            </w:r>
            <w:r w:rsidRPr="00B67E8B">
              <w:rPr>
                <w:sz w:val="16"/>
                <w:szCs w:val="16"/>
                <w:lang w:val="sr-Cyrl-CS" w:eastAsia="sr-Cyrl-RS"/>
              </w:rPr>
              <w:t>Западна Морава-Чачак</w:t>
            </w:r>
            <w:r w:rsidRPr="00B67E8B">
              <w:rPr>
                <w:sz w:val="16"/>
                <w:szCs w:val="16"/>
                <w:lang w:val="sr-Cyrl-CS"/>
              </w:rPr>
              <w:t>”</w:t>
            </w:r>
            <w:r w:rsidR="004F5C0D">
              <w:rPr>
                <w:sz w:val="16"/>
                <w:szCs w:val="16"/>
                <w:lang w:val="sr-Cyrl-CS" w:eastAsia="sr-Cyrl-RS"/>
              </w:rPr>
              <w:t>/</w:t>
            </w:r>
            <w:r w:rsidR="004F5C0D">
              <w:rPr>
                <w:sz w:val="16"/>
                <w:szCs w:val="16"/>
                <w:lang w:val="sr-Cyrl-CS" w:eastAsia="sr-Cyrl-RS"/>
              </w:rPr>
              <w:br/>
              <w:t>M.13./ван О</w:t>
            </w:r>
            <w:r w:rsidRPr="00B67E8B">
              <w:rPr>
                <w:sz w:val="16"/>
                <w:szCs w:val="16"/>
                <w:lang w:val="sr-Cyrl-CS" w:eastAsia="sr-Cyrl-RS"/>
              </w:rPr>
              <w:t>П</w:t>
            </w:r>
          </w:p>
        </w:tc>
        <w:tc>
          <w:tcPr>
            <w:tcW w:w="1220" w:type="dxa"/>
            <w:tcBorders>
              <w:top w:val="nil"/>
              <w:left w:val="nil"/>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sz w:val="16"/>
                <w:szCs w:val="16"/>
                <w:lang w:val="sr-Cyrl-CS" w:eastAsia="sr-Cyrl-RS"/>
              </w:rPr>
            </w:pPr>
            <w:r w:rsidRPr="00B67E8B">
              <w:rPr>
                <w:sz w:val="16"/>
                <w:szCs w:val="16"/>
                <w:lang w:val="sr-Cyrl-CS" w:eastAsia="sr-Cyrl-RS"/>
              </w:rPr>
              <w:t>Ивањица</w:t>
            </w:r>
          </w:p>
        </w:tc>
        <w:tc>
          <w:tcPr>
            <w:tcW w:w="4337" w:type="dxa"/>
            <w:tcBorders>
              <w:top w:val="nil"/>
              <w:left w:val="nil"/>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rPr>
                <w:sz w:val="16"/>
                <w:szCs w:val="16"/>
                <w:lang w:val="sr-Cyrl-CS" w:eastAsia="sr-Cyrl-RS"/>
              </w:rPr>
            </w:pPr>
            <w:r w:rsidRPr="00B67E8B">
              <w:rPr>
                <w:sz w:val="16"/>
                <w:szCs w:val="16"/>
                <w:lang w:val="sr-Cyrl-CS" w:eastAsia="sr-Cyrl-RS"/>
              </w:rPr>
              <w:t>Хитни  санациони радови на подручју општ</w:t>
            </w:r>
            <w:r w:rsidR="00F850E6">
              <w:rPr>
                <w:sz w:val="16"/>
                <w:szCs w:val="16"/>
                <w:lang w:val="sr-Cyrl-CS" w:eastAsia="sr-Cyrl-RS"/>
              </w:rPr>
              <w:t>ин</w:t>
            </w:r>
            <w:r w:rsidRPr="00B67E8B">
              <w:rPr>
                <w:sz w:val="16"/>
                <w:szCs w:val="16"/>
                <w:lang w:val="sr-Cyrl-CS" w:eastAsia="sr-Cyrl-RS"/>
              </w:rPr>
              <w:t xml:space="preserve">е Ивањица: Река Моравица - заштита леве обале Моравице у насељу Бедина варош (800 m) у циљу стабилизације обале и заштите стамбених објеката од поткопавања и урушавања  </w:t>
            </w:r>
          </w:p>
        </w:tc>
        <w:tc>
          <w:tcPr>
            <w:tcW w:w="1468" w:type="dxa"/>
            <w:tcBorders>
              <w:top w:val="nil"/>
              <w:left w:val="nil"/>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sz w:val="16"/>
                <w:szCs w:val="16"/>
                <w:lang w:val="sr-Cyrl-CS" w:eastAsia="sr-Cyrl-RS"/>
              </w:rPr>
            </w:pPr>
            <w:r w:rsidRPr="00B67E8B">
              <w:rPr>
                <w:sz w:val="16"/>
                <w:szCs w:val="16"/>
                <w:lang w:val="sr-Cyrl-CS" w:eastAsia="sr-Cyrl-RS"/>
              </w:rPr>
              <w:t>30.000.000</w:t>
            </w:r>
          </w:p>
        </w:tc>
      </w:tr>
      <w:tr w:rsidR="0012265A" w:rsidRPr="00B67E8B" w:rsidTr="004F5C0D">
        <w:trPr>
          <w:trHeight w:val="971"/>
          <w:jc w:val="center"/>
        </w:trPr>
        <w:tc>
          <w:tcPr>
            <w:tcW w:w="651" w:type="dxa"/>
            <w:tcBorders>
              <w:top w:val="nil"/>
              <w:left w:val="single" w:sz="4" w:space="0" w:color="auto"/>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sz w:val="16"/>
                <w:szCs w:val="16"/>
                <w:lang w:val="sr-Cyrl-CS" w:eastAsia="sr-Cyrl-RS"/>
              </w:rPr>
            </w:pPr>
            <w:r w:rsidRPr="00B67E8B">
              <w:rPr>
                <w:sz w:val="16"/>
                <w:szCs w:val="16"/>
                <w:lang w:val="sr-Cyrl-CS" w:eastAsia="sr-Cyrl-RS"/>
              </w:rPr>
              <w:t>9</w:t>
            </w:r>
          </w:p>
        </w:tc>
        <w:tc>
          <w:tcPr>
            <w:tcW w:w="1584" w:type="dxa"/>
            <w:tcBorders>
              <w:top w:val="nil"/>
              <w:left w:val="nil"/>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sz w:val="16"/>
                <w:szCs w:val="16"/>
                <w:lang w:val="sr-Cyrl-CS" w:eastAsia="sr-Cyrl-RS"/>
              </w:rPr>
            </w:pPr>
            <w:r w:rsidRPr="00B67E8B">
              <w:rPr>
                <w:rFonts w:eastAsia="Calibri"/>
                <w:sz w:val="16"/>
                <w:szCs w:val="16"/>
                <w:lang w:val="sr-Cyrl-CS"/>
              </w:rPr>
              <w:t>„</w:t>
            </w:r>
            <w:r w:rsidRPr="00B67E8B">
              <w:rPr>
                <w:sz w:val="16"/>
                <w:szCs w:val="16"/>
                <w:lang w:val="sr-Cyrl-CS" w:eastAsia="sr-Cyrl-RS"/>
              </w:rPr>
              <w:t>Западна Морава-Чачак</w:t>
            </w:r>
            <w:r w:rsidRPr="00B67E8B">
              <w:rPr>
                <w:sz w:val="16"/>
                <w:szCs w:val="16"/>
                <w:lang w:val="sr-Cyrl-CS"/>
              </w:rPr>
              <w:t>”</w:t>
            </w:r>
            <w:r w:rsidRPr="00B67E8B">
              <w:rPr>
                <w:sz w:val="16"/>
                <w:szCs w:val="16"/>
                <w:lang w:val="sr-Cyrl-CS" w:eastAsia="sr-Cyrl-RS"/>
              </w:rPr>
              <w:t>/</w:t>
            </w:r>
            <w:r w:rsidRPr="00B67E8B">
              <w:rPr>
                <w:sz w:val="16"/>
                <w:szCs w:val="16"/>
                <w:lang w:val="sr-Cyrl-CS" w:eastAsia="sr-Cyrl-RS"/>
              </w:rPr>
              <w:br/>
              <w:t>M.13.</w:t>
            </w:r>
          </w:p>
        </w:tc>
        <w:tc>
          <w:tcPr>
            <w:tcW w:w="1220" w:type="dxa"/>
            <w:tcBorders>
              <w:top w:val="nil"/>
              <w:left w:val="nil"/>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sz w:val="16"/>
                <w:szCs w:val="16"/>
                <w:lang w:val="sr-Cyrl-CS" w:eastAsia="sr-Cyrl-RS"/>
              </w:rPr>
            </w:pPr>
            <w:r w:rsidRPr="00B67E8B">
              <w:rPr>
                <w:sz w:val="16"/>
                <w:szCs w:val="16"/>
                <w:lang w:val="sr-Cyrl-CS" w:eastAsia="sr-Cyrl-RS"/>
              </w:rPr>
              <w:t>Пожега</w:t>
            </w:r>
          </w:p>
        </w:tc>
        <w:tc>
          <w:tcPr>
            <w:tcW w:w="4337" w:type="dxa"/>
            <w:tcBorders>
              <w:top w:val="nil"/>
              <w:left w:val="nil"/>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rPr>
                <w:sz w:val="16"/>
                <w:szCs w:val="16"/>
                <w:lang w:val="sr-Cyrl-CS" w:eastAsia="sr-Cyrl-RS"/>
              </w:rPr>
            </w:pPr>
            <w:r w:rsidRPr="00B67E8B">
              <w:rPr>
                <w:sz w:val="16"/>
                <w:szCs w:val="16"/>
                <w:lang w:val="sr-Cyrl-CS" w:eastAsia="sr-Cyrl-RS"/>
              </w:rPr>
              <w:t xml:space="preserve">Хитни  санациони радови на подручју општине Пожега: река Скрапеж и притоке - санација оштећења левог насипа реке Скрапеж кроз Пожегу од ушћа Бакионичког потока до моста </w:t>
            </w:r>
            <w:r w:rsidRPr="00B67E8B">
              <w:rPr>
                <w:rFonts w:eastAsia="Calibri"/>
                <w:sz w:val="16"/>
                <w:szCs w:val="16"/>
                <w:lang w:val="sr-Cyrl-CS"/>
              </w:rPr>
              <w:t>„</w:t>
            </w:r>
            <w:r w:rsidRPr="00B67E8B">
              <w:rPr>
                <w:sz w:val="16"/>
                <w:szCs w:val="16"/>
                <w:lang w:val="sr-Cyrl-CS" w:eastAsia="sr-Cyrl-RS"/>
              </w:rPr>
              <w:t>Две липе</w:t>
            </w:r>
            <w:r w:rsidRPr="00B67E8B">
              <w:rPr>
                <w:sz w:val="16"/>
                <w:szCs w:val="16"/>
                <w:lang w:val="sr-Cyrl-CS"/>
              </w:rPr>
              <w:t>”</w:t>
            </w:r>
            <w:r w:rsidRPr="00B67E8B">
              <w:rPr>
                <w:sz w:val="16"/>
                <w:szCs w:val="16"/>
                <w:lang w:val="sr-Cyrl-CS" w:eastAsia="sr-Cyrl-RS"/>
              </w:rPr>
              <w:t xml:space="preserve"> (1000 m) , и десног насипа у зони железничке станице и силоса (600 m)</w:t>
            </w:r>
          </w:p>
        </w:tc>
        <w:tc>
          <w:tcPr>
            <w:tcW w:w="1468" w:type="dxa"/>
            <w:tcBorders>
              <w:top w:val="nil"/>
              <w:left w:val="nil"/>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sz w:val="16"/>
                <w:szCs w:val="16"/>
                <w:lang w:val="sr-Cyrl-CS" w:eastAsia="sr-Cyrl-RS"/>
              </w:rPr>
            </w:pPr>
            <w:r w:rsidRPr="00B67E8B">
              <w:rPr>
                <w:sz w:val="16"/>
                <w:szCs w:val="16"/>
                <w:lang w:val="sr-Cyrl-CS" w:eastAsia="sr-Cyrl-RS"/>
              </w:rPr>
              <w:t>14.000.000</w:t>
            </w:r>
          </w:p>
        </w:tc>
      </w:tr>
      <w:tr w:rsidR="0012265A" w:rsidRPr="00B67E8B" w:rsidTr="004F5C0D">
        <w:trPr>
          <w:trHeight w:val="890"/>
          <w:jc w:val="center"/>
        </w:trPr>
        <w:tc>
          <w:tcPr>
            <w:tcW w:w="651" w:type="dxa"/>
            <w:tcBorders>
              <w:top w:val="nil"/>
              <w:left w:val="single" w:sz="4" w:space="0" w:color="auto"/>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sz w:val="16"/>
                <w:szCs w:val="16"/>
                <w:lang w:val="sr-Cyrl-CS" w:eastAsia="sr-Cyrl-RS"/>
              </w:rPr>
            </w:pPr>
            <w:r w:rsidRPr="00B67E8B">
              <w:rPr>
                <w:sz w:val="16"/>
                <w:szCs w:val="16"/>
                <w:lang w:val="sr-Cyrl-CS" w:eastAsia="sr-Cyrl-RS"/>
              </w:rPr>
              <w:t>10</w:t>
            </w:r>
          </w:p>
        </w:tc>
        <w:tc>
          <w:tcPr>
            <w:tcW w:w="1584" w:type="dxa"/>
            <w:tcBorders>
              <w:top w:val="nil"/>
              <w:left w:val="nil"/>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F5C0D">
            <w:pPr>
              <w:jc w:val="center"/>
              <w:rPr>
                <w:sz w:val="16"/>
                <w:szCs w:val="16"/>
                <w:lang w:val="sr-Cyrl-CS" w:eastAsia="sr-Cyrl-RS"/>
              </w:rPr>
            </w:pPr>
            <w:r w:rsidRPr="00B67E8B">
              <w:rPr>
                <w:rFonts w:eastAsia="Calibri"/>
                <w:sz w:val="16"/>
                <w:szCs w:val="16"/>
                <w:lang w:val="sr-Cyrl-CS"/>
              </w:rPr>
              <w:t>„</w:t>
            </w:r>
            <w:r w:rsidRPr="00B67E8B">
              <w:rPr>
                <w:sz w:val="16"/>
                <w:szCs w:val="16"/>
                <w:lang w:val="sr-Cyrl-CS" w:eastAsia="sr-Cyrl-RS"/>
              </w:rPr>
              <w:t>Западна Морава-Крушевац</w:t>
            </w:r>
            <w:r w:rsidRPr="00B67E8B">
              <w:rPr>
                <w:sz w:val="16"/>
                <w:szCs w:val="16"/>
                <w:lang w:val="sr-Cyrl-CS"/>
              </w:rPr>
              <w:t>”</w:t>
            </w:r>
            <w:r w:rsidRPr="00B67E8B">
              <w:rPr>
                <w:sz w:val="16"/>
                <w:szCs w:val="16"/>
                <w:lang w:val="sr-Cyrl-CS" w:eastAsia="sr-Cyrl-RS"/>
              </w:rPr>
              <w:t>/М.12.</w:t>
            </w:r>
            <w:r w:rsidRPr="00B67E8B">
              <w:rPr>
                <w:sz w:val="16"/>
                <w:szCs w:val="16"/>
                <w:lang w:val="sr-Cyrl-CS" w:eastAsia="sr-Cyrl-RS"/>
              </w:rPr>
              <w:br/>
              <w:t>Локација ван ОП</w:t>
            </w:r>
          </w:p>
        </w:tc>
        <w:tc>
          <w:tcPr>
            <w:tcW w:w="1220" w:type="dxa"/>
            <w:tcBorders>
              <w:top w:val="nil"/>
              <w:left w:val="nil"/>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sz w:val="16"/>
                <w:szCs w:val="16"/>
                <w:lang w:val="sr-Cyrl-CS" w:eastAsia="sr-Cyrl-RS"/>
              </w:rPr>
            </w:pPr>
            <w:r w:rsidRPr="00B67E8B">
              <w:rPr>
                <w:sz w:val="16"/>
                <w:szCs w:val="16"/>
                <w:lang w:val="sr-Cyrl-CS" w:eastAsia="sr-Cyrl-RS"/>
              </w:rPr>
              <w:t>Кнић/Краљево</w:t>
            </w:r>
          </w:p>
        </w:tc>
        <w:tc>
          <w:tcPr>
            <w:tcW w:w="4337" w:type="dxa"/>
            <w:tcBorders>
              <w:top w:val="nil"/>
              <w:left w:val="nil"/>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rPr>
                <w:sz w:val="16"/>
                <w:szCs w:val="16"/>
                <w:lang w:val="sr-Cyrl-CS" w:eastAsia="sr-Cyrl-RS"/>
              </w:rPr>
            </w:pPr>
            <w:r w:rsidRPr="00B67E8B">
              <w:rPr>
                <w:sz w:val="16"/>
                <w:szCs w:val="16"/>
                <w:lang w:val="sr-Cyrl-CS" w:eastAsia="sr-Cyrl-RS"/>
              </w:rPr>
              <w:t>Хитни санациони радови на подручју општине Кнић: река Гружа и притоке - Санација насипа са заштитом обала реке Груже у дужини (8.800 m) и радови у зони ушћа притока Рибешке реке (1500 m) , Честинске реке (1500 m) и реке Бојане (700 m)</w:t>
            </w:r>
          </w:p>
        </w:tc>
        <w:tc>
          <w:tcPr>
            <w:tcW w:w="1468" w:type="dxa"/>
            <w:tcBorders>
              <w:top w:val="nil"/>
              <w:left w:val="nil"/>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sz w:val="16"/>
                <w:szCs w:val="16"/>
                <w:lang w:val="sr-Cyrl-CS" w:eastAsia="sr-Cyrl-RS"/>
              </w:rPr>
            </w:pPr>
            <w:r w:rsidRPr="00B67E8B">
              <w:rPr>
                <w:sz w:val="16"/>
                <w:szCs w:val="16"/>
                <w:lang w:val="sr-Cyrl-CS" w:eastAsia="sr-Cyrl-RS"/>
              </w:rPr>
              <w:t>25.000.000</w:t>
            </w:r>
          </w:p>
        </w:tc>
      </w:tr>
      <w:tr w:rsidR="0012265A" w:rsidRPr="00B67E8B" w:rsidTr="004F5C0D">
        <w:trPr>
          <w:trHeight w:val="1430"/>
          <w:jc w:val="center"/>
        </w:trPr>
        <w:tc>
          <w:tcPr>
            <w:tcW w:w="651" w:type="dxa"/>
            <w:tcBorders>
              <w:top w:val="nil"/>
              <w:left w:val="single" w:sz="4" w:space="0" w:color="auto"/>
              <w:bottom w:val="double" w:sz="6"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sz w:val="16"/>
                <w:szCs w:val="16"/>
                <w:lang w:val="sr-Cyrl-CS" w:eastAsia="sr-Cyrl-RS"/>
              </w:rPr>
            </w:pPr>
            <w:r w:rsidRPr="00B67E8B">
              <w:rPr>
                <w:sz w:val="16"/>
                <w:szCs w:val="16"/>
                <w:lang w:val="sr-Cyrl-CS" w:eastAsia="sr-Cyrl-RS"/>
              </w:rPr>
              <w:t>11</w:t>
            </w:r>
          </w:p>
        </w:tc>
        <w:tc>
          <w:tcPr>
            <w:tcW w:w="1584" w:type="dxa"/>
            <w:tcBorders>
              <w:top w:val="nil"/>
              <w:left w:val="nil"/>
              <w:bottom w:val="double" w:sz="6"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F5C0D">
            <w:pPr>
              <w:jc w:val="center"/>
              <w:rPr>
                <w:sz w:val="16"/>
                <w:szCs w:val="16"/>
                <w:lang w:val="sr-Cyrl-CS" w:eastAsia="sr-Cyrl-RS"/>
              </w:rPr>
            </w:pPr>
            <w:r w:rsidRPr="00B67E8B">
              <w:rPr>
                <w:rFonts w:eastAsia="Calibri"/>
                <w:sz w:val="16"/>
                <w:szCs w:val="16"/>
                <w:lang w:val="sr-Cyrl-CS"/>
              </w:rPr>
              <w:t>„</w:t>
            </w:r>
            <w:r w:rsidRPr="00B67E8B">
              <w:rPr>
                <w:sz w:val="16"/>
                <w:szCs w:val="16"/>
                <w:lang w:val="sr-Cyrl-CS" w:eastAsia="sr-Cyrl-RS"/>
              </w:rPr>
              <w:t>Западна Морава-Крушевац</w:t>
            </w:r>
            <w:r w:rsidRPr="00B67E8B">
              <w:rPr>
                <w:sz w:val="16"/>
                <w:szCs w:val="16"/>
                <w:lang w:val="sr-Cyrl-CS"/>
              </w:rPr>
              <w:t>”</w:t>
            </w:r>
            <w:r w:rsidRPr="00B67E8B">
              <w:rPr>
                <w:sz w:val="16"/>
                <w:szCs w:val="16"/>
                <w:lang w:val="sr-Cyrl-CS" w:eastAsia="sr-Cyrl-RS"/>
              </w:rPr>
              <w:t>/М.12.</w:t>
            </w:r>
            <w:r w:rsidRPr="00B67E8B">
              <w:rPr>
                <w:sz w:val="16"/>
                <w:szCs w:val="16"/>
                <w:lang w:val="sr-Cyrl-CS" w:eastAsia="sr-Cyrl-RS"/>
              </w:rPr>
              <w:br/>
              <w:t>Локација ван ОП</w:t>
            </w:r>
          </w:p>
        </w:tc>
        <w:tc>
          <w:tcPr>
            <w:tcW w:w="1220" w:type="dxa"/>
            <w:tcBorders>
              <w:top w:val="nil"/>
              <w:left w:val="nil"/>
              <w:bottom w:val="double" w:sz="6"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sz w:val="16"/>
                <w:szCs w:val="16"/>
                <w:lang w:val="sr-Cyrl-CS" w:eastAsia="sr-Cyrl-RS"/>
              </w:rPr>
            </w:pPr>
            <w:r w:rsidRPr="00B67E8B">
              <w:rPr>
                <w:sz w:val="16"/>
                <w:szCs w:val="16"/>
                <w:lang w:val="sr-Cyrl-CS" w:eastAsia="sr-Cyrl-RS"/>
              </w:rPr>
              <w:t>Краљево</w:t>
            </w:r>
          </w:p>
        </w:tc>
        <w:tc>
          <w:tcPr>
            <w:tcW w:w="4337" w:type="dxa"/>
            <w:tcBorders>
              <w:top w:val="nil"/>
              <w:left w:val="nil"/>
              <w:bottom w:val="double" w:sz="6"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rPr>
                <w:sz w:val="16"/>
                <w:szCs w:val="16"/>
                <w:lang w:val="sr-Cyrl-CS" w:eastAsia="sr-Cyrl-RS"/>
              </w:rPr>
            </w:pPr>
            <w:r w:rsidRPr="00B67E8B">
              <w:rPr>
                <w:sz w:val="16"/>
                <w:szCs w:val="16"/>
                <w:lang w:val="sr-Cyrl-CS" w:eastAsia="sr-Cyrl-RS"/>
              </w:rPr>
              <w:t>Хитни  санациони радови на подручју града Краљева: река Западна Морава и притоке - Санација и реконструкција оштећених водних објеката у оквиру касета Адрани 1. и Адрани 2.</w:t>
            </w:r>
            <w:r w:rsidR="00797976">
              <w:rPr>
                <w:sz w:val="16"/>
                <w:szCs w:val="16"/>
                <w:lang w:val="sr-Cyrl-CS" w:eastAsia="sr-Cyrl-RS"/>
              </w:rPr>
              <w:t xml:space="preserve"> за заштит</w:t>
            </w:r>
            <w:r w:rsidRPr="00B67E8B">
              <w:rPr>
                <w:sz w:val="16"/>
                <w:szCs w:val="16"/>
                <w:lang w:val="sr-Cyrl-CS" w:eastAsia="sr-Cyrl-RS"/>
              </w:rPr>
              <w:t xml:space="preserve">ом од унутрашњих вода - десни насип уз Западну Мораву (3470 m), обострани насип уз Мусину реку у дужини (3000 m), обострани насип уз Грдичку реку </w:t>
            </w:r>
          </w:p>
          <w:p w:rsidR="0012265A" w:rsidRPr="00B67E8B" w:rsidRDefault="0012265A" w:rsidP="004C6D3A">
            <w:pPr>
              <w:rPr>
                <w:sz w:val="16"/>
                <w:szCs w:val="16"/>
                <w:lang w:val="sr-Cyrl-CS" w:eastAsia="sr-Cyrl-RS"/>
              </w:rPr>
            </w:pPr>
            <w:r w:rsidRPr="00B67E8B">
              <w:rPr>
                <w:sz w:val="16"/>
                <w:szCs w:val="16"/>
                <w:lang w:val="sr-Cyrl-CS" w:eastAsia="sr-Cyrl-RS"/>
              </w:rPr>
              <w:t xml:space="preserve">(800 m),  формирање изливног објекта Чађевцa (припрема за црпну станицу </w:t>
            </w:r>
            <w:r w:rsidRPr="00B67E8B">
              <w:rPr>
                <w:rFonts w:eastAsia="Calibri"/>
                <w:sz w:val="16"/>
                <w:szCs w:val="16"/>
                <w:lang w:val="sr-Cyrl-CS"/>
              </w:rPr>
              <w:t>„</w:t>
            </w:r>
            <w:r w:rsidRPr="00B67E8B">
              <w:rPr>
                <w:sz w:val="16"/>
                <w:szCs w:val="16"/>
                <w:lang w:val="sr-Cyrl-CS" w:eastAsia="sr-Cyrl-RS"/>
              </w:rPr>
              <w:t>Чађевац</w:t>
            </w:r>
            <w:r w:rsidRPr="00B67E8B">
              <w:rPr>
                <w:sz w:val="16"/>
                <w:szCs w:val="16"/>
                <w:lang w:val="sr-Cyrl-CS"/>
              </w:rPr>
              <w:t>”</w:t>
            </w:r>
            <w:r w:rsidRPr="00B67E8B">
              <w:rPr>
                <w:sz w:val="16"/>
                <w:szCs w:val="16"/>
                <w:lang w:val="sr-Cyrl-CS" w:eastAsia="sr-Cyrl-RS"/>
              </w:rPr>
              <w:t>) .</w:t>
            </w:r>
          </w:p>
        </w:tc>
        <w:tc>
          <w:tcPr>
            <w:tcW w:w="1468" w:type="dxa"/>
            <w:tcBorders>
              <w:top w:val="nil"/>
              <w:left w:val="nil"/>
              <w:bottom w:val="double" w:sz="6"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sz w:val="16"/>
                <w:szCs w:val="16"/>
                <w:lang w:val="sr-Cyrl-CS" w:eastAsia="sr-Cyrl-RS"/>
              </w:rPr>
            </w:pPr>
            <w:r w:rsidRPr="00B67E8B">
              <w:rPr>
                <w:sz w:val="16"/>
                <w:szCs w:val="16"/>
                <w:lang w:val="sr-Cyrl-CS" w:eastAsia="sr-Cyrl-RS"/>
              </w:rPr>
              <w:t>95.000.000</w:t>
            </w:r>
          </w:p>
        </w:tc>
      </w:tr>
      <w:tr w:rsidR="0012265A" w:rsidRPr="00B67E8B" w:rsidTr="004F5C0D">
        <w:trPr>
          <w:trHeight w:val="402"/>
          <w:jc w:val="center"/>
        </w:trPr>
        <w:tc>
          <w:tcPr>
            <w:tcW w:w="651" w:type="dxa"/>
            <w:tcBorders>
              <w:top w:val="nil"/>
              <w:left w:val="single" w:sz="4" w:space="0" w:color="auto"/>
              <w:bottom w:val="single" w:sz="4" w:space="0" w:color="auto"/>
              <w:right w:val="nil"/>
            </w:tcBorders>
            <w:shd w:val="clear" w:color="auto" w:fill="FFFFFF" w:themeFill="background1"/>
            <w:noWrap/>
            <w:tcMar>
              <w:top w:w="72" w:type="dxa"/>
              <w:left w:w="72" w:type="dxa"/>
              <w:bottom w:w="72" w:type="dxa"/>
              <w:right w:w="72" w:type="dxa"/>
            </w:tcMar>
            <w:vAlign w:val="center"/>
            <w:hideMark/>
          </w:tcPr>
          <w:p w:rsidR="0012265A" w:rsidRPr="00B67E8B" w:rsidRDefault="0012265A" w:rsidP="004C6D3A">
            <w:pPr>
              <w:jc w:val="center"/>
              <w:rPr>
                <w:sz w:val="16"/>
                <w:szCs w:val="16"/>
                <w:lang w:val="sr-Cyrl-CS" w:eastAsia="sr-Cyrl-RS"/>
              </w:rPr>
            </w:pPr>
            <w:r w:rsidRPr="00B67E8B">
              <w:rPr>
                <w:sz w:val="16"/>
                <w:szCs w:val="16"/>
                <w:lang w:val="sr-Cyrl-CS" w:eastAsia="sr-Cyrl-RS"/>
              </w:rPr>
              <w:t> </w:t>
            </w:r>
          </w:p>
        </w:tc>
        <w:tc>
          <w:tcPr>
            <w:tcW w:w="1584" w:type="dxa"/>
            <w:tcBorders>
              <w:top w:val="nil"/>
              <w:left w:val="nil"/>
              <w:bottom w:val="single" w:sz="4" w:space="0" w:color="auto"/>
              <w:right w:val="nil"/>
            </w:tcBorders>
            <w:shd w:val="clear" w:color="auto" w:fill="FFFFFF" w:themeFill="background1"/>
            <w:noWrap/>
            <w:tcMar>
              <w:top w:w="72" w:type="dxa"/>
              <w:left w:w="72" w:type="dxa"/>
              <w:bottom w:w="72" w:type="dxa"/>
              <w:right w:w="72" w:type="dxa"/>
            </w:tcMar>
            <w:vAlign w:val="center"/>
            <w:hideMark/>
          </w:tcPr>
          <w:p w:rsidR="0012265A" w:rsidRPr="00B67E8B" w:rsidRDefault="0012265A" w:rsidP="004C6D3A">
            <w:pPr>
              <w:jc w:val="center"/>
              <w:rPr>
                <w:sz w:val="16"/>
                <w:szCs w:val="16"/>
                <w:lang w:val="sr-Cyrl-CS" w:eastAsia="sr-Cyrl-RS"/>
              </w:rPr>
            </w:pPr>
            <w:r w:rsidRPr="00B67E8B">
              <w:rPr>
                <w:sz w:val="16"/>
                <w:szCs w:val="16"/>
                <w:lang w:val="sr-Cyrl-CS" w:eastAsia="sr-Cyrl-RS"/>
              </w:rPr>
              <w:t> </w:t>
            </w:r>
          </w:p>
        </w:tc>
        <w:tc>
          <w:tcPr>
            <w:tcW w:w="1220" w:type="dxa"/>
            <w:tcBorders>
              <w:top w:val="nil"/>
              <w:left w:val="nil"/>
              <w:bottom w:val="single" w:sz="4" w:space="0" w:color="auto"/>
              <w:right w:val="nil"/>
            </w:tcBorders>
            <w:shd w:val="clear" w:color="auto" w:fill="FFFFFF" w:themeFill="background1"/>
            <w:noWrap/>
            <w:tcMar>
              <w:top w:w="72" w:type="dxa"/>
              <w:left w:w="72" w:type="dxa"/>
              <w:bottom w:w="72" w:type="dxa"/>
              <w:right w:w="72" w:type="dxa"/>
            </w:tcMar>
            <w:vAlign w:val="center"/>
            <w:hideMark/>
          </w:tcPr>
          <w:p w:rsidR="0012265A" w:rsidRPr="00B67E8B" w:rsidRDefault="0012265A" w:rsidP="004C6D3A">
            <w:pPr>
              <w:jc w:val="center"/>
              <w:rPr>
                <w:sz w:val="16"/>
                <w:szCs w:val="16"/>
                <w:lang w:val="sr-Cyrl-CS" w:eastAsia="sr-Cyrl-RS"/>
              </w:rPr>
            </w:pPr>
            <w:r w:rsidRPr="00B67E8B">
              <w:rPr>
                <w:sz w:val="16"/>
                <w:szCs w:val="16"/>
                <w:lang w:val="sr-Cyrl-CS" w:eastAsia="sr-Cyrl-RS"/>
              </w:rPr>
              <w:t> </w:t>
            </w:r>
          </w:p>
        </w:tc>
        <w:tc>
          <w:tcPr>
            <w:tcW w:w="4337" w:type="dxa"/>
            <w:tcBorders>
              <w:top w:val="nil"/>
              <w:left w:val="nil"/>
              <w:bottom w:val="single" w:sz="4" w:space="0" w:color="auto"/>
              <w:right w:val="nil"/>
            </w:tcBorders>
            <w:shd w:val="clear" w:color="auto" w:fill="FFFFFF" w:themeFill="background1"/>
            <w:noWrap/>
            <w:tcMar>
              <w:top w:w="72" w:type="dxa"/>
              <w:left w:w="72" w:type="dxa"/>
              <w:bottom w:w="72" w:type="dxa"/>
              <w:right w:w="72" w:type="dxa"/>
            </w:tcMar>
            <w:vAlign w:val="center"/>
            <w:hideMark/>
          </w:tcPr>
          <w:p w:rsidR="0012265A" w:rsidRPr="00B67E8B" w:rsidRDefault="0012265A" w:rsidP="004C6D3A">
            <w:pPr>
              <w:jc w:val="right"/>
              <w:rPr>
                <w:b/>
                <w:bCs/>
                <w:sz w:val="16"/>
                <w:szCs w:val="16"/>
                <w:lang w:val="sr-Cyrl-CS" w:eastAsia="sr-Cyrl-RS"/>
              </w:rPr>
            </w:pPr>
            <w:r w:rsidRPr="00B67E8B">
              <w:rPr>
                <w:b/>
                <w:bCs/>
                <w:sz w:val="16"/>
                <w:szCs w:val="16"/>
                <w:lang w:val="sr-Cyrl-CS" w:eastAsia="sr-Cyrl-RS"/>
              </w:rPr>
              <w:t>Водно подручје „Морава</w:t>
            </w:r>
            <w:r w:rsidRPr="00B67E8B">
              <w:rPr>
                <w:b/>
                <w:sz w:val="16"/>
                <w:szCs w:val="16"/>
                <w:lang w:val="sr-Cyrl-CS"/>
              </w:rPr>
              <w:t>”</w:t>
            </w:r>
            <w:r w:rsidRPr="00B67E8B">
              <w:rPr>
                <w:b/>
                <w:bCs/>
                <w:sz w:val="16"/>
                <w:szCs w:val="16"/>
                <w:lang w:val="sr-Cyrl-CS" w:eastAsia="sr-Cyrl-RS"/>
              </w:rPr>
              <w:t xml:space="preserve"> Свега А.2: </w:t>
            </w:r>
          </w:p>
        </w:tc>
        <w:tc>
          <w:tcPr>
            <w:tcW w:w="1468" w:type="dxa"/>
            <w:tcBorders>
              <w:top w:val="nil"/>
              <w:left w:val="single" w:sz="8" w:space="0" w:color="auto"/>
              <w:bottom w:val="single" w:sz="8"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b/>
                <w:bCs/>
                <w:sz w:val="16"/>
                <w:szCs w:val="16"/>
                <w:lang w:val="sr-Cyrl-CS" w:eastAsia="sr-Cyrl-RS"/>
              </w:rPr>
            </w:pPr>
            <w:r w:rsidRPr="00B67E8B">
              <w:rPr>
                <w:b/>
                <w:bCs/>
                <w:sz w:val="16"/>
                <w:szCs w:val="16"/>
                <w:lang w:val="sr-Cyrl-CS" w:eastAsia="sr-Cyrl-RS"/>
              </w:rPr>
              <w:t>311.500.000</w:t>
            </w:r>
          </w:p>
        </w:tc>
      </w:tr>
      <w:tr w:rsidR="0012265A" w:rsidRPr="00B67E8B" w:rsidTr="004F5C0D">
        <w:trPr>
          <w:trHeight w:val="402"/>
          <w:jc w:val="center"/>
        </w:trPr>
        <w:tc>
          <w:tcPr>
            <w:tcW w:w="651" w:type="dxa"/>
            <w:tcBorders>
              <w:top w:val="nil"/>
              <w:left w:val="single" w:sz="4" w:space="0" w:color="auto"/>
              <w:bottom w:val="nil"/>
              <w:right w:val="nil"/>
            </w:tcBorders>
            <w:shd w:val="clear" w:color="auto" w:fill="FFFFFF" w:themeFill="background1"/>
            <w:noWrap/>
            <w:tcMar>
              <w:top w:w="72" w:type="dxa"/>
              <w:left w:w="72" w:type="dxa"/>
              <w:bottom w:w="72" w:type="dxa"/>
              <w:right w:w="72" w:type="dxa"/>
            </w:tcMar>
            <w:vAlign w:val="center"/>
            <w:hideMark/>
          </w:tcPr>
          <w:p w:rsidR="0012265A" w:rsidRPr="00B67E8B" w:rsidRDefault="0012265A" w:rsidP="004C6D3A">
            <w:pPr>
              <w:jc w:val="center"/>
              <w:rPr>
                <w:sz w:val="16"/>
                <w:szCs w:val="16"/>
                <w:lang w:val="sr-Cyrl-CS" w:eastAsia="sr-Cyrl-RS"/>
              </w:rPr>
            </w:pPr>
            <w:r w:rsidRPr="00B67E8B">
              <w:rPr>
                <w:sz w:val="16"/>
                <w:szCs w:val="16"/>
                <w:lang w:val="sr-Cyrl-CS" w:eastAsia="sr-Cyrl-RS"/>
              </w:rPr>
              <w:t> </w:t>
            </w:r>
          </w:p>
        </w:tc>
        <w:tc>
          <w:tcPr>
            <w:tcW w:w="1584" w:type="dxa"/>
            <w:tcBorders>
              <w:top w:val="nil"/>
              <w:left w:val="nil"/>
              <w:bottom w:val="nil"/>
              <w:right w:val="nil"/>
            </w:tcBorders>
            <w:shd w:val="clear" w:color="auto" w:fill="FFFFFF" w:themeFill="background1"/>
            <w:noWrap/>
            <w:tcMar>
              <w:top w:w="72" w:type="dxa"/>
              <w:left w:w="72" w:type="dxa"/>
              <w:bottom w:w="72" w:type="dxa"/>
              <w:right w:w="72" w:type="dxa"/>
            </w:tcMar>
            <w:vAlign w:val="center"/>
            <w:hideMark/>
          </w:tcPr>
          <w:p w:rsidR="0012265A" w:rsidRPr="00B67E8B" w:rsidRDefault="0012265A" w:rsidP="004C6D3A">
            <w:pPr>
              <w:jc w:val="center"/>
              <w:rPr>
                <w:sz w:val="16"/>
                <w:szCs w:val="16"/>
                <w:lang w:val="sr-Cyrl-CS" w:eastAsia="sr-Cyrl-RS"/>
              </w:rPr>
            </w:pPr>
            <w:r w:rsidRPr="00B67E8B">
              <w:rPr>
                <w:sz w:val="16"/>
                <w:szCs w:val="16"/>
                <w:lang w:val="sr-Cyrl-CS" w:eastAsia="sr-Cyrl-RS"/>
              </w:rPr>
              <w:t> </w:t>
            </w:r>
          </w:p>
        </w:tc>
        <w:tc>
          <w:tcPr>
            <w:tcW w:w="1220" w:type="dxa"/>
            <w:tcBorders>
              <w:top w:val="nil"/>
              <w:left w:val="nil"/>
              <w:bottom w:val="nil"/>
              <w:right w:val="nil"/>
            </w:tcBorders>
            <w:shd w:val="clear" w:color="auto" w:fill="FFFFFF" w:themeFill="background1"/>
            <w:noWrap/>
            <w:tcMar>
              <w:top w:w="72" w:type="dxa"/>
              <w:left w:w="72" w:type="dxa"/>
              <w:bottom w:w="72" w:type="dxa"/>
              <w:right w:w="72" w:type="dxa"/>
            </w:tcMar>
            <w:vAlign w:val="center"/>
            <w:hideMark/>
          </w:tcPr>
          <w:p w:rsidR="0012265A" w:rsidRPr="00B67E8B" w:rsidRDefault="0012265A" w:rsidP="004C6D3A">
            <w:pPr>
              <w:jc w:val="center"/>
              <w:rPr>
                <w:sz w:val="16"/>
                <w:szCs w:val="16"/>
                <w:lang w:val="sr-Cyrl-CS" w:eastAsia="sr-Cyrl-RS"/>
              </w:rPr>
            </w:pPr>
            <w:r w:rsidRPr="00B67E8B">
              <w:rPr>
                <w:sz w:val="16"/>
                <w:szCs w:val="16"/>
                <w:lang w:val="sr-Cyrl-CS" w:eastAsia="sr-Cyrl-RS"/>
              </w:rPr>
              <w:t> </w:t>
            </w:r>
          </w:p>
        </w:tc>
        <w:tc>
          <w:tcPr>
            <w:tcW w:w="4337" w:type="dxa"/>
            <w:tcBorders>
              <w:top w:val="nil"/>
              <w:left w:val="nil"/>
              <w:bottom w:val="nil"/>
              <w:right w:val="nil"/>
            </w:tcBorders>
            <w:shd w:val="clear" w:color="auto" w:fill="FFFFFF" w:themeFill="background1"/>
            <w:noWrap/>
            <w:tcMar>
              <w:top w:w="72" w:type="dxa"/>
              <w:left w:w="72" w:type="dxa"/>
              <w:bottom w:w="72" w:type="dxa"/>
              <w:right w:w="72" w:type="dxa"/>
            </w:tcMar>
            <w:vAlign w:val="center"/>
            <w:hideMark/>
          </w:tcPr>
          <w:p w:rsidR="0012265A" w:rsidRPr="00B67E8B" w:rsidRDefault="0012265A" w:rsidP="004C6D3A">
            <w:pPr>
              <w:jc w:val="right"/>
              <w:rPr>
                <w:b/>
                <w:bCs/>
                <w:sz w:val="16"/>
                <w:szCs w:val="16"/>
                <w:u w:val="single"/>
                <w:lang w:val="sr-Cyrl-CS" w:eastAsia="sr-Cyrl-RS"/>
              </w:rPr>
            </w:pPr>
            <w:r w:rsidRPr="00B67E8B">
              <w:rPr>
                <w:b/>
                <w:bCs/>
                <w:sz w:val="16"/>
                <w:szCs w:val="16"/>
                <w:u w:val="single"/>
                <w:lang w:val="sr-Cyrl-CS" w:eastAsia="sr-Cyrl-RS"/>
              </w:rPr>
              <w:t>ХИТНИ САНАЦИОНИ РАДОВИ: УКУПНО А.1+А.2:</w:t>
            </w:r>
          </w:p>
        </w:tc>
        <w:tc>
          <w:tcPr>
            <w:tcW w:w="1468" w:type="dxa"/>
            <w:tcBorders>
              <w:top w:val="nil"/>
              <w:left w:val="single" w:sz="8" w:space="0" w:color="auto"/>
              <w:bottom w:val="single" w:sz="8"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b/>
                <w:bCs/>
                <w:sz w:val="16"/>
                <w:szCs w:val="16"/>
                <w:lang w:val="sr-Cyrl-CS" w:eastAsia="sr-Cyrl-RS"/>
              </w:rPr>
            </w:pPr>
            <w:r w:rsidRPr="00B67E8B">
              <w:rPr>
                <w:b/>
                <w:bCs/>
                <w:sz w:val="16"/>
                <w:szCs w:val="16"/>
                <w:lang w:val="sr-Cyrl-CS" w:eastAsia="sr-Cyrl-RS"/>
              </w:rPr>
              <w:t>461.500.000</w:t>
            </w:r>
          </w:p>
        </w:tc>
      </w:tr>
      <w:tr w:rsidR="0012265A" w:rsidRPr="00B67E8B" w:rsidTr="004F5C0D">
        <w:trPr>
          <w:trHeight w:val="402"/>
          <w:jc w:val="center"/>
        </w:trPr>
        <w:tc>
          <w:tcPr>
            <w:tcW w:w="651" w:type="dxa"/>
            <w:tcBorders>
              <w:top w:val="single" w:sz="4" w:space="0" w:color="auto"/>
              <w:left w:val="single" w:sz="4" w:space="0" w:color="auto"/>
              <w:bottom w:val="double" w:sz="6"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b/>
                <w:bCs/>
                <w:sz w:val="16"/>
                <w:szCs w:val="16"/>
                <w:lang w:val="sr-Cyrl-CS" w:eastAsia="sr-Cyrl-RS"/>
              </w:rPr>
            </w:pPr>
            <w:r w:rsidRPr="00B67E8B">
              <w:rPr>
                <w:b/>
                <w:bCs/>
                <w:sz w:val="16"/>
                <w:szCs w:val="16"/>
                <w:lang w:val="sr-Cyrl-CS" w:eastAsia="sr-Cyrl-RS"/>
              </w:rPr>
              <w:t>Б</w:t>
            </w:r>
          </w:p>
        </w:tc>
        <w:tc>
          <w:tcPr>
            <w:tcW w:w="7141" w:type="dxa"/>
            <w:gridSpan w:val="3"/>
            <w:tcBorders>
              <w:top w:val="single" w:sz="4" w:space="0" w:color="auto"/>
              <w:left w:val="nil"/>
              <w:bottom w:val="double" w:sz="6" w:space="0" w:color="auto"/>
              <w:right w:val="nil"/>
            </w:tcBorders>
            <w:shd w:val="clear" w:color="auto" w:fill="FFFFFF" w:themeFill="background1"/>
            <w:noWrap/>
            <w:tcMar>
              <w:top w:w="72" w:type="dxa"/>
              <w:left w:w="72" w:type="dxa"/>
              <w:bottom w:w="72" w:type="dxa"/>
              <w:right w:w="72" w:type="dxa"/>
            </w:tcMar>
            <w:vAlign w:val="center"/>
            <w:hideMark/>
          </w:tcPr>
          <w:p w:rsidR="0012265A" w:rsidRPr="00B67E8B" w:rsidRDefault="0012265A" w:rsidP="004C6D3A">
            <w:pPr>
              <w:jc w:val="right"/>
              <w:rPr>
                <w:b/>
                <w:bCs/>
                <w:sz w:val="16"/>
                <w:szCs w:val="16"/>
                <w:u w:val="single"/>
                <w:lang w:val="sr-Cyrl-CS" w:eastAsia="sr-Cyrl-RS"/>
              </w:rPr>
            </w:pPr>
            <w:r w:rsidRPr="00B67E8B">
              <w:rPr>
                <w:b/>
                <w:bCs/>
                <w:sz w:val="16"/>
                <w:szCs w:val="16"/>
                <w:u w:val="single"/>
                <w:lang w:val="sr-Cyrl-CS" w:eastAsia="sr-Cyrl-RS"/>
              </w:rPr>
              <w:t>ТЕХНИЧКА ДОКУМЕНТАЦИЈА; УПРАВЉАЊЕ РАДОВИМА И НАДЗОР</w:t>
            </w:r>
          </w:p>
        </w:tc>
        <w:tc>
          <w:tcPr>
            <w:tcW w:w="1468" w:type="dxa"/>
            <w:tcBorders>
              <w:top w:val="nil"/>
              <w:left w:val="nil"/>
              <w:bottom w:val="double" w:sz="6"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b/>
                <w:bCs/>
                <w:sz w:val="16"/>
                <w:szCs w:val="16"/>
                <w:lang w:val="sr-Cyrl-CS" w:eastAsia="sr-Cyrl-RS"/>
              </w:rPr>
            </w:pPr>
            <w:r w:rsidRPr="00B67E8B">
              <w:rPr>
                <w:b/>
                <w:bCs/>
                <w:sz w:val="16"/>
                <w:szCs w:val="16"/>
                <w:lang w:val="sr-Cyrl-CS" w:eastAsia="sr-Cyrl-RS"/>
              </w:rPr>
              <w:t> </w:t>
            </w:r>
          </w:p>
        </w:tc>
      </w:tr>
      <w:tr w:rsidR="0012265A" w:rsidRPr="00B67E8B" w:rsidTr="004F5C0D">
        <w:trPr>
          <w:trHeight w:val="402"/>
          <w:jc w:val="center"/>
        </w:trPr>
        <w:tc>
          <w:tcPr>
            <w:tcW w:w="651" w:type="dxa"/>
            <w:tcBorders>
              <w:top w:val="nil"/>
              <w:left w:val="single" w:sz="4" w:space="0" w:color="auto"/>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sz w:val="16"/>
                <w:szCs w:val="16"/>
                <w:lang w:val="sr-Cyrl-CS" w:eastAsia="sr-Cyrl-RS"/>
              </w:rPr>
            </w:pPr>
            <w:r w:rsidRPr="00B67E8B">
              <w:rPr>
                <w:sz w:val="16"/>
                <w:szCs w:val="16"/>
                <w:lang w:val="sr-Cyrl-CS" w:eastAsia="sr-Cyrl-RS"/>
              </w:rPr>
              <w:t>13</w:t>
            </w:r>
          </w:p>
        </w:tc>
        <w:tc>
          <w:tcPr>
            <w:tcW w:w="7141" w:type="dxa"/>
            <w:gridSpan w:val="3"/>
            <w:tcBorders>
              <w:top w:val="nil"/>
              <w:left w:val="nil"/>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rPr>
                <w:b/>
                <w:bCs/>
                <w:sz w:val="16"/>
                <w:szCs w:val="16"/>
                <w:lang w:val="sr-Cyrl-CS" w:eastAsia="sr-Cyrl-RS"/>
              </w:rPr>
            </w:pPr>
            <w:r w:rsidRPr="00B67E8B">
              <w:rPr>
                <w:b/>
                <w:bCs/>
                <w:sz w:val="16"/>
                <w:szCs w:val="16"/>
                <w:lang w:val="sr-Cyrl-CS" w:eastAsia="sr-Cyrl-RS"/>
              </w:rPr>
              <w:t>Техничка документација за хитне санационе радове, управљање радовима и стручни надзор</w:t>
            </w:r>
          </w:p>
        </w:tc>
        <w:tc>
          <w:tcPr>
            <w:tcW w:w="1468" w:type="dxa"/>
            <w:tcBorders>
              <w:top w:val="nil"/>
              <w:left w:val="nil"/>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sz w:val="16"/>
                <w:szCs w:val="16"/>
                <w:lang w:val="sr-Cyrl-CS" w:eastAsia="sr-Cyrl-RS"/>
              </w:rPr>
            </w:pPr>
            <w:r w:rsidRPr="00B67E8B">
              <w:rPr>
                <w:sz w:val="16"/>
                <w:szCs w:val="16"/>
                <w:lang w:val="sr-Cyrl-CS" w:eastAsia="sr-Cyrl-RS"/>
              </w:rPr>
              <w:t>4.535.000</w:t>
            </w:r>
          </w:p>
        </w:tc>
      </w:tr>
      <w:tr w:rsidR="0012265A" w:rsidRPr="00B67E8B" w:rsidTr="004F5C0D">
        <w:trPr>
          <w:trHeight w:val="402"/>
          <w:jc w:val="center"/>
        </w:trPr>
        <w:tc>
          <w:tcPr>
            <w:tcW w:w="651" w:type="dxa"/>
            <w:tcBorders>
              <w:top w:val="nil"/>
              <w:left w:val="single" w:sz="4" w:space="0" w:color="auto"/>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sz w:val="16"/>
                <w:szCs w:val="16"/>
                <w:lang w:val="sr-Cyrl-CS" w:eastAsia="sr-Cyrl-RS"/>
              </w:rPr>
            </w:pPr>
            <w:r w:rsidRPr="00B67E8B">
              <w:rPr>
                <w:sz w:val="16"/>
                <w:szCs w:val="16"/>
                <w:lang w:val="sr-Cyrl-CS" w:eastAsia="sr-Cyrl-RS"/>
              </w:rPr>
              <w:t>14</w:t>
            </w:r>
          </w:p>
        </w:tc>
        <w:tc>
          <w:tcPr>
            <w:tcW w:w="7141" w:type="dxa"/>
            <w:gridSpan w:val="3"/>
            <w:tcBorders>
              <w:top w:val="single" w:sz="4" w:space="0" w:color="auto"/>
              <w:left w:val="nil"/>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rPr>
                <w:b/>
                <w:bCs/>
                <w:sz w:val="16"/>
                <w:szCs w:val="16"/>
                <w:lang w:val="sr-Cyrl-CS" w:eastAsia="sr-Cyrl-RS"/>
              </w:rPr>
            </w:pPr>
            <w:r w:rsidRPr="00B67E8B">
              <w:rPr>
                <w:b/>
                <w:bCs/>
                <w:sz w:val="16"/>
                <w:szCs w:val="16"/>
                <w:lang w:val="sr-Cyrl-CS" w:eastAsia="sr-Cyrl-RS"/>
              </w:rPr>
              <w:t>Експертизе поплавних догађаја у јуну 2019. године на подручју општина Крупањ, Лучани и Трстеник и града Краљева)</w:t>
            </w:r>
          </w:p>
        </w:tc>
        <w:tc>
          <w:tcPr>
            <w:tcW w:w="1468" w:type="dxa"/>
            <w:tcBorders>
              <w:top w:val="nil"/>
              <w:left w:val="nil"/>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sz w:val="16"/>
                <w:szCs w:val="16"/>
                <w:lang w:val="sr-Cyrl-CS" w:eastAsia="sr-Cyrl-RS"/>
              </w:rPr>
            </w:pPr>
            <w:r w:rsidRPr="00B67E8B">
              <w:rPr>
                <w:sz w:val="16"/>
                <w:szCs w:val="16"/>
                <w:lang w:val="sr-Cyrl-CS" w:eastAsia="sr-Cyrl-RS"/>
              </w:rPr>
              <w:t>22.500.000</w:t>
            </w:r>
          </w:p>
        </w:tc>
      </w:tr>
      <w:tr w:rsidR="0012265A" w:rsidRPr="00B67E8B" w:rsidTr="004F5C0D">
        <w:trPr>
          <w:trHeight w:val="540"/>
          <w:jc w:val="center"/>
        </w:trPr>
        <w:tc>
          <w:tcPr>
            <w:tcW w:w="651" w:type="dxa"/>
            <w:tcBorders>
              <w:top w:val="nil"/>
              <w:left w:val="single" w:sz="4" w:space="0" w:color="auto"/>
              <w:bottom w:val="nil"/>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sz w:val="16"/>
                <w:szCs w:val="16"/>
                <w:lang w:val="sr-Cyrl-CS" w:eastAsia="sr-Cyrl-RS"/>
              </w:rPr>
            </w:pPr>
            <w:r w:rsidRPr="00B67E8B">
              <w:rPr>
                <w:sz w:val="16"/>
                <w:szCs w:val="16"/>
                <w:lang w:val="sr-Cyrl-CS" w:eastAsia="sr-Cyrl-RS"/>
              </w:rPr>
              <w:t>15</w:t>
            </w:r>
          </w:p>
        </w:tc>
        <w:tc>
          <w:tcPr>
            <w:tcW w:w="7141" w:type="dxa"/>
            <w:gridSpan w:val="3"/>
            <w:tcBorders>
              <w:top w:val="single" w:sz="4" w:space="0" w:color="auto"/>
              <w:left w:val="nil"/>
              <w:bottom w:val="single" w:sz="4" w:space="0" w:color="auto"/>
              <w:right w:val="single" w:sz="4" w:space="0" w:color="000000"/>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rPr>
                <w:b/>
                <w:bCs/>
                <w:sz w:val="16"/>
                <w:szCs w:val="16"/>
                <w:lang w:val="sr-Cyrl-CS" w:eastAsia="sr-Cyrl-RS"/>
              </w:rPr>
            </w:pPr>
            <w:r w:rsidRPr="00B67E8B">
              <w:rPr>
                <w:b/>
                <w:bCs/>
                <w:sz w:val="16"/>
                <w:szCs w:val="16"/>
                <w:lang w:val="sr-Cyrl-CS" w:eastAsia="sr-Cyrl-RS"/>
              </w:rPr>
              <w:t xml:space="preserve">Пројекти хитних радова за отклањање последица поплава у јуну 2019. године и унапређење заштите угрожених подручја: </w:t>
            </w:r>
          </w:p>
        </w:tc>
        <w:tc>
          <w:tcPr>
            <w:tcW w:w="1468" w:type="dxa"/>
            <w:tcBorders>
              <w:top w:val="nil"/>
              <w:left w:val="nil"/>
              <w:bottom w:val="nil"/>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sz w:val="16"/>
                <w:szCs w:val="16"/>
                <w:lang w:val="sr-Cyrl-CS" w:eastAsia="sr-Cyrl-RS"/>
              </w:rPr>
            </w:pPr>
            <w:r w:rsidRPr="00B67E8B">
              <w:rPr>
                <w:sz w:val="16"/>
                <w:szCs w:val="16"/>
                <w:lang w:val="sr-Cyrl-CS" w:eastAsia="sr-Cyrl-RS"/>
              </w:rPr>
              <w:t> </w:t>
            </w:r>
          </w:p>
        </w:tc>
      </w:tr>
      <w:tr w:rsidR="0012265A" w:rsidRPr="00B67E8B" w:rsidTr="004F5C0D">
        <w:trPr>
          <w:trHeight w:val="402"/>
          <w:jc w:val="center"/>
        </w:trPr>
        <w:tc>
          <w:tcPr>
            <w:tcW w:w="651" w:type="dxa"/>
            <w:tcBorders>
              <w:top w:val="single" w:sz="4" w:space="0" w:color="auto"/>
              <w:left w:val="single" w:sz="4" w:space="0" w:color="auto"/>
              <w:bottom w:val="nil"/>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sz w:val="16"/>
                <w:szCs w:val="16"/>
                <w:lang w:val="sr-Cyrl-CS" w:eastAsia="sr-Cyrl-RS"/>
              </w:rPr>
            </w:pPr>
            <w:r w:rsidRPr="00B67E8B">
              <w:rPr>
                <w:sz w:val="16"/>
                <w:szCs w:val="16"/>
                <w:lang w:val="sr-Cyrl-CS" w:eastAsia="sr-Cyrl-RS"/>
              </w:rPr>
              <w:t>15.1</w:t>
            </w:r>
          </w:p>
        </w:tc>
        <w:tc>
          <w:tcPr>
            <w:tcW w:w="7141" w:type="dxa"/>
            <w:gridSpan w:val="3"/>
            <w:tcBorders>
              <w:top w:val="single" w:sz="4" w:space="0" w:color="auto"/>
              <w:left w:val="nil"/>
              <w:bottom w:val="single" w:sz="4" w:space="0" w:color="auto"/>
              <w:right w:val="single" w:sz="4" w:space="0" w:color="000000"/>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rPr>
                <w:b/>
                <w:bCs/>
                <w:sz w:val="16"/>
                <w:szCs w:val="16"/>
                <w:lang w:val="sr-Cyrl-CS" w:eastAsia="sr-Cyrl-RS"/>
              </w:rPr>
            </w:pPr>
            <w:r w:rsidRPr="00B67E8B">
              <w:rPr>
                <w:b/>
                <w:bCs/>
                <w:sz w:val="16"/>
                <w:szCs w:val="16"/>
                <w:lang w:val="sr-Cyrl-CS" w:eastAsia="sr-Cyrl-RS"/>
              </w:rPr>
              <w:t xml:space="preserve"> 1) подручје општине Лучани  (заштита насеља Ђераћ од великих вода Бјелице и притока);</w:t>
            </w:r>
          </w:p>
        </w:tc>
        <w:tc>
          <w:tcPr>
            <w:tcW w:w="1468" w:type="dxa"/>
            <w:tcBorders>
              <w:top w:val="single" w:sz="4" w:space="0" w:color="auto"/>
              <w:left w:val="nil"/>
              <w:bottom w:val="nil"/>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sz w:val="16"/>
                <w:szCs w:val="16"/>
                <w:lang w:val="sr-Cyrl-CS" w:eastAsia="sr-Cyrl-RS"/>
              </w:rPr>
            </w:pPr>
            <w:r w:rsidRPr="00B67E8B">
              <w:rPr>
                <w:sz w:val="16"/>
                <w:szCs w:val="16"/>
                <w:lang w:val="sr-Cyrl-CS" w:eastAsia="sr-Cyrl-RS"/>
              </w:rPr>
              <w:t>4.200.000</w:t>
            </w:r>
          </w:p>
        </w:tc>
      </w:tr>
      <w:tr w:rsidR="0012265A" w:rsidRPr="00B67E8B" w:rsidTr="004F5C0D">
        <w:trPr>
          <w:trHeight w:val="404"/>
          <w:jc w:val="center"/>
        </w:trPr>
        <w:tc>
          <w:tcPr>
            <w:tcW w:w="651" w:type="dxa"/>
            <w:tcBorders>
              <w:top w:val="single" w:sz="4" w:space="0" w:color="auto"/>
              <w:left w:val="single" w:sz="4" w:space="0" w:color="auto"/>
              <w:bottom w:val="double" w:sz="6"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sz w:val="16"/>
                <w:szCs w:val="16"/>
                <w:lang w:val="sr-Cyrl-CS" w:eastAsia="sr-Cyrl-RS"/>
              </w:rPr>
            </w:pPr>
            <w:r w:rsidRPr="00B67E8B">
              <w:rPr>
                <w:sz w:val="16"/>
                <w:szCs w:val="16"/>
                <w:lang w:val="sr-Cyrl-CS" w:eastAsia="sr-Cyrl-RS"/>
              </w:rPr>
              <w:t>15.2</w:t>
            </w:r>
          </w:p>
        </w:tc>
        <w:tc>
          <w:tcPr>
            <w:tcW w:w="7141" w:type="dxa"/>
            <w:gridSpan w:val="3"/>
            <w:tcBorders>
              <w:top w:val="single" w:sz="4" w:space="0" w:color="auto"/>
              <w:left w:val="nil"/>
              <w:bottom w:val="double" w:sz="6"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rPr>
                <w:b/>
                <w:bCs/>
                <w:sz w:val="16"/>
                <w:szCs w:val="16"/>
                <w:lang w:val="sr-Cyrl-CS" w:eastAsia="sr-Cyrl-RS"/>
              </w:rPr>
            </w:pPr>
            <w:r w:rsidRPr="00B67E8B">
              <w:rPr>
                <w:b/>
                <w:bCs/>
                <w:sz w:val="16"/>
                <w:szCs w:val="16"/>
                <w:lang w:val="sr-Cyrl-CS" w:eastAsia="sr-Cyrl-RS"/>
              </w:rPr>
              <w:t xml:space="preserve"> 2) подручје града Краљева (заштита приобаља Западне Мораве - Адрани 1 и Адрани 2); </w:t>
            </w:r>
          </w:p>
        </w:tc>
        <w:tc>
          <w:tcPr>
            <w:tcW w:w="1468" w:type="dxa"/>
            <w:tcBorders>
              <w:top w:val="single" w:sz="4" w:space="0" w:color="auto"/>
              <w:left w:val="nil"/>
              <w:bottom w:val="double" w:sz="6"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sz w:val="16"/>
                <w:szCs w:val="16"/>
                <w:lang w:val="sr-Cyrl-CS" w:eastAsia="sr-Cyrl-RS"/>
              </w:rPr>
            </w:pPr>
            <w:r w:rsidRPr="00B67E8B">
              <w:rPr>
                <w:sz w:val="16"/>
                <w:szCs w:val="16"/>
                <w:lang w:val="sr-Cyrl-CS" w:eastAsia="sr-Cyrl-RS"/>
              </w:rPr>
              <w:t>9.000.000</w:t>
            </w:r>
          </w:p>
        </w:tc>
      </w:tr>
      <w:tr w:rsidR="0012265A" w:rsidRPr="00B67E8B" w:rsidTr="004F5C0D">
        <w:trPr>
          <w:trHeight w:val="504"/>
          <w:jc w:val="center"/>
        </w:trPr>
        <w:tc>
          <w:tcPr>
            <w:tcW w:w="651" w:type="dxa"/>
            <w:tcBorders>
              <w:top w:val="double" w:sz="6" w:space="0" w:color="auto"/>
              <w:left w:val="single" w:sz="4" w:space="0" w:color="auto"/>
              <w:bottom w:val="single" w:sz="4" w:space="0" w:color="auto"/>
              <w:right w:val="nil"/>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sz w:val="16"/>
                <w:szCs w:val="16"/>
                <w:lang w:val="sr-Cyrl-CS" w:eastAsia="sr-Cyrl-RS"/>
              </w:rPr>
            </w:pPr>
          </w:p>
        </w:tc>
        <w:tc>
          <w:tcPr>
            <w:tcW w:w="7141" w:type="dxa"/>
            <w:gridSpan w:val="3"/>
            <w:tcBorders>
              <w:top w:val="double" w:sz="6" w:space="0" w:color="auto"/>
              <w:left w:val="nil"/>
              <w:bottom w:val="single" w:sz="4" w:space="0" w:color="auto"/>
              <w:right w:val="nil"/>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right"/>
              <w:rPr>
                <w:b/>
                <w:bCs/>
                <w:sz w:val="16"/>
                <w:szCs w:val="16"/>
                <w:u w:val="single"/>
                <w:lang w:val="sr-Cyrl-CS" w:eastAsia="sr-Cyrl-RS"/>
              </w:rPr>
            </w:pPr>
            <w:r w:rsidRPr="00B67E8B">
              <w:rPr>
                <w:b/>
                <w:bCs/>
                <w:sz w:val="16"/>
                <w:szCs w:val="16"/>
                <w:u w:val="single"/>
                <w:lang w:val="sr-Cyrl-CS" w:eastAsia="sr-Cyrl-RS"/>
              </w:rPr>
              <w:t>ТЕХНИЧКА ДОКУМЕНТАЦИЈА; УПРАВЉАЊЕ РАДОВИМА И НАДЗОР:  УКУПНО Б:</w:t>
            </w:r>
          </w:p>
        </w:tc>
        <w:tc>
          <w:tcPr>
            <w:tcW w:w="1468" w:type="dxa"/>
            <w:tcBorders>
              <w:top w:val="double" w:sz="6" w:space="0" w:color="auto"/>
              <w:left w:val="single" w:sz="8" w:space="0" w:color="auto"/>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b/>
                <w:bCs/>
                <w:sz w:val="16"/>
                <w:szCs w:val="16"/>
                <w:lang w:val="sr-Cyrl-CS" w:eastAsia="sr-Cyrl-RS"/>
              </w:rPr>
            </w:pPr>
            <w:r w:rsidRPr="00B67E8B">
              <w:rPr>
                <w:b/>
                <w:bCs/>
                <w:sz w:val="16"/>
                <w:szCs w:val="16"/>
                <w:lang w:val="sr-Cyrl-CS" w:eastAsia="sr-Cyrl-RS"/>
              </w:rPr>
              <w:t>77.235.000</w:t>
            </w:r>
          </w:p>
        </w:tc>
      </w:tr>
      <w:tr w:rsidR="0012265A" w:rsidRPr="00B67E8B" w:rsidTr="004F5C0D">
        <w:trPr>
          <w:trHeight w:val="431"/>
          <w:jc w:val="center"/>
        </w:trPr>
        <w:tc>
          <w:tcPr>
            <w:tcW w:w="651" w:type="dxa"/>
            <w:tcBorders>
              <w:top w:val="single" w:sz="4" w:space="0" w:color="auto"/>
              <w:left w:val="single" w:sz="4" w:space="0" w:color="auto"/>
              <w:bottom w:val="nil"/>
              <w:right w:val="nil"/>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b/>
                <w:bCs/>
                <w:sz w:val="16"/>
                <w:szCs w:val="16"/>
                <w:lang w:val="sr-Cyrl-CS" w:eastAsia="sr-Cyrl-RS"/>
              </w:rPr>
            </w:pPr>
            <w:r w:rsidRPr="00B67E8B">
              <w:rPr>
                <w:b/>
                <w:bCs/>
                <w:sz w:val="16"/>
                <w:szCs w:val="16"/>
                <w:lang w:val="sr-Cyrl-CS" w:eastAsia="sr-Cyrl-RS"/>
              </w:rPr>
              <w:t> </w:t>
            </w:r>
          </w:p>
        </w:tc>
        <w:tc>
          <w:tcPr>
            <w:tcW w:w="7141" w:type="dxa"/>
            <w:gridSpan w:val="3"/>
            <w:tcBorders>
              <w:top w:val="single" w:sz="4" w:space="0" w:color="auto"/>
              <w:left w:val="nil"/>
              <w:bottom w:val="single" w:sz="4" w:space="0" w:color="000000"/>
              <w:right w:val="nil"/>
            </w:tcBorders>
            <w:shd w:val="clear" w:color="auto" w:fill="FFFFFF" w:themeFill="background1"/>
            <w:noWrap/>
            <w:tcMar>
              <w:top w:w="72" w:type="dxa"/>
              <w:left w:w="72" w:type="dxa"/>
              <w:bottom w:w="72" w:type="dxa"/>
              <w:right w:w="72" w:type="dxa"/>
            </w:tcMar>
            <w:vAlign w:val="center"/>
            <w:hideMark/>
          </w:tcPr>
          <w:p w:rsidR="0012265A" w:rsidRPr="00B67E8B" w:rsidRDefault="0012265A" w:rsidP="004C6D3A">
            <w:pPr>
              <w:jc w:val="right"/>
              <w:rPr>
                <w:b/>
                <w:bCs/>
                <w:sz w:val="16"/>
                <w:szCs w:val="16"/>
                <w:u w:val="single"/>
                <w:lang w:val="sr-Cyrl-CS" w:eastAsia="sr-Cyrl-RS"/>
              </w:rPr>
            </w:pPr>
            <w:r w:rsidRPr="00B67E8B">
              <w:rPr>
                <w:b/>
                <w:bCs/>
                <w:sz w:val="16"/>
                <w:szCs w:val="16"/>
                <w:u w:val="single"/>
                <w:lang w:val="sr-Cyrl-CS" w:eastAsia="sr-Cyrl-RS"/>
              </w:rPr>
              <w:t xml:space="preserve">УКУПНО: А+Б </w:t>
            </w:r>
          </w:p>
        </w:tc>
        <w:tc>
          <w:tcPr>
            <w:tcW w:w="1468" w:type="dxa"/>
            <w:tcBorders>
              <w:top w:val="single" w:sz="4" w:space="0" w:color="auto"/>
              <w:left w:val="single" w:sz="8" w:space="0" w:color="auto"/>
              <w:bottom w:val="single" w:sz="8"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b/>
                <w:bCs/>
                <w:sz w:val="16"/>
                <w:szCs w:val="16"/>
                <w:lang w:val="sr-Cyrl-CS" w:eastAsia="sr-Cyrl-RS"/>
              </w:rPr>
            </w:pPr>
            <w:r w:rsidRPr="00B67E8B">
              <w:rPr>
                <w:b/>
                <w:bCs/>
                <w:sz w:val="16"/>
                <w:szCs w:val="16"/>
                <w:lang w:val="sr-Cyrl-CS" w:eastAsia="sr-Cyrl-RS"/>
              </w:rPr>
              <w:t>538.735.000</w:t>
            </w:r>
          </w:p>
        </w:tc>
      </w:tr>
      <w:tr w:rsidR="0012265A" w:rsidRPr="00B67E8B" w:rsidTr="004F5C0D">
        <w:trPr>
          <w:trHeight w:val="288"/>
          <w:jc w:val="center"/>
        </w:trPr>
        <w:tc>
          <w:tcPr>
            <w:tcW w:w="651" w:type="dxa"/>
            <w:tcBorders>
              <w:top w:val="single" w:sz="4" w:space="0" w:color="auto"/>
              <w:left w:val="single" w:sz="4" w:space="0" w:color="auto"/>
              <w:bottom w:val="single" w:sz="4" w:space="0" w:color="auto"/>
              <w:right w:val="nil"/>
            </w:tcBorders>
            <w:shd w:val="clear" w:color="auto" w:fill="FFFFFF" w:themeFill="background1"/>
            <w:noWrap/>
            <w:tcMar>
              <w:top w:w="72" w:type="dxa"/>
              <w:left w:w="72" w:type="dxa"/>
              <w:bottom w:w="72" w:type="dxa"/>
              <w:right w:w="72" w:type="dxa"/>
            </w:tcMar>
            <w:vAlign w:val="bottom"/>
            <w:hideMark/>
          </w:tcPr>
          <w:p w:rsidR="0012265A" w:rsidRPr="00B67E8B" w:rsidRDefault="0012265A" w:rsidP="004C6D3A">
            <w:pPr>
              <w:rPr>
                <w:rFonts w:ascii="Calibri" w:hAnsi="Calibri" w:cs="Calibri"/>
                <w:lang w:val="sr-Cyrl-CS" w:eastAsia="sr-Cyrl-RS"/>
              </w:rPr>
            </w:pPr>
            <w:r w:rsidRPr="00B67E8B">
              <w:rPr>
                <w:rFonts w:ascii="Calibri" w:hAnsi="Calibri" w:cs="Calibri"/>
                <w:lang w:val="sr-Cyrl-CS" w:eastAsia="sr-Cyrl-RS"/>
              </w:rPr>
              <w:t> </w:t>
            </w:r>
          </w:p>
        </w:tc>
        <w:tc>
          <w:tcPr>
            <w:tcW w:w="1584" w:type="dxa"/>
            <w:tcBorders>
              <w:top w:val="nil"/>
              <w:left w:val="nil"/>
              <w:bottom w:val="single" w:sz="4" w:space="0" w:color="auto"/>
              <w:right w:val="nil"/>
            </w:tcBorders>
            <w:shd w:val="clear" w:color="auto" w:fill="FFFFFF" w:themeFill="background1"/>
            <w:noWrap/>
            <w:tcMar>
              <w:top w:w="72" w:type="dxa"/>
              <w:left w:w="72" w:type="dxa"/>
              <w:bottom w:w="72" w:type="dxa"/>
              <w:right w:w="72" w:type="dxa"/>
            </w:tcMar>
            <w:vAlign w:val="bottom"/>
            <w:hideMark/>
          </w:tcPr>
          <w:p w:rsidR="0012265A" w:rsidRPr="00B67E8B" w:rsidRDefault="0012265A" w:rsidP="004C6D3A">
            <w:pPr>
              <w:rPr>
                <w:rFonts w:ascii="Calibri" w:hAnsi="Calibri" w:cs="Calibri"/>
                <w:lang w:val="sr-Cyrl-CS" w:eastAsia="sr-Cyrl-RS"/>
              </w:rPr>
            </w:pPr>
            <w:r w:rsidRPr="00B67E8B">
              <w:rPr>
                <w:rFonts w:ascii="Calibri" w:hAnsi="Calibri" w:cs="Calibri"/>
                <w:lang w:val="sr-Cyrl-CS" w:eastAsia="sr-Cyrl-RS"/>
              </w:rPr>
              <w:t> </w:t>
            </w:r>
          </w:p>
        </w:tc>
        <w:tc>
          <w:tcPr>
            <w:tcW w:w="1220" w:type="dxa"/>
            <w:tcBorders>
              <w:top w:val="nil"/>
              <w:left w:val="nil"/>
              <w:bottom w:val="single" w:sz="4" w:space="0" w:color="auto"/>
              <w:right w:val="nil"/>
            </w:tcBorders>
            <w:shd w:val="clear" w:color="auto" w:fill="FFFFFF" w:themeFill="background1"/>
            <w:noWrap/>
            <w:tcMar>
              <w:top w:w="72" w:type="dxa"/>
              <w:left w:w="72" w:type="dxa"/>
              <w:bottom w:w="72" w:type="dxa"/>
              <w:right w:w="72" w:type="dxa"/>
            </w:tcMar>
            <w:vAlign w:val="bottom"/>
            <w:hideMark/>
          </w:tcPr>
          <w:p w:rsidR="0012265A" w:rsidRPr="00B67E8B" w:rsidRDefault="0012265A" w:rsidP="004C6D3A">
            <w:pPr>
              <w:rPr>
                <w:rFonts w:ascii="Calibri" w:hAnsi="Calibri" w:cs="Calibri"/>
                <w:lang w:val="sr-Cyrl-CS" w:eastAsia="sr-Cyrl-RS"/>
              </w:rPr>
            </w:pPr>
          </w:p>
        </w:tc>
        <w:tc>
          <w:tcPr>
            <w:tcW w:w="4337" w:type="dxa"/>
            <w:tcBorders>
              <w:top w:val="nil"/>
              <w:left w:val="nil"/>
              <w:bottom w:val="single" w:sz="4" w:space="0" w:color="auto"/>
              <w:right w:val="nil"/>
            </w:tcBorders>
            <w:shd w:val="clear" w:color="auto" w:fill="FFFFFF" w:themeFill="background1"/>
            <w:noWrap/>
            <w:tcMar>
              <w:top w:w="72" w:type="dxa"/>
              <w:left w:w="72" w:type="dxa"/>
              <w:bottom w:w="72" w:type="dxa"/>
              <w:right w:w="72" w:type="dxa"/>
            </w:tcMar>
            <w:vAlign w:val="bottom"/>
            <w:hideMark/>
          </w:tcPr>
          <w:p w:rsidR="0012265A" w:rsidRPr="00B67E8B" w:rsidRDefault="0012265A" w:rsidP="004C6D3A">
            <w:pPr>
              <w:rPr>
                <w:lang w:val="sr-Cyrl-CS" w:eastAsia="sr-Cyrl-RS"/>
              </w:rPr>
            </w:pPr>
          </w:p>
        </w:tc>
        <w:tc>
          <w:tcPr>
            <w:tcW w:w="1468" w:type="dxa"/>
            <w:tcBorders>
              <w:top w:val="nil"/>
              <w:left w:val="nil"/>
              <w:bottom w:val="single" w:sz="4" w:space="0" w:color="auto"/>
              <w:right w:val="single" w:sz="4" w:space="0" w:color="auto"/>
            </w:tcBorders>
            <w:shd w:val="clear" w:color="auto" w:fill="FFFFFF" w:themeFill="background1"/>
            <w:noWrap/>
            <w:tcMar>
              <w:top w:w="72" w:type="dxa"/>
              <w:left w:w="72" w:type="dxa"/>
              <w:bottom w:w="72" w:type="dxa"/>
              <w:right w:w="72" w:type="dxa"/>
            </w:tcMar>
            <w:vAlign w:val="bottom"/>
            <w:hideMark/>
          </w:tcPr>
          <w:p w:rsidR="0012265A" w:rsidRPr="00B67E8B" w:rsidRDefault="0012265A" w:rsidP="004C6D3A">
            <w:pPr>
              <w:rPr>
                <w:lang w:val="sr-Cyrl-CS" w:eastAsia="sr-Cyrl-RS"/>
              </w:rPr>
            </w:pPr>
          </w:p>
        </w:tc>
      </w:tr>
      <w:tr w:rsidR="0012265A" w:rsidRPr="00B67E8B" w:rsidTr="004F5C0D">
        <w:trPr>
          <w:trHeight w:val="413"/>
          <w:jc w:val="center"/>
        </w:trPr>
        <w:tc>
          <w:tcPr>
            <w:tcW w:w="651" w:type="dxa"/>
            <w:tcBorders>
              <w:top w:val="single" w:sz="4" w:space="0" w:color="auto"/>
              <w:left w:val="single" w:sz="4" w:space="0" w:color="auto"/>
              <w:bottom w:val="double" w:sz="6" w:space="0" w:color="auto"/>
              <w:right w:val="nil"/>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right"/>
              <w:rPr>
                <w:b/>
                <w:bCs/>
                <w:sz w:val="16"/>
                <w:szCs w:val="16"/>
                <w:lang w:val="sr-Cyrl-CS" w:eastAsia="sr-Cyrl-RS"/>
              </w:rPr>
            </w:pPr>
            <w:r w:rsidRPr="00B67E8B">
              <w:rPr>
                <w:b/>
                <w:bCs/>
                <w:sz w:val="16"/>
                <w:szCs w:val="16"/>
                <w:lang w:val="sr-Cyrl-CS" w:eastAsia="sr-Cyrl-RS"/>
              </w:rPr>
              <w:t>В</w:t>
            </w:r>
          </w:p>
        </w:tc>
        <w:tc>
          <w:tcPr>
            <w:tcW w:w="7141" w:type="dxa"/>
            <w:gridSpan w:val="3"/>
            <w:tcBorders>
              <w:top w:val="single" w:sz="4" w:space="0" w:color="auto"/>
              <w:left w:val="nil"/>
              <w:bottom w:val="double" w:sz="6" w:space="0" w:color="auto"/>
              <w:right w:val="nil"/>
            </w:tcBorders>
            <w:shd w:val="clear" w:color="auto" w:fill="FFFFFF" w:themeFill="background1"/>
            <w:noWrap/>
            <w:tcMar>
              <w:top w:w="72" w:type="dxa"/>
              <w:left w:w="72" w:type="dxa"/>
              <w:bottom w:w="72" w:type="dxa"/>
              <w:right w:w="72" w:type="dxa"/>
            </w:tcMar>
            <w:vAlign w:val="center"/>
            <w:hideMark/>
          </w:tcPr>
          <w:p w:rsidR="0012265A" w:rsidRPr="00B67E8B" w:rsidRDefault="0012265A" w:rsidP="004C6D3A">
            <w:pPr>
              <w:jc w:val="right"/>
              <w:rPr>
                <w:b/>
                <w:bCs/>
                <w:sz w:val="16"/>
                <w:szCs w:val="16"/>
                <w:u w:val="single"/>
                <w:lang w:val="sr-Cyrl-CS" w:eastAsia="sr-Cyrl-RS"/>
              </w:rPr>
            </w:pPr>
            <w:r w:rsidRPr="00B67E8B">
              <w:rPr>
                <w:rFonts w:ascii="Calibri" w:hAnsi="Calibri" w:cs="Calibri"/>
                <w:lang w:val="sr-Cyrl-CS" w:eastAsia="sr-Cyrl-RS"/>
              </w:rPr>
              <w:t>  </w:t>
            </w:r>
            <w:r w:rsidRPr="00B67E8B">
              <w:rPr>
                <w:b/>
                <w:bCs/>
                <w:sz w:val="16"/>
                <w:szCs w:val="16"/>
                <w:u w:val="single"/>
                <w:lang w:val="sr-Cyrl-CS" w:eastAsia="sr-Cyrl-RS"/>
              </w:rPr>
              <w:t>ХИТНИ САНАЦИОНИ РАДОВИ НА ПОДРУЧЈУ БЕОГРАДА, ПАЛИЛУЛА</w:t>
            </w:r>
          </w:p>
        </w:tc>
        <w:tc>
          <w:tcPr>
            <w:tcW w:w="1468" w:type="dxa"/>
            <w:tcBorders>
              <w:top w:val="single" w:sz="4" w:space="0" w:color="auto"/>
              <w:left w:val="nil"/>
              <w:bottom w:val="double" w:sz="6" w:space="0" w:color="auto"/>
              <w:right w:val="single" w:sz="4" w:space="0" w:color="auto"/>
            </w:tcBorders>
            <w:shd w:val="clear" w:color="auto" w:fill="FFFFFF" w:themeFill="background1"/>
            <w:noWrap/>
            <w:tcMar>
              <w:top w:w="72" w:type="dxa"/>
              <w:left w:w="72" w:type="dxa"/>
              <w:bottom w:w="72" w:type="dxa"/>
              <w:right w:w="72" w:type="dxa"/>
            </w:tcMar>
            <w:vAlign w:val="center"/>
            <w:hideMark/>
          </w:tcPr>
          <w:p w:rsidR="0012265A" w:rsidRPr="00B67E8B" w:rsidRDefault="0012265A" w:rsidP="004C6D3A">
            <w:pPr>
              <w:jc w:val="right"/>
              <w:rPr>
                <w:rFonts w:ascii="Calibri" w:hAnsi="Calibri" w:cs="Calibri"/>
                <w:lang w:val="sr-Cyrl-CS" w:eastAsia="sr-Cyrl-RS"/>
              </w:rPr>
            </w:pPr>
            <w:r w:rsidRPr="00B67E8B">
              <w:rPr>
                <w:rFonts w:ascii="Calibri" w:hAnsi="Calibri" w:cs="Calibri"/>
                <w:lang w:val="sr-Cyrl-CS" w:eastAsia="sr-Cyrl-RS"/>
              </w:rPr>
              <w:t> </w:t>
            </w:r>
          </w:p>
        </w:tc>
      </w:tr>
      <w:tr w:rsidR="0012265A" w:rsidRPr="00B67E8B" w:rsidTr="004F5C0D">
        <w:trPr>
          <w:trHeight w:val="648"/>
          <w:jc w:val="center"/>
        </w:trPr>
        <w:tc>
          <w:tcPr>
            <w:tcW w:w="651" w:type="dxa"/>
            <w:tcBorders>
              <w:top w:val="nil"/>
              <w:left w:val="single" w:sz="4" w:space="0" w:color="auto"/>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sz w:val="16"/>
                <w:szCs w:val="16"/>
                <w:lang w:val="sr-Cyrl-CS" w:eastAsia="sr-Cyrl-RS"/>
              </w:rPr>
            </w:pPr>
            <w:r w:rsidRPr="00B67E8B">
              <w:rPr>
                <w:sz w:val="16"/>
                <w:szCs w:val="16"/>
                <w:lang w:val="sr-Cyrl-CS" w:eastAsia="sr-Cyrl-RS"/>
              </w:rPr>
              <w:t>16</w:t>
            </w:r>
          </w:p>
        </w:tc>
        <w:tc>
          <w:tcPr>
            <w:tcW w:w="1584" w:type="dxa"/>
            <w:tcBorders>
              <w:top w:val="nil"/>
              <w:left w:val="nil"/>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spacing w:line="254" w:lineRule="auto"/>
              <w:jc w:val="center"/>
              <w:rPr>
                <w:sz w:val="16"/>
                <w:szCs w:val="16"/>
                <w:lang w:val="sr-Cyrl-CS" w:eastAsia="sr-Cyrl-RS"/>
              </w:rPr>
            </w:pPr>
            <w:r w:rsidRPr="00B67E8B">
              <w:rPr>
                <w:sz w:val="16"/>
                <w:szCs w:val="16"/>
                <w:lang w:val="sr-Cyrl-CS" w:eastAsia="sr-Cyrl-RS"/>
              </w:rPr>
              <w:t xml:space="preserve">Београд-Панчевачки рит </w:t>
            </w:r>
          </w:p>
          <w:p w:rsidR="0012265A" w:rsidRPr="00B67E8B" w:rsidRDefault="0012265A" w:rsidP="004C6D3A">
            <w:pPr>
              <w:spacing w:line="254" w:lineRule="auto"/>
              <w:jc w:val="center"/>
              <w:rPr>
                <w:sz w:val="16"/>
                <w:szCs w:val="16"/>
                <w:lang w:val="sr-Cyrl-CS" w:eastAsia="sr-Cyrl-RS"/>
              </w:rPr>
            </w:pPr>
            <w:r w:rsidRPr="00B67E8B">
              <w:rPr>
                <w:sz w:val="16"/>
                <w:szCs w:val="16"/>
                <w:lang w:val="sr-Cyrl-CS" w:eastAsia="sr-Cyrl-RS"/>
              </w:rPr>
              <w:t xml:space="preserve">Мелиорационо подручје Београд Дунав 1 </w:t>
            </w:r>
          </w:p>
          <w:p w:rsidR="0012265A" w:rsidRPr="00B67E8B" w:rsidRDefault="0012265A" w:rsidP="004C6D3A">
            <w:pPr>
              <w:spacing w:line="254" w:lineRule="auto"/>
              <w:jc w:val="center"/>
              <w:rPr>
                <w:sz w:val="24"/>
                <w:szCs w:val="24"/>
                <w:lang w:val="sr-Cyrl-CS"/>
              </w:rPr>
            </w:pPr>
            <w:r w:rsidRPr="00B67E8B">
              <w:rPr>
                <w:sz w:val="16"/>
                <w:szCs w:val="16"/>
                <w:lang w:val="sr-Cyrl-CS" w:eastAsia="sr-Cyrl-RS"/>
              </w:rPr>
              <w:lastRenderedPageBreak/>
              <w:t>ХМС БГ Д1 1.</w:t>
            </w:r>
          </w:p>
        </w:tc>
        <w:tc>
          <w:tcPr>
            <w:tcW w:w="1220" w:type="dxa"/>
            <w:tcBorders>
              <w:top w:val="nil"/>
              <w:left w:val="nil"/>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spacing w:before="100" w:beforeAutospacing="1" w:after="100" w:afterAutospacing="1" w:line="254" w:lineRule="auto"/>
              <w:jc w:val="center"/>
              <w:rPr>
                <w:sz w:val="24"/>
                <w:szCs w:val="24"/>
                <w:lang w:val="sr-Cyrl-CS"/>
              </w:rPr>
            </w:pPr>
            <w:r w:rsidRPr="00B67E8B">
              <w:rPr>
                <w:sz w:val="16"/>
                <w:szCs w:val="16"/>
                <w:lang w:val="sr-Cyrl-CS" w:eastAsia="sr-Cyrl-RS"/>
              </w:rPr>
              <w:lastRenderedPageBreak/>
              <w:t>Београд, Палилула</w:t>
            </w:r>
          </w:p>
        </w:tc>
        <w:tc>
          <w:tcPr>
            <w:tcW w:w="4337" w:type="dxa"/>
            <w:tcBorders>
              <w:top w:val="nil"/>
              <w:left w:val="nil"/>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spacing w:before="100" w:beforeAutospacing="1" w:after="100" w:afterAutospacing="1" w:line="254" w:lineRule="auto"/>
              <w:rPr>
                <w:sz w:val="24"/>
                <w:szCs w:val="24"/>
                <w:lang w:val="sr-Cyrl-CS"/>
              </w:rPr>
            </w:pPr>
            <w:r w:rsidRPr="00B67E8B">
              <w:rPr>
                <w:sz w:val="16"/>
                <w:szCs w:val="16"/>
                <w:lang w:val="sr-Cyrl-CS" w:eastAsia="sr-Cyrl-RS"/>
              </w:rPr>
              <w:t xml:space="preserve">Хитни санациони радови на водним објектима за заштиту од унутрашњих вода и одводњавање у јавној својини на сливу ЦС </w:t>
            </w:r>
            <w:r w:rsidRPr="00B67E8B">
              <w:rPr>
                <w:rFonts w:eastAsia="Calibri"/>
                <w:sz w:val="16"/>
                <w:szCs w:val="16"/>
                <w:lang w:val="sr-Cyrl-CS"/>
              </w:rPr>
              <w:t>„</w:t>
            </w:r>
            <w:r w:rsidRPr="00B67E8B">
              <w:rPr>
                <w:sz w:val="16"/>
                <w:szCs w:val="16"/>
                <w:lang w:val="sr-Cyrl-CS" w:eastAsia="sr-Cyrl-RS"/>
              </w:rPr>
              <w:t>Рева</w:t>
            </w:r>
            <w:r w:rsidRPr="00B67E8B">
              <w:rPr>
                <w:sz w:val="16"/>
                <w:szCs w:val="16"/>
                <w:lang w:val="sr-Cyrl-CS"/>
              </w:rPr>
              <w:t>”</w:t>
            </w:r>
            <w:r w:rsidRPr="00B67E8B">
              <w:rPr>
                <w:sz w:val="16"/>
                <w:szCs w:val="16"/>
                <w:lang w:val="sr-Cyrl-CS" w:eastAsia="sr-Cyrl-RS"/>
              </w:rPr>
              <w:t xml:space="preserve"> и ЦС </w:t>
            </w:r>
            <w:r w:rsidRPr="00B67E8B">
              <w:rPr>
                <w:rFonts w:eastAsia="Calibri"/>
                <w:sz w:val="16"/>
                <w:szCs w:val="16"/>
                <w:lang w:val="sr-Cyrl-CS"/>
              </w:rPr>
              <w:t>„</w:t>
            </w:r>
            <w:r w:rsidRPr="00B67E8B">
              <w:rPr>
                <w:sz w:val="16"/>
                <w:szCs w:val="16"/>
                <w:lang w:val="sr-Cyrl-CS" w:eastAsia="sr-Cyrl-RS"/>
              </w:rPr>
              <w:t>Борча</w:t>
            </w:r>
            <w:r w:rsidRPr="00B67E8B">
              <w:rPr>
                <w:sz w:val="16"/>
                <w:szCs w:val="16"/>
                <w:lang w:val="sr-Cyrl-CS"/>
              </w:rPr>
              <w:t>”</w:t>
            </w:r>
          </w:p>
        </w:tc>
        <w:tc>
          <w:tcPr>
            <w:tcW w:w="1468" w:type="dxa"/>
            <w:tcBorders>
              <w:top w:val="nil"/>
              <w:left w:val="nil"/>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b/>
                <w:bCs/>
                <w:sz w:val="16"/>
                <w:szCs w:val="16"/>
                <w:lang w:val="sr-Cyrl-CS" w:eastAsia="sr-Cyrl-RS"/>
              </w:rPr>
            </w:pPr>
            <w:r w:rsidRPr="00B67E8B">
              <w:rPr>
                <w:b/>
                <w:bCs/>
                <w:sz w:val="16"/>
                <w:szCs w:val="16"/>
                <w:lang w:val="sr-Cyrl-CS" w:eastAsia="sr-Cyrl-RS"/>
              </w:rPr>
              <w:t>200.000.000</w:t>
            </w:r>
          </w:p>
        </w:tc>
      </w:tr>
      <w:tr w:rsidR="0012265A" w:rsidRPr="00B67E8B" w:rsidTr="004F5C0D">
        <w:trPr>
          <w:trHeight w:val="300"/>
          <w:jc w:val="center"/>
        </w:trPr>
        <w:tc>
          <w:tcPr>
            <w:tcW w:w="651" w:type="dxa"/>
            <w:tcBorders>
              <w:top w:val="nil"/>
              <w:left w:val="single" w:sz="4" w:space="0" w:color="auto"/>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sz w:val="16"/>
                <w:szCs w:val="16"/>
                <w:lang w:val="sr-Cyrl-CS" w:eastAsia="sr-Cyrl-RS"/>
              </w:rPr>
            </w:pPr>
            <w:r w:rsidRPr="00B67E8B">
              <w:rPr>
                <w:sz w:val="16"/>
                <w:szCs w:val="16"/>
                <w:lang w:val="sr-Cyrl-CS" w:eastAsia="sr-Cyrl-RS"/>
              </w:rPr>
              <w:t>17</w:t>
            </w:r>
          </w:p>
        </w:tc>
        <w:tc>
          <w:tcPr>
            <w:tcW w:w="7141" w:type="dxa"/>
            <w:gridSpan w:val="3"/>
            <w:tcBorders>
              <w:top w:val="single" w:sz="4" w:space="0" w:color="auto"/>
              <w:left w:val="nil"/>
              <w:bottom w:val="single" w:sz="8"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rPr>
                <w:b/>
                <w:bCs/>
                <w:sz w:val="16"/>
                <w:szCs w:val="16"/>
                <w:lang w:val="sr-Cyrl-CS" w:eastAsia="sr-Cyrl-RS"/>
              </w:rPr>
            </w:pPr>
            <w:r w:rsidRPr="00B67E8B">
              <w:rPr>
                <w:b/>
                <w:bCs/>
                <w:sz w:val="16"/>
                <w:szCs w:val="16"/>
                <w:lang w:val="sr-Cyrl-CS" w:eastAsia="sr-Cyrl-RS"/>
              </w:rPr>
              <w:t>Техничка документација за хитне санационе радове, управљање радовима и стручни надзор</w:t>
            </w:r>
          </w:p>
        </w:tc>
        <w:tc>
          <w:tcPr>
            <w:tcW w:w="1468" w:type="dxa"/>
            <w:tcBorders>
              <w:top w:val="nil"/>
              <w:left w:val="nil"/>
              <w:bottom w:val="single" w:sz="8"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b/>
                <w:bCs/>
                <w:sz w:val="16"/>
                <w:szCs w:val="16"/>
                <w:lang w:val="sr-Cyrl-CS" w:eastAsia="sr-Cyrl-RS"/>
              </w:rPr>
            </w:pPr>
            <w:r w:rsidRPr="00B67E8B">
              <w:rPr>
                <w:b/>
                <w:bCs/>
                <w:sz w:val="16"/>
                <w:szCs w:val="16"/>
                <w:lang w:val="sr-Cyrl-CS" w:eastAsia="sr-Cyrl-RS"/>
              </w:rPr>
              <w:t>18.000.000</w:t>
            </w:r>
          </w:p>
        </w:tc>
      </w:tr>
      <w:tr w:rsidR="0012265A" w:rsidRPr="00B67E8B" w:rsidTr="004F5C0D">
        <w:trPr>
          <w:trHeight w:val="300"/>
          <w:jc w:val="center"/>
        </w:trPr>
        <w:tc>
          <w:tcPr>
            <w:tcW w:w="651" w:type="dxa"/>
            <w:tcBorders>
              <w:top w:val="nil"/>
              <w:left w:val="single" w:sz="4" w:space="0" w:color="auto"/>
              <w:bottom w:val="single" w:sz="4" w:space="0" w:color="auto"/>
              <w:right w:val="nil"/>
            </w:tcBorders>
            <w:shd w:val="clear" w:color="auto" w:fill="FFFFFF" w:themeFill="background1"/>
            <w:noWrap/>
            <w:tcMar>
              <w:top w:w="72" w:type="dxa"/>
              <w:left w:w="72" w:type="dxa"/>
              <w:bottom w:w="72" w:type="dxa"/>
              <w:right w:w="72" w:type="dxa"/>
            </w:tcMar>
            <w:vAlign w:val="bottom"/>
            <w:hideMark/>
          </w:tcPr>
          <w:p w:rsidR="0012265A" w:rsidRPr="00B67E8B" w:rsidRDefault="0012265A" w:rsidP="004C6D3A">
            <w:pPr>
              <w:jc w:val="center"/>
              <w:rPr>
                <w:b/>
                <w:bCs/>
                <w:sz w:val="16"/>
                <w:szCs w:val="16"/>
                <w:lang w:val="sr-Cyrl-CS" w:eastAsia="sr-Cyrl-RS"/>
              </w:rPr>
            </w:pPr>
          </w:p>
        </w:tc>
        <w:tc>
          <w:tcPr>
            <w:tcW w:w="1584" w:type="dxa"/>
            <w:tcBorders>
              <w:top w:val="nil"/>
              <w:left w:val="nil"/>
              <w:bottom w:val="single" w:sz="4" w:space="0" w:color="auto"/>
              <w:right w:val="nil"/>
            </w:tcBorders>
            <w:shd w:val="clear" w:color="auto" w:fill="FFFFFF" w:themeFill="background1"/>
            <w:noWrap/>
            <w:tcMar>
              <w:top w:w="72" w:type="dxa"/>
              <w:left w:w="72" w:type="dxa"/>
              <w:bottom w:w="72" w:type="dxa"/>
              <w:right w:w="72" w:type="dxa"/>
            </w:tcMar>
            <w:vAlign w:val="bottom"/>
            <w:hideMark/>
          </w:tcPr>
          <w:p w:rsidR="0012265A" w:rsidRPr="00B67E8B" w:rsidRDefault="0012265A" w:rsidP="004C6D3A">
            <w:pPr>
              <w:rPr>
                <w:rFonts w:ascii="Calibri" w:hAnsi="Calibri" w:cs="Calibri"/>
                <w:lang w:val="sr-Cyrl-CS" w:eastAsia="sr-Cyrl-RS"/>
              </w:rPr>
            </w:pPr>
            <w:r w:rsidRPr="00B67E8B">
              <w:rPr>
                <w:rFonts w:ascii="Calibri" w:hAnsi="Calibri" w:cs="Calibri"/>
                <w:lang w:val="sr-Cyrl-CS" w:eastAsia="sr-Cyrl-RS"/>
              </w:rPr>
              <w:t> </w:t>
            </w:r>
          </w:p>
        </w:tc>
        <w:tc>
          <w:tcPr>
            <w:tcW w:w="1220" w:type="dxa"/>
            <w:tcBorders>
              <w:top w:val="nil"/>
              <w:left w:val="nil"/>
              <w:bottom w:val="single" w:sz="4" w:space="0" w:color="auto"/>
              <w:right w:val="nil"/>
            </w:tcBorders>
            <w:shd w:val="clear" w:color="auto" w:fill="FFFFFF" w:themeFill="background1"/>
            <w:noWrap/>
            <w:tcMar>
              <w:top w:w="72" w:type="dxa"/>
              <w:left w:w="72" w:type="dxa"/>
              <w:bottom w:w="72" w:type="dxa"/>
              <w:right w:w="72" w:type="dxa"/>
            </w:tcMar>
            <w:vAlign w:val="bottom"/>
            <w:hideMark/>
          </w:tcPr>
          <w:p w:rsidR="0012265A" w:rsidRPr="00B67E8B" w:rsidRDefault="0012265A" w:rsidP="004C6D3A">
            <w:pPr>
              <w:rPr>
                <w:rFonts w:ascii="Calibri" w:hAnsi="Calibri" w:cs="Calibri"/>
                <w:lang w:val="sr-Cyrl-CS" w:eastAsia="sr-Cyrl-RS"/>
              </w:rPr>
            </w:pPr>
            <w:r w:rsidRPr="00B67E8B">
              <w:rPr>
                <w:rFonts w:ascii="Calibri" w:hAnsi="Calibri" w:cs="Calibri"/>
                <w:lang w:val="sr-Cyrl-CS" w:eastAsia="sr-Cyrl-RS"/>
              </w:rPr>
              <w:t> </w:t>
            </w:r>
          </w:p>
        </w:tc>
        <w:tc>
          <w:tcPr>
            <w:tcW w:w="4337" w:type="dxa"/>
            <w:tcBorders>
              <w:top w:val="nil"/>
              <w:left w:val="nil"/>
              <w:bottom w:val="single" w:sz="4" w:space="0" w:color="auto"/>
              <w:right w:val="nil"/>
            </w:tcBorders>
            <w:shd w:val="clear" w:color="auto" w:fill="FFFFFF" w:themeFill="background1"/>
            <w:noWrap/>
            <w:tcMar>
              <w:top w:w="72" w:type="dxa"/>
              <w:left w:w="72" w:type="dxa"/>
              <w:bottom w:w="72" w:type="dxa"/>
              <w:right w:w="72" w:type="dxa"/>
            </w:tcMar>
            <w:vAlign w:val="center"/>
            <w:hideMark/>
          </w:tcPr>
          <w:p w:rsidR="0012265A" w:rsidRPr="00B67E8B" w:rsidRDefault="0012265A" w:rsidP="004C6D3A">
            <w:pPr>
              <w:jc w:val="right"/>
              <w:rPr>
                <w:b/>
                <w:bCs/>
                <w:sz w:val="16"/>
                <w:szCs w:val="16"/>
                <w:u w:val="single"/>
                <w:lang w:val="sr-Cyrl-CS" w:eastAsia="sr-Cyrl-RS"/>
              </w:rPr>
            </w:pPr>
            <w:r w:rsidRPr="00B67E8B">
              <w:rPr>
                <w:b/>
                <w:bCs/>
                <w:sz w:val="16"/>
                <w:szCs w:val="16"/>
                <w:u w:val="single"/>
                <w:lang w:val="sr-Cyrl-CS" w:eastAsia="sr-Cyrl-RS"/>
              </w:rPr>
              <w:t>СВЕГА В:</w:t>
            </w:r>
          </w:p>
        </w:tc>
        <w:tc>
          <w:tcPr>
            <w:tcW w:w="1468" w:type="dxa"/>
            <w:tcBorders>
              <w:top w:val="nil"/>
              <w:left w:val="single" w:sz="8" w:space="0" w:color="auto"/>
              <w:bottom w:val="single" w:sz="8"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b/>
                <w:bCs/>
                <w:sz w:val="16"/>
                <w:szCs w:val="16"/>
                <w:lang w:val="sr-Cyrl-CS" w:eastAsia="sr-Cyrl-RS"/>
              </w:rPr>
            </w:pPr>
            <w:r w:rsidRPr="00B67E8B">
              <w:rPr>
                <w:b/>
                <w:bCs/>
                <w:sz w:val="16"/>
                <w:szCs w:val="16"/>
                <w:lang w:val="sr-Cyrl-CS" w:eastAsia="sr-Cyrl-RS"/>
              </w:rPr>
              <w:t>218.000.000</w:t>
            </w:r>
          </w:p>
        </w:tc>
      </w:tr>
      <w:tr w:rsidR="0012265A" w:rsidRPr="00B67E8B" w:rsidTr="004F5C0D">
        <w:trPr>
          <w:trHeight w:val="300"/>
          <w:jc w:val="center"/>
        </w:trPr>
        <w:tc>
          <w:tcPr>
            <w:tcW w:w="651" w:type="dxa"/>
            <w:tcBorders>
              <w:top w:val="single" w:sz="4" w:space="0" w:color="auto"/>
              <w:left w:val="single" w:sz="4" w:space="0" w:color="auto"/>
              <w:bottom w:val="single" w:sz="4" w:space="0" w:color="auto"/>
              <w:right w:val="nil"/>
            </w:tcBorders>
            <w:shd w:val="clear" w:color="auto" w:fill="FFFFFF" w:themeFill="background1"/>
            <w:noWrap/>
            <w:tcMar>
              <w:top w:w="72" w:type="dxa"/>
              <w:left w:w="72" w:type="dxa"/>
              <w:bottom w:w="72" w:type="dxa"/>
              <w:right w:w="72" w:type="dxa"/>
            </w:tcMar>
            <w:vAlign w:val="bottom"/>
            <w:hideMark/>
          </w:tcPr>
          <w:p w:rsidR="0012265A" w:rsidRPr="00B67E8B" w:rsidRDefault="0012265A" w:rsidP="004C6D3A">
            <w:pPr>
              <w:jc w:val="center"/>
              <w:rPr>
                <w:b/>
                <w:bCs/>
                <w:sz w:val="16"/>
                <w:szCs w:val="16"/>
                <w:lang w:val="sr-Cyrl-CS" w:eastAsia="sr-Cyrl-RS"/>
              </w:rPr>
            </w:pPr>
          </w:p>
        </w:tc>
        <w:tc>
          <w:tcPr>
            <w:tcW w:w="1584" w:type="dxa"/>
            <w:tcBorders>
              <w:top w:val="nil"/>
              <w:left w:val="nil"/>
              <w:bottom w:val="single" w:sz="4" w:space="0" w:color="auto"/>
              <w:right w:val="nil"/>
            </w:tcBorders>
            <w:shd w:val="clear" w:color="auto" w:fill="FFFFFF" w:themeFill="background1"/>
            <w:noWrap/>
            <w:tcMar>
              <w:top w:w="72" w:type="dxa"/>
              <w:left w:w="72" w:type="dxa"/>
              <w:bottom w:w="72" w:type="dxa"/>
              <w:right w:w="72" w:type="dxa"/>
            </w:tcMar>
            <w:vAlign w:val="bottom"/>
            <w:hideMark/>
          </w:tcPr>
          <w:p w:rsidR="0012265A" w:rsidRPr="00B67E8B" w:rsidRDefault="0012265A" w:rsidP="004C6D3A">
            <w:pPr>
              <w:rPr>
                <w:lang w:val="sr-Cyrl-CS" w:eastAsia="sr-Cyrl-RS"/>
              </w:rPr>
            </w:pPr>
          </w:p>
        </w:tc>
        <w:tc>
          <w:tcPr>
            <w:tcW w:w="1220" w:type="dxa"/>
            <w:tcBorders>
              <w:top w:val="nil"/>
              <w:left w:val="nil"/>
              <w:bottom w:val="single" w:sz="4" w:space="0" w:color="auto"/>
              <w:right w:val="nil"/>
            </w:tcBorders>
            <w:shd w:val="clear" w:color="auto" w:fill="FFFFFF" w:themeFill="background1"/>
            <w:noWrap/>
            <w:tcMar>
              <w:top w:w="72" w:type="dxa"/>
              <w:left w:w="72" w:type="dxa"/>
              <w:bottom w:w="72" w:type="dxa"/>
              <w:right w:w="72" w:type="dxa"/>
            </w:tcMar>
            <w:vAlign w:val="bottom"/>
            <w:hideMark/>
          </w:tcPr>
          <w:p w:rsidR="0012265A" w:rsidRPr="00B67E8B" w:rsidRDefault="0012265A" w:rsidP="004C6D3A">
            <w:pPr>
              <w:rPr>
                <w:lang w:val="sr-Cyrl-CS" w:eastAsia="sr-Cyrl-RS"/>
              </w:rPr>
            </w:pPr>
          </w:p>
        </w:tc>
        <w:tc>
          <w:tcPr>
            <w:tcW w:w="4337" w:type="dxa"/>
            <w:tcBorders>
              <w:top w:val="nil"/>
              <w:left w:val="nil"/>
              <w:bottom w:val="single" w:sz="4" w:space="0" w:color="auto"/>
              <w:right w:val="nil"/>
            </w:tcBorders>
            <w:shd w:val="clear" w:color="auto" w:fill="FFFFFF" w:themeFill="background1"/>
            <w:noWrap/>
            <w:tcMar>
              <w:top w:w="72" w:type="dxa"/>
              <w:left w:w="72" w:type="dxa"/>
              <w:bottom w:w="72" w:type="dxa"/>
              <w:right w:w="72" w:type="dxa"/>
            </w:tcMar>
            <w:vAlign w:val="bottom"/>
            <w:hideMark/>
          </w:tcPr>
          <w:p w:rsidR="0012265A" w:rsidRPr="00B67E8B" w:rsidRDefault="0012265A" w:rsidP="004C6D3A">
            <w:pPr>
              <w:rPr>
                <w:lang w:val="sr-Cyrl-CS" w:eastAsia="sr-Cyrl-RS"/>
              </w:rPr>
            </w:pPr>
          </w:p>
        </w:tc>
        <w:tc>
          <w:tcPr>
            <w:tcW w:w="1468" w:type="dxa"/>
            <w:tcBorders>
              <w:top w:val="nil"/>
              <w:left w:val="nil"/>
              <w:bottom w:val="nil"/>
              <w:right w:val="single" w:sz="4" w:space="0" w:color="auto"/>
            </w:tcBorders>
            <w:shd w:val="clear" w:color="auto" w:fill="FFFFFF" w:themeFill="background1"/>
            <w:noWrap/>
            <w:tcMar>
              <w:top w:w="72" w:type="dxa"/>
              <w:left w:w="72" w:type="dxa"/>
              <w:bottom w:w="72" w:type="dxa"/>
              <w:right w:w="72" w:type="dxa"/>
            </w:tcMar>
            <w:vAlign w:val="bottom"/>
            <w:hideMark/>
          </w:tcPr>
          <w:p w:rsidR="0012265A" w:rsidRPr="00B67E8B" w:rsidRDefault="0012265A" w:rsidP="004C6D3A">
            <w:pPr>
              <w:jc w:val="right"/>
              <w:rPr>
                <w:lang w:val="sr-Cyrl-CS" w:eastAsia="sr-Cyrl-RS"/>
              </w:rPr>
            </w:pPr>
          </w:p>
        </w:tc>
      </w:tr>
      <w:tr w:rsidR="0012265A" w:rsidRPr="00B67E8B" w:rsidTr="004F5C0D">
        <w:trPr>
          <w:trHeight w:val="564"/>
          <w:jc w:val="center"/>
        </w:trPr>
        <w:tc>
          <w:tcPr>
            <w:tcW w:w="651" w:type="dxa"/>
            <w:tcBorders>
              <w:top w:val="single" w:sz="4" w:space="0" w:color="auto"/>
              <w:left w:val="single" w:sz="4" w:space="0" w:color="auto"/>
              <w:bottom w:val="single" w:sz="4" w:space="0" w:color="auto"/>
              <w:right w:val="nil"/>
            </w:tcBorders>
            <w:shd w:val="clear" w:color="auto" w:fill="FFFFFF" w:themeFill="background1"/>
            <w:noWrap/>
            <w:tcMar>
              <w:top w:w="72" w:type="dxa"/>
              <w:left w:w="72" w:type="dxa"/>
              <w:bottom w:w="72" w:type="dxa"/>
              <w:right w:w="72" w:type="dxa"/>
            </w:tcMar>
            <w:vAlign w:val="bottom"/>
            <w:hideMark/>
          </w:tcPr>
          <w:p w:rsidR="0012265A" w:rsidRPr="00B67E8B" w:rsidRDefault="0012265A" w:rsidP="004C6D3A">
            <w:pPr>
              <w:rPr>
                <w:lang w:val="sr-Cyrl-CS" w:eastAsia="sr-Cyrl-RS"/>
              </w:rPr>
            </w:pPr>
          </w:p>
        </w:tc>
        <w:tc>
          <w:tcPr>
            <w:tcW w:w="1584" w:type="dxa"/>
            <w:tcBorders>
              <w:top w:val="single" w:sz="4" w:space="0" w:color="auto"/>
              <w:left w:val="nil"/>
              <w:bottom w:val="single" w:sz="4" w:space="0" w:color="auto"/>
              <w:right w:val="nil"/>
            </w:tcBorders>
            <w:shd w:val="clear" w:color="auto" w:fill="FFFFFF" w:themeFill="background1"/>
            <w:noWrap/>
            <w:tcMar>
              <w:top w:w="72" w:type="dxa"/>
              <w:left w:w="72" w:type="dxa"/>
              <w:bottom w:w="72" w:type="dxa"/>
              <w:right w:w="72" w:type="dxa"/>
            </w:tcMar>
            <w:vAlign w:val="bottom"/>
            <w:hideMark/>
          </w:tcPr>
          <w:p w:rsidR="0012265A" w:rsidRPr="00B67E8B" w:rsidRDefault="0012265A" w:rsidP="004C6D3A">
            <w:pPr>
              <w:rPr>
                <w:lang w:val="sr-Cyrl-CS" w:eastAsia="sr-Cyrl-RS"/>
              </w:rPr>
            </w:pPr>
          </w:p>
        </w:tc>
        <w:tc>
          <w:tcPr>
            <w:tcW w:w="5557" w:type="dxa"/>
            <w:gridSpan w:val="2"/>
            <w:tcBorders>
              <w:top w:val="single" w:sz="4" w:space="0" w:color="auto"/>
              <w:left w:val="nil"/>
              <w:bottom w:val="single" w:sz="4" w:space="0" w:color="auto"/>
              <w:right w:val="single" w:sz="8" w:space="0" w:color="auto"/>
            </w:tcBorders>
            <w:shd w:val="clear" w:color="auto" w:fill="FFFFFF" w:themeFill="background1"/>
            <w:noWrap/>
            <w:tcMar>
              <w:top w:w="72" w:type="dxa"/>
              <w:left w:w="72" w:type="dxa"/>
              <w:bottom w:w="72" w:type="dxa"/>
              <w:right w:w="72" w:type="dxa"/>
            </w:tcMar>
            <w:vAlign w:val="center"/>
            <w:hideMark/>
          </w:tcPr>
          <w:p w:rsidR="0012265A" w:rsidRPr="00B67E8B" w:rsidRDefault="0012265A" w:rsidP="004C6D3A">
            <w:pPr>
              <w:jc w:val="right"/>
              <w:rPr>
                <w:b/>
                <w:bCs/>
                <w:sz w:val="16"/>
                <w:szCs w:val="16"/>
                <w:u w:val="single"/>
                <w:lang w:val="sr-Cyrl-CS" w:eastAsia="sr-Cyrl-RS"/>
              </w:rPr>
            </w:pPr>
            <w:r w:rsidRPr="00B67E8B">
              <w:rPr>
                <w:b/>
                <w:bCs/>
                <w:sz w:val="16"/>
                <w:szCs w:val="16"/>
                <w:u w:val="single"/>
                <w:lang w:val="sr-Cyrl-CS" w:eastAsia="sr-Cyrl-RS"/>
              </w:rPr>
              <w:t>УКУПНО А+Б+В</w:t>
            </w:r>
          </w:p>
        </w:tc>
        <w:tc>
          <w:tcPr>
            <w:tcW w:w="1468" w:type="dxa"/>
            <w:tcBorders>
              <w:top w:val="single" w:sz="8" w:space="0" w:color="auto"/>
              <w:left w:val="nil"/>
              <w:bottom w:val="single" w:sz="4" w:space="0" w:color="auto"/>
              <w:right w:val="single" w:sz="4" w:space="0" w:color="auto"/>
            </w:tcBorders>
            <w:shd w:val="clear" w:color="auto" w:fill="FFFFFF" w:themeFill="background1"/>
            <w:tcMar>
              <w:top w:w="72" w:type="dxa"/>
              <w:left w:w="72" w:type="dxa"/>
              <w:bottom w:w="72" w:type="dxa"/>
              <w:right w:w="72" w:type="dxa"/>
            </w:tcMar>
            <w:vAlign w:val="center"/>
            <w:hideMark/>
          </w:tcPr>
          <w:p w:rsidR="0012265A" w:rsidRPr="00B67E8B" w:rsidRDefault="0012265A" w:rsidP="004C6D3A">
            <w:pPr>
              <w:jc w:val="center"/>
              <w:rPr>
                <w:b/>
                <w:bCs/>
                <w:sz w:val="16"/>
                <w:szCs w:val="16"/>
                <w:lang w:val="sr-Cyrl-CS" w:eastAsia="sr-Cyrl-RS"/>
              </w:rPr>
            </w:pPr>
            <w:r w:rsidRPr="00B67E8B">
              <w:rPr>
                <w:b/>
                <w:bCs/>
                <w:sz w:val="16"/>
                <w:szCs w:val="16"/>
                <w:lang w:val="sr-Cyrl-CS" w:eastAsia="sr-Cyrl-RS"/>
              </w:rPr>
              <w:t>756.735.000</w:t>
            </w:r>
          </w:p>
        </w:tc>
      </w:tr>
    </w:tbl>
    <w:p w:rsidR="0012265A" w:rsidRPr="00B67E8B" w:rsidRDefault="0012265A" w:rsidP="0012265A">
      <w:pPr>
        <w:rPr>
          <w:lang w:val="sr-Cyrl-CS"/>
        </w:rPr>
      </w:pPr>
    </w:p>
    <w:p w:rsidR="00136480" w:rsidRPr="00B67E8B" w:rsidRDefault="00136480">
      <w:pPr>
        <w:rPr>
          <w:lang w:val="sr-Cyrl-CS"/>
        </w:rPr>
      </w:pPr>
    </w:p>
    <w:sectPr w:rsidR="00136480" w:rsidRPr="00B67E8B" w:rsidSect="00333A39">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01B0" w:rsidRDefault="00EC01B0">
      <w:r>
        <w:separator/>
      </w:r>
    </w:p>
  </w:endnote>
  <w:endnote w:type="continuationSeparator" w:id="0">
    <w:p w:rsidR="00EC01B0" w:rsidRDefault="00EC01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FE1" w:rsidRDefault="00EC01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FE1" w:rsidRDefault="00EC01B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FE1" w:rsidRDefault="00EC01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01B0" w:rsidRDefault="00EC01B0">
      <w:r>
        <w:separator/>
      </w:r>
    </w:p>
  </w:footnote>
  <w:footnote w:type="continuationSeparator" w:id="0">
    <w:p w:rsidR="00EC01B0" w:rsidRDefault="00EC01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FE1" w:rsidRDefault="0012265A" w:rsidP="00DB6A5B">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1F3FE1" w:rsidRDefault="00EC0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FE1" w:rsidRDefault="0012265A" w:rsidP="00DB6A5B">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423030">
      <w:rPr>
        <w:rStyle w:val="PageNumber"/>
        <w:noProof/>
      </w:rPr>
      <w:t>8</w:t>
    </w:r>
    <w:r>
      <w:rPr>
        <w:rStyle w:val="PageNumber"/>
      </w:rPr>
      <w:fldChar w:fldCharType="end"/>
    </w:r>
  </w:p>
  <w:p w:rsidR="001F3FE1" w:rsidRDefault="00EC0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FE1" w:rsidRDefault="00EC0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40387E"/>
    <w:multiLevelType w:val="hybridMultilevel"/>
    <w:tmpl w:val="7C286FD6"/>
    <w:lvl w:ilvl="0" w:tplc="443E604A">
      <w:start w:val="1"/>
      <w:numFmt w:val="decimal"/>
      <w:lvlText w:val="%1."/>
      <w:lvlJc w:val="left"/>
      <w:pPr>
        <w:ind w:left="360" w:hanging="360"/>
      </w:pPr>
      <w:rPr>
        <w:rFonts w:ascii="Times New Roman" w:hAnsi="Times New Roman"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528337D6"/>
    <w:multiLevelType w:val="hybridMultilevel"/>
    <w:tmpl w:val="846A7546"/>
    <w:lvl w:ilvl="0" w:tplc="BB24CA04">
      <w:start w:val="1"/>
      <w:numFmt w:val="bullet"/>
      <w:pStyle w:val="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6C3"/>
    <w:rsid w:val="00085145"/>
    <w:rsid w:val="000901A1"/>
    <w:rsid w:val="00094AB4"/>
    <w:rsid w:val="000F2017"/>
    <w:rsid w:val="0010188D"/>
    <w:rsid w:val="0010778F"/>
    <w:rsid w:val="0012265A"/>
    <w:rsid w:val="00136480"/>
    <w:rsid w:val="00147603"/>
    <w:rsid w:val="00175037"/>
    <w:rsid w:val="001C4DCF"/>
    <w:rsid w:val="001C7152"/>
    <w:rsid w:val="001E2E9E"/>
    <w:rsid w:val="001E4AA9"/>
    <w:rsid w:val="00220518"/>
    <w:rsid w:val="0026595D"/>
    <w:rsid w:val="002E2969"/>
    <w:rsid w:val="002F6838"/>
    <w:rsid w:val="002F7060"/>
    <w:rsid w:val="00325E6F"/>
    <w:rsid w:val="00381669"/>
    <w:rsid w:val="00381D5A"/>
    <w:rsid w:val="00383EFD"/>
    <w:rsid w:val="003C7697"/>
    <w:rsid w:val="003F0D17"/>
    <w:rsid w:val="00423030"/>
    <w:rsid w:val="004251E8"/>
    <w:rsid w:val="00430C16"/>
    <w:rsid w:val="00493F25"/>
    <w:rsid w:val="004B3345"/>
    <w:rsid w:val="004F05E6"/>
    <w:rsid w:val="004F5C0D"/>
    <w:rsid w:val="005436C3"/>
    <w:rsid w:val="00562BD5"/>
    <w:rsid w:val="005A29E9"/>
    <w:rsid w:val="006565DF"/>
    <w:rsid w:val="00685211"/>
    <w:rsid w:val="006A0DC8"/>
    <w:rsid w:val="006B3BF7"/>
    <w:rsid w:val="006C48FA"/>
    <w:rsid w:val="00742AFB"/>
    <w:rsid w:val="007432F2"/>
    <w:rsid w:val="00797976"/>
    <w:rsid w:val="007E70EA"/>
    <w:rsid w:val="008045EA"/>
    <w:rsid w:val="008323F1"/>
    <w:rsid w:val="00893197"/>
    <w:rsid w:val="008971A9"/>
    <w:rsid w:val="00915C45"/>
    <w:rsid w:val="009E01A4"/>
    <w:rsid w:val="00A06A95"/>
    <w:rsid w:val="00A527FE"/>
    <w:rsid w:val="00A82B08"/>
    <w:rsid w:val="00B05DF7"/>
    <w:rsid w:val="00B67E8B"/>
    <w:rsid w:val="00BA3444"/>
    <w:rsid w:val="00BB1FD4"/>
    <w:rsid w:val="00BB3E25"/>
    <w:rsid w:val="00CE3D3A"/>
    <w:rsid w:val="00D24036"/>
    <w:rsid w:val="00D3381C"/>
    <w:rsid w:val="00D6160F"/>
    <w:rsid w:val="00D8036C"/>
    <w:rsid w:val="00D925D9"/>
    <w:rsid w:val="00DA318A"/>
    <w:rsid w:val="00DA69FD"/>
    <w:rsid w:val="00E61A6F"/>
    <w:rsid w:val="00EC01B0"/>
    <w:rsid w:val="00F05000"/>
    <w:rsid w:val="00F66F60"/>
    <w:rsid w:val="00F67401"/>
    <w:rsid w:val="00F850E6"/>
    <w:rsid w:val="00FB3C99"/>
    <w:rsid w:val="00FC0AF1"/>
    <w:rsid w:val="00FF21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888A7B6-2EEC-4FDB-80C6-A166ADE2A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265A"/>
    <w:pPr>
      <w:widowControl w:val="0"/>
      <w:autoSpaceDE w:val="0"/>
      <w:autoSpaceDN w:val="0"/>
      <w:adjustRightInd w:val="0"/>
    </w:pPr>
    <w:rPr>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rsid w:val="0012265A"/>
    <w:pPr>
      <w:tabs>
        <w:tab w:val="center" w:pos="4535"/>
        <w:tab w:val="right" w:pos="9071"/>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12265A"/>
    <w:rPr>
      <w:lang w:val="sr-Latn-CS" w:eastAsia="sr-Latn-CS"/>
    </w:rPr>
  </w:style>
  <w:style w:type="paragraph" w:customStyle="1" w:styleId="1tekst">
    <w:name w:val="1tekst"/>
    <w:basedOn w:val="Normal"/>
    <w:rsid w:val="0012265A"/>
    <w:pPr>
      <w:spacing w:before="100" w:after="100"/>
      <w:ind w:firstLine="240"/>
    </w:pPr>
  </w:style>
  <w:style w:type="paragraph" w:styleId="NoSpacing">
    <w:name w:val="No Spacing"/>
    <w:uiPriority w:val="99"/>
    <w:qFormat/>
    <w:rsid w:val="0012265A"/>
    <w:rPr>
      <w:rFonts w:ascii="Calibri" w:hAnsi="Calibri"/>
      <w:sz w:val="22"/>
      <w:szCs w:val="22"/>
    </w:rPr>
  </w:style>
  <w:style w:type="paragraph" w:styleId="ListParagraph">
    <w:name w:val="List Paragraph"/>
    <w:basedOn w:val="Normal"/>
    <w:uiPriority w:val="34"/>
    <w:qFormat/>
    <w:rsid w:val="0012265A"/>
    <w:pPr>
      <w:widowControl/>
      <w:autoSpaceDE/>
      <w:autoSpaceDN/>
      <w:adjustRightInd/>
      <w:spacing w:after="200" w:line="276" w:lineRule="auto"/>
      <w:ind w:left="720"/>
      <w:contextualSpacing/>
    </w:pPr>
    <w:rPr>
      <w:rFonts w:ascii="Calibri" w:hAnsi="Calibri"/>
      <w:sz w:val="22"/>
      <w:szCs w:val="22"/>
      <w:lang w:val="en-US" w:eastAsia="en-US"/>
    </w:rPr>
  </w:style>
  <w:style w:type="paragraph" w:customStyle="1" w:styleId="a">
    <w:name w:val="набрајање"/>
    <w:basedOn w:val="Normal"/>
    <w:link w:val="Char"/>
    <w:qFormat/>
    <w:rsid w:val="0012265A"/>
    <w:pPr>
      <w:widowControl/>
      <w:numPr>
        <w:numId w:val="2"/>
      </w:numPr>
      <w:suppressAutoHyphens/>
      <w:autoSpaceDE/>
      <w:autoSpaceDN/>
      <w:adjustRightInd/>
      <w:spacing w:before="60"/>
      <w:jc w:val="both"/>
    </w:pPr>
    <w:rPr>
      <w:rFonts w:ascii="Verdana" w:eastAsia="Calibri" w:hAnsi="Verdana"/>
      <w:lang w:val="en-US"/>
    </w:rPr>
  </w:style>
  <w:style w:type="character" w:customStyle="1" w:styleId="Char">
    <w:name w:val="набрајање Char"/>
    <w:link w:val="a"/>
    <w:locked/>
    <w:rsid w:val="0012265A"/>
    <w:rPr>
      <w:rFonts w:ascii="Verdana" w:eastAsia="Calibri" w:hAnsi="Verdana"/>
      <w:lang w:eastAsia="sr-Latn-CS"/>
    </w:rPr>
  </w:style>
  <w:style w:type="paragraph" w:styleId="NormalWeb">
    <w:name w:val="Normal (Web)"/>
    <w:basedOn w:val="Normal"/>
    <w:uiPriority w:val="99"/>
    <w:unhideWhenUsed/>
    <w:rsid w:val="0012265A"/>
    <w:pPr>
      <w:widowControl/>
      <w:autoSpaceDE/>
      <w:autoSpaceDN/>
      <w:adjustRightInd/>
      <w:spacing w:before="100" w:beforeAutospacing="1" w:after="100" w:afterAutospacing="1"/>
    </w:pPr>
    <w:rPr>
      <w:sz w:val="24"/>
      <w:szCs w:val="24"/>
      <w:lang w:val="en-US" w:eastAsia="en-US"/>
    </w:rPr>
  </w:style>
  <w:style w:type="paragraph" w:styleId="Header">
    <w:name w:val="header"/>
    <w:basedOn w:val="Normal"/>
    <w:link w:val="HeaderChar"/>
    <w:rsid w:val="0012265A"/>
    <w:pPr>
      <w:tabs>
        <w:tab w:val="center" w:pos="4680"/>
        <w:tab w:val="right" w:pos="9360"/>
      </w:tabs>
    </w:pPr>
  </w:style>
  <w:style w:type="character" w:customStyle="1" w:styleId="HeaderChar">
    <w:name w:val="Header Char"/>
    <w:basedOn w:val="DefaultParagraphFont"/>
    <w:link w:val="Header"/>
    <w:rsid w:val="0012265A"/>
    <w:rPr>
      <w:lang w:val="sr-Latn-CS" w:eastAsia="sr-Latn-CS"/>
    </w:rPr>
  </w:style>
  <w:style w:type="character" w:styleId="PageNumber">
    <w:name w:val="page number"/>
    <w:basedOn w:val="DefaultParagraphFont"/>
    <w:rsid w:val="0012265A"/>
  </w:style>
  <w:style w:type="paragraph" w:styleId="BalloonText">
    <w:name w:val="Balloon Text"/>
    <w:basedOn w:val="Normal"/>
    <w:link w:val="BalloonTextChar"/>
    <w:rsid w:val="00493F25"/>
    <w:rPr>
      <w:rFonts w:ascii="Tahoma" w:hAnsi="Tahoma" w:cs="Tahoma"/>
      <w:sz w:val="16"/>
      <w:szCs w:val="16"/>
    </w:rPr>
  </w:style>
  <w:style w:type="character" w:customStyle="1" w:styleId="BalloonTextChar">
    <w:name w:val="Balloon Text Char"/>
    <w:basedOn w:val="DefaultParagraphFont"/>
    <w:link w:val="BalloonText"/>
    <w:rsid w:val="00493F25"/>
    <w:rPr>
      <w:rFonts w:ascii="Tahoma" w:hAnsi="Tahoma" w:cs="Tahoma"/>
      <w:sz w:val="16"/>
      <w:szCs w:val="16"/>
      <w:lang w:val="sr-Latn-CS" w:eastAsia="sr-Latn-CS"/>
    </w:rPr>
  </w:style>
  <w:style w:type="paragraph" w:customStyle="1" w:styleId="Default">
    <w:name w:val="Default"/>
    <w:rsid w:val="00E61A6F"/>
    <w:pPr>
      <w:autoSpaceDE w:val="0"/>
      <w:autoSpaceDN w:val="0"/>
      <w:adjustRightInd w:val="0"/>
    </w:pPr>
    <w:rPr>
      <w:rFonts w:eastAsiaTheme="minorHAns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2926</Words>
  <Characters>16679</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Bojan Grgic</cp:lastModifiedBy>
  <cp:revision>2</cp:revision>
  <dcterms:created xsi:type="dcterms:W3CDTF">2019-07-11T15:46:00Z</dcterms:created>
  <dcterms:modified xsi:type="dcterms:W3CDTF">2019-07-11T15:46:00Z</dcterms:modified>
</cp:coreProperties>
</file>