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55" w:rsidRPr="00DA0213" w:rsidRDefault="00DA0213" w:rsidP="00DA021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ПРЕГЛЕД ОДРЕДАБА </w:t>
      </w:r>
      <w:r w:rsidR="00FD10FC">
        <w:rPr>
          <w:rFonts w:ascii="Times New Roman" w:hAnsi="Times New Roman" w:cs="Times New Roman"/>
          <w:sz w:val="24"/>
          <w:szCs w:val="24"/>
          <w:lang w:val="sr-Cyrl-RS"/>
        </w:rPr>
        <w:t xml:space="preserve">ЗАКОНИКА О КРИВИЧНОМ ПОСТУПКУ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КОЈЕ СЕ МЕЊАЈУ</w:t>
      </w:r>
      <w:r w:rsidR="0038410C">
        <w:rPr>
          <w:rFonts w:ascii="Times New Roman" w:hAnsi="Times New Roman" w:cs="Times New Roman"/>
          <w:sz w:val="24"/>
          <w:szCs w:val="24"/>
          <w:lang w:val="sr-Cyrl-RS"/>
        </w:rPr>
        <w:t>, ОДНОСНО ДОПУЊУЈУ</w:t>
      </w:r>
    </w:p>
    <w:p w:rsidR="00DA0213" w:rsidRDefault="00DA0213" w:rsidP="00DA02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F4A27" w:rsidRDefault="007F4A27" w:rsidP="00DA02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F4A27" w:rsidRPr="007F4A27" w:rsidRDefault="007F4A27" w:rsidP="007F4A2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>Члан 21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У првом степену суд суди у већу: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једног судије и двоје судија-поротника за кривична дела за која је прописана казна затвора преко осам година, а до двадесет година;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двоје судија и троје судија-поротника за кривична дела за која је прописана казна затвора од тридесет до четрдесет 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ИЛИ КАЗНА ДОЖИВОТНОГ ЗАТВОРА</w:t>
      </w:r>
      <w:r w:rsidRPr="007F4A2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троје судија за кривична дела за која је посебним законом одређено да поступа јавно тужилаштво посебне надлежности.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У другом степену суд суди у већу: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троје судија, ако овим закоником није другачије одређено;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петоро судија за кривична дела за која је прописана казна затвора од тридесет до четрдесет година</w:t>
      </w:r>
      <w:r w:rsidR="000024D9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КАЗНА ДОЖИВОТНОГ ЗАТВОРА</w:t>
      </w:r>
      <w:r w:rsidRPr="007F4A27">
        <w:rPr>
          <w:rFonts w:ascii="Times New Roman" w:hAnsi="Times New Roman" w:cs="Times New Roman"/>
          <w:sz w:val="24"/>
          <w:szCs w:val="24"/>
        </w:rPr>
        <w:t xml:space="preserve"> и за кривична дела која је посебним законом одређено да поступа јавно тужилаштво посебне надлежности.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У трећем степену суд суди у већу: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троје судија, ако овим закоником није другачије одређено;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петоро судија за кривична дела за која је прописана казна затвора од тридесет до четрдесет година</w:t>
      </w:r>
      <w:r w:rsidR="000024D9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КАЗНА ДОЖИВОТНОГ ЗАТВОРА</w:t>
      </w:r>
      <w:r w:rsidRPr="007F4A27">
        <w:rPr>
          <w:rFonts w:ascii="Times New Roman" w:hAnsi="Times New Roman" w:cs="Times New Roman"/>
          <w:sz w:val="24"/>
          <w:szCs w:val="24"/>
        </w:rPr>
        <w:t xml:space="preserve"> и за кривична дела која је посебним законом одређено да поступа јавно тужилаштво посебне надлежности.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У већу од троје судија суд одлучује о жалбама против решења судије за претходни поступак и других решења у складу са овим закоником, доноси одлуке ван главног претреса и ставља предлоге у случајевима предвиђеним у овом законику или у другом закону.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Врховни касациони суд одлучује о захтеву за заштиту законитости у већу од петоро судија.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Ако овим закоником није другачије одређено, суд вишег степена одлучује у већу од троје судија и у случајевима који нису предвиђени у ст. 1.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5.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члана. </w:t>
      </w:r>
    </w:p>
    <w:p w:rsidR="007F4A27" w:rsidRDefault="007F4A27" w:rsidP="00DA02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A0213" w:rsidRPr="00DA0213" w:rsidRDefault="00DA0213" w:rsidP="00DA021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143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постоје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осумњичени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кривично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прописана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затвора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четири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тежа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кривично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приказивање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прибављање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поседовање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порнографског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искоришћавање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малолетног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порнографију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185.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 w:rsidR="0038410C">
        <w:rPr>
          <w:rFonts w:ascii="Times New Roman" w:hAnsi="Times New Roman" w:cs="Times New Roman"/>
          <w:sz w:val="24"/>
          <w:szCs w:val="24"/>
          <w:lang w:val="sr-Cyrl-RS"/>
        </w:rPr>
        <w:t xml:space="preserve">ПРИМАЊЕ МИТА У ОБАВЉАЊУ ПРИВРЕДНЕ ДЕЛАТНОСТИ (ЧЛАН 230. СТАВ 2. КРИВИЧНОГ ЗАКОНИКА), ДАВАЊЕ МИТА У ОБАВЉАЊУ ПРИВРЕДНЕ ДЕЛАТНОСТИ (ЧЛАН 231. КРИВИЧНОГ ЗАКОНИКА), </w:t>
      </w:r>
      <w:r>
        <w:rPr>
          <w:rFonts w:ascii="Times New Roman" w:hAnsi="Times New Roman" w:cs="Times New Roman"/>
          <w:sz w:val="24"/>
          <w:szCs w:val="24"/>
        </w:rPr>
        <w:t>прање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новца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Pr="00435C59">
        <w:rPr>
          <w:rFonts w:ascii="Times New Roman" w:hAnsi="Times New Roman" w:cs="Times New Roman"/>
          <w:strike/>
          <w:sz w:val="24"/>
          <w:szCs w:val="24"/>
        </w:rPr>
        <w:t>231</w:t>
      </w:r>
      <w:r w:rsidR="00C35F02">
        <w:rPr>
          <w:rFonts w:ascii="Times New Roman" w:hAnsi="Times New Roman" w:cs="Times New Roman"/>
          <w:strike/>
          <w:sz w:val="24"/>
          <w:szCs w:val="24"/>
          <w:lang w:val="sr-Cyrl-RS"/>
        </w:rPr>
        <w:t>.</w:t>
      </w:r>
      <w:r w:rsidR="00435C59">
        <w:rPr>
          <w:rFonts w:ascii="Times New Roman" w:hAnsi="Times New Roman" w:cs="Times New Roman"/>
          <w:sz w:val="24"/>
          <w:szCs w:val="24"/>
          <w:lang w:val="sr-Cyrl-RS"/>
        </w:rPr>
        <w:t xml:space="preserve"> 245</w:t>
      </w:r>
      <w:r w:rsidRPr="00DA021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5.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трговина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утицајем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366.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примање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мита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367.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мита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368.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поседује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рачуне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трансакције</w:t>
      </w:r>
      <w:r w:rsidRPr="00DA02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одредити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изврши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рачуна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сумњивих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трансакција</w:t>
      </w:r>
      <w:r w:rsidRPr="00DA0213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Pr="00DA021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0213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прибављање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података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0213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надзор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сумњивим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трансакцијама</w:t>
      </w:r>
      <w:r w:rsidRPr="00DA021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0213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привремено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обустављање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сумњиве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трансакције</w:t>
      </w:r>
      <w:r w:rsidRPr="00DA0213">
        <w:rPr>
          <w:rFonts w:ascii="Times New Roman" w:hAnsi="Times New Roman" w:cs="Times New Roman"/>
          <w:sz w:val="24"/>
          <w:szCs w:val="24"/>
        </w:rPr>
        <w:t>.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A0213" w:rsidRPr="00DA0213" w:rsidRDefault="00DA0213" w:rsidP="00DA021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162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161.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доказне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одредити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следећа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кривична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</w:t>
      </w:r>
      <w:r w:rsidRPr="00DA021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0213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тужилаштво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надлежности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0213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тешко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убиство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114.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отмица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134.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приказивање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прибављање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поседовање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порнографског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искоришћавање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малолетног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порнографију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185. </w:t>
      </w:r>
      <w:r>
        <w:rPr>
          <w:rFonts w:ascii="Times New Roman" w:hAnsi="Times New Roman" w:cs="Times New Roman"/>
          <w:sz w:val="24"/>
          <w:szCs w:val="24"/>
        </w:rPr>
        <w:t>ст</w:t>
      </w:r>
      <w:r w:rsidRPr="00DA0213">
        <w:rPr>
          <w:rFonts w:ascii="Times New Roman" w:hAnsi="Times New Roman" w:cs="Times New Roman"/>
          <w:sz w:val="24"/>
          <w:szCs w:val="24"/>
        </w:rPr>
        <w:t xml:space="preserve">. 2.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разбојништво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206. </w:t>
      </w:r>
      <w:r>
        <w:rPr>
          <w:rFonts w:ascii="Times New Roman" w:hAnsi="Times New Roman" w:cs="Times New Roman"/>
          <w:sz w:val="24"/>
          <w:szCs w:val="24"/>
        </w:rPr>
        <w:t>ст</w:t>
      </w:r>
      <w:r w:rsidRPr="00DA0213">
        <w:rPr>
          <w:rFonts w:ascii="Times New Roman" w:hAnsi="Times New Roman" w:cs="Times New Roman"/>
          <w:sz w:val="24"/>
          <w:szCs w:val="24"/>
        </w:rPr>
        <w:t xml:space="preserve">. 2.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изнуда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214.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 w:rsidRPr="0038410C">
        <w:rPr>
          <w:rFonts w:ascii="Times New Roman" w:hAnsi="Times New Roman" w:cs="Times New Roman"/>
          <w:strike/>
          <w:sz w:val="24"/>
          <w:szCs w:val="24"/>
        </w:rPr>
        <w:t xml:space="preserve">фалсификовање новца (члан 223. ст. 1. </w:t>
      </w:r>
      <w:proofErr w:type="gramStart"/>
      <w:r w:rsidRPr="0038410C">
        <w:rPr>
          <w:rFonts w:ascii="Times New Roman" w:hAnsi="Times New Roman" w:cs="Times New Roman"/>
          <w:strike/>
          <w:sz w:val="24"/>
          <w:szCs w:val="24"/>
        </w:rPr>
        <w:t>до</w:t>
      </w:r>
      <w:proofErr w:type="gramEnd"/>
      <w:r w:rsidRPr="0038410C">
        <w:rPr>
          <w:rFonts w:ascii="Times New Roman" w:hAnsi="Times New Roman" w:cs="Times New Roman"/>
          <w:strike/>
          <w:sz w:val="24"/>
          <w:szCs w:val="24"/>
        </w:rPr>
        <w:t xml:space="preserve"> 3. Кривичног законика), прање новца (члан 231. ст. 1. </w:t>
      </w:r>
      <w:proofErr w:type="gramStart"/>
      <w:r w:rsidRPr="0038410C">
        <w:rPr>
          <w:rFonts w:ascii="Times New Roman" w:hAnsi="Times New Roman" w:cs="Times New Roman"/>
          <w:strike/>
          <w:sz w:val="24"/>
          <w:szCs w:val="24"/>
        </w:rPr>
        <w:t>до</w:t>
      </w:r>
      <w:proofErr w:type="gramEnd"/>
      <w:r w:rsidRPr="0038410C">
        <w:rPr>
          <w:rFonts w:ascii="Times New Roman" w:hAnsi="Times New Roman" w:cs="Times New Roman"/>
          <w:strike/>
          <w:sz w:val="24"/>
          <w:szCs w:val="24"/>
        </w:rPr>
        <w:t xml:space="preserve"> 4. Кривичног законика), злоупотреба положаја одговорног лица (члан 234. </w:t>
      </w:r>
      <w:proofErr w:type="gramStart"/>
      <w:r w:rsidRPr="0038410C">
        <w:rPr>
          <w:rFonts w:ascii="Times New Roman" w:hAnsi="Times New Roman" w:cs="Times New Roman"/>
          <w:strike/>
          <w:sz w:val="24"/>
          <w:szCs w:val="24"/>
        </w:rPr>
        <w:t>Кривичног законика), злоупотреба у вези са јавном набавком (члан 234а Кривичног законика)</w:t>
      </w:r>
      <w:r w:rsidR="00FF5341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, </w:t>
      </w:r>
      <w:r w:rsidR="00FF5341" w:rsidRPr="00FF5341">
        <w:rPr>
          <w:rFonts w:ascii="Times New Roman" w:hAnsi="Times New Roman" w:cs="Times New Roman"/>
          <w:strike/>
          <w:sz w:val="24"/>
          <w:szCs w:val="24"/>
        </w:rPr>
        <w:t>неовлашћена производња и стављање у промет опојних дрога (члан 246. ст.</w:t>
      </w:r>
      <w:proofErr w:type="gramEnd"/>
      <w:r w:rsidR="00FF5341" w:rsidRPr="00FF5341">
        <w:rPr>
          <w:rFonts w:ascii="Times New Roman" w:hAnsi="Times New Roman" w:cs="Times New Roman"/>
          <w:strike/>
          <w:sz w:val="24"/>
          <w:szCs w:val="24"/>
        </w:rPr>
        <w:t xml:space="preserve"> 1. </w:t>
      </w:r>
      <w:proofErr w:type="gramStart"/>
      <w:r w:rsidR="00FF5341" w:rsidRPr="00FF5341">
        <w:rPr>
          <w:rFonts w:ascii="Times New Roman" w:hAnsi="Times New Roman" w:cs="Times New Roman"/>
          <w:strike/>
          <w:sz w:val="24"/>
          <w:szCs w:val="24"/>
        </w:rPr>
        <w:t>до</w:t>
      </w:r>
      <w:proofErr w:type="gramEnd"/>
      <w:r w:rsidR="00FF5341" w:rsidRPr="00FF5341">
        <w:rPr>
          <w:rFonts w:ascii="Times New Roman" w:hAnsi="Times New Roman" w:cs="Times New Roman"/>
          <w:strike/>
          <w:sz w:val="24"/>
          <w:szCs w:val="24"/>
        </w:rPr>
        <w:t xml:space="preserve"> 3. </w:t>
      </w:r>
      <w:proofErr w:type="gramStart"/>
      <w:r w:rsidR="00FF5341" w:rsidRPr="00FF5341">
        <w:rPr>
          <w:rFonts w:ascii="Times New Roman" w:hAnsi="Times New Roman" w:cs="Times New Roman"/>
          <w:strike/>
          <w:sz w:val="24"/>
          <w:szCs w:val="24"/>
        </w:rPr>
        <w:t>Кривичног законика)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38410C">
        <w:rPr>
          <w:rFonts w:ascii="Times New Roman" w:hAnsi="Times New Roman" w:cs="Times New Roman"/>
          <w:sz w:val="24"/>
          <w:szCs w:val="24"/>
          <w:lang w:val="sr-Cyrl-RS"/>
        </w:rPr>
        <w:t>ЗЛОУПОТРЕБА ПОЛОЖАЈА ОДГОВОРНОГ ЛИЦА (ЧЛАН 227.</w:t>
      </w:r>
      <w:proofErr w:type="gramEnd"/>
      <w:r w:rsidR="0038410C">
        <w:rPr>
          <w:rFonts w:ascii="Times New Roman" w:hAnsi="Times New Roman" w:cs="Times New Roman"/>
          <w:sz w:val="24"/>
          <w:szCs w:val="24"/>
          <w:lang w:val="sr-Cyrl-RS"/>
        </w:rPr>
        <w:t xml:space="preserve"> КРИВИЧНОГ ЗАКОНИКА), ЗЛОУПОТРЕБА У ВЕЗИ СА ЈАВНОМ НАБАВКОМ (ЧЛАН 228. КРИВИЧНОГ ЗАКОНИКА), ПРИМАЊЕ МИТА У ОБАВЉАЊУ ПРИВРЕДНЕ ДЕЛАТНОСТИ (ЧЛАН 230. КРИВИЧНОГ ЗАКОНИКА), Д</w:t>
      </w:r>
      <w:r w:rsidR="00C35F02">
        <w:rPr>
          <w:rFonts w:ascii="Times New Roman" w:hAnsi="Times New Roman" w:cs="Times New Roman"/>
          <w:sz w:val="24"/>
          <w:szCs w:val="24"/>
          <w:lang w:val="sr-Cyrl-RS"/>
        </w:rPr>
        <w:t>АВАЊЕ МИТА У ОБАВЉАЊУ ПРИВРЕДНЕ</w:t>
      </w:r>
      <w:r w:rsidR="0038410C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ДЕЛАТНОСТИ (ЧЛАН 231. КРИВИЧНОГ ЗАКОНИКА), ФАЛСИФИКОВАЊЕ НОВЦА (ЧЛАН 241. СТ. 1. ДО 3. КРИВИЧНОГ ЗАКОНИКА), ПРАЊЕ НОВЦА (ЧЛАН 245. СТ. 1. ДО 4. КРИВИЧНОГ ЗАКОНИКА), </w:t>
      </w:r>
      <w:r w:rsidR="00FF5341">
        <w:rPr>
          <w:rFonts w:ascii="Times New Roman" w:hAnsi="Times New Roman" w:cs="Times New Roman"/>
          <w:sz w:val="24"/>
          <w:szCs w:val="24"/>
        </w:rPr>
        <w:t>НЕОВЛАШЋЕНА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FF5341">
        <w:rPr>
          <w:rFonts w:ascii="Times New Roman" w:hAnsi="Times New Roman" w:cs="Times New Roman"/>
          <w:sz w:val="24"/>
          <w:szCs w:val="24"/>
        </w:rPr>
        <w:t>ПРОИЗВОДЊА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FF5341">
        <w:rPr>
          <w:rFonts w:ascii="Times New Roman" w:hAnsi="Times New Roman" w:cs="Times New Roman"/>
          <w:sz w:val="24"/>
          <w:szCs w:val="24"/>
        </w:rPr>
        <w:t>И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FF5341">
        <w:rPr>
          <w:rFonts w:ascii="Times New Roman" w:hAnsi="Times New Roman" w:cs="Times New Roman"/>
          <w:sz w:val="24"/>
          <w:szCs w:val="24"/>
        </w:rPr>
        <w:t>СТАВЉАЊЕ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FF5341">
        <w:rPr>
          <w:rFonts w:ascii="Times New Roman" w:hAnsi="Times New Roman" w:cs="Times New Roman"/>
          <w:sz w:val="24"/>
          <w:szCs w:val="24"/>
        </w:rPr>
        <w:t>У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FF5341">
        <w:rPr>
          <w:rFonts w:ascii="Times New Roman" w:hAnsi="Times New Roman" w:cs="Times New Roman"/>
          <w:sz w:val="24"/>
          <w:szCs w:val="24"/>
        </w:rPr>
        <w:t>ПРОМЕТ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FF5341">
        <w:rPr>
          <w:rFonts w:ascii="Times New Roman" w:hAnsi="Times New Roman" w:cs="Times New Roman"/>
          <w:sz w:val="24"/>
          <w:szCs w:val="24"/>
        </w:rPr>
        <w:t>ОПОЈНИХ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FF5341">
        <w:rPr>
          <w:rFonts w:ascii="Times New Roman" w:hAnsi="Times New Roman" w:cs="Times New Roman"/>
          <w:sz w:val="24"/>
          <w:szCs w:val="24"/>
        </w:rPr>
        <w:t>ДРОГА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(</w:t>
      </w:r>
      <w:r w:rsidR="00FF5341">
        <w:rPr>
          <w:rFonts w:ascii="Times New Roman" w:hAnsi="Times New Roman" w:cs="Times New Roman"/>
          <w:sz w:val="24"/>
          <w:szCs w:val="24"/>
        </w:rPr>
        <w:t>ЧЛАН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246. </w:t>
      </w:r>
      <w:proofErr w:type="gramStart"/>
      <w:r w:rsidR="00FF5341">
        <w:rPr>
          <w:rFonts w:ascii="Times New Roman" w:hAnsi="Times New Roman" w:cs="Times New Roman"/>
          <w:sz w:val="24"/>
          <w:szCs w:val="24"/>
        </w:rPr>
        <w:t>СТ</w:t>
      </w:r>
      <w:r w:rsidR="00FF5341" w:rsidRPr="00DA02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F5341" w:rsidRPr="00DA0213">
        <w:rPr>
          <w:rFonts w:ascii="Times New Roman" w:hAnsi="Times New Roman" w:cs="Times New Roman"/>
          <w:sz w:val="24"/>
          <w:szCs w:val="24"/>
        </w:rPr>
        <w:t xml:space="preserve"> 1. </w:t>
      </w:r>
      <w:r w:rsidR="00FF5341">
        <w:rPr>
          <w:rFonts w:ascii="Times New Roman" w:hAnsi="Times New Roman" w:cs="Times New Roman"/>
          <w:sz w:val="24"/>
          <w:szCs w:val="24"/>
        </w:rPr>
        <w:t xml:space="preserve">ДО </w:t>
      </w:r>
      <w:r w:rsidR="00FF534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F5341">
        <w:rPr>
          <w:rFonts w:ascii="Times New Roman" w:hAnsi="Times New Roman" w:cs="Times New Roman"/>
          <w:sz w:val="24"/>
          <w:szCs w:val="24"/>
        </w:rPr>
        <w:t>КРИВИЧНОГ</w:t>
      </w:r>
      <w:r w:rsidR="00FF5341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FF5341">
        <w:rPr>
          <w:rFonts w:ascii="Times New Roman" w:hAnsi="Times New Roman" w:cs="Times New Roman"/>
          <w:sz w:val="24"/>
          <w:szCs w:val="24"/>
        </w:rPr>
        <w:t>ЗАКОНИКА</w:t>
      </w:r>
      <w:r w:rsidR="00FF5341" w:rsidRPr="00DA0213">
        <w:rPr>
          <w:rFonts w:ascii="Times New Roman" w:hAnsi="Times New Roman" w:cs="Times New Roman"/>
          <w:sz w:val="24"/>
          <w:szCs w:val="24"/>
        </w:rPr>
        <w:t>)</w:t>
      </w:r>
      <w:r w:rsidRPr="00DA02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угрожавање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независности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305.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угрожавање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територијалне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307.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напад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уставно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уређење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308.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позивање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насилну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промену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уставног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уређења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309.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диверзија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313.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саботажа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314.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шпијунажа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315.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одавање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државне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тајне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316.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изазивање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националне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расне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верске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мржње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нетрпељивости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317.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повреда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територијалног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суверенитета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318.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удруживање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противуставне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делатности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319.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припремање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уставног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уређења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безбедности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Србије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320.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тешка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уставног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уређења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безбедности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Србије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321.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недозвољена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производња</w:t>
      </w:r>
      <w:r w:rsidRPr="00DA02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држање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ношење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оружја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експлозивних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348.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недозвољени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прелаз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државне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границе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кријумчарење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350. </w:t>
      </w:r>
      <w:r>
        <w:rPr>
          <w:rFonts w:ascii="Times New Roman" w:hAnsi="Times New Roman" w:cs="Times New Roman"/>
          <w:sz w:val="24"/>
          <w:szCs w:val="24"/>
        </w:rPr>
        <w:t>ст</w:t>
      </w:r>
      <w:r w:rsidRPr="00DA0213">
        <w:rPr>
          <w:rFonts w:ascii="Times New Roman" w:hAnsi="Times New Roman" w:cs="Times New Roman"/>
          <w:sz w:val="24"/>
          <w:szCs w:val="24"/>
        </w:rPr>
        <w:t xml:space="preserve">. 2.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злоупотреба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положаја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359.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трговина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утицајем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366.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примање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мита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367.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давање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мита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368.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трговина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људима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388.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угрожавање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заштитом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392.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кривично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Pr="007F4A27">
        <w:rPr>
          <w:rFonts w:ascii="Times New Roman" w:hAnsi="Times New Roman" w:cs="Times New Roman"/>
          <w:strike/>
          <w:sz w:val="24"/>
          <w:szCs w:val="24"/>
        </w:rPr>
        <w:t>98.</w:t>
      </w:r>
      <w:r w:rsidR="007F4A27" w:rsidRPr="007F4A2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7F4A2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gramStart"/>
      <w:r w:rsidRPr="007F4A27">
        <w:rPr>
          <w:rFonts w:ascii="Times New Roman" w:hAnsi="Times New Roman" w:cs="Times New Roman"/>
          <w:strike/>
          <w:sz w:val="24"/>
          <w:szCs w:val="24"/>
        </w:rPr>
        <w:t>ст</w:t>
      </w:r>
      <w:proofErr w:type="gramEnd"/>
      <w:r w:rsidRPr="007F4A27">
        <w:rPr>
          <w:rFonts w:ascii="Times New Roman" w:hAnsi="Times New Roman" w:cs="Times New Roman"/>
          <w:strike/>
          <w:sz w:val="24"/>
          <w:szCs w:val="24"/>
        </w:rPr>
        <w:t xml:space="preserve">. 3. </w:t>
      </w:r>
      <w:proofErr w:type="gramStart"/>
      <w:r w:rsidRPr="007F4A27">
        <w:rPr>
          <w:rFonts w:ascii="Times New Roman" w:hAnsi="Times New Roman" w:cs="Times New Roman"/>
          <w:strike/>
          <w:sz w:val="24"/>
          <w:szCs w:val="24"/>
        </w:rPr>
        <w:t>до</w:t>
      </w:r>
      <w:proofErr w:type="gramEnd"/>
      <w:r w:rsidRPr="007F4A27">
        <w:rPr>
          <w:rFonts w:ascii="Times New Roman" w:hAnsi="Times New Roman" w:cs="Times New Roman"/>
          <w:strike/>
          <w:sz w:val="24"/>
          <w:szCs w:val="24"/>
        </w:rPr>
        <w:t xml:space="preserve"> 5.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7F4A27">
        <w:rPr>
          <w:rFonts w:ascii="Times New Roman" w:hAnsi="Times New Roman" w:cs="Times New Roman"/>
          <w:sz w:val="24"/>
          <w:szCs w:val="24"/>
        </w:rPr>
        <w:t xml:space="preserve">98. </w:t>
      </w:r>
      <w:r w:rsidR="007F4A27">
        <w:rPr>
          <w:rFonts w:ascii="Times New Roman" w:hAnsi="Times New Roman" w:cs="Times New Roman"/>
          <w:sz w:val="24"/>
          <w:szCs w:val="24"/>
          <w:lang w:val="sr-Cyrl-RS"/>
        </w:rPr>
        <w:t>СТ. 2. ДО 5</w:t>
      </w:r>
      <w:r w:rsidR="007F4A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тајности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података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0213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спречавање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ометања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доказивања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336.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ако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учињено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вези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кривичним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делом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</w:t>
      </w:r>
      <w:r w:rsidRPr="00DA0213">
        <w:rPr>
          <w:rFonts w:ascii="Times New Roman" w:hAnsi="Times New Roman" w:cs="Times New Roman"/>
          <w:sz w:val="24"/>
          <w:szCs w:val="24"/>
        </w:rPr>
        <w:t xml:space="preserve">. 1)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2) </w:t>
      </w:r>
      <w:r>
        <w:rPr>
          <w:rFonts w:ascii="Times New Roman" w:hAnsi="Times New Roman" w:cs="Times New Roman"/>
          <w:sz w:val="24"/>
          <w:szCs w:val="24"/>
        </w:rPr>
        <w:t>овог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става</w:t>
      </w:r>
      <w:r w:rsidRPr="00DA02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доказна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183.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одредити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кривично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1) </w:t>
      </w:r>
      <w:r>
        <w:rPr>
          <w:rFonts w:ascii="Times New Roman" w:hAnsi="Times New Roman" w:cs="Times New Roman"/>
          <w:sz w:val="24"/>
          <w:szCs w:val="24"/>
        </w:rPr>
        <w:t>овог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0213" w:rsidRPr="00DA0213" w:rsidRDefault="00DA0213" w:rsidP="00DA021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161.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доказна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166.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одредити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следећа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кривична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</w:t>
      </w:r>
      <w:r w:rsidRPr="00DA021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неовлашћено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искоришћавање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ауторског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сродног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199.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оштећење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рачунарских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података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298.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рачунарска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саботажа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299.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рачунарска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превара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301.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Pr="00DA0213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неовлашћени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приступ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заштићеном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рачунару</w:t>
      </w:r>
      <w:r w:rsidRPr="00DA02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рачунарској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електронској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обради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података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Pr="00DA0213">
        <w:rPr>
          <w:rFonts w:ascii="Times New Roman" w:hAnsi="Times New Roman" w:cs="Times New Roman"/>
          <w:sz w:val="24"/>
          <w:szCs w:val="24"/>
        </w:rPr>
        <w:t xml:space="preserve"> 302. </w:t>
      </w:r>
      <w:r>
        <w:rPr>
          <w:rFonts w:ascii="Times New Roman" w:hAnsi="Times New Roman" w:cs="Times New Roman"/>
          <w:sz w:val="24"/>
          <w:szCs w:val="24"/>
        </w:rPr>
        <w:t>Кривичног</w:t>
      </w:r>
      <w:r w:rsidRPr="00DA0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законика</w:t>
      </w:r>
      <w:r w:rsidRPr="00DA021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F4A27" w:rsidRDefault="007F4A27" w:rsidP="00DA02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F4A27" w:rsidRPr="007F4A27" w:rsidRDefault="007F4A27" w:rsidP="007F4A2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>Члан 327</w:t>
      </w:r>
      <w:r w:rsidRPr="007F4A2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Јавни тужилац и осуђени могу закључити споразум о сведочењу, ако је значај исказа осуђеног за откривање, доказивање или спречавање кривичних дела из члана 162.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законика претежнији од последица кривичног дела за које је осуђен (осуђени сарадник).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>За осуђеног сарадника не може бити предложено лице које је осуђено као организатор организоване криминалне групе нити лице које је правноснажно осуђено на казну затвора од четрдесет 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ИЛИ КАЗНУ ДОЖИВОТНОГ ЗАТВОРА</w:t>
      </w:r>
      <w:r w:rsidRPr="007F4A27">
        <w:rPr>
          <w:rFonts w:ascii="Times New Roman" w:hAnsi="Times New Roman" w:cs="Times New Roman"/>
          <w:sz w:val="24"/>
          <w:szCs w:val="24"/>
        </w:rPr>
        <w:t>.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Приликом закључења споразума из става 1.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члана осуђени мора имати браниоца (члан 74. тачка 8). </w:t>
      </w:r>
    </w:p>
    <w:p w:rsidR="007F4A27" w:rsidRPr="007F4A27" w:rsidRDefault="007F4A27" w:rsidP="007F4A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>Споразум о сведочењу се сачињава у писаном облику и подноси се суду до завршетка главног претреса.</w:t>
      </w:r>
    </w:p>
    <w:p w:rsidR="007F4A27" w:rsidRDefault="007F4A27" w:rsidP="007F4A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F4A27" w:rsidRPr="007F4A27" w:rsidRDefault="007F4A27" w:rsidP="002E44C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>Члан 433</w:t>
      </w:r>
      <w:r w:rsidR="002E44C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F4A27" w:rsidRPr="007F4A27" w:rsidRDefault="007F4A27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Жалбу могу изјавити странке, бранилац и оштећени. </w:t>
      </w:r>
    </w:p>
    <w:p w:rsidR="007F4A27" w:rsidRPr="007F4A27" w:rsidRDefault="007F4A27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У корист оптуженог жалбу могу изјавити и његов брачни друг, лице са којим живи у ванбрачној или другој трајној заједници живота, сродници по крви у правој линији, законски заступник, усвојитељ, усвојеник, брат, сестра и хранитељ, а рок за жалбу тече од дана када је оптуженом, односно његовом браниоцу достављен препис пресуде. </w:t>
      </w:r>
    </w:p>
    <w:p w:rsidR="007F4A27" w:rsidRPr="007F4A27" w:rsidRDefault="007F4A27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Јавни тужилац може изјавити жалбу како на штету, тако и у корист оптуженог. </w:t>
      </w:r>
    </w:p>
    <w:p w:rsidR="007F4A27" w:rsidRPr="007F4A27" w:rsidRDefault="007F4A27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Оштећени може изјавити жалбу само због одлуке суда о трошковима кривичног поступка и о досуђеном имовинскоправном захтеву, а ако је јавни тужилац преузео кривично гоњење од оштећеног као тужиоца (члан 62.) оштећени може изјавити жалбу због свих основа због којих се пресуда може побијати. </w:t>
      </w:r>
    </w:p>
    <w:p w:rsidR="007F4A27" w:rsidRPr="007F4A27" w:rsidRDefault="007F4A27" w:rsidP="00C82C6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Жалбу може изјавити и лице чији је предмет одузет или од кога је одузета имовинска корист прибављена кривичним делом или имовина проистекла из кривичног дела. </w:t>
      </w:r>
    </w:p>
    <w:p w:rsidR="007F4A27" w:rsidRPr="007F4A27" w:rsidRDefault="007F4A27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Бранилац и лица из става 2.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члана могу изјавити жалбу и без посебног </w:t>
      </w:r>
      <w:r w:rsidRPr="002E44CD">
        <w:rPr>
          <w:rFonts w:ascii="Times New Roman" w:hAnsi="Times New Roman" w:cs="Times New Roman"/>
          <w:sz w:val="24"/>
          <w:szCs w:val="24"/>
        </w:rPr>
        <w:t>овлашћења оптуженог, али не и против његове воље, осим када је оптуженом изречена казна</w:t>
      </w:r>
      <w:r w:rsidRPr="007F4A27">
        <w:rPr>
          <w:rFonts w:ascii="Times New Roman" w:hAnsi="Times New Roman" w:cs="Times New Roman"/>
          <w:sz w:val="24"/>
          <w:szCs w:val="24"/>
        </w:rPr>
        <w:t xml:space="preserve"> затвора у трајању од тридесет до четрдесет година</w:t>
      </w:r>
      <w:r w:rsidR="002E44CD">
        <w:rPr>
          <w:rFonts w:ascii="Times New Roman" w:hAnsi="Times New Roman" w:cs="Times New Roman"/>
          <w:sz w:val="24"/>
          <w:szCs w:val="24"/>
          <w:lang w:val="sr-Cyrl-RS"/>
        </w:rPr>
        <w:t xml:space="preserve"> ИЛИ КАЗНА ДОЖИВОТНОГ ЗАТВОРА</w:t>
      </w:r>
      <w:r w:rsidRPr="007F4A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4A27" w:rsidRDefault="007F4A27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4A27">
        <w:rPr>
          <w:rFonts w:ascii="Times New Roman" w:hAnsi="Times New Roman" w:cs="Times New Roman"/>
          <w:sz w:val="24"/>
          <w:szCs w:val="24"/>
        </w:rPr>
        <w:t xml:space="preserve">Ако признање оптуженог у односу на све тачке оптужбе испуњава претпоставке из члана 88.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закона, оптужени, његов бранилац и лица из става 2. </w:t>
      </w:r>
      <w:proofErr w:type="gramStart"/>
      <w:r w:rsidRPr="007F4A27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7F4A27">
        <w:rPr>
          <w:rFonts w:ascii="Times New Roman" w:hAnsi="Times New Roman" w:cs="Times New Roman"/>
          <w:sz w:val="24"/>
          <w:szCs w:val="24"/>
        </w:rPr>
        <w:t xml:space="preserve"> члана могу изјавити жалбу због погрешно или непотпуно утврђеног чињеничног стања само у односу на чињенице од којих зависи одлука о врсти и мери кривичне санкције. </w:t>
      </w:r>
    </w:p>
    <w:p w:rsidR="002E44CD" w:rsidRDefault="002E44CD" w:rsidP="002E44C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233F" w:rsidRDefault="00CB233F" w:rsidP="002E44C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233F" w:rsidRPr="00CB233F" w:rsidRDefault="00CB233F" w:rsidP="002E44C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E44CD" w:rsidRPr="002E44CD" w:rsidRDefault="002E44CD" w:rsidP="002E44C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E44CD">
        <w:rPr>
          <w:rFonts w:ascii="Times New Roman" w:hAnsi="Times New Roman" w:cs="Times New Roman"/>
          <w:sz w:val="24"/>
          <w:szCs w:val="24"/>
        </w:rPr>
        <w:lastRenderedPageBreak/>
        <w:t>Члан 434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2E44CD" w:rsidRPr="002E44CD" w:rsidRDefault="002E44CD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44CD">
        <w:rPr>
          <w:rFonts w:ascii="Times New Roman" w:hAnsi="Times New Roman" w:cs="Times New Roman"/>
          <w:sz w:val="24"/>
          <w:szCs w:val="24"/>
        </w:rPr>
        <w:t xml:space="preserve">Оптужени се може одрећи права на жалбу само пошто му је пресуда достављена, а пре тога само ако су се тужилац и оштећени који може изјавити жалбу због свих основа (члан 433. став 4.) одрекли права на жалбу против осуђујуће пресуде којом оптуженом није изречена казна затвора. </w:t>
      </w:r>
    </w:p>
    <w:p w:rsidR="002E44CD" w:rsidRPr="002E44CD" w:rsidRDefault="002E44CD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44CD">
        <w:rPr>
          <w:rFonts w:ascii="Times New Roman" w:hAnsi="Times New Roman" w:cs="Times New Roman"/>
          <w:sz w:val="24"/>
          <w:szCs w:val="24"/>
        </w:rPr>
        <w:t xml:space="preserve">До доношења одлуке другостепеног суда, оптужени може одустати од изјављене жалбе, као и од жалбе коју су изјавили његов бранилац или лица из члана 433. </w:t>
      </w:r>
      <w:proofErr w:type="gramStart"/>
      <w:r w:rsidRPr="002E44CD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2E44CD"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 w:rsidRPr="002E44CD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2E44CD">
        <w:rPr>
          <w:rFonts w:ascii="Times New Roman" w:hAnsi="Times New Roman" w:cs="Times New Roman"/>
          <w:sz w:val="24"/>
          <w:szCs w:val="24"/>
        </w:rPr>
        <w:t xml:space="preserve"> законика. </w:t>
      </w:r>
    </w:p>
    <w:p w:rsidR="002E44CD" w:rsidRPr="002E44CD" w:rsidRDefault="002E44CD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44CD">
        <w:rPr>
          <w:rFonts w:ascii="Times New Roman" w:hAnsi="Times New Roman" w:cs="Times New Roman"/>
          <w:sz w:val="24"/>
          <w:szCs w:val="24"/>
        </w:rPr>
        <w:t>Оптужени се не може одрећи права на жалбу нити одустати од изјављене жалбе, ако му је изречена казна затвора у трајању од тридесет до четрдесет 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ИЛИ КАЗНА ДОЖИВОТНОГ ЗАТВОРА</w:t>
      </w:r>
      <w:r w:rsidRPr="002E4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44CD" w:rsidRPr="002E44CD" w:rsidRDefault="002E44CD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44CD">
        <w:rPr>
          <w:rFonts w:ascii="Times New Roman" w:hAnsi="Times New Roman" w:cs="Times New Roman"/>
          <w:sz w:val="24"/>
          <w:szCs w:val="24"/>
        </w:rPr>
        <w:t xml:space="preserve">Тужилац и оштећени могу се одрећи права на жалбу одмах по објављивању пресуде па до истека рока за изјављивање жалбе, а могу до доношења одлуке другостепеног суда одустати од изјављене жалбе. </w:t>
      </w:r>
    </w:p>
    <w:p w:rsidR="002E44CD" w:rsidRPr="002E44CD" w:rsidRDefault="002E44CD" w:rsidP="002E44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44CD">
        <w:rPr>
          <w:rFonts w:ascii="Times New Roman" w:hAnsi="Times New Roman" w:cs="Times New Roman"/>
          <w:sz w:val="24"/>
          <w:szCs w:val="24"/>
        </w:rPr>
        <w:t xml:space="preserve">Одрицање или одустанак од жалбе не може се опозвати. </w:t>
      </w:r>
    </w:p>
    <w:p w:rsidR="002E44CD" w:rsidRPr="007F4A27" w:rsidRDefault="002E44CD" w:rsidP="002E44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F4A27" w:rsidRPr="00DA0213" w:rsidRDefault="007F4A27" w:rsidP="007F4A2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F4A27" w:rsidRPr="00DA0213" w:rsidSect="00DA0213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918" w:rsidRDefault="008D5918" w:rsidP="00DA0213">
      <w:pPr>
        <w:spacing w:after="0" w:line="240" w:lineRule="auto"/>
      </w:pPr>
      <w:r>
        <w:separator/>
      </w:r>
    </w:p>
  </w:endnote>
  <w:endnote w:type="continuationSeparator" w:id="0">
    <w:p w:rsidR="008D5918" w:rsidRDefault="008D5918" w:rsidP="00DA0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918" w:rsidRDefault="008D5918" w:rsidP="00DA0213">
      <w:pPr>
        <w:spacing w:after="0" w:line="240" w:lineRule="auto"/>
      </w:pPr>
      <w:r>
        <w:separator/>
      </w:r>
    </w:p>
  </w:footnote>
  <w:footnote w:type="continuationSeparator" w:id="0">
    <w:p w:rsidR="008D5918" w:rsidRDefault="008D5918" w:rsidP="00DA0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4778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7F4A27" w:rsidRPr="00DA0213" w:rsidRDefault="007F4A27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02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02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A02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3D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A021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F4A27" w:rsidRDefault="007F4A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213"/>
    <w:rsid w:val="000024D9"/>
    <w:rsid w:val="00016FBC"/>
    <w:rsid w:val="000A1AB5"/>
    <w:rsid w:val="00140091"/>
    <w:rsid w:val="00240B72"/>
    <w:rsid w:val="002E44CD"/>
    <w:rsid w:val="0038410C"/>
    <w:rsid w:val="003C0ECF"/>
    <w:rsid w:val="003E5E13"/>
    <w:rsid w:val="00435C59"/>
    <w:rsid w:val="00462D8A"/>
    <w:rsid w:val="004A7B6F"/>
    <w:rsid w:val="00563C1D"/>
    <w:rsid w:val="005D0755"/>
    <w:rsid w:val="007F4A27"/>
    <w:rsid w:val="008D5918"/>
    <w:rsid w:val="00983EA3"/>
    <w:rsid w:val="009B3D39"/>
    <w:rsid w:val="00A81CFA"/>
    <w:rsid w:val="00B30614"/>
    <w:rsid w:val="00BB5758"/>
    <w:rsid w:val="00C35F02"/>
    <w:rsid w:val="00C82C65"/>
    <w:rsid w:val="00CB233F"/>
    <w:rsid w:val="00D85935"/>
    <w:rsid w:val="00DA0213"/>
    <w:rsid w:val="00DD12F5"/>
    <w:rsid w:val="00E30162"/>
    <w:rsid w:val="00F41C66"/>
    <w:rsid w:val="00F97951"/>
    <w:rsid w:val="00FD10FC"/>
    <w:rsid w:val="00FF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0213"/>
    <w:pPr>
      <w:spacing w:after="0" w:line="240" w:lineRule="auto"/>
    </w:pPr>
  </w:style>
  <w:style w:type="paragraph" w:customStyle="1" w:styleId="clan">
    <w:name w:val="clan"/>
    <w:basedOn w:val="Normal"/>
    <w:rsid w:val="00DA0213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DA021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DA0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213"/>
  </w:style>
  <w:style w:type="paragraph" w:styleId="Footer">
    <w:name w:val="footer"/>
    <w:basedOn w:val="Normal"/>
    <w:link w:val="FooterChar"/>
    <w:uiPriority w:val="99"/>
    <w:unhideWhenUsed/>
    <w:rsid w:val="00DA0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213"/>
  </w:style>
  <w:style w:type="paragraph" w:styleId="BalloonText">
    <w:name w:val="Balloon Text"/>
    <w:basedOn w:val="Normal"/>
    <w:link w:val="BalloonTextChar"/>
    <w:uiPriority w:val="99"/>
    <w:semiHidden/>
    <w:unhideWhenUsed/>
    <w:rsid w:val="00DA0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213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7F4A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0213"/>
    <w:pPr>
      <w:spacing w:after="0" w:line="240" w:lineRule="auto"/>
    </w:pPr>
  </w:style>
  <w:style w:type="paragraph" w:customStyle="1" w:styleId="clan">
    <w:name w:val="clan"/>
    <w:basedOn w:val="Normal"/>
    <w:rsid w:val="00DA0213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DA021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DA0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213"/>
  </w:style>
  <w:style w:type="paragraph" w:styleId="Footer">
    <w:name w:val="footer"/>
    <w:basedOn w:val="Normal"/>
    <w:link w:val="FooterChar"/>
    <w:uiPriority w:val="99"/>
    <w:unhideWhenUsed/>
    <w:rsid w:val="00DA0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213"/>
  </w:style>
  <w:style w:type="paragraph" w:styleId="BalloonText">
    <w:name w:val="Balloon Text"/>
    <w:basedOn w:val="Normal"/>
    <w:link w:val="BalloonTextChar"/>
    <w:uiPriority w:val="99"/>
    <w:semiHidden/>
    <w:unhideWhenUsed/>
    <w:rsid w:val="00DA0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213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7F4A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Zlatko PETROVIC</dc:creator>
  <cp:keywords/>
  <dc:description/>
  <cp:lastModifiedBy>Korisnik</cp:lastModifiedBy>
  <cp:revision>14</cp:revision>
  <cp:lastPrinted>2019-04-17T11:40:00Z</cp:lastPrinted>
  <dcterms:created xsi:type="dcterms:W3CDTF">2019-04-17T11:24:00Z</dcterms:created>
  <dcterms:modified xsi:type="dcterms:W3CDTF">2019-05-08T10:39:00Z</dcterms:modified>
</cp:coreProperties>
</file>