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1E3" w:rsidRPr="005038A0" w:rsidRDefault="006961E3" w:rsidP="00A37D3D">
      <w:pPr>
        <w:ind w:left="-720" w:firstLine="720"/>
        <w:jc w:val="center"/>
        <w:rPr>
          <w:lang w:val="sr-Cyrl-CS"/>
        </w:rPr>
      </w:pPr>
      <w:r w:rsidRPr="005038A0">
        <w:rPr>
          <w:lang w:val="sr-Cyrl-CS"/>
        </w:rPr>
        <w:t>О Б Р А З Л О Ж Е Њ Е</w:t>
      </w:r>
    </w:p>
    <w:p w:rsidR="00113ACC" w:rsidRPr="005038A0" w:rsidRDefault="00113ACC" w:rsidP="00A37D3D">
      <w:pPr>
        <w:ind w:left="-720" w:firstLine="720"/>
        <w:jc w:val="center"/>
        <w:rPr>
          <w:lang w:val="sr-Cyrl-CS"/>
        </w:rPr>
      </w:pPr>
    </w:p>
    <w:p w:rsidR="00FC1322" w:rsidRPr="005038A0" w:rsidRDefault="00FC1322" w:rsidP="00A37D3D">
      <w:pPr>
        <w:ind w:left="-720" w:firstLine="720"/>
        <w:jc w:val="center"/>
        <w:rPr>
          <w:lang w:val="sr-Cyrl-CS"/>
        </w:rPr>
      </w:pPr>
    </w:p>
    <w:p w:rsidR="006961E3" w:rsidRPr="005038A0" w:rsidRDefault="006961E3" w:rsidP="00A37D3D">
      <w:pPr>
        <w:rPr>
          <w:bCs/>
          <w:lang w:val="ru-RU"/>
        </w:rPr>
      </w:pPr>
      <w:r w:rsidRPr="005038A0">
        <w:rPr>
          <w:bCs/>
          <w:lang w:val="sr-Cyrl-CS"/>
        </w:rPr>
        <w:t xml:space="preserve"> </w:t>
      </w:r>
      <w:r w:rsidRPr="005038A0">
        <w:rPr>
          <w:bCs/>
          <w:lang w:val="sr-Cyrl-CS"/>
        </w:rPr>
        <w:tab/>
        <w:t xml:space="preserve">I. УСТАВНИ </w:t>
      </w:r>
      <w:r w:rsidRPr="005038A0">
        <w:rPr>
          <w:bCs/>
          <w:lang w:val="ru-RU"/>
        </w:rPr>
        <w:t>ОСНОВ ЗА ДОНОШЕЊЕ ЗАКОНА</w:t>
      </w:r>
    </w:p>
    <w:p w:rsidR="006961E3" w:rsidRPr="005038A0" w:rsidRDefault="006961E3" w:rsidP="00A37D3D">
      <w:pPr>
        <w:rPr>
          <w:bCs/>
          <w:lang w:val="ru-RU"/>
        </w:rPr>
      </w:pPr>
    </w:p>
    <w:p w:rsidR="0040226C" w:rsidRPr="005038A0" w:rsidRDefault="006961E3" w:rsidP="00A37D3D">
      <w:pPr>
        <w:jc w:val="both"/>
        <w:rPr>
          <w:lang w:val="ru-RU"/>
        </w:rPr>
      </w:pPr>
      <w:r w:rsidRPr="005038A0">
        <w:rPr>
          <w:lang w:val="ru-RU"/>
        </w:rPr>
        <w:t xml:space="preserve"> </w:t>
      </w:r>
      <w:r w:rsidRPr="005038A0">
        <w:rPr>
          <w:lang w:val="ru-RU"/>
        </w:rPr>
        <w:tab/>
      </w:r>
      <w:r w:rsidR="0040226C" w:rsidRPr="005038A0">
        <w:rPr>
          <w:lang w:val="ru-RU"/>
        </w:rPr>
        <w:t xml:space="preserve">Уставни основ за доношење овог закона садржан је у одредби члана 99. </w:t>
      </w:r>
      <w:r w:rsidR="0040226C" w:rsidRPr="005038A0">
        <w:rPr>
          <w:lang w:val="sr-Cyrl-CS"/>
        </w:rPr>
        <w:t xml:space="preserve">став 1. </w:t>
      </w:r>
      <w:r w:rsidR="0040226C" w:rsidRPr="005038A0">
        <w:rPr>
          <w:lang w:val="ru-RU"/>
        </w:rPr>
        <w:t>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r w:rsidR="00AC23DB" w:rsidRPr="005038A0">
        <w:rPr>
          <w:lang w:val="ru-RU"/>
        </w:rPr>
        <w:t xml:space="preserve"> </w:t>
      </w:r>
    </w:p>
    <w:p w:rsidR="006961E3" w:rsidRPr="005038A0" w:rsidRDefault="0040226C" w:rsidP="00A37D3D">
      <w:pPr>
        <w:jc w:val="both"/>
        <w:rPr>
          <w:lang w:val="sr-Cyrl-CS"/>
        </w:rPr>
      </w:pPr>
      <w:r w:rsidRPr="005038A0">
        <w:rPr>
          <w:lang w:val="sr-Cyrl-CS"/>
        </w:rPr>
        <w:t xml:space="preserve"> </w:t>
      </w:r>
    </w:p>
    <w:p w:rsidR="006961E3" w:rsidRPr="005038A0" w:rsidRDefault="006961E3" w:rsidP="00A37D3D">
      <w:pPr>
        <w:ind w:firstLine="720"/>
        <w:jc w:val="both"/>
      </w:pPr>
      <w:r w:rsidRPr="005038A0">
        <w:rPr>
          <w:bCs/>
          <w:lang w:val="sr-Cyrl-CS"/>
        </w:rPr>
        <w:t xml:space="preserve"> </w:t>
      </w:r>
      <w:r w:rsidRPr="005038A0">
        <w:rPr>
          <w:bCs/>
        </w:rPr>
        <w:t>II</w:t>
      </w:r>
      <w:r w:rsidRPr="005038A0">
        <w:rPr>
          <w:bCs/>
          <w:lang w:val="sr-Cyrl-CS"/>
        </w:rPr>
        <w:t xml:space="preserve">. РАЗЛОЗИ ЗА </w:t>
      </w:r>
      <w:r w:rsidR="0069359B" w:rsidRPr="005038A0">
        <w:rPr>
          <w:bCs/>
          <w:lang w:val="sr-Cyrl-CS"/>
        </w:rPr>
        <w:t>ПОТВРЂИВАЊЕ</w:t>
      </w:r>
      <w:r w:rsidR="00E8335C" w:rsidRPr="005038A0">
        <w:rPr>
          <w:bCs/>
        </w:rPr>
        <w:t xml:space="preserve"> УГОВОРА</w:t>
      </w:r>
    </w:p>
    <w:p w:rsidR="006961E3" w:rsidRPr="005038A0" w:rsidRDefault="006961E3" w:rsidP="00A37D3D">
      <w:pPr>
        <w:rPr>
          <w:bCs/>
          <w:lang w:val="sr-Cyrl-CS"/>
        </w:rPr>
      </w:pPr>
    </w:p>
    <w:p w:rsidR="00E80D89" w:rsidRDefault="00E80D89" w:rsidP="00A37D3D">
      <w:pPr>
        <w:ind w:firstLine="708"/>
        <w:jc w:val="both"/>
        <w:rPr>
          <w:lang w:val="sr-Cyrl-CS"/>
        </w:rPr>
      </w:pPr>
      <w:r w:rsidRPr="005038A0">
        <w:rPr>
          <w:lang w:val="sr-Cyrl-CS"/>
        </w:rPr>
        <w:t xml:space="preserve">Разлози за </w:t>
      </w:r>
      <w:r w:rsidR="00E8335C" w:rsidRPr="005038A0">
        <w:rPr>
          <w:lang w:val="sr-Cyrl-CS"/>
        </w:rPr>
        <w:t>потврђивање</w:t>
      </w:r>
      <w:r w:rsidRPr="005038A0">
        <w:rPr>
          <w:lang w:val="sr-Cyrl-CS"/>
        </w:rPr>
        <w:t xml:space="preserve"> </w:t>
      </w:r>
      <w:r w:rsidR="007A6987">
        <w:rPr>
          <w:lang w:val="sr-Cyrl-CS"/>
        </w:rPr>
        <w:t>Ф</w:t>
      </w:r>
      <w:r w:rsidR="007A6987" w:rsidRPr="007A6987">
        <w:rPr>
          <w:lang w:val="sr-Cyrl-CS"/>
        </w:rPr>
        <w:t>инансијског уговора Оквир за јачање отпорности локалне инфраструктуре између Републике Србије и Европске инвестиционе банке</w:t>
      </w:r>
      <w:r w:rsidR="001417E0" w:rsidRPr="005038A0">
        <w:rPr>
          <w:lang w:val="sr-Cyrl-CS"/>
        </w:rPr>
        <w:t xml:space="preserve">, </w:t>
      </w:r>
      <w:r w:rsidR="007A6987" w:rsidRPr="007A6987">
        <w:rPr>
          <w:lang w:val="sr-Cyrl-CS"/>
        </w:rPr>
        <w:t xml:space="preserve">који је потписан </w:t>
      </w:r>
      <w:r w:rsidR="007A6987" w:rsidRPr="00EE6090">
        <w:rPr>
          <w:lang w:val="sr-Cyrl-CS"/>
        </w:rPr>
        <w:t xml:space="preserve">у Луксембургу, 29. априла 2019. године и у Београду, 7. маја 2019. године </w:t>
      </w:r>
      <w:r w:rsidR="00824570" w:rsidRPr="00EE6090">
        <w:rPr>
          <w:lang w:val="sr-Cyrl-CS"/>
        </w:rPr>
        <w:t xml:space="preserve">(у даљем тексту: </w:t>
      </w:r>
      <w:r w:rsidR="001417E0" w:rsidRPr="00EE6090">
        <w:rPr>
          <w:lang w:val="sr-Cyrl-CS"/>
        </w:rPr>
        <w:t>Финансијски уговор</w:t>
      </w:r>
      <w:r w:rsidR="00824570" w:rsidRPr="00EE6090">
        <w:rPr>
          <w:lang w:val="sr-Cyrl-CS"/>
        </w:rPr>
        <w:t>)</w:t>
      </w:r>
      <w:r w:rsidR="00356442" w:rsidRPr="00EE6090">
        <w:rPr>
          <w:lang w:val="sr-Cyrl-CS"/>
        </w:rPr>
        <w:t>,</w:t>
      </w:r>
      <w:r w:rsidRPr="00EE6090">
        <w:rPr>
          <w:lang w:val="sr-Cyrl-CS"/>
        </w:rPr>
        <w:t xml:space="preserve"> садржани су у одредби члана </w:t>
      </w:r>
      <w:r w:rsidRPr="00EE6090">
        <w:rPr>
          <w:lang w:val="ru-RU"/>
        </w:rPr>
        <w:t>5</w:t>
      </w:r>
      <w:r w:rsidRPr="00EE6090">
        <w:rPr>
          <w:lang w:val="sr-Cyrl-CS"/>
        </w:rPr>
        <w:t>. став</w:t>
      </w:r>
      <w:r w:rsidRPr="005038A0">
        <w:rPr>
          <w:lang w:val="sr-Cyrl-CS"/>
        </w:rPr>
        <w:t xml:space="preserve"> 2. Закона о јавном дугу („Службени гласник РС”,</w:t>
      </w:r>
      <w:r w:rsidR="00356442" w:rsidRPr="005038A0">
        <w:rPr>
          <w:lang w:val="sr-Cyrl-CS"/>
        </w:rPr>
        <w:t xml:space="preserve"> </w:t>
      </w:r>
      <w:r w:rsidRPr="005038A0">
        <w:rPr>
          <w:lang w:val="sr-Cyrl-CS"/>
        </w:rPr>
        <w:t xml:space="preserve">бр. </w:t>
      </w:r>
      <w:r w:rsidR="007A6987" w:rsidRPr="007A6987">
        <w:rPr>
          <w:lang w:val="sr-Cyrl-CS"/>
        </w:rPr>
        <w:t>61/05, 107/09, 78/11, 68/15 и 95/18</w:t>
      </w:r>
      <w:r w:rsidR="00F56DA4" w:rsidRPr="005038A0">
        <w:rPr>
          <w:lang w:val="sr-Cyrl-CS"/>
        </w:rPr>
        <w:t>)</w:t>
      </w:r>
      <w:r w:rsidR="00BE5DE1" w:rsidRPr="005038A0">
        <w:rPr>
          <w:lang w:val="sr-Cyrl-CS"/>
        </w:rPr>
        <w:t>,</w:t>
      </w:r>
      <w:r w:rsidRPr="005038A0">
        <w:rPr>
          <w:lang w:val="sr-Cyrl-CS"/>
        </w:rPr>
        <w:t xml:space="preserve"> према којој Народна скупштина Републике Србије одлучује о задуживању Републике Србије</w:t>
      </w:r>
      <w:r w:rsidR="0038219E" w:rsidRPr="005038A0">
        <w:rPr>
          <w:lang w:val="sr-Cyrl-CS"/>
        </w:rPr>
        <w:t xml:space="preserve"> и одредби члана 14</w:t>
      </w:r>
      <w:r w:rsidRPr="005038A0">
        <w:rPr>
          <w:lang w:val="sr-Cyrl-CS"/>
        </w:rPr>
        <w:t>.</w:t>
      </w:r>
      <w:r w:rsidR="0038219E" w:rsidRPr="005038A0">
        <w:rPr>
          <w:lang w:val="sr-Cyrl-CS"/>
        </w:rPr>
        <w:t xml:space="preserve"> став 1. Закона о закључивању и извршавању међународних уговора („Службени гласник РС</w:t>
      </w:r>
      <w:r w:rsidR="001A3B02" w:rsidRPr="005038A0">
        <w:rPr>
          <w:lang w:val="sr-Cyrl-CS"/>
        </w:rPr>
        <w:t>”</w:t>
      </w:r>
      <w:r w:rsidR="0038219E" w:rsidRPr="005038A0">
        <w:rPr>
          <w:lang w:val="sr-Cyrl-CS"/>
        </w:rPr>
        <w:t>, број 32/13)</w:t>
      </w:r>
      <w:r w:rsidR="00BE5DE1" w:rsidRPr="005038A0">
        <w:rPr>
          <w:lang w:val="sr-Cyrl-CS"/>
        </w:rPr>
        <w:t>,</w:t>
      </w:r>
      <w:r w:rsidR="0082735B" w:rsidRPr="005038A0">
        <w:rPr>
          <w:lang w:val="sr-Cyrl-CS"/>
        </w:rPr>
        <w:t xml:space="preserve"> према којој Народна скупштина, између осталог, потврђује уговоре којима се стварају финансијске обавезе за Републику Србију.</w:t>
      </w:r>
    </w:p>
    <w:p w:rsidR="007A6987" w:rsidRDefault="007A6987" w:rsidP="007A6987">
      <w:pPr>
        <w:ind w:firstLine="708"/>
        <w:jc w:val="both"/>
        <w:rPr>
          <w:lang w:val="sr-Cyrl-CS"/>
        </w:rPr>
      </w:pPr>
      <w:r w:rsidRPr="007A6987">
        <w:rPr>
          <w:lang w:val="sr-Cyrl-CS"/>
        </w:rPr>
        <w:t>Република Србија је 19. јануара 2018. године упутила захтев Европској инвестиционој банци (у даљем тексту: ЕИБ) за финансирање Пројекта реконструкције и изградње локалне инфраструктуре у подручјима на мигрантској рути (у даљем тексту: Пројекат). ЕИБ је наведени захтев одобрила 27. новембра 2018. године, тако да је чланом 3. Закона о буџету Републике Србије за 2019. годину („Службени гласник РСˮ, број 95/18)  за наведени пројекат планирано задуживање у износу до 40.000.000 евра, код ове банке.</w:t>
      </w:r>
    </w:p>
    <w:p w:rsidR="007A6987" w:rsidRPr="007A6987" w:rsidRDefault="007A6987" w:rsidP="007A6987">
      <w:pPr>
        <w:ind w:firstLine="708"/>
        <w:jc w:val="both"/>
        <w:rPr>
          <w:lang w:val="sr-Cyrl-CS"/>
        </w:rPr>
      </w:pPr>
      <w:r w:rsidRPr="007A6987">
        <w:rPr>
          <w:lang w:val="sr-Cyrl-CS"/>
        </w:rPr>
        <w:t>Пројекат обувата реконструкцију, модернизацију и проширење система водоводне инфраструктуре (водозахвати, постројења за пречишћавање вода, водоводне мреже, укључујући пумпне станице и кућне прикључке) и система канализационе инфраструктуре (за прикупљање и третман отпадних вода, као што су канализационе мреже, укључујући кућне прикључке и црпне станице, постројења за пречишћавање отпадних вода, набавку специјалних возила).</w:t>
      </w:r>
    </w:p>
    <w:p w:rsidR="008B3877" w:rsidRPr="00F97A52" w:rsidRDefault="008B3877" w:rsidP="008B3877">
      <w:pPr>
        <w:autoSpaceDE w:val="0"/>
        <w:autoSpaceDN w:val="0"/>
        <w:adjustRightInd w:val="0"/>
        <w:ind w:firstLine="720"/>
        <w:jc w:val="both"/>
        <w:rPr>
          <w:rFonts w:eastAsia="MinionPro-Regular"/>
          <w:lang w:val="sr-Cyrl-RS"/>
        </w:rPr>
      </w:pPr>
      <w:r w:rsidRPr="00F97A52">
        <w:rPr>
          <w:rFonts w:eastAsia="MinionPro-Regular"/>
          <w:lang w:val="sr-Cyrl-RS"/>
        </w:rPr>
        <w:t>Сви подаци указују да се вода за пиће која је не само комунална већ и основна људска потреба нерационално троши. Са једне стране нерационалност настаје због високих губитака у систему (разлика између захваћене и испоручене воде) што је у основи развојни проблем, а са друге стране расипање воде као ресурса је резултат велике  специфичне потрошње воде у домаћинствима, која треба да буде на одговарајући начин препозната у тарифној политици. То би практично омогућило да комунална предузећа из прикупљених прихода од наплате својих услуга генеришу довољно средстава за покривање трошкова оперативног функционисања система, одржавања и капиталних инвестиција.</w:t>
      </w:r>
    </w:p>
    <w:p w:rsidR="008B3877" w:rsidRPr="00F97A52" w:rsidRDefault="008B3877" w:rsidP="008B3877">
      <w:pPr>
        <w:ind w:firstLine="720"/>
        <w:jc w:val="both"/>
        <w:rPr>
          <w:rFonts w:ascii="MinionPro-Regular" w:eastAsia="MinionPro-Regular" w:hAnsi="Calibri" w:cs="MinionPro-Regular"/>
          <w:sz w:val="22"/>
          <w:szCs w:val="22"/>
          <w:lang w:val="sr-Cyrl-RS"/>
        </w:rPr>
      </w:pPr>
      <w:r w:rsidRPr="00F97A52">
        <w:rPr>
          <w:lang w:val="sr-Cyrl-RS" w:eastAsia="sr-Latn-CS"/>
        </w:rPr>
        <w:t xml:space="preserve">Међутим, дужи низ година цена комуналне услуге водоснабдевања и одвођења отпадних вода не омогућава покриће оперативних трошкова постојећих система, те у том смислу не може бити извор за велике инвестиционе циклусе и развој комуналне привреде. Недовољна улагања у одговарајући третман отпадних вода кроз изградњу канализационе мреже, колектора и пречистача, загађење водотокова, подземних вода и земљишта попримило је неповољне размере, што је довело до лошег стања комуналне инфраструктуре у Републици Србији. Наша </w:t>
      </w:r>
      <w:r w:rsidRPr="00F97A52">
        <w:rPr>
          <w:lang w:val="sr-Cyrl-RS" w:eastAsia="sr-Latn-CS"/>
        </w:rPr>
        <w:lastRenderedPageBreak/>
        <w:t>земља, према изграђености канализационе инфраструктуре, спада у групу средње развијених земаља, док је у погледу третмана отпадних вода на самом зачељу.</w:t>
      </w:r>
    </w:p>
    <w:p w:rsidR="007A6987" w:rsidRPr="00A67675" w:rsidRDefault="007A6987" w:rsidP="007A6987">
      <w:pPr>
        <w:ind w:firstLine="708"/>
        <w:jc w:val="both"/>
        <w:rPr>
          <w:sz w:val="23"/>
          <w:szCs w:val="23"/>
          <w:lang w:val="sr-Cyrl-CS"/>
        </w:rPr>
      </w:pPr>
      <w:r w:rsidRPr="00A67675">
        <w:rPr>
          <w:sz w:val="23"/>
          <w:szCs w:val="23"/>
          <w:lang w:val="sr-Cyrl-CS"/>
        </w:rPr>
        <w:t xml:space="preserve">Такође, мора се имати у виду да је питка вода ограничен, понекад веома редак ресурс и да глобалне промене као што су раст становништва, економски развој, урбанизација и све уочљивије климатске промене, постављају нове захтеве пред водне ресурсе и инфраструктуру намењену како за равномерну дистрибуцију воде до потрошача (грађана, пословних субјектата, индустријских објеката и сл.) тако и за организовано одвођење и пречишћавање отпадних вода. Као последица тога, посебна пажња мора се посветити модернизацији управљања водним ресурсима, на чију динамику свакако утичу степен економске развијености, ниво еколошке свести, политички приоритети, добра управа и културне навике једне земље. </w:t>
      </w:r>
    </w:p>
    <w:p w:rsidR="007A6987" w:rsidRPr="00A67675" w:rsidRDefault="007A6987" w:rsidP="007A6987">
      <w:pPr>
        <w:ind w:firstLine="708"/>
        <w:jc w:val="both"/>
        <w:rPr>
          <w:sz w:val="23"/>
          <w:szCs w:val="23"/>
          <w:lang w:val="sr-Cyrl-CS"/>
        </w:rPr>
      </w:pPr>
      <w:r w:rsidRPr="00A67675">
        <w:rPr>
          <w:sz w:val="23"/>
          <w:szCs w:val="23"/>
          <w:lang w:val="sr-Cyrl-CS"/>
        </w:rPr>
        <w:t xml:space="preserve">Јавни водоводи у Републици Србији као скуп повезаних хидротехничких објеката и постројења, под јединственом управом и контролом, помоћу којих се вода захвата, прикупља, пречишћава и дистрибуира, бележе велике разлике у количини захваћене (количина воде која уђе у систем) и фактурисане воде. У реконструкцију и изградњу водоводне инфраструктуре је до сада улагано у складу са расположивим финансијским средствима, при чему су приоритет биле хитне интервенције, те се ретко или уопште није приступало њеној свеобухватој реконструкцији. </w:t>
      </w:r>
    </w:p>
    <w:p w:rsidR="007A6987" w:rsidRPr="00A67675" w:rsidRDefault="007A6987" w:rsidP="007A6987">
      <w:pPr>
        <w:ind w:firstLine="708"/>
        <w:jc w:val="both"/>
        <w:rPr>
          <w:sz w:val="23"/>
          <w:szCs w:val="23"/>
          <w:lang w:val="sr-Cyrl-CS"/>
        </w:rPr>
      </w:pPr>
      <w:r w:rsidRPr="00A67675">
        <w:rPr>
          <w:sz w:val="23"/>
          <w:szCs w:val="23"/>
          <w:lang w:val="sr-Cyrl-CS"/>
        </w:rPr>
        <w:t>Негативни ефекти оваквог стања испољавају се кроз економски утицај (трошкове експлоатације, третмана и транспорта воде која се губи на путу до корисника без остваривања прихода), технички (испрекидана и непоуздана испорука воде, чести кварови на цевоводу посебно ако се ради о азбестно-цементним цевима), социјални (незадовољство корисника) и еколошки (утицај на водне ресурсе компензовањем губитка воде даљим повећавањем броја изворишта и сл.).</w:t>
      </w:r>
    </w:p>
    <w:p w:rsidR="007A6987" w:rsidRPr="00A67675" w:rsidRDefault="007A6987" w:rsidP="007A6987">
      <w:pPr>
        <w:ind w:firstLine="708"/>
        <w:jc w:val="both"/>
        <w:rPr>
          <w:sz w:val="23"/>
          <w:szCs w:val="23"/>
          <w:lang w:val="sr-Cyrl-CS"/>
        </w:rPr>
      </w:pPr>
      <w:r w:rsidRPr="00A67675">
        <w:rPr>
          <w:sz w:val="23"/>
          <w:szCs w:val="23"/>
          <w:lang w:val="sr-Cyrl-CS"/>
        </w:rPr>
        <w:t xml:space="preserve">Циљ коме се тежи је повећање степена обухваћености јавним водоводним системима, али и постављању нових приоритета усмерених ка управљању потрошњом тако што ће се уместо сталног ширења ка новим извориштима, предузимати мере и активности на свим нивоима за рехабилитацију старих водоводних система; смањење губитака воде; повећање економске ефикасностии и подизање свести потрошача о вредности воде. </w:t>
      </w:r>
    </w:p>
    <w:p w:rsidR="008B3877" w:rsidRDefault="008B3877" w:rsidP="008B3877">
      <w:pPr>
        <w:ind w:firstLine="708"/>
        <w:jc w:val="both"/>
        <w:rPr>
          <w:lang w:val="sr-Cyrl-CS"/>
        </w:rPr>
      </w:pPr>
      <w:r w:rsidRPr="00A67675">
        <w:rPr>
          <w:sz w:val="23"/>
          <w:szCs w:val="23"/>
          <w:lang w:val="sr-Cyrl-CS"/>
        </w:rPr>
        <w:t>Реализација напред наведеног пројекта, процењене вредности од око 80 милиона евра, у сарадњи са ЕИБ-ом, значајан је корак у том правцу. Поред кредитних средстава у износу од 40 милиона евра које обезбеђује ЕИБ, преосталих 50% вредности Пројекта ће се кофинансирати из бесповратних средстава ЕУ, буџета Републике Србије и доприносима локалне самоуправе.</w:t>
      </w:r>
    </w:p>
    <w:p w:rsidR="007A6987" w:rsidRPr="00A67675" w:rsidRDefault="007A6987" w:rsidP="007A6987">
      <w:pPr>
        <w:ind w:firstLine="708"/>
        <w:jc w:val="both"/>
        <w:rPr>
          <w:sz w:val="23"/>
          <w:szCs w:val="23"/>
          <w:lang w:val="sr-Cyrl-CS"/>
        </w:rPr>
      </w:pPr>
      <w:r w:rsidRPr="00A67675">
        <w:rPr>
          <w:sz w:val="23"/>
          <w:szCs w:val="23"/>
          <w:lang w:val="sr-Cyrl-CS"/>
        </w:rPr>
        <w:t>За спровођење Пројекта којим се подржава реконструкција и/или изградња система за водоснабдевање и канализацију у општинама погођеним мигрантском кризом, поплавама и последицама других елементарних непогода које су задесиле Републику Србију протеклих година, задужена је Канцеларија за управљање јавним улагањима која ће имати улогу промотера и успоставити Јединицу за имплементацију Пројекта (ЈИП).</w:t>
      </w:r>
    </w:p>
    <w:p w:rsidR="007A6987" w:rsidRPr="00A67675" w:rsidRDefault="007A6987" w:rsidP="00A37D3D">
      <w:pPr>
        <w:ind w:firstLine="708"/>
        <w:jc w:val="both"/>
        <w:rPr>
          <w:sz w:val="23"/>
          <w:szCs w:val="23"/>
          <w:lang w:val="sr-Cyrl-CS"/>
        </w:rPr>
      </w:pPr>
      <w:r w:rsidRPr="00A67675">
        <w:rPr>
          <w:sz w:val="23"/>
          <w:szCs w:val="23"/>
          <w:lang w:val="sr-Cyrl-CS"/>
        </w:rPr>
        <w:t>Влада је Закључком 05 Број 48-</w:t>
      </w:r>
      <w:r w:rsidR="00322E59" w:rsidRPr="00A67675">
        <w:rPr>
          <w:sz w:val="23"/>
          <w:szCs w:val="23"/>
          <w:lang w:val="sr-Latn-RS"/>
        </w:rPr>
        <w:t>3903</w:t>
      </w:r>
      <w:r w:rsidRPr="00A67675">
        <w:rPr>
          <w:sz w:val="23"/>
          <w:szCs w:val="23"/>
          <w:lang w:val="sr-Cyrl-CS"/>
        </w:rPr>
        <w:t>/201</w:t>
      </w:r>
      <w:r w:rsidR="00322E59" w:rsidRPr="00A67675">
        <w:rPr>
          <w:sz w:val="23"/>
          <w:szCs w:val="23"/>
          <w:lang w:val="sr-Latn-RS"/>
        </w:rPr>
        <w:t>9</w:t>
      </w:r>
      <w:r w:rsidRPr="00A67675">
        <w:rPr>
          <w:sz w:val="23"/>
          <w:szCs w:val="23"/>
          <w:lang w:val="sr-Cyrl-CS"/>
        </w:rPr>
        <w:t xml:space="preserve"> од </w:t>
      </w:r>
      <w:r w:rsidR="00322E59" w:rsidRPr="00A67675">
        <w:rPr>
          <w:sz w:val="23"/>
          <w:szCs w:val="23"/>
          <w:lang w:val="sr-Latn-RS"/>
        </w:rPr>
        <w:t>18</w:t>
      </w:r>
      <w:r w:rsidRPr="00A67675">
        <w:rPr>
          <w:sz w:val="23"/>
          <w:szCs w:val="23"/>
          <w:lang w:val="sr-Cyrl-CS"/>
        </w:rPr>
        <w:t>. а</w:t>
      </w:r>
      <w:r w:rsidR="00322E59" w:rsidRPr="00A67675">
        <w:rPr>
          <w:sz w:val="23"/>
          <w:szCs w:val="23"/>
          <w:lang w:val="sr-Cyrl-CS"/>
        </w:rPr>
        <w:t>прила 2019</w:t>
      </w:r>
      <w:r w:rsidRPr="00A67675">
        <w:rPr>
          <w:sz w:val="23"/>
          <w:szCs w:val="23"/>
          <w:lang w:val="sr-Cyrl-CS"/>
        </w:rPr>
        <w:t>. године утврдила Основу</w:t>
      </w:r>
      <w:r w:rsidR="00322E59" w:rsidRPr="00A67675">
        <w:rPr>
          <w:sz w:val="23"/>
          <w:szCs w:val="23"/>
          <w:lang w:val="sr-Cyrl-CS"/>
        </w:rPr>
        <w:t>,</w:t>
      </w:r>
      <w:r w:rsidRPr="00A67675">
        <w:rPr>
          <w:sz w:val="23"/>
          <w:szCs w:val="23"/>
          <w:lang w:val="sr-Cyrl-CS"/>
        </w:rPr>
        <w:t xml:space="preserve"> одредила састав делегације за вођење преговора са ЕИБ-ом</w:t>
      </w:r>
      <w:r w:rsidR="00322E59" w:rsidRPr="00A67675">
        <w:rPr>
          <w:sz w:val="23"/>
          <w:szCs w:val="23"/>
          <w:lang w:val="sr-Cyrl-CS"/>
        </w:rPr>
        <w:t xml:space="preserve"> и усвојила Нацрт Финанисјког уговора</w:t>
      </w:r>
      <w:r w:rsidRPr="00A67675">
        <w:rPr>
          <w:sz w:val="23"/>
          <w:szCs w:val="23"/>
          <w:lang w:val="sr-Cyrl-CS"/>
        </w:rPr>
        <w:t xml:space="preserve">, након чега је </w:t>
      </w:r>
      <w:r w:rsidR="008B3877" w:rsidRPr="00A67675">
        <w:rPr>
          <w:sz w:val="23"/>
          <w:szCs w:val="23"/>
          <w:lang w:val="sr-Cyrl-CS"/>
        </w:rPr>
        <w:t xml:space="preserve">исти </w:t>
      </w:r>
      <w:r w:rsidRPr="00A67675">
        <w:rPr>
          <w:sz w:val="23"/>
          <w:szCs w:val="23"/>
          <w:lang w:val="sr-Cyrl-CS"/>
        </w:rPr>
        <w:t xml:space="preserve">и потписан </w:t>
      </w:r>
      <w:r w:rsidR="00322E59" w:rsidRPr="00A67675">
        <w:rPr>
          <w:sz w:val="23"/>
          <w:szCs w:val="23"/>
          <w:lang w:val="sr-Cyrl-CS"/>
        </w:rPr>
        <w:t>у Луксембургу, 29. априла 2019. године и у Београду, 7. маја 2019. године</w:t>
      </w:r>
      <w:r w:rsidRPr="00A67675">
        <w:rPr>
          <w:sz w:val="23"/>
          <w:szCs w:val="23"/>
          <w:lang w:val="sr-Cyrl-CS"/>
        </w:rPr>
        <w:t>.</w:t>
      </w:r>
    </w:p>
    <w:p w:rsidR="00322E59" w:rsidRPr="00F97A52" w:rsidRDefault="00322E59" w:rsidP="00322E59">
      <w:pPr>
        <w:ind w:firstLine="720"/>
        <w:jc w:val="both"/>
        <w:rPr>
          <w:lang w:val="sr-Cyrl-RS" w:eastAsia="sr-Latn-CS"/>
        </w:rPr>
      </w:pPr>
      <w:r w:rsidRPr="00A67675">
        <w:rPr>
          <w:sz w:val="23"/>
          <w:szCs w:val="23"/>
          <w:lang w:val="sr-Cyrl-RS" w:eastAsia="sr-Latn-CS"/>
        </w:rPr>
        <w:t>Зајам се одобрава под следећим финансијским условима:</w:t>
      </w:r>
      <w:r w:rsidRPr="00F97A52">
        <w:rPr>
          <w:lang w:val="sr-Cyrl-RS" w:eastAsia="sr-Latn-CS"/>
        </w:rPr>
        <w:t xml:space="preserve"> </w:t>
      </w:r>
    </w:p>
    <w:p w:rsidR="00322E59" w:rsidRPr="00A67675" w:rsidRDefault="00322E59" w:rsidP="00322E59">
      <w:pPr>
        <w:numPr>
          <w:ilvl w:val="0"/>
          <w:numId w:val="11"/>
        </w:numPr>
        <w:jc w:val="both"/>
        <w:rPr>
          <w:rFonts w:eastAsia="Batang"/>
          <w:bCs/>
          <w:lang w:val="sr-Cyrl-RS" w:eastAsia="ko-KR"/>
        </w:rPr>
      </w:pPr>
      <w:r w:rsidRPr="00F97A52">
        <w:rPr>
          <w:lang w:val="sr-Cyrl-RS" w:eastAsia="sr-Latn-CS"/>
        </w:rPr>
        <w:t xml:space="preserve">   </w:t>
      </w:r>
      <w:bookmarkStart w:id="0" w:name="_GoBack"/>
      <w:r w:rsidRPr="00A67675">
        <w:rPr>
          <w:rFonts w:eastAsia="Batang"/>
          <w:bCs/>
          <w:lang w:val="sr-Cyrl-RS" w:eastAsia="ko-KR"/>
        </w:rPr>
        <w:t>задужење Републике Србије: 40</w:t>
      </w:r>
      <w:r w:rsidRPr="00A67675">
        <w:rPr>
          <w:rFonts w:eastAsia="Batang"/>
          <w:lang w:val="sr-Cyrl-RS" w:eastAsia="ko-KR"/>
        </w:rPr>
        <w:t xml:space="preserve"> милиона евра;</w:t>
      </w:r>
    </w:p>
    <w:p w:rsidR="00322E59" w:rsidRPr="00A67675" w:rsidRDefault="00322E59" w:rsidP="00322E59">
      <w:pPr>
        <w:numPr>
          <w:ilvl w:val="0"/>
          <w:numId w:val="11"/>
        </w:numPr>
        <w:jc w:val="both"/>
        <w:rPr>
          <w:rFonts w:eastAsia="Batang"/>
          <w:bCs/>
          <w:lang w:val="sr-Cyrl-RS" w:eastAsia="ko-KR"/>
        </w:rPr>
      </w:pPr>
      <w:r w:rsidRPr="00A67675">
        <w:rPr>
          <w:rFonts w:eastAsia="Batang"/>
          <w:bCs/>
          <w:lang w:val="sr-Cyrl-RS" w:eastAsia="ko-KR"/>
        </w:rPr>
        <w:t xml:space="preserve">   промотер: </w:t>
      </w:r>
      <w:r w:rsidRPr="00A67675">
        <w:rPr>
          <w:lang w:val="sr-Cyrl-RS"/>
        </w:rPr>
        <w:t>Канцеларија за управљање јавним улагањима</w:t>
      </w:r>
      <w:r w:rsidRPr="00A67675">
        <w:rPr>
          <w:rFonts w:eastAsia="Batang"/>
          <w:bCs/>
          <w:lang w:val="sr-Cyrl-RS" w:eastAsia="ko-KR"/>
        </w:rPr>
        <w:t>;</w:t>
      </w:r>
    </w:p>
    <w:p w:rsidR="00322E59" w:rsidRPr="00A67675" w:rsidRDefault="00322E59" w:rsidP="00322E59">
      <w:pPr>
        <w:numPr>
          <w:ilvl w:val="0"/>
          <w:numId w:val="10"/>
        </w:numPr>
        <w:ind w:left="1276" w:hanging="567"/>
        <w:jc w:val="both"/>
        <w:rPr>
          <w:rFonts w:eastAsia="Batang"/>
          <w:bCs/>
          <w:lang w:val="sr-Cyrl-RS" w:eastAsia="ko-KR"/>
        </w:rPr>
      </w:pPr>
      <w:r w:rsidRPr="00A67675">
        <w:rPr>
          <w:rFonts w:eastAsia="Batang"/>
          <w:bCs/>
          <w:lang w:val="sr-Cyrl-RS" w:eastAsia="ko-KR"/>
        </w:rPr>
        <w:t>период отплате кредита 30 година, укључујући периода почека од 5 година;</w:t>
      </w:r>
    </w:p>
    <w:bookmarkEnd w:id="0"/>
    <w:p w:rsidR="00A67675" w:rsidRDefault="00A67675" w:rsidP="00A67675">
      <w:pPr>
        <w:jc w:val="both"/>
        <w:rPr>
          <w:rFonts w:eastAsia="Batang"/>
          <w:bCs/>
          <w:sz w:val="23"/>
          <w:szCs w:val="23"/>
          <w:lang w:eastAsia="ko-KR"/>
        </w:rPr>
      </w:pPr>
    </w:p>
    <w:p w:rsidR="00A67675" w:rsidRPr="00A67675" w:rsidRDefault="00A67675" w:rsidP="00A67675">
      <w:pPr>
        <w:jc w:val="both"/>
        <w:rPr>
          <w:rFonts w:eastAsia="Batang"/>
          <w:bCs/>
          <w:sz w:val="23"/>
          <w:szCs w:val="23"/>
          <w:lang w:val="sr-Cyrl-RS" w:eastAsia="ko-KR"/>
        </w:rPr>
      </w:pPr>
    </w:p>
    <w:p w:rsidR="00322E59" w:rsidRPr="00F97A52" w:rsidRDefault="00322E59" w:rsidP="00322E59">
      <w:pPr>
        <w:numPr>
          <w:ilvl w:val="0"/>
          <w:numId w:val="10"/>
        </w:numPr>
        <w:ind w:left="1276" w:hanging="556"/>
        <w:jc w:val="both"/>
        <w:rPr>
          <w:rFonts w:eastAsia="Batang"/>
          <w:bCs/>
          <w:lang w:val="sr-Cyrl-RS" w:eastAsia="ko-KR"/>
        </w:rPr>
      </w:pPr>
      <w:r w:rsidRPr="00F97A52">
        <w:rPr>
          <w:rFonts w:eastAsia="Batang"/>
          <w:bCs/>
          <w:lang w:val="sr-Cyrl-RS" w:eastAsia="ko-KR"/>
        </w:rPr>
        <w:lastRenderedPageBreak/>
        <w:t>каматна стопа се одређује приликом повлачења сваке транше посебно, уз могућност избора фиксне или варијабилне каматне стопе;</w:t>
      </w:r>
    </w:p>
    <w:p w:rsidR="00322E59" w:rsidRPr="00F97A52" w:rsidRDefault="00322E59" w:rsidP="00322E59">
      <w:pPr>
        <w:tabs>
          <w:tab w:val="left" w:pos="1134"/>
        </w:tabs>
        <w:ind w:left="1276" w:hanging="556"/>
        <w:jc w:val="both"/>
        <w:rPr>
          <w:rFonts w:eastAsia="Batang"/>
          <w:bCs/>
          <w:lang w:val="sr-Cyrl-RS" w:eastAsia="ko-KR"/>
        </w:rPr>
      </w:pPr>
      <w:r w:rsidRPr="00F97A52">
        <w:rPr>
          <w:rFonts w:eastAsia="Batang"/>
          <w:bCs/>
          <w:lang w:val="sr-Cyrl-RS" w:eastAsia="ko-KR"/>
        </w:rPr>
        <w:t>-</w:t>
      </w:r>
      <w:r w:rsidRPr="00F97A52">
        <w:rPr>
          <w:rFonts w:eastAsia="Batang"/>
          <w:bCs/>
          <w:lang w:val="sr-Cyrl-RS" w:eastAsia="ko-KR"/>
        </w:rPr>
        <w:tab/>
        <w:t xml:space="preserve">  фиксна каматна стопа означава годишњу каматну стопу одређену од стране банке, у складу са принципима које повремено утврђују управна тела банке за кредите изражене у валути евро;</w:t>
      </w:r>
    </w:p>
    <w:p w:rsidR="00322E59" w:rsidRPr="00F97A52" w:rsidRDefault="00322E59" w:rsidP="00322E59">
      <w:pPr>
        <w:tabs>
          <w:tab w:val="left" w:pos="1200"/>
        </w:tabs>
        <w:ind w:left="1276" w:hanging="556"/>
        <w:jc w:val="both"/>
        <w:rPr>
          <w:rFonts w:eastAsia="Batang"/>
          <w:bCs/>
          <w:lang w:val="sr-Cyrl-RS" w:eastAsia="ko-KR"/>
        </w:rPr>
      </w:pPr>
      <w:r w:rsidRPr="00F97A52">
        <w:rPr>
          <w:rFonts w:eastAsia="Batang"/>
          <w:bCs/>
          <w:lang w:val="sr-Cyrl-RS" w:eastAsia="ko-KR"/>
        </w:rPr>
        <w:t>-</w:t>
      </w:r>
      <w:r w:rsidRPr="00F97A52">
        <w:rPr>
          <w:rFonts w:eastAsia="Batang"/>
          <w:bCs/>
          <w:lang w:val="sr-Cyrl-RS" w:eastAsia="ko-KR"/>
        </w:rPr>
        <w:tab/>
      </w:r>
      <w:r w:rsidRPr="00F97A52">
        <w:rPr>
          <w:rFonts w:eastAsia="Batang"/>
          <w:bCs/>
          <w:lang w:val="sr-Cyrl-RS" w:eastAsia="ko-KR"/>
        </w:rPr>
        <w:tab/>
        <w:t xml:space="preserve">варијабилна каматна стопа означава каматну стопу на годишњем нивоу која је једнака шестомесечном EURIBOR-у </w:t>
      </w:r>
      <w:r w:rsidRPr="00F97A52">
        <w:rPr>
          <w:lang w:val="sr-Cyrl-RS"/>
        </w:rPr>
        <w:t>(у случају да EURIBOR има негативну вредност, одређује се као нула)</w:t>
      </w:r>
      <w:r w:rsidRPr="00F97A52">
        <w:rPr>
          <w:rFonts w:eastAsia="Batang"/>
          <w:bCs/>
          <w:lang w:val="sr-Cyrl-RS" w:eastAsia="ko-KR"/>
        </w:rPr>
        <w:t>, плус одређени распон, који банка одређује за сваки референтни период. Распон се утврђује за цео период отплате транше;</w:t>
      </w:r>
    </w:p>
    <w:p w:rsidR="00322E59" w:rsidRPr="00F97A52" w:rsidRDefault="00322E59" w:rsidP="00322E59">
      <w:pPr>
        <w:tabs>
          <w:tab w:val="left" w:pos="1200"/>
        </w:tabs>
        <w:ind w:left="1276" w:hanging="556"/>
        <w:jc w:val="both"/>
        <w:rPr>
          <w:bCs/>
          <w:lang w:val="sr-Cyrl-RS" w:eastAsia="x-none"/>
        </w:rPr>
      </w:pPr>
      <w:r w:rsidRPr="00F97A52">
        <w:rPr>
          <w:bCs/>
          <w:lang w:val="sr-Cyrl-RS" w:eastAsia="x-none"/>
        </w:rPr>
        <w:t>-</w:t>
      </w:r>
      <w:r w:rsidRPr="00F97A52">
        <w:rPr>
          <w:bCs/>
          <w:lang w:val="sr-Cyrl-RS" w:eastAsia="x-none"/>
        </w:rPr>
        <w:tab/>
      </w:r>
      <w:r w:rsidRPr="00F97A52">
        <w:rPr>
          <w:bCs/>
          <w:lang w:val="sr-Cyrl-RS" w:eastAsia="x-none"/>
        </w:rPr>
        <w:tab/>
        <w:t>приликом повлачења транше зајмопримац има могућност избора између годишње, полугодишње и тромесечне отплате кредита;</w:t>
      </w:r>
    </w:p>
    <w:p w:rsidR="00322E59" w:rsidRPr="00F97A52" w:rsidRDefault="00322E59" w:rsidP="00322E59">
      <w:pPr>
        <w:tabs>
          <w:tab w:val="left" w:pos="1200"/>
        </w:tabs>
        <w:ind w:left="1260" w:hanging="540"/>
        <w:jc w:val="both"/>
        <w:rPr>
          <w:rFonts w:eastAsia="Batang"/>
          <w:bCs/>
          <w:lang w:val="sr-Cyrl-RS" w:eastAsia="ko-KR"/>
        </w:rPr>
      </w:pPr>
      <w:r w:rsidRPr="00F97A52">
        <w:rPr>
          <w:rFonts w:eastAsia="Batang"/>
          <w:bCs/>
          <w:lang w:val="sr-Cyrl-RS" w:eastAsia="ko-KR"/>
        </w:rPr>
        <w:t>-</w:t>
      </w:r>
      <w:r w:rsidRPr="00F97A52">
        <w:rPr>
          <w:rFonts w:eastAsia="Batang"/>
          <w:bCs/>
          <w:lang w:val="sr-Cyrl-RS" w:eastAsia="ko-KR"/>
        </w:rPr>
        <w:tab/>
        <w:t xml:space="preserve"> без плаћања банци приступне накнаде и провизије на неповучена средства;</w:t>
      </w:r>
    </w:p>
    <w:p w:rsidR="00322E59" w:rsidRPr="00F97A52" w:rsidRDefault="00322E59" w:rsidP="00322E59">
      <w:pPr>
        <w:numPr>
          <w:ilvl w:val="0"/>
          <w:numId w:val="3"/>
        </w:numPr>
        <w:tabs>
          <w:tab w:val="clear" w:pos="960"/>
          <w:tab w:val="num" w:pos="1276"/>
          <w:tab w:val="num" w:pos="1680"/>
        </w:tabs>
        <w:ind w:left="1276" w:hanging="556"/>
        <w:jc w:val="both"/>
        <w:rPr>
          <w:rFonts w:eastAsia="Batang"/>
          <w:lang w:val="sr-Cyrl-RS" w:eastAsia="ko-KR"/>
        </w:rPr>
      </w:pPr>
      <w:r w:rsidRPr="00F97A52">
        <w:rPr>
          <w:rFonts w:eastAsia="Batang"/>
          <w:lang w:val="sr-Cyrl-RS" w:eastAsia="ko-KR"/>
        </w:rPr>
        <w:t>транша са фиксном каматном стопом отплаћује се у ануитетима или ратама са једнаким уделом главнице;</w:t>
      </w:r>
    </w:p>
    <w:p w:rsidR="00322E59" w:rsidRPr="00F97A52" w:rsidRDefault="00322E59" w:rsidP="00322E59">
      <w:pPr>
        <w:numPr>
          <w:ilvl w:val="0"/>
          <w:numId w:val="3"/>
        </w:numPr>
        <w:tabs>
          <w:tab w:val="clear" w:pos="960"/>
          <w:tab w:val="num" w:pos="1276"/>
          <w:tab w:val="num" w:pos="1680"/>
        </w:tabs>
        <w:ind w:left="1276" w:hanging="556"/>
        <w:jc w:val="both"/>
        <w:rPr>
          <w:rFonts w:eastAsia="Batang"/>
          <w:lang w:val="sr-Cyrl-RS" w:eastAsia="ko-KR"/>
        </w:rPr>
      </w:pPr>
      <w:r w:rsidRPr="00F97A52">
        <w:rPr>
          <w:rFonts w:eastAsia="Batang"/>
          <w:lang w:val="sr-Cyrl-RS" w:eastAsia="ko-KR"/>
        </w:rPr>
        <w:t>кредит се реализује у највише 20 транши, са минималним износом транше од милион евра, док ће износ прве транше бити у максималном износу од 12 милиона евра;</w:t>
      </w:r>
    </w:p>
    <w:p w:rsidR="00322E59" w:rsidRPr="00F97A52" w:rsidRDefault="00322E59" w:rsidP="00322E59">
      <w:pPr>
        <w:numPr>
          <w:ilvl w:val="0"/>
          <w:numId w:val="3"/>
        </w:numPr>
        <w:tabs>
          <w:tab w:val="clear" w:pos="960"/>
          <w:tab w:val="num" w:pos="1276"/>
          <w:tab w:val="num" w:pos="1680"/>
        </w:tabs>
        <w:ind w:left="1276" w:hanging="556"/>
        <w:jc w:val="both"/>
        <w:rPr>
          <w:rFonts w:eastAsia="Batang"/>
          <w:lang w:val="sr-Cyrl-RS" w:eastAsia="ko-KR"/>
        </w:rPr>
      </w:pPr>
      <w:r w:rsidRPr="00F97A52">
        <w:rPr>
          <w:rFonts w:eastAsia="Batang"/>
          <w:lang w:val="sr-Cyrl-RS" w:eastAsia="ko-KR"/>
        </w:rPr>
        <w:t>неће бити исплаћивано више од једне транше месечно;</w:t>
      </w:r>
    </w:p>
    <w:p w:rsidR="00322E59" w:rsidRPr="00F97A52" w:rsidRDefault="00322E59" w:rsidP="00322E59">
      <w:pPr>
        <w:numPr>
          <w:ilvl w:val="0"/>
          <w:numId w:val="3"/>
        </w:numPr>
        <w:tabs>
          <w:tab w:val="clear" w:pos="960"/>
          <w:tab w:val="num" w:pos="1276"/>
          <w:tab w:val="num" w:pos="1680"/>
        </w:tabs>
        <w:ind w:left="1276" w:hanging="556"/>
        <w:jc w:val="both"/>
        <w:rPr>
          <w:rFonts w:eastAsia="Batang"/>
          <w:lang w:val="sr-Cyrl-RS" w:eastAsia="ko-KR"/>
        </w:rPr>
      </w:pPr>
      <w:r w:rsidRPr="00F97A52">
        <w:rPr>
          <w:rFonts w:eastAsia="Batang"/>
          <w:lang w:val="sr-Cyrl-RS" w:eastAsia="ko-KR"/>
        </w:rPr>
        <w:t xml:space="preserve">период расположивости зајма: 5 година од датума закључивања финансијског уговора, уз могућност продужетка; </w:t>
      </w:r>
    </w:p>
    <w:p w:rsidR="00322E59" w:rsidRPr="00F97A52" w:rsidRDefault="00322E59" w:rsidP="00322E59">
      <w:pPr>
        <w:numPr>
          <w:ilvl w:val="0"/>
          <w:numId w:val="3"/>
        </w:numPr>
        <w:tabs>
          <w:tab w:val="clear" w:pos="960"/>
          <w:tab w:val="num" w:pos="1276"/>
          <w:tab w:val="num" w:pos="1680"/>
        </w:tabs>
        <w:ind w:left="1276" w:hanging="556"/>
        <w:jc w:val="both"/>
        <w:rPr>
          <w:rFonts w:eastAsia="Batang"/>
          <w:bCs/>
          <w:lang w:val="sr-Cyrl-RS" w:eastAsia="ko-KR"/>
        </w:rPr>
      </w:pPr>
      <w:r w:rsidRPr="00F97A52">
        <w:rPr>
          <w:rFonts w:eastAsia="Batang"/>
          <w:lang w:val="sr-Cyrl-RS" w:eastAsia="ko-KR"/>
        </w:rPr>
        <w:t xml:space="preserve">предвиђена могућност превремене отплате свих транши или дела било које транше, уколико се процени да је то повољније са становишта управљања јавним дугом, уз плаћање свих доспелих обавеза по основу камате и других трошкова банке.  </w:t>
      </w:r>
    </w:p>
    <w:p w:rsidR="007A6987" w:rsidRPr="008B3877" w:rsidRDefault="008B3877" w:rsidP="008B3877">
      <w:pPr>
        <w:ind w:firstLine="708"/>
        <w:jc w:val="both"/>
        <w:rPr>
          <w:lang w:val="sr-Cyrl-CS"/>
        </w:rPr>
      </w:pPr>
      <w:r w:rsidRPr="008B3877">
        <w:rPr>
          <w:lang w:val="sr-Cyrl-CS"/>
        </w:rPr>
        <w:t>С обзиром на стање водоводне и канализационе инфраструктуре и чињеницу да комунална предузећа и јединице локалне самоуправе не поседују довољно средстава за њихову свеобухватну реконструкцију, модернизацију и проширење, имплементација Пројекта у целини, кроз инвестициона улагања на локалном нивоу, омогућиће смањење губитака воде у системима, а самим тим и трошкова комуналних предузећа, ублажавање еколошких  проблема непречишћавања отпадних вода и њиховог директног испуштања у водотокове и створити боље услове за живот грађана.</w:t>
      </w:r>
    </w:p>
    <w:p w:rsidR="00773832" w:rsidRPr="005038A0" w:rsidRDefault="00773832" w:rsidP="0008372F">
      <w:pPr>
        <w:ind w:firstLine="708"/>
        <w:jc w:val="both"/>
        <w:rPr>
          <w:lang w:val="sr-Cyrl-CS"/>
        </w:rPr>
      </w:pPr>
    </w:p>
    <w:p w:rsidR="00692046" w:rsidRPr="005038A0" w:rsidRDefault="00816A77" w:rsidP="00816A77">
      <w:pPr>
        <w:tabs>
          <w:tab w:val="left" w:pos="1170"/>
        </w:tabs>
        <w:ind w:firstLine="720"/>
        <w:jc w:val="both"/>
        <w:rPr>
          <w:lang w:val="sr-Cyrl-CS"/>
        </w:rPr>
      </w:pPr>
      <w:r w:rsidRPr="005038A0">
        <w:rPr>
          <w:lang w:val="sr-Cyrl-CS"/>
        </w:rPr>
        <w:t xml:space="preserve">III. </w:t>
      </w:r>
      <w:r w:rsidR="00692046" w:rsidRPr="005038A0">
        <w:rPr>
          <w:lang w:val="sr-Cyrl-CS"/>
        </w:rPr>
        <w:t xml:space="preserve">ОБЈАШЊЕЊЕ ОСНОВНИХ ПРАВНИХ ИНСТИТУТА И ПОЈЕДИНАЧНИХ РЕШЕЊА </w:t>
      </w:r>
    </w:p>
    <w:p w:rsidR="00692046" w:rsidRPr="005038A0" w:rsidRDefault="00692046" w:rsidP="00A37D3D">
      <w:pPr>
        <w:jc w:val="both"/>
        <w:rPr>
          <w:lang w:val="sr-Cyrl-CS"/>
        </w:rPr>
      </w:pPr>
    </w:p>
    <w:p w:rsidR="00692046" w:rsidRPr="005038A0" w:rsidRDefault="00692046" w:rsidP="00A37D3D">
      <w:pPr>
        <w:ind w:firstLine="720"/>
        <w:jc w:val="both"/>
        <w:rPr>
          <w:rFonts w:eastAsia="SimSun"/>
          <w:lang w:val="sr-Cyrl-CS"/>
        </w:rPr>
      </w:pPr>
      <w:r w:rsidRPr="00427A07">
        <w:rPr>
          <w:lang w:val="ru-RU"/>
        </w:rPr>
        <w:t>О</w:t>
      </w:r>
      <w:r w:rsidRPr="00427A07">
        <w:rPr>
          <w:lang w:val="sr-Cyrl-CS"/>
        </w:rPr>
        <w:t xml:space="preserve">дредбом члана 1. </w:t>
      </w:r>
      <w:r w:rsidR="001203A3">
        <w:rPr>
          <w:lang w:val="sr-Cyrl-CS"/>
        </w:rPr>
        <w:t>Предлога</w:t>
      </w:r>
      <w:r w:rsidR="00C713DE" w:rsidRPr="00427A07">
        <w:rPr>
          <w:lang w:val="sr-Cyrl-CS"/>
        </w:rPr>
        <w:t xml:space="preserve"> </w:t>
      </w:r>
      <w:r w:rsidR="00FA40D9" w:rsidRPr="00427A07">
        <w:rPr>
          <w:lang w:val="sr-Cyrl-CS"/>
        </w:rPr>
        <w:t xml:space="preserve">закона </w:t>
      </w:r>
      <w:r w:rsidRPr="00427A07">
        <w:rPr>
          <w:lang w:val="sr-Cyrl-CS"/>
        </w:rPr>
        <w:t>предвиђа се потврђивање</w:t>
      </w:r>
      <w:r w:rsidR="00746BDE" w:rsidRPr="00427A07">
        <w:rPr>
          <w:rFonts w:eastAsia="SimSun"/>
          <w:lang w:val="sr-Cyrl-CS"/>
        </w:rPr>
        <w:t xml:space="preserve"> </w:t>
      </w:r>
      <w:r w:rsidR="00B54EA5" w:rsidRPr="00427A07">
        <w:rPr>
          <w:rFonts w:eastAsia="SimSun"/>
          <w:lang w:val="sr-Cyrl-CS"/>
        </w:rPr>
        <w:t>Финансијског уговора</w:t>
      </w:r>
      <w:r w:rsidRPr="00427A07">
        <w:rPr>
          <w:rFonts w:eastAsia="SimSun"/>
          <w:lang w:val="sr-Cyrl-CS"/>
        </w:rPr>
        <w:t>, у оригиналу</w:t>
      </w:r>
      <w:r w:rsidRPr="005038A0">
        <w:rPr>
          <w:rFonts w:eastAsia="SimSun"/>
          <w:lang w:val="sr-Cyrl-CS"/>
        </w:rPr>
        <w:t xml:space="preserve"> на енглеском језику.</w:t>
      </w:r>
    </w:p>
    <w:p w:rsidR="00692046" w:rsidRPr="005038A0" w:rsidRDefault="00692046" w:rsidP="00A37D3D">
      <w:pPr>
        <w:ind w:firstLine="720"/>
        <w:jc w:val="both"/>
        <w:rPr>
          <w:lang w:val="sr-Cyrl-CS"/>
        </w:rPr>
      </w:pPr>
      <w:r w:rsidRPr="005038A0">
        <w:rPr>
          <w:lang w:val="sr-Cyrl-CS"/>
        </w:rPr>
        <w:t xml:space="preserve"> Одредба члана 2. </w:t>
      </w:r>
      <w:r w:rsidR="001203A3">
        <w:rPr>
          <w:lang w:val="sr-Cyrl-CS"/>
        </w:rPr>
        <w:t>Предлога</w:t>
      </w:r>
      <w:r w:rsidR="00C713DE" w:rsidRPr="005038A0">
        <w:rPr>
          <w:lang w:val="sr-Cyrl-CS"/>
        </w:rPr>
        <w:t xml:space="preserve"> </w:t>
      </w:r>
      <w:r w:rsidR="00FA40D9" w:rsidRPr="005038A0">
        <w:rPr>
          <w:lang w:val="sr-Cyrl-CS"/>
        </w:rPr>
        <w:t xml:space="preserve">закона </w:t>
      </w:r>
      <w:r w:rsidRPr="005038A0">
        <w:rPr>
          <w:lang w:val="sr-Cyrl-CS"/>
        </w:rPr>
        <w:t xml:space="preserve">садржи текст </w:t>
      </w:r>
      <w:r w:rsidR="00B54EA5" w:rsidRPr="00B54EA5">
        <w:rPr>
          <w:rFonts w:eastAsia="SimSun"/>
          <w:lang w:val="sr-Cyrl-CS"/>
        </w:rPr>
        <w:t>Финансијског уговора</w:t>
      </w:r>
      <w:r w:rsidRPr="005038A0">
        <w:rPr>
          <w:rFonts w:eastAsia="SimSun"/>
          <w:lang w:val="sr-Cyrl-CS"/>
        </w:rPr>
        <w:t xml:space="preserve">, </w:t>
      </w:r>
      <w:r w:rsidRPr="005038A0">
        <w:rPr>
          <w:lang w:val="sr-Cyrl-CS"/>
        </w:rPr>
        <w:t>у оригиналу на енглеском језику и у преводу на српски језик.</w:t>
      </w:r>
    </w:p>
    <w:p w:rsidR="00A37D3D" w:rsidRDefault="00C713DE" w:rsidP="00A37D3D">
      <w:pPr>
        <w:ind w:firstLine="720"/>
        <w:jc w:val="both"/>
        <w:rPr>
          <w:lang w:val="sr-Cyrl-CS"/>
        </w:rPr>
      </w:pPr>
      <w:r w:rsidRPr="005038A0">
        <w:rPr>
          <w:lang w:val="sr-Cyrl-CS"/>
        </w:rPr>
        <w:t>Одредбом члана 3.</w:t>
      </w:r>
      <w:r w:rsidR="00FA40D9" w:rsidRPr="005038A0">
        <w:rPr>
          <w:lang w:val="sr-Cyrl-CS"/>
        </w:rPr>
        <w:t xml:space="preserve"> </w:t>
      </w:r>
      <w:r w:rsidR="00692046" w:rsidRPr="005038A0">
        <w:rPr>
          <w:lang w:val="sr-Cyrl-CS"/>
        </w:rPr>
        <w:t xml:space="preserve">уређује се ступање на снагу овог закона. </w:t>
      </w:r>
    </w:p>
    <w:p w:rsidR="00B54EA5" w:rsidRDefault="00B54EA5" w:rsidP="00A37D3D">
      <w:pPr>
        <w:ind w:firstLine="720"/>
        <w:jc w:val="both"/>
        <w:rPr>
          <w:lang w:val="sr-Cyrl-CS"/>
        </w:rPr>
      </w:pPr>
    </w:p>
    <w:p w:rsidR="00692046" w:rsidRPr="005038A0" w:rsidRDefault="00692046" w:rsidP="00A37D3D">
      <w:pPr>
        <w:ind w:firstLine="720"/>
        <w:jc w:val="both"/>
        <w:rPr>
          <w:bCs/>
          <w:lang w:val="sr-Cyrl-CS"/>
        </w:rPr>
      </w:pPr>
      <w:r w:rsidRPr="005038A0">
        <w:rPr>
          <w:bCs/>
        </w:rPr>
        <w:t>IV</w:t>
      </w:r>
      <w:r w:rsidRPr="005038A0">
        <w:rPr>
          <w:bCs/>
          <w:lang w:val="ru-RU"/>
        </w:rPr>
        <w:t xml:space="preserve">. </w:t>
      </w:r>
      <w:r w:rsidRPr="005038A0">
        <w:rPr>
          <w:bCs/>
          <w:lang w:val="sr-Cyrl-CS"/>
        </w:rPr>
        <w:t>ПРОЦЕНА ИЗНОСА ФИНАНСИЈСКИХ СРЕДСТАВА ПОТРЕБНИХ ЗА   СПРОВОЂЕЊЕ ЗАКОНА</w:t>
      </w:r>
    </w:p>
    <w:p w:rsidR="00692046" w:rsidRPr="005038A0" w:rsidRDefault="00692046" w:rsidP="00A37D3D">
      <w:pPr>
        <w:jc w:val="both"/>
        <w:rPr>
          <w:lang w:val="sr-Cyrl-CS"/>
        </w:rPr>
      </w:pPr>
    </w:p>
    <w:p w:rsidR="00692046" w:rsidRPr="005038A0" w:rsidRDefault="00692046" w:rsidP="00A37D3D">
      <w:pPr>
        <w:jc w:val="both"/>
        <w:rPr>
          <w:lang w:val="sr-Cyrl-CS"/>
        </w:rPr>
      </w:pPr>
      <w:r w:rsidRPr="005038A0">
        <w:rPr>
          <w:lang w:val="sr-Cyrl-CS"/>
        </w:rPr>
        <w:tab/>
        <w:t>За спровођење овог закона обезбеђиваће се средства у буџету Републике Србије.</w:t>
      </w:r>
    </w:p>
    <w:p w:rsidR="00FA40D9" w:rsidRDefault="00FA40D9" w:rsidP="00A37D3D">
      <w:pPr>
        <w:jc w:val="both"/>
        <w:rPr>
          <w:lang w:val="sr-Cyrl-CS"/>
        </w:rPr>
      </w:pPr>
    </w:p>
    <w:p w:rsidR="00427A07" w:rsidRPr="005038A0" w:rsidRDefault="00427A07" w:rsidP="00A37D3D">
      <w:pPr>
        <w:jc w:val="both"/>
        <w:rPr>
          <w:lang w:val="sr-Cyrl-CS"/>
        </w:rPr>
      </w:pPr>
    </w:p>
    <w:p w:rsidR="00692046" w:rsidRPr="005038A0" w:rsidRDefault="00692046" w:rsidP="00A37D3D">
      <w:pPr>
        <w:ind w:firstLine="720"/>
        <w:jc w:val="both"/>
        <w:rPr>
          <w:lang w:val="sr-Cyrl-CS"/>
        </w:rPr>
      </w:pPr>
      <w:r w:rsidRPr="005038A0">
        <w:lastRenderedPageBreak/>
        <w:t>V</w:t>
      </w:r>
      <w:r w:rsidRPr="005038A0">
        <w:rPr>
          <w:lang w:val="ru-RU"/>
        </w:rPr>
        <w:t xml:space="preserve">. </w:t>
      </w:r>
      <w:r w:rsidRPr="005038A0">
        <w:rPr>
          <w:lang w:val="sr-Cyrl-CS"/>
        </w:rPr>
        <w:t>РАЗЛОЗИ ЗА ДОНОШЕЊЕ ЗАКОНА ПО ХИТНОМ ПОСТУПКУ</w:t>
      </w:r>
    </w:p>
    <w:p w:rsidR="00692046" w:rsidRPr="005038A0" w:rsidRDefault="00692046" w:rsidP="00A37D3D">
      <w:pPr>
        <w:ind w:firstLine="720"/>
        <w:jc w:val="both"/>
        <w:rPr>
          <w:lang w:val="sr-Cyrl-CS"/>
        </w:rPr>
      </w:pPr>
    </w:p>
    <w:p w:rsidR="00726477" w:rsidRPr="005038A0" w:rsidRDefault="001A77EC" w:rsidP="00A37D3D">
      <w:pPr>
        <w:ind w:firstLine="720"/>
        <w:jc w:val="both"/>
        <w:rPr>
          <w:lang w:val="sr-Cyrl-CS"/>
        </w:rPr>
      </w:pPr>
      <w:r w:rsidRPr="005038A0">
        <w:rPr>
          <w:lang w:val="sr-Cyrl-CS"/>
        </w:rPr>
        <w:t>Разлози з</w:t>
      </w:r>
      <w:r w:rsidR="00692046" w:rsidRPr="005038A0">
        <w:rPr>
          <w:lang w:val="sr-Cyrl-CS"/>
        </w:rPr>
        <w:t>а доношење овог закона по хитном поступку, сагласно члану 167. Пословника Народне скупштине („Службени гласник РС”, број 20/12</w:t>
      </w:r>
      <w:r w:rsidR="00FA40D9" w:rsidRPr="005038A0">
        <w:rPr>
          <w:lang w:val="sr-Cyrl-CS"/>
        </w:rPr>
        <w:t>-</w:t>
      </w:r>
      <w:r w:rsidR="00692046" w:rsidRPr="005038A0">
        <w:rPr>
          <w:lang w:val="sr-Cyrl-CS"/>
        </w:rPr>
        <w:t xml:space="preserve">пречишћен текст) произлазе из чињенице да </w:t>
      </w:r>
      <w:r w:rsidR="00F62120" w:rsidRPr="005038A0">
        <w:rPr>
          <w:lang w:val="sr-Cyrl-CS"/>
        </w:rPr>
        <w:t>је</w:t>
      </w:r>
      <w:r w:rsidR="00692046" w:rsidRPr="005038A0">
        <w:rPr>
          <w:lang w:val="sr-Cyrl-CS"/>
        </w:rPr>
        <w:t xml:space="preserve"> </w:t>
      </w:r>
      <w:r w:rsidR="0095097B" w:rsidRPr="005038A0">
        <w:rPr>
          <w:lang w:val="sr-Cyrl-CS"/>
        </w:rPr>
        <w:t xml:space="preserve">ступање на снагу </w:t>
      </w:r>
      <w:proofErr w:type="spellStart"/>
      <w:r w:rsidR="007D53F6" w:rsidRPr="005038A0">
        <w:t>Финансијског</w:t>
      </w:r>
      <w:proofErr w:type="spellEnd"/>
      <w:r w:rsidR="0095097B" w:rsidRPr="005038A0">
        <w:rPr>
          <w:lang w:val="sr-Cyrl-CS"/>
        </w:rPr>
        <w:t xml:space="preserve"> уговора, </w:t>
      </w:r>
      <w:r w:rsidR="007D53F6" w:rsidRPr="005038A0">
        <w:rPr>
          <w:lang w:val="sr-Cyrl-CS"/>
        </w:rPr>
        <w:t xml:space="preserve">као </w:t>
      </w:r>
      <w:r w:rsidR="0095097B" w:rsidRPr="005038A0">
        <w:rPr>
          <w:lang w:val="sr-Cyrl-CS"/>
        </w:rPr>
        <w:t xml:space="preserve">и коришћење </w:t>
      </w:r>
      <w:r w:rsidR="00692046" w:rsidRPr="005038A0">
        <w:rPr>
          <w:lang w:val="sr-Cyrl-CS"/>
        </w:rPr>
        <w:t xml:space="preserve">средстава </w:t>
      </w:r>
      <w:r w:rsidR="0095097B" w:rsidRPr="005038A0">
        <w:rPr>
          <w:lang w:val="sr-Cyrl-CS"/>
        </w:rPr>
        <w:t>зајма</w:t>
      </w:r>
      <w:r w:rsidRPr="005038A0">
        <w:rPr>
          <w:lang w:val="sr-Cyrl-CS"/>
        </w:rPr>
        <w:t>,</w:t>
      </w:r>
      <w:r w:rsidR="00692046" w:rsidRPr="005038A0">
        <w:rPr>
          <w:lang w:val="sr-Cyrl-CS"/>
        </w:rPr>
        <w:t xml:space="preserve"> условљен</w:t>
      </w:r>
      <w:r w:rsidR="00F62120" w:rsidRPr="005038A0">
        <w:rPr>
          <w:lang w:val="sr-Cyrl-CS"/>
        </w:rPr>
        <w:t>о</w:t>
      </w:r>
      <w:r w:rsidR="00692046" w:rsidRPr="005038A0">
        <w:rPr>
          <w:lang w:val="sr-Cyrl-CS"/>
        </w:rPr>
        <w:t xml:space="preserve"> ступањем на снагу закона о потврђивању </w:t>
      </w:r>
      <w:r w:rsidR="007D53F6" w:rsidRPr="005038A0">
        <w:rPr>
          <w:lang w:val="sr-Cyrl-CS"/>
        </w:rPr>
        <w:t>Финансијског уговора</w:t>
      </w:r>
      <w:r w:rsidR="00F56DA4" w:rsidRPr="005038A0">
        <w:rPr>
          <w:lang w:val="sr-Cyrl-CS"/>
        </w:rPr>
        <w:t>.</w:t>
      </w:r>
    </w:p>
    <w:p w:rsidR="00726477" w:rsidRPr="005038A0" w:rsidRDefault="00726477" w:rsidP="00A37D3D">
      <w:pPr>
        <w:ind w:firstLine="708"/>
        <w:jc w:val="both"/>
        <w:rPr>
          <w:lang w:val="sr-Cyrl-CS"/>
        </w:rPr>
      </w:pPr>
    </w:p>
    <w:sectPr w:rsidR="00726477" w:rsidRPr="005038A0" w:rsidSect="003C2142">
      <w:headerReference w:type="even" r:id="rId8"/>
      <w:headerReference w:type="default" r:id="rId9"/>
      <w:footerReference w:type="even" r:id="rId10"/>
      <w:pgSz w:w="11909" w:h="16834" w:code="9"/>
      <w:pgMar w:top="1276" w:right="1469"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36B" w:rsidRDefault="0098336B">
      <w:r>
        <w:separator/>
      </w:r>
    </w:p>
  </w:endnote>
  <w:endnote w:type="continuationSeparator" w:id="0">
    <w:p w:rsidR="0098336B" w:rsidRDefault="00983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nionPro-Regular">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77" w:rsidRDefault="00F05D4B" w:rsidP="00774BEC">
    <w:pPr>
      <w:pStyle w:val="Foot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rsidR="00726477" w:rsidRDefault="007264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36B" w:rsidRDefault="0098336B">
      <w:r>
        <w:separator/>
      </w:r>
    </w:p>
  </w:footnote>
  <w:footnote w:type="continuationSeparator" w:id="0">
    <w:p w:rsidR="0098336B" w:rsidRDefault="00983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77" w:rsidRDefault="00F05D4B" w:rsidP="00062F06">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end"/>
    </w:r>
  </w:p>
  <w:p w:rsidR="00726477" w:rsidRDefault="007264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477" w:rsidRDefault="00F05D4B" w:rsidP="004A33F0">
    <w:pPr>
      <w:pStyle w:val="Header"/>
      <w:framePr w:wrap="around" w:vAnchor="text" w:hAnchor="margin" w:xAlign="center" w:y="1"/>
      <w:rPr>
        <w:rStyle w:val="PageNumber"/>
      </w:rPr>
    </w:pPr>
    <w:r>
      <w:rPr>
        <w:rStyle w:val="PageNumber"/>
      </w:rPr>
      <w:fldChar w:fldCharType="begin"/>
    </w:r>
    <w:r w:rsidR="00726477">
      <w:rPr>
        <w:rStyle w:val="PageNumber"/>
      </w:rPr>
      <w:instrText xml:space="preserve">PAGE  </w:instrText>
    </w:r>
    <w:r>
      <w:rPr>
        <w:rStyle w:val="PageNumber"/>
      </w:rPr>
      <w:fldChar w:fldCharType="separate"/>
    </w:r>
    <w:r w:rsidR="00A67675">
      <w:rPr>
        <w:rStyle w:val="PageNumber"/>
        <w:noProof/>
      </w:rPr>
      <w:t>4</w:t>
    </w:r>
    <w:r>
      <w:rPr>
        <w:rStyle w:val="PageNumber"/>
      </w:rPr>
      <w:fldChar w:fldCharType="end"/>
    </w:r>
  </w:p>
  <w:p w:rsidR="00726477" w:rsidRDefault="007264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
    <w:nsid w:val="2E802BF6"/>
    <w:multiLevelType w:val="hybridMultilevel"/>
    <w:tmpl w:val="E89C636C"/>
    <w:lvl w:ilvl="0" w:tplc="E294F4D4">
      <w:start w:val="1"/>
      <w:numFmt w:val="bullet"/>
      <w:lvlText w:val="-"/>
      <w:lvlJc w:val="left"/>
      <w:pPr>
        <w:ind w:left="1080" w:hanging="360"/>
      </w:pPr>
      <w:rPr>
        <w:rFonts w:ascii="Times New Roman" w:eastAsia="Batang"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024CFF"/>
    <w:multiLevelType w:val="hybridMultilevel"/>
    <w:tmpl w:val="DE46A94A"/>
    <w:lvl w:ilvl="0" w:tplc="903825BA">
      <w:numFmt w:val="bullet"/>
      <w:lvlText w:val="-"/>
      <w:lvlJc w:val="left"/>
      <w:pPr>
        <w:tabs>
          <w:tab w:val="num" w:pos="960"/>
        </w:tabs>
        <w:ind w:left="960" w:hanging="9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FD21AC3"/>
    <w:multiLevelType w:val="hybridMultilevel"/>
    <w:tmpl w:val="A894A4F0"/>
    <w:lvl w:ilvl="0" w:tplc="DB5AB022">
      <w:start w:val="2"/>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1D707B1"/>
    <w:multiLevelType w:val="hybridMultilevel"/>
    <w:tmpl w:val="31ACEDD0"/>
    <w:lvl w:ilvl="0" w:tplc="B59CBD2E">
      <w:numFmt w:val="bullet"/>
      <w:lvlText w:val="-"/>
      <w:lvlJc w:val="left"/>
      <w:pPr>
        <w:ind w:left="990" w:hanging="360"/>
      </w:pPr>
      <w:rPr>
        <w:rFonts w:ascii="Times New Roman" w:eastAsia="Calibri" w:hAnsi="Times New Roman" w:cs="Times New Roman" w:hint="default"/>
      </w:rPr>
    </w:lvl>
    <w:lvl w:ilvl="1" w:tplc="081A0003" w:tentative="1">
      <w:start w:val="1"/>
      <w:numFmt w:val="bullet"/>
      <w:lvlText w:val="o"/>
      <w:lvlJc w:val="left"/>
      <w:pPr>
        <w:ind w:left="1710" w:hanging="360"/>
      </w:pPr>
      <w:rPr>
        <w:rFonts w:ascii="Courier New" w:hAnsi="Courier New" w:cs="Courier New" w:hint="default"/>
      </w:rPr>
    </w:lvl>
    <w:lvl w:ilvl="2" w:tplc="081A0005" w:tentative="1">
      <w:start w:val="1"/>
      <w:numFmt w:val="bullet"/>
      <w:lvlText w:val=""/>
      <w:lvlJc w:val="left"/>
      <w:pPr>
        <w:ind w:left="2430" w:hanging="360"/>
      </w:pPr>
      <w:rPr>
        <w:rFonts w:ascii="Wingdings" w:hAnsi="Wingdings" w:hint="default"/>
      </w:rPr>
    </w:lvl>
    <w:lvl w:ilvl="3" w:tplc="081A0001" w:tentative="1">
      <w:start w:val="1"/>
      <w:numFmt w:val="bullet"/>
      <w:lvlText w:val=""/>
      <w:lvlJc w:val="left"/>
      <w:pPr>
        <w:ind w:left="3150" w:hanging="360"/>
      </w:pPr>
      <w:rPr>
        <w:rFonts w:ascii="Symbol" w:hAnsi="Symbol" w:hint="default"/>
      </w:rPr>
    </w:lvl>
    <w:lvl w:ilvl="4" w:tplc="081A0003" w:tentative="1">
      <w:start w:val="1"/>
      <w:numFmt w:val="bullet"/>
      <w:lvlText w:val="o"/>
      <w:lvlJc w:val="left"/>
      <w:pPr>
        <w:ind w:left="3870" w:hanging="360"/>
      </w:pPr>
      <w:rPr>
        <w:rFonts w:ascii="Courier New" w:hAnsi="Courier New" w:cs="Courier New" w:hint="default"/>
      </w:rPr>
    </w:lvl>
    <w:lvl w:ilvl="5" w:tplc="081A0005" w:tentative="1">
      <w:start w:val="1"/>
      <w:numFmt w:val="bullet"/>
      <w:lvlText w:val=""/>
      <w:lvlJc w:val="left"/>
      <w:pPr>
        <w:ind w:left="4590" w:hanging="360"/>
      </w:pPr>
      <w:rPr>
        <w:rFonts w:ascii="Wingdings" w:hAnsi="Wingdings" w:hint="default"/>
      </w:rPr>
    </w:lvl>
    <w:lvl w:ilvl="6" w:tplc="081A0001" w:tentative="1">
      <w:start w:val="1"/>
      <w:numFmt w:val="bullet"/>
      <w:lvlText w:val=""/>
      <w:lvlJc w:val="left"/>
      <w:pPr>
        <w:ind w:left="5310" w:hanging="360"/>
      </w:pPr>
      <w:rPr>
        <w:rFonts w:ascii="Symbol" w:hAnsi="Symbol" w:hint="default"/>
      </w:rPr>
    </w:lvl>
    <w:lvl w:ilvl="7" w:tplc="081A0003" w:tentative="1">
      <w:start w:val="1"/>
      <w:numFmt w:val="bullet"/>
      <w:lvlText w:val="o"/>
      <w:lvlJc w:val="left"/>
      <w:pPr>
        <w:ind w:left="6030" w:hanging="360"/>
      </w:pPr>
      <w:rPr>
        <w:rFonts w:ascii="Courier New" w:hAnsi="Courier New" w:cs="Courier New" w:hint="default"/>
      </w:rPr>
    </w:lvl>
    <w:lvl w:ilvl="8" w:tplc="081A0005" w:tentative="1">
      <w:start w:val="1"/>
      <w:numFmt w:val="bullet"/>
      <w:lvlText w:val=""/>
      <w:lvlJc w:val="left"/>
      <w:pPr>
        <w:ind w:left="6750" w:hanging="360"/>
      </w:pPr>
      <w:rPr>
        <w:rFonts w:ascii="Wingdings" w:hAnsi="Wingdings" w:hint="default"/>
      </w:rPr>
    </w:lvl>
  </w:abstractNum>
  <w:abstractNum w:abstractNumId="1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5CCA760B"/>
    <w:multiLevelType w:val="hybridMultilevel"/>
    <w:tmpl w:val="27CC2F14"/>
    <w:lvl w:ilvl="0" w:tplc="E63E5ABA">
      <w:start w:val="5"/>
      <w:numFmt w:val="bullet"/>
      <w:lvlText w:val="–"/>
      <w:lvlJc w:val="left"/>
      <w:pPr>
        <w:ind w:left="1068" w:hanging="360"/>
      </w:pPr>
      <w:rPr>
        <w:rFonts w:ascii="Times New Roman" w:eastAsia="SimSu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3">
    <w:nsid w:val="6D2853B0"/>
    <w:multiLevelType w:val="hybridMultilevel"/>
    <w:tmpl w:val="1B1C4D1E"/>
    <w:lvl w:ilvl="0" w:tplc="95AEDEBA">
      <w:start w:val="5"/>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4"/>
  </w:num>
  <w:num w:numId="6">
    <w:abstractNumId w:val="2"/>
  </w:num>
  <w:num w:numId="7">
    <w:abstractNumId w:val="7"/>
  </w:num>
  <w:num w:numId="8">
    <w:abstractNumId w:val="1"/>
  </w:num>
  <w:num w:numId="9">
    <w:abstractNumId w:val="6"/>
  </w:num>
  <w:num w:numId="10">
    <w:abstractNumId w:val="9"/>
  </w:num>
  <w:num w:numId="11">
    <w:abstractNumId w:val="3"/>
  </w:num>
  <w:num w:numId="12">
    <w:abstractNumId w:val="8"/>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E17"/>
    <w:rsid w:val="0000623F"/>
    <w:rsid w:val="00020FCC"/>
    <w:rsid w:val="00032B9A"/>
    <w:rsid w:val="000437FA"/>
    <w:rsid w:val="00053953"/>
    <w:rsid w:val="00062F06"/>
    <w:rsid w:val="00063735"/>
    <w:rsid w:val="00064108"/>
    <w:rsid w:val="00073E3C"/>
    <w:rsid w:val="00081E8A"/>
    <w:rsid w:val="000821BE"/>
    <w:rsid w:val="000828FE"/>
    <w:rsid w:val="0008372F"/>
    <w:rsid w:val="000934C3"/>
    <w:rsid w:val="0009350A"/>
    <w:rsid w:val="000A0D8B"/>
    <w:rsid w:val="000A50DC"/>
    <w:rsid w:val="000B0459"/>
    <w:rsid w:val="000B433B"/>
    <w:rsid w:val="000B4E48"/>
    <w:rsid w:val="000B53A9"/>
    <w:rsid w:val="000B5749"/>
    <w:rsid w:val="000C1F4C"/>
    <w:rsid w:val="000C4E82"/>
    <w:rsid w:val="000C624C"/>
    <w:rsid w:val="000E05B7"/>
    <w:rsid w:val="00103B05"/>
    <w:rsid w:val="00113ACC"/>
    <w:rsid w:val="00115F04"/>
    <w:rsid w:val="00117CB4"/>
    <w:rsid w:val="001203A3"/>
    <w:rsid w:val="00126325"/>
    <w:rsid w:val="001417E0"/>
    <w:rsid w:val="00144767"/>
    <w:rsid w:val="00147749"/>
    <w:rsid w:val="00153626"/>
    <w:rsid w:val="001667F5"/>
    <w:rsid w:val="001A3B02"/>
    <w:rsid w:val="001A7148"/>
    <w:rsid w:val="001A77EC"/>
    <w:rsid w:val="001B66FD"/>
    <w:rsid w:val="001C546D"/>
    <w:rsid w:val="001C5E2D"/>
    <w:rsid w:val="001E1C8B"/>
    <w:rsid w:val="001E418E"/>
    <w:rsid w:val="001E57EF"/>
    <w:rsid w:val="001E7107"/>
    <w:rsid w:val="001E7301"/>
    <w:rsid w:val="001F1228"/>
    <w:rsid w:val="001F52BB"/>
    <w:rsid w:val="001F7148"/>
    <w:rsid w:val="00204A89"/>
    <w:rsid w:val="002052E3"/>
    <w:rsid w:val="00241C0E"/>
    <w:rsid w:val="00243DD8"/>
    <w:rsid w:val="002451DF"/>
    <w:rsid w:val="00253453"/>
    <w:rsid w:val="00255BA5"/>
    <w:rsid w:val="0025659C"/>
    <w:rsid w:val="0025742D"/>
    <w:rsid w:val="00272201"/>
    <w:rsid w:val="00280305"/>
    <w:rsid w:val="00284188"/>
    <w:rsid w:val="00286C70"/>
    <w:rsid w:val="00291078"/>
    <w:rsid w:val="002912F5"/>
    <w:rsid w:val="002A19F2"/>
    <w:rsid w:val="002B468F"/>
    <w:rsid w:val="002C0EF5"/>
    <w:rsid w:val="002C140C"/>
    <w:rsid w:val="002F1750"/>
    <w:rsid w:val="0030234C"/>
    <w:rsid w:val="00316AB7"/>
    <w:rsid w:val="00322E59"/>
    <w:rsid w:val="00336CD2"/>
    <w:rsid w:val="00343088"/>
    <w:rsid w:val="00343D47"/>
    <w:rsid w:val="00344F7E"/>
    <w:rsid w:val="00356442"/>
    <w:rsid w:val="0035699D"/>
    <w:rsid w:val="003627B1"/>
    <w:rsid w:val="0036351A"/>
    <w:rsid w:val="00375309"/>
    <w:rsid w:val="0037575B"/>
    <w:rsid w:val="0038219E"/>
    <w:rsid w:val="00382719"/>
    <w:rsid w:val="00382C30"/>
    <w:rsid w:val="00384EA3"/>
    <w:rsid w:val="00387AD2"/>
    <w:rsid w:val="003B34BB"/>
    <w:rsid w:val="003B52EA"/>
    <w:rsid w:val="003C0CD0"/>
    <w:rsid w:val="003C2142"/>
    <w:rsid w:val="003E6854"/>
    <w:rsid w:val="003E6BA6"/>
    <w:rsid w:val="003F7B23"/>
    <w:rsid w:val="0040226C"/>
    <w:rsid w:val="00423BF8"/>
    <w:rsid w:val="00427A07"/>
    <w:rsid w:val="00452464"/>
    <w:rsid w:val="00470AE5"/>
    <w:rsid w:val="00475346"/>
    <w:rsid w:val="00475C98"/>
    <w:rsid w:val="00481EDB"/>
    <w:rsid w:val="00485D86"/>
    <w:rsid w:val="004A33F0"/>
    <w:rsid w:val="004A3461"/>
    <w:rsid w:val="004B0478"/>
    <w:rsid w:val="004B4959"/>
    <w:rsid w:val="004B74C6"/>
    <w:rsid w:val="004C5540"/>
    <w:rsid w:val="004E3B5A"/>
    <w:rsid w:val="004E689B"/>
    <w:rsid w:val="004F5575"/>
    <w:rsid w:val="005038A0"/>
    <w:rsid w:val="005038FB"/>
    <w:rsid w:val="00505712"/>
    <w:rsid w:val="00507384"/>
    <w:rsid w:val="00507842"/>
    <w:rsid w:val="00525E17"/>
    <w:rsid w:val="00526BD0"/>
    <w:rsid w:val="00534BAD"/>
    <w:rsid w:val="00542F03"/>
    <w:rsid w:val="00543111"/>
    <w:rsid w:val="0056231B"/>
    <w:rsid w:val="00562EF5"/>
    <w:rsid w:val="00564468"/>
    <w:rsid w:val="005667F8"/>
    <w:rsid w:val="005759C0"/>
    <w:rsid w:val="00584A3D"/>
    <w:rsid w:val="00590734"/>
    <w:rsid w:val="005937ED"/>
    <w:rsid w:val="00596B97"/>
    <w:rsid w:val="005B7034"/>
    <w:rsid w:val="005B78AF"/>
    <w:rsid w:val="005C0446"/>
    <w:rsid w:val="005C39E1"/>
    <w:rsid w:val="005C442E"/>
    <w:rsid w:val="005C62A0"/>
    <w:rsid w:val="005D0A0B"/>
    <w:rsid w:val="005D4E8E"/>
    <w:rsid w:val="005F3A87"/>
    <w:rsid w:val="005F7752"/>
    <w:rsid w:val="00604F72"/>
    <w:rsid w:val="00606517"/>
    <w:rsid w:val="00612F27"/>
    <w:rsid w:val="006130E2"/>
    <w:rsid w:val="00621F25"/>
    <w:rsid w:val="00624117"/>
    <w:rsid w:val="0064720E"/>
    <w:rsid w:val="00654444"/>
    <w:rsid w:val="006610A8"/>
    <w:rsid w:val="006655D8"/>
    <w:rsid w:val="006767ED"/>
    <w:rsid w:val="0069053B"/>
    <w:rsid w:val="00692046"/>
    <w:rsid w:val="0069359B"/>
    <w:rsid w:val="006941D5"/>
    <w:rsid w:val="006961E3"/>
    <w:rsid w:val="006B2DE0"/>
    <w:rsid w:val="006B3D26"/>
    <w:rsid w:val="006B4040"/>
    <w:rsid w:val="006B6E0D"/>
    <w:rsid w:val="006C0CB7"/>
    <w:rsid w:val="006C671B"/>
    <w:rsid w:val="006C6834"/>
    <w:rsid w:val="006D1429"/>
    <w:rsid w:val="006E2373"/>
    <w:rsid w:val="006E3BFE"/>
    <w:rsid w:val="006F005C"/>
    <w:rsid w:val="006F0436"/>
    <w:rsid w:val="006F1D87"/>
    <w:rsid w:val="006F412B"/>
    <w:rsid w:val="0070299B"/>
    <w:rsid w:val="007064E3"/>
    <w:rsid w:val="0071651A"/>
    <w:rsid w:val="007173D8"/>
    <w:rsid w:val="0072050A"/>
    <w:rsid w:val="00723279"/>
    <w:rsid w:val="0072640A"/>
    <w:rsid w:val="00726477"/>
    <w:rsid w:val="00740858"/>
    <w:rsid w:val="00746BDE"/>
    <w:rsid w:val="00756EEE"/>
    <w:rsid w:val="00757A2E"/>
    <w:rsid w:val="007603E0"/>
    <w:rsid w:val="00773832"/>
    <w:rsid w:val="00774BEC"/>
    <w:rsid w:val="007769D6"/>
    <w:rsid w:val="007831CB"/>
    <w:rsid w:val="00790D84"/>
    <w:rsid w:val="00792FB6"/>
    <w:rsid w:val="00796DC0"/>
    <w:rsid w:val="007A1385"/>
    <w:rsid w:val="007A6987"/>
    <w:rsid w:val="007B14FA"/>
    <w:rsid w:val="007C3802"/>
    <w:rsid w:val="007C5ECC"/>
    <w:rsid w:val="007D3CBB"/>
    <w:rsid w:val="007D53F6"/>
    <w:rsid w:val="007F45DA"/>
    <w:rsid w:val="007F76C7"/>
    <w:rsid w:val="00812742"/>
    <w:rsid w:val="00816A77"/>
    <w:rsid w:val="00824570"/>
    <w:rsid w:val="0082735B"/>
    <w:rsid w:val="00836B68"/>
    <w:rsid w:val="00845874"/>
    <w:rsid w:val="00860400"/>
    <w:rsid w:val="008604C6"/>
    <w:rsid w:val="00862E50"/>
    <w:rsid w:val="00864A3D"/>
    <w:rsid w:val="008652F7"/>
    <w:rsid w:val="00866F6D"/>
    <w:rsid w:val="00874CB0"/>
    <w:rsid w:val="00887ECE"/>
    <w:rsid w:val="00890B04"/>
    <w:rsid w:val="00890DFB"/>
    <w:rsid w:val="0089793E"/>
    <w:rsid w:val="008A2893"/>
    <w:rsid w:val="008A5900"/>
    <w:rsid w:val="008B3877"/>
    <w:rsid w:val="008B4ED3"/>
    <w:rsid w:val="008B4F87"/>
    <w:rsid w:val="008C220C"/>
    <w:rsid w:val="008C39C2"/>
    <w:rsid w:val="008C45A6"/>
    <w:rsid w:val="008D29F9"/>
    <w:rsid w:val="008F15A3"/>
    <w:rsid w:val="008F54A3"/>
    <w:rsid w:val="008F79A8"/>
    <w:rsid w:val="00902EE5"/>
    <w:rsid w:val="009142C3"/>
    <w:rsid w:val="00923785"/>
    <w:rsid w:val="009327F0"/>
    <w:rsid w:val="009333FB"/>
    <w:rsid w:val="00933B8D"/>
    <w:rsid w:val="00935EEF"/>
    <w:rsid w:val="0094174E"/>
    <w:rsid w:val="00947089"/>
    <w:rsid w:val="00947F14"/>
    <w:rsid w:val="0095097B"/>
    <w:rsid w:val="0096620B"/>
    <w:rsid w:val="00966D91"/>
    <w:rsid w:val="0097521F"/>
    <w:rsid w:val="009811A0"/>
    <w:rsid w:val="0098336B"/>
    <w:rsid w:val="0099088A"/>
    <w:rsid w:val="009A781A"/>
    <w:rsid w:val="009B3000"/>
    <w:rsid w:val="009C0011"/>
    <w:rsid w:val="009C0876"/>
    <w:rsid w:val="009C535A"/>
    <w:rsid w:val="009D1A3E"/>
    <w:rsid w:val="009E43BE"/>
    <w:rsid w:val="009E62DB"/>
    <w:rsid w:val="009E66D1"/>
    <w:rsid w:val="009E6D0B"/>
    <w:rsid w:val="009F0496"/>
    <w:rsid w:val="009F310E"/>
    <w:rsid w:val="00A037E5"/>
    <w:rsid w:val="00A054F7"/>
    <w:rsid w:val="00A1714E"/>
    <w:rsid w:val="00A218FF"/>
    <w:rsid w:val="00A24C0E"/>
    <w:rsid w:val="00A32081"/>
    <w:rsid w:val="00A36EB5"/>
    <w:rsid w:val="00A37D3D"/>
    <w:rsid w:val="00A56DC0"/>
    <w:rsid w:val="00A66499"/>
    <w:rsid w:val="00A67675"/>
    <w:rsid w:val="00A67B90"/>
    <w:rsid w:val="00A77C1B"/>
    <w:rsid w:val="00A91491"/>
    <w:rsid w:val="00AA5172"/>
    <w:rsid w:val="00AA5E8B"/>
    <w:rsid w:val="00AA7FD3"/>
    <w:rsid w:val="00AB0889"/>
    <w:rsid w:val="00AB09A7"/>
    <w:rsid w:val="00AB1D87"/>
    <w:rsid w:val="00AC23DB"/>
    <w:rsid w:val="00AC319E"/>
    <w:rsid w:val="00AC6967"/>
    <w:rsid w:val="00AC6E28"/>
    <w:rsid w:val="00AD2A88"/>
    <w:rsid w:val="00AF05CC"/>
    <w:rsid w:val="00AF7D76"/>
    <w:rsid w:val="00B01134"/>
    <w:rsid w:val="00B0221D"/>
    <w:rsid w:val="00B11D1A"/>
    <w:rsid w:val="00B12106"/>
    <w:rsid w:val="00B15893"/>
    <w:rsid w:val="00B207D5"/>
    <w:rsid w:val="00B236F6"/>
    <w:rsid w:val="00B31EEB"/>
    <w:rsid w:val="00B41779"/>
    <w:rsid w:val="00B41E3D"/>
    <w:rsid w:val="00B50F49"/>
    <w:rsid w:val="00B54EA5"/>
    <w:rsid w:val="00B6096C"/>
    <w:rsid w:val="00B66801"/>
    <w:rsid w:val="00B74BC1"/>
    <w:rsid w:val="00B8231A"/>
    <w:rsid w:val="00B8286E"/>
    <w:rsid w:val="00B82F86"/>
    <w:rsid w:val="00B92820"/>
    <w:rsid w:val="00BA558F"/>
    <w:rsid w:val="00BA5836"/>
    <w:rsid w:val="00BC462E"/>
    <w:rsid w:val="00BE4ADF"/>
    <w:rsid w:val="00BE5DE1"/>
    <w:rsid w:val="00BF1E3A"/>
    <w:rsid w:val="00BF6BB4"/>
    <w:rsid w:val="00C14179"/>
    <w:rsid w:val="00C161E1"/>
    <w:rsid w:val="00C21708"/>
    <w:rsid w:val="00C454A1"/>
    <w:rsid w:val="00C574E3"/>
    <w:rsid w:val="00C60AEB"/>
    <w:rsid w:val="00C645D8"/>
    <w:rsid w:val="00C661C9"/>
    <w:rsid w:val="00C713DE"/>
    <w:rsid w:val="00C72296"/>
    <w:rsid w:val="00C8159D"/>
    <w:rsid w:val="00C8376C"/>
    <w:rsid w:val="00C847B1"/>
    <w:rsid w:val="00C90848"/>
    <w:rsid w:val="00C92DDC"/>
    <w:rsid w:val="00C95A13"/>
    <w:rsid w:val="00CB0050"/>
    <w:rsid w:val="00CB11E2"/>
    <w:rsid w:val="00CB1589"/>
    <w:rsid w:val="00CB387A"/>
    <w:rsid w:val="00CC41C3"/>
    <w:rsid w:val="00CF1B02"/>
    <w:rsid w:val="00D01EB5"/>
    <w:rsid w:val="00D055F0"/>
    <w:rsid w:val="00D06244"/>
    <w:rsid w:val="00D07955"/>
    <w:rsid w:val="00D14908"/>
    <w:rsid w:val="00D244E6"/>
    <w:rsid w:val="00D324C9"/>
    <w:rsid w:val="00D57EE4"/>
    <w:rsid w:val="00D60D13"/>
    <w:rsid w:val="00D7163A"/>
    <w:rsid w:val="00D71C65"/>
    <w:rsid w:val="00D724E0"/>
    <w:rsid w:val="00D77EA7"/>
    <w:rsid w:val="00D809EF"/>
    <w:rsid w:val="00DA3A35"/>
    <w:rsid w:val="00DD4B60"/>
    <w:rsid w:val="00DD71DE"/>
    <w:rsid w:val="00DE046C"/>
    <w:rsid w:val="00DE3BDE"/>
    <w:rsid w:val="00DF2E0D"/>
    <w:rsid w:val="00DF2F34"/>
    <w:rsid w:val="00DF3348"/>
    <w:rsid w:val="00E05F2F"/>
    <w:rsid w:val="00E12AB8"/>
    <w:rsid w:val="00E17F77"/>
    <w:rsid w:val="00E219CE"/>
    <w:rsid w:val="00E3026C"/>
    <w:rsid w:val="00E40475"/>
    <w:rsid w:val="00E45A97"/>
    <w:rsid w:val="00E45C01"/>
    <w:rsid w:val="00E64495"/>
    <w:rsid w:val="00E77BF9"/>
    <w:rsid w:val="00E80D89"/>
    <w:rsid w:val="00E80F05"/>
    <w:rsid w:val="00E8335C"/>
    <w:rsid w:val="00E85949"/>
    <w:rsid w:val="00E8762A"/>
    <w:rsid w:val="00E92AE5"/>
    <w:rsid w:val="00E93238"/>
    <w:rsid w:val="00EA60E5"/>
    <w:rsid w:val="00EC2CAE"/>
    <w:rsid w:val="00EC61DD"/>
    <w:rsid w:val="00EE585F"/>
    <w:rsid w:val="00EE6090"/>
    <w:rsid w:val="00EE6B63"/>
    <w:rsid w:val="00EF692F"/>
    <w:rsid w:val="00EF6FF3"/>
    <w:rsid w:val="00EF7238"/>
    <w:rsid w:val="00F01185"/>
    <w:rsid w:val="00F05D4B"/>
    <w:rsid w:val="00F332F8"/>
    <w:rsid w:val="00F40184"/>
    <w:rsid w:val="00F55410"/>
    <w:rsid w:val="00F56DA4"/>
    <w:rsid w:val="00F62120"/>
    <w:rsid w:val="00F765C6"/>
    <w:rsid w:val="00F84AFF"/>
    <w:rsid w:val="00F86715"/>
    <w:rsid w:val="00F90C89"/>
    <w:rsid w:val="00F9386E"/>
    <w:rsid w:val="00FA2F95"/>
    <w:rsid w:val="00FA40D9"/>
    <w:rsid w:val="00FC1322"/>
    <w:rsid w:val="00FC42E6"/>
    <w:rsid w:val="00FD0E68"/>
    <w:rsid w:val="00FE006C"/>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link w:val="BodyTextIndent2Char"/>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basedOn w:val="Normal"/>
    <w:uiPriority w:val="34"/>
    <w:qFormat/>
    <w:rsid w:val="00DA3A35"/>
    <w:pPr>
      <w:ind w:left="720"/>
      <w:contextualSpacing/>
    </w:pPr>
  </w:style>
  <w:style w:type="character" w:customStyle="1" w:styleId="BodyTextIndent2Char">
    <w:name w:val="Body Text Indent 2 Char"/>
    <w:link w:val="BodyTextIndent2"/>
    <w:rsid w:val="006767ED"/>
    <w:rPr>
      <w:bCs/>
      <w:sz w:val="24"/>
      <w:szCs w:val="24"/>
      <w:lang w:val="sr-Cyrl-CS"/>
    </w:rPr>
  </w:style>
  <w:style w:type="character" w:styleId="Hyperlink">
    <w:name w:val="Hyperlink"/>
    <w:uiPriority w:val="99"/>
    <w:rsid w:val="009F310E"/>
    <w:rPr>
      <w:rFonts w:cs="Times New Roman"/>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link w:val="BodyTextIndent2Char"/>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basedOn w:val="Normal"/>
    <w:uiPriority w:val="34"/>
    <w:qFormat/>
    <w:rsid w:val="00DA3A35"/>
    <w:pPr>
      <w:ind w:left="720"/>
      <w:contextualSpacing/>
    </w:pPr>
  </w:style>
  <w:style w:type="character" w:customStyle="1" w:styleId="BodyTextIndent2Char">
    <w:name w:val="Body Text Indent 2 Char"/>
    <w:link w:val="BodyTextIndent2"/>
    <w:rsid w:val="006767ED"/>
    <w:rPr>
      <w:bCs/>
      <w:sz w:val="24"/>
      <w:szCs w:val="24"/>
      <w:lang w:val="sr-Cyrl-CS"/>
    </w:rPr>
  </w:style>
  <w:style w:type="character" w:styleId="Hyperlink">
    <w:name w:val="Hyperlink"/>
    <w:uiPriority w:val="99"/>
    <w:rsid w:val="009F310E"/>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1426</Words>
  <Characters>8130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9537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Natalija Trkulja</cp:lastModifiedBy>
  <cp:revision>6</cp:revision>
  <cp:lastPrinted>2016-11-15T09:05:00Z</cp:lastPrinted>
  <dcterms:created xsi:type="dcterms:W3CDTF">2019-05-07T09:38:00Z</dcterms:created>
  <dcterms:modified xsi:type="dcterms:W3CDTF">2019-05-09T16:47:00Z</dcterms:modified>
</cp:coreProperties>
</file>