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5E7" w:rsidRDefault="00A665E7" w:rsidP="00A665E7">
      <w:pPr>
        <w:suppressAutoHyphens/>
        <w:spacing w:line="240" w:lineRule="auto"/>
        <w:jc w:val="right"/>
        <w:rPr>
          <w:b/>
          <w:sz w:val="22"/>
          <w:szCs w:val="22"/>
        </w:rPr>
      </w:pPr>
    </w:p>
    <w:p w:rsidR="00007FA3" w:rsidRPr="004327C2" w:rsidRDefault="00007FA3" w:rsidP="00A665E7">
      <w:pPr>
        <w:suppressAutoHyphens/>
        <w:spacing w:line="240" w:lineRule="auto"/>
        <w:jc w:val="right"/>
        <w:rPr>
          <w:b/>
          <w:sz w:val="22"/>
          <w:szCs w:val="22"/>
        </w:rPr>
      </w:pPr>
    </w:p>
    <w:p w:rsidR="00BC6A7D" w:rsidRPr="00BC6A7D" w:rsidRDefault="00BC6A7D" w:rsidP="00BC6A7D">
      <w:pPr>
        <w:spacing w:line="240" w:lineRule="auto"/>
        <w:jc w:val="center"/>
        <w:rPr>
          <w:szCs w:val="24"/>
          <w:lang w:val="sr-Cyrl-CS"/>
        </w:rPr>
      </w:pPr>
      <w:r>
        <w:rPr>
          <w:szCs w:val="24"/>
          <w:lang w:val="sr-Cyrl-RS"/>
        </w:rPr>
        <w:t>ПРЕДЛОГ</w:t>
      </w:r>
      <w:r w:rsidR="0021552A">
        <w:rPr>
          <w:szCs w:val="24"/>
        </w:rPr>
        <w:t xml:space="preserve">  </w:t>
      </w:r>
      <w:r w:rsidR="0021552A" w:rsidRPr="009C7308">
        <w:rPr>
          <w:szCs w:val="24"/>
          <w:lang w:val="sr-Cyrl-CS"/>
        </w:rPr>
        <w:t>ЗАКОНА</w:t>
      </w:r>
    </w:p>
    <w:p w:rsidR="0021552A" w:rsidRPr="009C7308" w:rsidRDefault="0021552A" w:rsidP="0021552A">
      <w:pPr>
        <w:spacing w:line="240" w:lineRule="auto"/>
        <w:jc w:val="center"/>
        <w:rPr>
          <w:szCs w:val="24"/>
        </w:rPr>
      </w:pPr>
      <w:r w:rsidRPr="009C7308">
        <w:rPr>
          <w:szCs w:val="24"/>
          <w:lang w:val="sr-Cyrl-CS"/>
        </w:rPr>
        <w:t xml:space="preserve">О ПОТВРЂИВАЊУ </w:t>
      </w:r>
      <w:bookmarkStart w:id="0" w:name="SADRZAJ_002"/>
      <w:r w:rsidRPr="009C7308">
        <w:rPr>
          <w:szCs w:val="24"/>
          <w:lang w:val="sr-Cyrl-CS"/>
        </w:rPr>
        <w:t xml:space="preserve">СПОРАЗУМА О </w:t>
      </w:r>
      <w:r w:rsidRPr="00357109">
        <w:rPr>
          <w:szCs w:val="24"/>
          <w:lang w:val="sr-Cyrl-CS"/>
        </w:rPr>
        <w:t xml:space="preserve">ЗАЈМУ </w:t>
      </w:r>
      <w:r w:rsidRPr="00A52870">
        <w:rPr>
          <w:szCs w:val="24"/>
        </w:rPr>
        <w:t>(</w:t>
      </w:r>
      <w:r w:rsidR="008D57CD" w:rsidRPr="008D57CD">
        <w:t>ПРОЈЕКАТ УНАПРЕЂЕЊА ТРГОВИНЕ И САОБРАЋАЈА ЗАПАДНОГ БАЛКАНА УЗ ПРИМЕНУ ВИШЕФАЗНОГ ПРОГРАМСКОГ ПРИСТУПА</w:t>
      </w:r>
      <w:r w:rsidR="008D57CD" w:rsidRPr="00A52870">
        <w:rPr>
          <w:szCs w:val="24"/>
        </w:rPr>
        <w:t>)</w:t>
      </w:r>
      <w:r w:rsidR="008D57CD">
        <w:rPr>
          <w:szCs w:val="24"/>
        </w:rPr>
        <w:t xml:space="preserve"> </w:t>
      </w:r>
      <w:r w:rsidRPr="009C7308">
        <w:rPr>
          <w:szCs w:val="24"/>
          <w:lang w:val="sr-Cyrl-CS"/>
        </w:rPr>
        <w:t>ИЗМЕЂУ РЕПУБЛИКЕ СРБИЈЕ И МЕЂУНАРОДНЕ БАНКЕ ЗА ОБНОВУ И</w:t>
      </w:r>
      <w:r>
        <w:rPr>
          <w:szCs w:val="24"/>
          <w:lang w:val="sr-Cyrl-CS"/>
        </w:rPr>
        <w:t xml:space="preserve"> РА</w:t>
      </w:r>
      <w:r w:rsidRPr="009C7308">
        <w:rPr>
          <w:szCs w:val="24"/>
          <w:lang w:val="sr-Cyrl-CS"/>
        </w:rPr>
        <w:t>ЗВОЈ</w:t>
      </w:r>
    </w:p>
    <w:p w:rsidR="0021552A" w:rsidRPr="00EB3E6D" w:rsidRDefault="0021552A" w:rsidP="0021552A">
      <w:pPr>
        <w:pStyle w:val="2zakon"/>
        <w:rPr>
          <w:rFonts w:ascii="Times New Roman" w:hAnsi="Times New Roman" w:cs="Times New Roman"/>
          <w:b/>
          <w:color w:val="auto"/>
          <w:sz w:val="24"/>
          <w:szCs w:val="24"/>
          <w:lang w:val="sr-Cyrl-CS"/>
        </w:rPr>
      </w:pPr>
      <w:bookmarkStart w:id="1" w:name="SADRZAJ_003"/>
      <w:bookmarkEnd w:id="0"/>
    </w:p>
    <w:p w:rsidR="0021552A" w:rsidRPr="00352AC5" w:rsidRDefault="0021552A" w:rsidP="0021552A">
      <w:pPr>
        <w:pStyle w:val="NoSpacing"/>
        <w:jc w:val="center"/>
      </w:pPr>
      <w:r w:rsidRPr="00352AC5">
        <w:t>Члан 1.</w:t>
      </w:r>
    </w:p>
    <w:p w:rsidR="0021552A" w:rsidRPr="00352AC5" w:rsidRDefault="0021552A" w:rsidP="0021552A">
      <w:pPr>
        <w:pStyle w:val="NoSpacing"/>
        <w:ind w:firstLine="709"/>
        <w:jc w:val="both"/>
      </w:pPr>
      <w:bookmarkStart w:id="2" w:name="SADRZAJ_004"/>
      <w:bookmarkEnd w:id="1"/>
      <w:proofErr w:type="spellStart"/>
      <w:r w:rsidRPr="00352AC5">
        <w:t>Потврђује</w:t>
      </w:r>
      <w:proofErr w:type="spellEnd"/>
      <w:r w:rsidRPr="00352AC5">
        <w:t xml:space="preserve"> </w:t>
      </w:r>
      <w:proofErr w:type="spellStart"/>
      <w:r w:rsidRPr="00352AC5">
        <w:t>се</w:t>
      </w:r>
      <w:proofErr w:type="spellEnd"/>
      <w:r w:rsidRPr="00352AC5">
        <w:t xml:space="preserve"> </w:t>
      </w:r>
      <w:proofErr w:type="spellStart"/>
      <w:r w:rsidRPr="00352AC5">
        <w:t>Споразум</w:t>
      </w:r>
      <w:proofErr w:type="spellEnd"/>
      <w:r w:rsidRPr="00352AC5">
        <w:t xml:space="preserve"> </w:t>
      </w:r>
      <w:bookmarkStart w:id="3" w:name="_GoBack"/>
      <w:r w:rsidRPr="00352AC5">
        <w:t xml:space="preserve">о </w:t>
      </w:r>
      <w:proofErr w:type="spellStart"/>
      <w:r w:rsidRPr="00352AC5">
        <w:t>зајму</w:t>
      </w:r>
      <w:proofErr w:type="spellEnd"/>
      <w:r w:rsidRPr="00352AC5">
        <w:t xml:space="preserve"> (</w:t>
      </w:r>
      <w:proofErr w:type="spellStart"/>
      <w:r w:rsidR="008D57CD" w:rsidRPr="008D57CD">
        <w:t>Пројекат</w:t>
      </w:r>
      <w:proofErr w:type="spellEnd"/>
      <w:r w:rsidR="008D57CD" w:rsidRPr="008D57CD">
        <w:t xml:space="preserve"> </w:t>
      </w:r>
      <w:proofErr w:type="spellStart"/>
      <w:r w:rsidR="008D57CD" w:rsidRPr="008D57CD">
        <w:t>унапређења</w:t>
      </w:r>
      <w:proofErr w:type="spellEnd"/>
      <w:r w:rsidR="008D57CD" w:rsidRPr="008D57CD">
        <w:t xml:space="preserve"> </w:t>
      </w:r>
      <w:proofErr w:type="spellStart"/>
      <w:r w:rsidR="008D57CD" w:rsidRPr="008D57CD">
        <w:t>трговине</w:t>
      </w:r>
      <w:proofErr w:type="spellEnd"/>
      <w:r w:rsidR="008D57CD" w:rsidRPr="008D57CD">
        <w:t xml:space="preserve"> и </w:t>
      </w:r>
      <w:proofErr w:type="spellStart"/>
      <w:r w:rsidR="008D57CD" w:rsidRPr="008D57CD">
        <w:t>саобраћаја</w:t>
      </w:r>
      <w:proofErr w:type="spellEnd"/>
      <w:r w:rsidR="008D57CD" w:rsidRPr="008D57CD">
        <w:t xml:space="preserve"> </w:t>
      </w:r>
      <w:proofErr w:type="spellStart"/>
      <w:r w:rsidR="008D57CD" w:rsidRPr="008D57CD">
        <w:t>Западног</w:t>
      </w:r>
      <w:proofErr w:type="spellEnd"/>
      <w:r w:rsidR="008D57CD" w:rsidRPr="008D57CD">
        <w:t xml:space="preserve"> </w:t>
      </w:r>
      <w:proofErr w:type="spellStart"/>
      <w:r w:rsidR="008D57CD" w:rsidRPr="008D57CD">
        <w:t>Балкана</w:t>
      </w:r>
      <w:proofErr w:type="spellEnd"/>
      <w:r w:rsidR="008D57CD" w:rsidRPr="008D57CD">
        <w:t xml:space="preserve"> </w:t>
      </w:r>
      <w:proofErr w:type="spellStart"/>
      <w:r w:rsidR="008D57CD" w:rsidRPr="008D57CD">
        <w:t>уз</w:t>
      </w:r>
      <w:proofErr w:type="spellEnd"/>
      <w:r w:rsidR="008D57CD" w:rsidRPr="008D57CD">
        <w:t xml:space="preserve"> </w:t>
      </w:r>
      <w:proofErr w:type="spellStart"/>
      <w:r w:rsidR="008D57CD" w:rsidRPr="008D57CD">
        <w:t>примену</w:t>
      </w:r>
      <w:proofErr w:type="spellEnd"/>
      <w:r w:rsidR="008D57CD" w:rsidRPr="008D57CD">
        <w:t xml:space="preserve"> </w:t>
      </w:r>
      <w:proofErr w:type="spellStart"/>
      <w:r w:rsidR="008D57CD" w:rsidRPr="008D57CD">
        <w:t>вишефазног</w:t>
      </w:r>
      <w:proofErr w:type="spellEnd"/>
      <w:r w:rsidR="008D57CD" w:rsidRPr="008D57CD">
        <w:t xml:space="preserve"> </w:t>
      </w:r>
      <w:proofErr w:type="spellStart"/>
      <w:r w:rsidR="008D57CD" w:rsidRPr="008D57CD">
        <w:t>програмског</w:t>
      </w:r>
      <w:proofErr w:type="spellEnd"/>
      <w:r w:rsidR="008D57CD" w:rsidRPr="008D57CD">
        <w:t xml:space="preserve"> </w:t>
      </w:r>
      <w:proofErr w:type="spellStart"/>
      <w:r w:rsidR="008D57CD" w:rsidRPr="008D57CD">
        <w:t>приступа</w:t>
      </w:r>
      <w:proofErr w:type="spellEnd"/>
      <w:r w:rsidRPr="00352AC5">
        <w:t xml:space="preserve">) </w:t>
      </w:r>
      <w:proofErr w:type="spellStart"/>
      <w:r w:rsidRPr="00352AC5">
        <w:t>између</w:t>
      </w:r>
      <w:proofErr w:type="spellEnd"/>
      <w:r w:rsidRPr="00352AC5">
        <w:t xml:space="preserve"> </w:t>
      </w:r>
      <w:proofErr w:type="spellStart"/>
      <w:r w:rsidRPr="00352AC5">
        <w:t>Републике</w:t>
      </w:r>
      <w:proofErr w:type="spellEnd"/>
      <w:r w:rsidRPr="00352AC5">
        <w:t xml:space="preserve"> </w:t>
      </w:r>
      <w:proofErr w:type="spellStart"/>
      <w:r w:rsidRPr="00352AC5">
        <w:t>Србије</w:t>
      </w:r>
      <w:proofErr w:type="spellEnd"/>
      <w:r w:rsidRPr="00352AC5">
        <w:t xml:space="preserve"> и </w:t>
      </w:r>
      <w:proofErr w:type="spellStart"/>
      <w:r w:rsidRPr="00352AC5">
        <w:t>Међународне</w:t>
      </w:r>
      <w:proofErr w:type="spellEnd"/>
      <w:r w:rsidRPr="00352AC5">
        <w:t xml:space="preserve"> </w:t>
      </w:r>
      <w:proofErr w:type="spellStart"/>
      <w:r w:rsidRPr="00352AC5">
        <w:t>банке</w:t>
      </w:r>
      <w:proofErr w:type="spellEnd"/>
      <w:r w:rsidRPr="00352AC5">
        <w:t xml:space="preserve"> </w:t>
      </w:r>
      <w:proofErr w:type="spellStart"/>
      <w:r w:rsidRPr="00352AC5">
        <w:t>за</w:t>
      </w:r>
      <w:proofErr w:type="spellEnd"/>
      <w:r w:rsidRPr="00352AC5">
        <w:t xml:space="preserve"> </w:t>
      </w:r>
      <w:proofErr w:type="spellStart"/>
      <w:r w:rsidRPr="00352AC5">
        <w:t>обнову</w:t>
      </w:r>
      <w:proofErr w:type="spellEnd"/>
      <w:r w:rsidRPr="00352AC5">
        <w:t xml:space="preserve"> и </w:t>
      </w:r>
      <w:proofErr w:type="spellStart"/>
      <w:r w:rsidRPr="00352AC5">
        <w:t>развој</w:t>
      </w:r>
      <w:bookmarkEnd w:id="3"/>
      <w:proofErr w:type="spellEnd"/>
      <w:r w:rsidRPr="00352AC5">
        <w:t xml:space="preserve">, </w:t>
      </w:r>
      <w:proofErr w:type="spellStart"/>
      <w:r w:rsidRPr="00352AC5">
        <w:t>који</w:t>
      </w:r>
      <w:proofErr w:type="spellEnd"/>
      <w:r w:rsidRPr="00352AC5">
        <w:t xml:space="preserve"> </w:t>
      </w:r>
      <w:proofErr w:type="spellStart"/>
      <w:r w:rsidRPr="00352AC5">
        <w:t>је</w:t>
      </w:r>
      <w:proofErr w:type="spellEnd"/>
      <w:r w:rsidRPr="00352AC5">
        <w:t xml:space="preserve"> </w:t>
      </w:r>
      <w:proofErr w:type="spellStart"/>
      <w:r w:rsidRPr="00352AC5">
        <w:t>потписан</w:t>
      </w:r>
      <w:proofErr w:type="spellEnd"/>
      <w:r w:rsidRPr="00352AC5">
        <w:t xml:space="preserve"> </w:t>
      </w:r>
      <w:r w:rsidR="00357BB1">
        <w:rPr>
          <w:lang w:val="sr-Cyrl-RS"/>
        </w:rPr>
        <w:t>7</w:t>
      </w:r>
      <w:r w:rsidRPr="00352AC5">
        <w:t xml:space="preserve">. </w:t>
      </w:r>
      <w:r w:rsidR="00357BB1">
        <w:rPr>
          <w:lang w:val="sr-Cyrl-RS"/>
        </w:rPr>
        <w:t>маја</w:t>
      </w:r>
      <w:r>
        <w:t xml:space="preserve"> </w:t>
      </w:r>
      <w:r w:rsidRPr="00352AC5">
        <w:rPr>
          <w:lang w:val="it-IT"/>
        </w:rPr>
        <w:t>201</w:t>
      </w:r>
      <w:r w:rsidR="009C0E50">
        <w:t>9</w:t>
      </w:r>
      <w:r w:rsidRPr="00352AC5">
        <w:rPr>
          <w:lang w:val="it-IT"/>
        </w:rPr>
        <w:t>.</w:t>
      </w:r>
      <w:r w:rsidRPr="00352AC5">
        <w:t xml:space="preserve"> </w:t>
      </w:r>
      <w:proofErr w:type="spellStart"/>
      <w:r w:rsidRPr="00352AC5">
        <w:t>године</w:t>
      </w:r>
      <w:proofErr w:type="spellEnd"/>
      <w:r w:rsidRPr="00352AC5">
        <w:t xml:space="preserve"> у </w:t>
      </w:r>
      <w:proofErr w:type="spellStart"/>
      <w:r w:rsidRPr="00352AC5">
        <w:t>Београду</w:t>
      </w:r>
      <w:proofErr w:type="spellEnd"/>
      <w:r w:rsidRPr="00352AC5">
        <w:t xml:space="preserve">, у </w:t>
      </w:r>
      <w:proofErr w:type="spellStart"/>
      <w:r w:rsidRPr="00352AC5">
        <w:t>оригиналу</w:t>
      </w:r>
      <w:proofErr w:type="spellEnd"/>
      <w:r w:rsidRPr="00352AC5">
        <w:t xml:space="preserve"> </w:t>
      </w:r>
      <w:proofErr w:type="spellStart"/>
      <w:r w:rsidRPr="00352AC5">
        <w:t>на</w:t>
      </w:r>
      <w:proofErr w:type="spellEnd"/>
      <w:r w:rsidRPr="00352AC5">
        <w:t xml:space="preserve"> </w:t>
      </w:r>
      <w:proofErr w:type="spellStart"/>
      <w:r w:rsidRPr="00352AC5">
        <w:t>енглеском</w:t>
      </w:r>
      <w:proofErr w:type="spellEnd"/>
      <w:r w:rsidRPr="00352AC5">
        <w:t xml:space="preserve"> </w:t>
      </w:r>
      <w:proofErr w:type="spellStart"/>
      <w:r w:rsidRPr="00352AC5">
        <w:t>језику</w:t>
      </w:r>
      <w:proofErr w:type="spellEnd"/>
      <w:r w:rsidRPr="00352AC5">
        <w:t>.</w:t>
      </w:r>
    </w:p>
    <w:p w:rsidR="0021552A" w:rsidRPr="00352AC5" w:rsidRDefault="0021552A" w:rsidP="0021552A">
      <w:pPr>
        <w:pStyle w:val="NoSpacing"/>
        <w:jc w:val="both"/>
      </w:pPr>
    </w:p>
    <w:p w:rsidR="0021552A" w:rsidRPr="00352AC5" w:rsidRDefault="0021552A" w:rsidP="0021552A">
      <w:pPr>
        <w:pStyle w:val="NoSpacing"/>
        <w:jc w:val="center"/>
        <w:rPr>
          <w:b/>
        </w:rPr>
      </w:pPr>
      <w:proofErr w:type="spellStart"/>
      <w:r w:rsidRPr="00352AC5">
        <w:t>Члан</w:t>
      </w:r>
      <w:proofErr w:type="spellEnd"/>
      <w:r w:rsidRPr="00352AC5">
        <w:t xml:space="preserve"> 2.</w:t>
      </w:r>
      <w:bookmarkEnd w:id="2"/>
    </w:p>
    <w:p w:rsidR="0021552A" w:rsidRPr="00352AC5" w:rsidRDefault="0021552A" w:rsidP="0021552A">
      <w:pPr>
        <w:pStyle w:val="NoSpacing"/>
        <w:ind w:firstLine="709"/>
        <w:jc w:val="both"/>
        <w:rPr>
          <w:b/>
          <w:u w:val="single"/>
        </w:rPr>
      </w:pPr>
      <w:proofErr w:type="spellStart"/>
      <w:r w:rsidRPr="00352AC5">
        <w:t>Текст</w:t>
      </w:r>
      <w:proofErr w:type="spellEnd"/>
      <w:r w:rsidRPr="00352AC5">
        <w:t xml:space="preserve"> </w:t>
      </w:r>
      <w:proofErr w:type="spellStart"/>
      <w:r w:rsidRPr="00352AC5">
        <w:t>Споразума</w:t>
      </w:r>
      <w:proofErr w:type="spellEnd"/>
      <w:r w:rsidRPr="00352AC5">
        <w:t xml:space="preserve"> о </w:t>
      </w:r>
      <w:proofErr w:type="spellStart"/>
      <w:r w:rsidRPr="00352AC5">
        <w:t>зајму</w:t>
      </w:r>
      <w:proofErr w:type="spellEnd"/>
      <w:r w:rsidRPr="00352AC5">
        <w:t xml:space="preserve"> (</w:t>
      </w:r>
      <w:proofErr w:type="spellStart"/>
      <w:r w:rsidR="008D57CD" w:rsidRPr="008D57CD">
        <w:t>Пројекат</w:t>
      </w:r>
      <w:proofErr w:type="spellEnd"/>
      <w:r w:rsidR="008D57CD" w:rsidRPr="008D57CD">
        <w:t xml:space="preserve"> </w:t>
      </w:r>
      <w:proofErr w:type="spellStart"/>
      <w:r w:rsidR="008D57CD" w:rsidRPr="008D57CD">
        <w:t>унапређења</w:t>
      </w:r>
      <w:proofErr w:type="spellEnd"/>
      <w:r w:rsidR="008D57CD" w:rsidRPr="008D57CD">
        <w:t xml:space="preserve"> </w:t>
      </w:r>
      <w:proofErr w:type="spellStart"/>
      <w:r w:rsidR="008D57CD" w:rsidRPr="008D57CD">
        <w:t>трговине</w:t>
      </w:r>
      <w:proofErr w:type="spellEnd"/>
      <w:r w:rsidR="008D57CD" w:rsidRPr="008D57CD">
        <w:t xml:space="preserve"> и </w:t>
      </w:r>
      <w:proofErr w:type="spellStart"/>
      <w:r w:rsidR="008D57CD" w:rsidRPr="008D57CD">
        <w:t>саобраћаја</w:t>
      </w:r>
      <w:proofErr w:type="spellEnd"/>
      <w:r w:rsidR="008D57CD" w:rsidRPr="008D57CD">
        <w:t xml:space="preserve"> </w:t>
      </w:r>
      <w:proofErr w:type="spellStart"/>
      <w:r w:rsidR="008D57CD" w:rsidRPr="008D57CD">
        <w:t>Западног</w:t>
      </w:r>
      <w:proofErr w:type="spellEnd"/>
      <w:r w:rsidR="008D57CD" w:rsidRPr="008D57CD">
        <w:t xml:space="preserve"> </w:t>
      </w:r>
      <w:proofErr w:type="spellStart"/>
      <w:r w:rsidR="008D57CD" w:rsidRPr="008D57CD">
        <w:t>Балкана</w:t>
      </w:r>
      <w:proofErr w:type="spellEnd"/>
      <w:r w:rsidR="008D57CD" w:rsidRPr="008D57CD">
        <w:t xml:space="preserve"> </w:t>
      </w:r>
      <w:proofErr w:type="spellStart"/>
      <w:r w:rsidR="008D57CD" w:rsidRPr="008D57CD">
        <w:t>уз</w:t>
      </w:r>
      <w:proofErr w:type="spellEnd"/>
      <w:r w:rsidR="008D57CD" w:rsidRPr="008D57CD">
        <w:t xml:space="preserve"> </w:t>
      </w:r>
      <w:proofErr w:type="spellStart"/>
      <w:r w:rsidR="008D57CD" w:rsidRPr="008D57CD">
        <w:t>примену</w:t>
      </w:r>
      <w:proofErr w:type="spellEnd"/>
      <w:r w:rsidR="008D57CD" w:rsidRPr="008D57CD">
        <w:t xml:space="preserve"> </w:t>
      </w:r>
      <w:proofErr w:type="spellStart"/>
      <w:r w:rsidR="008D57CD" w:rsidRPr="008D57CD">
        <w:t>вишефазног</w:t>
      </w:r>
      <w:proofErr w:type="spellEnd"/>
      <w:r w:rsidR="008D57CD" w:rsidRPr="008D57CD">
        <w:t xml:space="preserve"> </w:t>
      </w:r>
      <w:proofErr w:type="spellStart"/>
      <w:r w:rsidR="008D57CD" w:rsidRPr="008D57CD">
        <w:t>програмског</w:t>
      </w:r>
      <w:proofErr w:type="spellEnd"/>
      <w:r w:rsidR="008D57CD" w:rsidRPr="008D57CD">
        <w:t xml:space="preserve"> </w:t>
      </w:r>
      <w:proofErr w:type="spellStart"/>
      <w:r w:rsidR="008D57CD" w:rsidRPr="008D57CD">
        <w:t>приступа</w:t>
      </w:r>
      <w:proofErr w:type="spellEnd"/>
      <w:r w:rsidRPr="00352AC5">
        <w:t xml:space="preserve">) </w:t>
      </w:r>
      <w:proofErr w:type="spellStart"/>
      <w:r w:rsidRPr="00352AC5">
        <w:t>између</w:t>
      </w:r>
      <w:proofErr w:type="spellEnd"/>
      <w:r w:rsidRPr="00352AC5">
        <w:t xml:space="preserve"> </w:t>
      </w:r>
      <w:proofErr w:type="spellStart"/>
      <w:r w:rsidRPr="00352AC5">
        <w:t>Републике</w:t>
      </w:r>
      <w:proofErr w:type="spellEnd"/>
      <w:r w:rsidRPr="00352AC5">
        <w:t xml:space="preserve"> </w:t>
      </w:r>
      <w:proofErr w:type="spellStart"/>
      <w:r w:rsidRPr="00352AC5">
        <w:t>Србије</w:t>
      </w:r>
      <w:proofErr w:type="spellEnd"/>
      <w:r w:rsidRPr="00352AC5">
        <w:t xml:space="preserve"> и </w:t>
      </w:r>
      <w:proofErr w:type="spellStart"/>
      <w:r w:rsidRPr="00352AC5">
        <w:t>Међународне</w:t>
      </w:r>
      <w:proofErr w:type="spellEnd"/>
      <w:r w:rsidRPr="00352AC5">
        <w:t xml:space="preserve"> </w:t>
      </w:r>
      <w:proofErr w:type="spellStart"/>
      <w:r w:rsidRPr="00352AC5">
        <w:t>банке</w:t>
      </w:r>
      <w:proofErr w:type="spellEnd"/>
      <w:r w:rsidRPr="00352AC5">
        <w:t xml:space="preserve"> </w:t>
      </w:r>
      <w:proofErr w:type="spellStart"/>
      <w:r w:rsidRPr="00352AC5">
        <w:t>за</w:t>
      </w:r>
      <w:proofErr w:type="spellEnd"/>
      <w:r w:rsidRPr="00352AC5">
        <w:t xml:space="preserve"> </w:t>
      </w:r>
      <w:proofErr w:type="spellStart"/>
      <w:r w:rsidRPr="00352AC5">
        <w:t>обнову</w:t>
      </w:r>
      <w:proofErr w:type="spellEnd"/>
      <w:r w:rsidRPr="00352AC5">
        <w:t xml:space="preserve"> и </w:t>
      </w:r>
      <w:proofErr w:type="spellStart"/>
      <w:r w:rsidRPr="00352AC5">
        <w:t>развој</w:t>
      </w:r>
      <w:proofErr w:type="spellEnd"/>
      <w:r w:rsidRPr="00352AC5">
        <w:t xml:space="preserve">, у </w:t>
      </w:r>
      <w:proofErr w:type="spellStart"/>
      <w:r w:rsidRPr="00352AC5">
        <w:t>оригиналу</w:t>
      </w:r>
      <w:proofErr w:type="spellEnd"/>
      <w:r w:rsidRPr="00352AC5">
        <w:t xml:space="preserve"> </w:t>
      </w:r>
      <w:proofErr w:type="spellStart"/>
      <w:r w:rsidRPr="00352AC5">
        <w:t>на</w:t>
      </w:r>
      <w:proofErr w:type="spellEnd"/>
      <w:r w:rsidRPr="00352AC5">
        <w:t xml:space="preserve"> </w:t>
      </w:r>
      <w:proofErr w:type="spellStart"/>
      <w:r w:rsidRPr="00352AC5">
        <w:t>енглеском</w:t>
      </w:r>
      <w:proofErr w:type="spellEnd"/>
      <w:r w:rsidRPr="00352AC5">
        <w:t xml:space="preserve"> </w:t>
      </w:r>
      <w:proofErr w:type="spellStart"/>
      <w:r w:rsidRPr="00352AC5">
        <w:t>језику</w:t>
      </w:r>
      <w:proofErr w:type="spellEnd"/>
      <w:r w:rsidRPr="00352AC5">
        <w:t xml:space="preserve"> и </w:t>
      </w:r>
      <w:bookmarkStart w:id="4" w:name="SADRZAJ_013"/>
      <w:r w:rsidRPr="00352AC5">
        <w:t xml:space="preserve">у </w:t>
      </w:r>
      <w:proofErr w:type="spellStart"/>
      <w:r w:rsidRPr="00352AC5">
        <w:t>преводу</w:t>
      </w:r>
      <w:proofErr w:type="spellEnd"/>
      <w:r w:rsidRPr="00352AC5">
        <w:t xml:space="preserve"> </w:t>
      </w:r>
      <w:proofErr w:type="spellStart"/>
      <w:r w:rsidRPr="00352AC5">
        <w:t>на</w:t>
      </w:r>
      <w:proofErr w:type="spellEnd"/>
      <w:r w:rsidRPr="00352AC5">
        <w:t xml:space="preserve"> </w:t>
      </w:r>
      <w:proofErr w:type="spellStart"/>
      <w:r w:rsidRPr="00352AC5">
        <w:t>српски</w:t>
      </w:r>
      <w:proofErr w:type="spellEnd"/>
      <w:r w:rsidRPr="00352AC5">
        <w:t xml:space="preserve"> </w:t>
      </w:r>
      <w:proofErr w:type="spellStart"/>
      <w:r w:rsidRPr="00352AC5">
        <w:t>језик</w:t>
      </w:r>
      <w:proofErr w:type="spellEnd"/>
      <w:r w:rsidRPr="00352AC5">
        <w:t xml:space="preserve"> </w:t>
      </w:r>
      <w:proofErr w:type="spellStart"/>
      <w:r w:rsidRPr="00352AC5">
        <w:t>гласи</w:t>
      </w:r>
      <w:bookmarkEnd w:id="4"/>
      <w:proofErr w:type="spellEnd"/>
      <w:r w:rsidRPr="00352AC5">
        <w:t xml:space="preserve">: </w:t>
      </w:r>
    </w:p>
    <w:p w:rsidR="008D57CD" w:rsidRPr="008D57CD" w:rsidRDefault="003848A0" w:rsidP="008D57CD">
      <w:pPr>
        <w:spacing w:line="240" w:lineRule="auto"/>
        <w:rPr>
          <w:b/>
          <w:bCs/>
          <w:color w:val="FF0000"/>
          <w:sz w:val="22"/>
          <w:szCs w:val="22"/>
        </w:rPr>
      </w:pPr>
      <w:r>
        <w:rPr>
          <w:b/>
          <w:bCs/>
          <w:color w:val="FF0000"/>
          <w:sz w:val="22"/>
          <w:szCs w:val="22"/>
        </w:rPr>
        <w:br w:type="page"/>
      </w:r>
    </w:p>
    <w:p w:rsidR="008D57CD" w:rsidRPr="0096662C" w:rsidRDefault="008D57CD" w:rsidP="008D57CD">
      <w:pPr>
        <w:suppressAutoHyphens/>
        <w:spacing w:line="240" w:lineRule="auto"/>
        <w:jc w:val="right"/>
        <w:rPr>
          <w:b/>
          <w:sz w:val="22"/>
          <w:szCs w:val="22"/>
        </w:rPr>
      </w:pPr>
    </w:p>
    <w:p w:rsidR="008D57CD" w:rsidRPr="0096662C" w:rsidRDefault="008D57CD" w:rsidP="008D57CD">
      <w:pPr>
        <w:suppressAutoHyphens/>
        <w:spacing w:line="240" w:lineRule="auto"/>
        <w:jc w:val="right"/>
        <w:rPr>
          <w:b/>
          <w:sz w:val="22"/>
          <w:szCs w:val="22"/>
        </w:rPr>
      </w:pPr>
      <w:r w:rsidRPr="0096662C">
        <w:rPr>
          <w:b/>
          <w:sz w:val="22"/>
          <w:szCs w:val="22"/>
        </w:rPr>
        <w:t xml:space="preserve">LOAN NUMBER </w:t>
      </w:r>
      <w:r>
        <w:rPr>
          <w:b/>
          <w:sz w:val="22"/>
          <w:szCs w:val="22"/>
        </w:rPr>
        <w:t xml:space="preserve">IBRD </w:t>
      </w:r>
      <w:r w:rsidRPr="00FC7E8B">
        <w:rPr>
          <w:b/>
          <w:sz w:val="22"/>
          <w:szCs w:val="22"/>
        </w:rPr>
        <w:t>8930-YF</w:t>
      </w:r>
    </w:p>
    <w:p w:rsidR="008D57CD" w:rsidRPr="0096662C" w:rsidRDefault="008D57CD" w:rsidP="008D57CD">
      <w:pPr>
        <w:suppressAutoHyphens/>
        <w:spacing w:line="240" w:lineRule="auto"/>
        <w:rPr>
          <w:b/>
          <w:sz w:val="22"/>
          <w:szCs w:val="22"/>
        </w:rPr>
      </w:pPr>
    </w:p>
    <w:p w:rsidR="008D57CD" w:rsidRDefault="008D57CD" w:rsidP="008D57CD">
      <w:pPr>
        <w:suppressAutoHyphens/>
        <w:spacing w:line="240" w:lineRule="auto"/>
        <w:rPr>
          <w:b/>
          <w:sz w:val="22"/>
          <w:szCs w:val="22"/>
        </w:rPr>
      </w:pPr>
    </w:p>
    <w:p w:rsidR="008D57CD" w:rsidRDefault="008D57CD" w:rsidP="008D57CD">
      <w:pPr>
        <w:suppressAutoHyphens/>
        <w:spacing w:line="240" w:lineRule="auto"/>
        <w:rPr>
          <w:b/>
          <w:sz w:val="22"/>
          <w:szCs w:val="22"/>
        </w:rPr>
      </w:pPr>
    </w:p>
    <w:p w:rsidR="008D57CD" w:rsidRDefault="008D57CD" w:rsidP="008D57CD">
      <w:pPr>
        <w:suppressAutoHyphens/>
        <w:spacing w:line="240" w:lineRule="auto"/>
        <w:rPr>
          <w:b/>
          <w:sz w:val="22"/>
          <w:szCs w:val="22"/>
        </w:rPr>
      </w:pPr>
    </w:p>
    <w:p w:rsidR="008D57CD" w:rsidRDefault="008D57CD" w:rsidP="008D57CD">
      <w:pPr>
        <w:suppressAutoHyphens/>
        <w:spacing w:line="240" w:lineRule="auto"/>
        <w:rPr>
          <w:b/>
          <w:sz w:val="22"/>
          <w:szCs w:val="22"/>
        </w:rPr>
      </w:pPr>
    </w:p>
    <w:p w:rsidR="008D57CD" w:rsidRDefault="008D57CD" w:rsidP="008D57CD">
      <w:pPr>
        <w:suppressAutoHyphens/>
        <w:spacing w:line="240" w:lineRule="auto"/>
        <w:rPr>
          <w:b/>
          <w:sz w:val="22"/>
          <w:szCs w:val="22"/>
        </w:rPr>
      </w:pPr>
    </w:p>
    <w:p w:rsidR="008D57CD" w:rsidRDefault="008D57CD" w:rsidP="008D57CD">
      <w:pPr>
        <w:suppressAutoHyphens/>
        <w:spacing w:line="240" w:lineRule="auto"/>
        <w:rPr>
          <w:b/>
          <w:sz w:val="22"/>
          <w:szCs w:val="22"/>
        </w:rPr>
      </w:pPr>
    </w:p>
    <w:p w:rsidR="008D57CD" w:rsidRDefault="008D57CD" w:rsidP="008D57CD">
      <w:pPr>
        <w:suppressAutoHyphens/>
        <w:spacing w:line="240" w:lineRule="auto"/>
        <w:rPr>
          <w:b/>
          <w:sz w:val="22"/>
          <w:szCs w:val="22"/>
        </w:rPr>
      </w:pPr>
    </w:p>
    <w:p w:rsidR="008D57CD" w:rsidRDefault="008D57CD" w:rsidP="008D57CD">
      <w:pPr>
        <w:suppressAutoHyphens/>
        <w:spacing w:line="240" w:lineRule="auto"/>
        <w:rPr>
          <w:b/>
          <w:sz w:val="22"/>
          <w:szCs w:val="22"/>
        </w:rPr>
      </w:pPr>
    </w:p>
    <w:p w:rsidR="008D57CD" w:rsidRDefault="008D57CD" w:rsidP="008D57CD">
      <w:pPr>
        <w:suppressAutoHyphens/>
        <w:spacing w:line="240" w:lineRule="auto"/>
        <w:rPr>
          <w:b/>
          <w:sz w:val="22"/>
          <w:szCs w:val="22"/>
        </w:rPr>
      </w:pPr>
    </w:p>
    <w:p w:rsidR="008D57CD" w:rsidRDefault="008D57CD" w:rsidP="008D57CD">
      <w:pPr>
        <w:suppressAutoHyphens/>
        <w:spacing w:line="240" w:lineRule="auto"/>
        <w:rPr>
          <w:b/>
          <w:sz w:val="22"/>
          <w:szCs w:val="22"/>
        </w:rPr>
      </w:pPr>
    </w:p>
    <w:p w:rsidR="008D57CD" w:rsidRDefault="008D57CD" w:rsidP="008D57CD">
      <w:pPr>
        <w:suppressAutoHyphens/>
        <w:spacing w:line="240" w:lineRule="auto"/>
        <w:rPr>
          <w:b/>
          <w:sz w:val="22"/>
          <w:szCs w:val="22"/>
        </w:rPr>
      </w:pPr>
    </w:p>
    <w:p w:rsidR="008D57CD" w:rsidRPr="0096662C" w:rsidRDefault="008D57CD" w:rsidP="008D57CD">
      <w:pPr>
        <w:suppressAutoHyphens/>
        <w:spacing w:line="240" w:lineRule="auto"/>
        <w:rPr>
          <w:b/>
          <w:sz w:val="22"/>
          <w:szCs w:val="22"/>
        </w:rPr>
      </w:pPr>
    </w:p>
    <w:p w:rsidR="008D57CD" w:rsidRPr="00FB6CFC" w:rsidRDefault="008D57CD" w:rsidP="008D57CD">
      <w:pPr>
        <w:suppressAutoHyphens/>
        <w:spacing w:line="240" w:lineRule="auto"/>
        <w:jc w:val="center"/>
        <w:rPr>
          <w:b/>
          <w:sz w:val="48"/>
          <w:szCs w:val="48"/>
        </w:rPr>
      </w:pPr>
      <w:r w:rsidRPr="00FB6CFC">
        <w:rPr>
          <w:b/>
          <w:sz w:val="48"/>
          <w:szCs w:val="48"/>
        </w:rPr>
        <w:t>Loan Agreement</w:t>
      </w:r>
    </w:p>
    <w:p w:rsidR="008D57CD" w:rsidRPr="0096662C" w:rsidRDefault="008D57CD" w:rsidP="008D57CD">
      <w:pPr>
        <w:suppressAutoHyphens/>
        <w:spacing w:line="240" w:lineRule="auto"/>
        <w:jc w:val="center"/>
        <w:rPr>
          <w:b/>
          <w:sz w:val="22"/>
          <w:szCs w:val="22"/>
        </w:rPr>
      </w:pPr>
    </w:p>
    <w:p w:rsidR="008D57CD" w:rsidRPr="0096662C" w:rsidRDefault="008D57CD" w:rsidP="008D57CD">
      <w:pPr>
        <w:suppressAutoHyphens/>
        <w:spacing w:line="240" w:lineRule="auto"/>
        <w:jc w:val="center"/>
        <w:rPr>
          <w:b/>
          <w:sz w:val="22"/>
          <w:szCs w:val="22"/>
        </w:rPr>
      </w:pPr>
    </w:p>
    <w:p w:rsidR="008D57CD" w:rsidRPr="0096662C" w:rsidRDefault="008D57CD" w:rsidP="008D57CD">
      <w:pPr>
        <w:spacing w:line="360" w:lineRule="auto"/>
        <w:jc w:val="center"/>
        <w:rPr>
          <w:b/>
          <w:sz w:val="22"/>
          <w:szCs w:val="22"/>
        </w:rPr>
      </w:pPr>
      <w:r w:rsidRPr="0096662C">
        <w:rPr>
          <w:b/>
          <w:sz w:val="22"/>
          <w:szCs w:val="22"/>
        </w:rPr>
        <w:t>(Western Balkans Trade and Transport Facilitation Project Using the Multiphase Programmatic Approach)</w:t>
      </w:r>
    </w:p>
    <w:p w:rsidR="008D57CD" w:rsidRPr="0096662C" w:rsidRDefault="008D57CD" w:rsidP="008D57CD">
      <w:pPr>
        <w:suppressAutoHyphens/>
        <w:spacing w:line="240" w:lineRule="auto"/>
        <w:jc w:val="center"/>
        <w:rPr>
          <w:b/>
          <w:sz w:val="22"/>
          <w:szCs w:val="22"/>
        </w:rPr>
      </w:pPr>
    </w:p>
    <w:p w:rsidR="008D57CD" w:rsidRPr="0096662C" w:rsidRDefault="008D57CD" w:rsidP="008D57CD">
      <w:pPr>
        <w:suppressAutoHyphens/>
        <w:spacing w:line="240" w:lineRule="auto"/>
        <w:jc w:val="center"/>
        <w:rPr>
          <w:b/>
          <w:sz w:val="22"/>
          <w:szCs w:val="22"/>
        </w:rPr>
      </w:pPr>
    </w:p>
    <w:p w:rsidR="008D57CD" w:rsidRPr="0096662C" w:rsidRDefault="008D57CD" w:rsidP="008D57CD">
      <w:pPr>
        <w:suppressAutoHyphens/>
        <w:spacing w:line="240" w:lineRule="auto"/>
        <w:jc w:val="center"/>
        <w:rPr>
          <w:b/>
          <w:sz w:val="22"/>
          <w:szCs w:val="22"/>
        </w:rPr>
      </w:pPr>
    </w:p>
    <w:p w:rsidR="008D57CD" w:rsidRPr="0096662C" w:rsidRDefault="008D57CD" w:rsidP="008D57CD">
      <w:pPr>
        <w:suppressAutoHyphens/>
        <w:spacing w:line="240" w:lineRule="auto"/>
        <w:jc w:val="center"/>
        <w:rPr>
          <w:b/>
          <w:sz w:val="22"/>
          <w:szCs w:val="22"/>
        </w:rPr>
      </w:pPr>
      <w:r w:rsidRPr="0096662C">
        <w:rPr>
          <w:b/>
          <w:sz w:val="22"/>
          <w:szCs w:val="22"/>
        </w:rPr>
        <w:t>between</w:t>
      </w:r>
    </w:p>
    <w:p w:rsidR="008D57CD" w:rsidRPr="0096662C" w:rsidRDefault="008D57CD" w:rsidP="008D57CD">
      <w:pPr>
        <w:suppressAutoHyphens/>
        <w:spacing w:line="240" w:lineRule="auto"/>
        <w:jc w:val="center"/>
        <w:rPr>
          <w:b/>
          <w:sz w:val="22"/>
          <w:szCs w:val="22"/>
        </w:rPr>
      </w:pPr>
    </w:p>
    <w:p w:rsidR="008D57CD" w:rsidRPr="0096662C" w:rsidRDefault="008D57CD" w:rsidP="008D57CD">
      <w:pPr>
        <w:suppressAutoHyphens/>
        <w:spacing w:line="240" w:lineRule="auto"/>
        <w:jc w:val="center"/>
        <w:rPr>
          <w:b/>
          <w:sz w:val="22"/>
          <w:szCs w:val="22"/>
        </w:rPr>
      </w:pPr>
    </w:p>
    <w:p w:rsidR="008D57CD" w:rsidRPr="0096662C" w:rsidRDefault="008D57CD" w:rsidP="008D57CD">
      <w:pPr>
        <w:suppressAutoHyphens/>
        <w:spacing w:line="240" w:lineRule="auto"/>
        <w:jc w:val="center"/>
        <w:rPr>
          <w:b/>
          <w:sz w:val="22"/>
          <w:szCs w:val="22"/>
        </w:rPr>
      </w:pPr>
      <w:r w:rsidRPr="0096662C">
        <w:rPr>
          <w:b/>
          <w:sz w:val="22"/>
          <w:szCs w:val="22"/>
        </w:rPr>
        <w:t>REPUBLIC OF SERBIA</w:t>
      </w:r>
    </w:p>
    <w:p w:rsidR="008D57CD" w:rsidRPr="0096662C" w:rsidRDefault="008D57CD" w:rsidP="008D57CD">
      <w:pPr>
        <w:suppressAutoHyphens/>
        <w:spacing w:line="240" w:lineRule="auto"/>
        <w:jc w:val="center"/>
        <w:rPr>
          <w:b/>
          <w:sz w:val="22"/>
          <w:szCs w:val="22"/>
        </w:rPr>
      </w:pPr>
    </w:p>
    <w:p w:rsidR="008D57CD" w:rsidRPr="0096662C" w:rsidRDefault="008D57CD" w:rsidP="008D57CD">
      <w:pPr>
        <w:suppressAutoHyphens/>
        <w:spacing w:line="240" w:lineRule="auto"/>
        <w:jc w:val="center"/>
        <w:rPr>
          <w:b/>
          <w:sz w:val="22"/>
          <w:szCs w:val="22"/>
        </w:rPr>
      </w:pPr>
    </w:p>
    <w:p w:rsidR="008D57CD" w:rsidRPr="0096662C" w:rsidRDefault="008D57CD" w:rsidP="008D57CD">
      <w:pPr>
        <w:suppressAutoHyphens/>
        <w:spacing w:line="240" w:lineRule="auto"/>
        <w:jc w:val="center"/>
        <w:rPr>
          <w:b/>
          <w:sz w:val="22"/>
          <w:szCs w:val="22"/>
        </w:rPr>
      </w:pPr>
      <w:r w:rsidRPr="0096662C">
        <w:rPr>
          <w:b/>
          <w:sz w:val="22"/>
          <w:szCs w:val="22"/>
        </w:rPr>
        <w:t>and</w:t>
      </w:r>
    </w:p>
    <w:p w:rsidR="008D57CD" w:rsidRPr="0096662C" w:rsidRDefault="008D57CD" w:rsidP="008D57CD">
      <w:pPr>
        <w:tabs>
          <w:tab w:val="left" w:pos="3435"/>
        </w:tabs>
        <w:suppressAutoHyphens/>
        <w:spacing w:line="240" w:lineRule="auto"/>
        <w:rPr>
          <w:b/>
          <w:sz w:val="22"/>
          <w:szCs w:val="22"/>
        </w:rPr>
      </w:pPr>
      <w:r w:rsidRPr="0096662C">
        <w:rPr>
          <w:b/>
          <w:sz w:val="22"/>
          <w:szCs w:val="22"/>
        </w:rPr>
        <w:tab/>
      </w:r>
    </w:p>
    <w:p w:rsidR="008D57CD" w:rsidRPr="0096662C" w:rsidRDefault="008D57CD" w:rsidP="008D57CD">
      <w:pPr>
        <w:suppressAutoHyphens/>
        <w:spacing w:line="240" w:lineRule="auto"/>
        <w:jc w:val="center"/>
        <w:rPr>
          <w:b/>
          <w:sz w:val="22"/>
          <w:szCs w:val="22"/>
        </w:rPr>
      </w:pPr>
    </w:p>
    <w:p w:rsidR="008D57CD" w:rsidRPr="0096662C" w:rsidRDefault="008D57CD" w:rsidP="008D57CD">
      <w:pPr>
        <w:suppressAutoHyphens/>
        <w:spacing w:line="240" w:lineRule="auto"/>
        <w:jc w:val="center"/>
        <w:rPr>
          <w:b/>
          <w:sz w:val="22"/>
          <w:szCs w:val="22"/>
        </w:rPr>
      </w:pPr>
      <w:r w:rsidRPr="0096662C">
        <w:rPr>
          <w:b/>
          <w:sz w:val="22"/>
          <w:szCs w:val="22"/>
        </w:rPr>
        <w:t>INTERNATIONAL BANK FOR RECONSTRUCTION</w:t>
      </w:r>
    </w:p>
    <w:p w:rsidR="008D57CD" w:rsidRPr="0096662C" w:rsidRDefault="008D57CD" w:rsidP="008D57CD">
      <w:pPr>
        <w:suppressAutoHyphens/>
        <w:spacing w:line="240" w:lineRule="auto"/>
        <w:jc w:val="center"/>
        <w:rPr>
          <w:b/>
          <w:sz w:val="22"/>
          <w:szCs w:val="22"/>
        </w:rPr>
      </w:pPr>
      <w:r w:rsidRPr="0096662C">
        <w:rPr>
          <w:b/>
          <w:sz w:val="22"/>
          <w:szCs w:val="22"/>
        </w:rPr>
        <w:t>AND DEVELOPMENT</w:t>
      </w:r>
    </w:p>
    <w:p w:rsidR="008D57CD" w:rsidRPr="0096662C" w:rsidRDefault="008D57CD" w:rsidP="008D57CD">
      <w:pPr>
        <w:suppressAutoHyphens/>
        <w:spacing w:line="240" w:lineRule="auto"/>
        <w:rPr>
          <w:b/>
          <w:sz w:val="22"/>
          <w:szCs w:val="22"/>
        </w:rPr>
      </w:pPr>
    </w:p>
    <w:p w:rsidR="008D57CD" w:rsidRPr="0096662C" w:rsidRDefault="008D57CD" w:rsidP="008D57CD">
      <w:pPr>
        <w:suppressAutoHyphens/>
        <w:spacing w:line="240" w:lineRule="auto"/>
        <w:jc w:val="center"/>
        <w:rPr>
          <w:b/>
          <w:sz w:val="22"/>
          <w:szCs w:val="22"/>
        </w:rPr>
      </w:pPr>
    </w:p>
    <w:p w:rsidR="008D57CD" w:rsidRPr="0096662C" w:rsidRDefault="008D57CD" w:rsidP="008D57CD">
      <w:pPr>
        <w:suppressAutoHyphens/>
        <w:spacing w:line="240" w:lineRule="auto"/>
        <w:jc w:val="center"/>
        <w:rPr>
          <w:b/>
          <w:sz w:val="22"/>
          <w:szCs w:val="22"/>
        </w:rPr>
        <w:sectPr w:rsidR="008D57CD" w:rsidRPr="0096662C" w:rsidSect="00A1045E">
          <w:headerReference w:type="default" r:id="rId13"/>
          <w:pgSz w:w="12240" w:h="15840"/>
          <w:pgMar w:top="1800" w:right="1800" w:bottom="1440" w:left="1800" w:header="720" w:footer="720" w:gutter="0"/>
          <w:cols w:space="720"/>
          <w:docGrid w:linePitch="326"/>
        </w:sectPr>
      </w:pPr>
    </w:p>
    <w:p w:rsidR="008D57CD" w:rsidRPr="0096662C" w:rsidRDefault="008D57CD" w:rsidP="008D57CD">
      <w:pPr>
        <w:pStyle w:val="Title"/>
        <w:spacing w:line="240" w:lineRule="auto"/>
        <w:rPr>
          <w:sz w:val="22"/>
          <w:szCs w:val="22"/>
        </w:rPr>
      </w:pPr>
      <w:r w:rsidRPr="0096662C">
        <w:rPr>
          <w:sz w:val="22"/>
          <w:szCs w:val="22"/>
        </w:rPr>
        <w:lastRenderedPageBreak/>
        <w:t>LOAN AGREEMENT</w:t>
      </w:r>
    </w:p>
    <w:p w:rsidR="008D57CD" w:rsidRPr="0096662C" w:rsidRDefault="008D57CD" w:rsidP="008D57CD">
      <w:pPr>
        <w:spacing w:line="240" w:lineRule="auto"/>
        <w:jc w:val="center"/>
        <w:rPr>
          <w:sz w:val="22"/>
          <w:szCs w:val="22"/>
        </w:rPr>
      </w:pPr>
    </w:p>
    <w:p w:rsidR="008D57CD" w:rsidRPr="0096662C" w:rsidRDefault="008D57CD" w:rsidP="008D57CD">
      <w:pPr>
        <w:spacing w:line="240" w:lineRule="auto"/>
        <w:jc w:val="both"/>
        <w:rPr>
          <w:sz w:val="22"/>
          <w:szCs w:val="22"/>
        </w:rPr>
      </w:pPr>
      <w:r w:rsidRPr="0096662C">
        <w:rPr>
          <w:sz w:val="22"/>
          <w:szCs w:val="22"/>
        </w:rPr>
        <w:tab/>
        <w:t>AGREEMENT dated as of the Signature Date between REPUBLIC OF SERBIA (“Borrower”) and INTERNATIONAL BANK FOR RECONSTRUCTION AND DEVELOPMENT (“Bank”).  The Borrower and the Bank hereby agree as follows:</w:t>
      </w:r>
    </w:p>
    <w:p w:rsidR="008D57CD" w:rsidRPr="0096662C" w:rsidRDefault="008D57CD" w:rsidP="008D57CD">
      <w:pPr>
        <w:spacing w:line="240" w:lineRule="auto"/>
        <w:jc w:val="both"/>
        <w:rPr>
          <w:sz w:val="22"/>
          <w:szCs w:val="22"/>
        </w:rPr>
      </w:pPr>
    </w:p>
    <w:p w:rsidR="008D57CD" w:rsidRPr="0096662C" w:rsidRDefault="008D57CD" w:rsidP="008D57CD">
      <w:pPr>
        <w:autoSpaceDE w:val="0"/>
        <w:autoSpaceDN w:val="0"/>
        <w:adjustRightInd w:val="0"/>
        <w:ind w:firstLine="720"/>
        <w:jc w:val="both"/>
        <w:rPr>
          <w:sz w:val="22"/>
          <w:szCs w:val="22"/>
        </w:rPr>
      </w:pPr>
      <w:r w:rsidRPr="0096662C">
        <w:rPr>
          <w:sz w:val="22"/>
          <w:szCs w:val="22"/>
        </w:rPr>
        <w:t>WHEREAS:</w:t>
      </w:r>
    </w:p>
    <w:p w:rsidR="008D57CD" w:rsidRPr="0096662C" w:rsidRDefault="008D57CD" w:rsidP="008D57CD">
      <w:pPr>
        <w:spacing w:line="240" w:lineRule="auto"/>
        <w:ind w:firstLine="720"/>
        <w:jc w:val="both"/>
        <w:rPr>
          <w:sz w:val="22"/>
          <w:szCs w:val="22"/>
        </w:rPr>
      </w:pPr>
      <w:r w:rsidRPr="0096662C">
        <w:rPr>
          <w:sz w:val="22"/>
          <w:szCs w:val="22"/>
        </w:rPr>
        <w:t>(A)</w:t>
      </w:r>
      <w:r w:rsidRPr="0096662C">
        <w:rPr>
          <w:sz w:val="22"/>
          <w:szCs w:val="22"/>
        </w:rPr>
        <w:tab/>
        <w:t xml:space="preserve"> The governments of the Borrower,</w:t>
      </w:r>
      <w:r>
        <w:rPr>
          <w:sz w:val="22"/>
          <w:szCs w:val="22"/>
        </w:rPr>
        <w:t xml:space="preserve"> </w:t>
      </w:r>
      <w:r w:rsidRPr="0096662C">
        <w:rPr>
          <w:sz w:val="22"/>
          <w:szCs w:val="22"/>
        </w:rPr>
        <w:t xml:space="preserve">Republic of </w:t>
      </w:r>
      <w:r>
        <w:rPr>
          <w:sz w:val="22"/>
          <w:szCs w:val="22"/>
        </w:rPr>
        <w:t xml:space="preserve">North </w:t>
      </w:r>
      <w:r w:rsidRPr="0096662C">
        <w:rPr>
          <w:sz w:val="22"/>
          <w:szCs w:val="22"/>
        </w:rPr>
        <w:t>Macedonia and Republic of Albania (collectively, the “Participating Beneficiaries”) have signed a series of agreements and memoranda of understanding, with the broad objective of creating the conditions for regional trade and transport facilitation</w:t>
      </w:r>
      <w:r>
        <w:rPr>
          <w:sz w:val="22"/>
          <w:szCs w:val="22"/>
        </w:rPr>
        <w:t>;</w:t>
      </w:r>
      <w:r w:rsidRPr="0096662C">
        <w:rPr>
          <w:sz w:val="22"/>
          <w:szCs w:val="22"/>
        </w:rPr>
        <w:t xml:space="preserve"> </w:t>
      </w:r>
    </w:p>
    <w:p w:rsidR="008D57CD" w:rsidRPr="0096662C" w:rsidRDefault="008D57CD" w:rsidP="008D57CD">
      <w:pPr>
        <w:spacing w:line="240" w:lineRule="auto"/>
        <w:ind w:firstLine="720"/>
        <w:jc w:val="both"/>
        <w:rPr>
          <w:sz w:val="22"/>
          <w:szCs w:val="22"/>
        </w:rPr>
      </w:pPr>
    </w:p>
    <w:p w:rsidR="008D57CD" w:rsidRPr="0096662C" w:rsidRDefault="008D57CD" w:rsidP="008D57CD">
      <w:pPr>
        <w:spacing w:line="240" w:lineRule="auto"/>
        <w:ind w:firstLine="720"/>
        <w:jc w:val="both"/>
        <w:rPr>
          <w:sz w:val="22"/>
          <w:szCs w:val="22"/>
        </w:rPr>
      </w:pPr>
      <w:r w:rsidRPr="0096662C">
        <w:rPr>
          <w:sz w:val="22"/>
          <w:szCs w:val="22"/>
        </w:rPr>
        <w:t>(B)</w:t>
      </w:r>
      <w:r w:rsidRPr="0096662C">
        <w:rPr>
          <w:sz w:val="22"/>
          <w:szCs w:val="22"/>
        </w:rPr>
        <w:tab/>
        <w:t>under the first phase of a Multiphase Programmatic Approach (MPA), the Bank intends to support the regional Western Balkans Trade and Transport Facilitation Project in Serbia (“Project”), as</w:t>
      </w:r>
      <w:r w:rsidR="00C013CB">
        <w:rPr>
          <w:sz w:val="22"/>
          <w:szCs w:val="22"/>
        </w:rPr>
        <w:t xml:space="preserve"> described in Schedule 1 hereto</w:t>
      </w:r>
      <w:r w:rsidRPr="0096662C">
        <w:rPr>
          <w:sz w:val="22"/>
          <w:szCs w:val="22"/>
        </w:rPr>
        <w:t xml:space="preserve">; </w:t>
      </w:r>
    </w:p>
    <w:p w:rsidR="008D57CD" w:rsidRPr="0096662C" w:rsidRDefault="008D57CD" w:rsidP="008D57CD">
      <w:pPr>
        <w:spacing w:line="240" w:lineRule="auto"/>
        <w:ind w:firstLine="720"/>
        <w:jc w:val="both"/>
        <w:rPr>
          <w:sz w:val="22"/>
          <w:szCs w:val="22"/>
        </w:rPr>
      </w:pPr>
    </w:p>
    <w:p w:rsidR="008D57CD" w:rsidRPr="0096662C" w:rsidRDefault="008D57CD" w:rsidP="008D57CD">
      <w:pPr>
        <w:spacing w:line="240" w:lineRule="auto"/>
        <w:ind w:firstLine="720"/>
        <w:jc w:val="both"/>
        <w:rPr>
          <w:sz w:val="22"/>
          <w:szCs w:val="22"/>
        </w:rPr>
      </w:pPr>
      <w:r w:rsidRPr="0096662C">
        <w:rPr>
          <w:sz w:val="22"/>
          <w:szCs w:val="22"/>
        </w:rPr>
        <w:t>(C)</w:t>
      </w:r>
      <w:r w:rsidRPr="0096662C">
        <w:rPr>
          <w:sz w:val="22"/>
          <w:szCs w:val="22"/>
        </w:rPr>
        <w:tab/>
        <w:t xml:space="preserve">by separate financing agreements to be entered into between the Republic of </w:t>
      </w:r>
      <w:r>
        <w:rPr>
          <w:sz w:val="22"/>
          <w:szCs w:val="22"/>
        </w:rPr>
        <w:t xml:space="preserve">North </w:t>
      </w:r>
      <w:r w:rsidRPr="0096662C">
        <w:rPr>
          <w:sz w:val="22"/>
          <w:szCs w:val="22"/>
        </w:rPr>
        <w:t>Macedonia and Republic of Albania, respectively, with the Bank (“</w:t>
      </w:r>
      <w:r>
        <w:rPr>
          <w:sz w:val="22"/>
          <w:szCs w:val="22"/>
        </w:rPr>
        <w:t>North</w:t>
      </w:r>
      <w:r w:rsidRPr="0096662C">
        <w:rPr>
          <w:sz w:val="22"/>
          <w:szCs w:val="22"/>
        </w:rPr>
        <w:t xml:space="preserve"> Macedonia Financing Agreement”, and “Albania Financing Agreement”, as further defined in the Appendix to this Agreement), the Bank will extend them financing to cover the cost of activities related to their respective parts of the Project; </w:t>
      </w:r>
      <w:r>
        <w:rPr>
          <w:sz w:val="22"/>
          <w:szCs w:val="22"/>
        </w:rPr>
        <w:t>and</w:t>
      </w:r>
    </w:p>
    <w:p w:rsidR="008D57CD" w:rsidRPr="0096662C" w:rsidRDefault="008D57CD" w:rsidP="008D57CD">
      <w:pPr>
        <w:spacing w:line="240" w:lineRule="auto"/>
        <w:ind w:firstLine="720"/>
        <w:jc w:val="both"/>
        <w:rPr>
          <w:sz w:val="22"/>
          <w:szCs w:val="22"/>
        </w:rPr>
      </w:pPr>
    </w:p>
    <w:p w:rsidR="008D57CD" w:rsidRPr="0096662C" w:rsidRDefault="008D57CD" w:rsidP="008D57CD">
      <w:pPr>
        <w:spacing w:line="240" w:lineRule="auto"/>
        <w:ind w:firstLine="720"/>
        <w:jc w:val="both"/>
        <w:rPr>
          <w:sz w:val="22"/>
          <w:szCs w:val="22"/>
        </w:rPr>
      </w:pPr>
      <w:r w:rsidRPr="0096662C">
        <w:rPr>
          <w:sz w:val="22"/>
          <w:szCs w:val="22"/>
        </w:rPr>
        <w:t>(D)</w:t>
      </w:r>
      <w:r w:rsidRPr="0096662C">
        <w:rPr>
          <w:sz w:val="22"/>
          <w:szCs w:val="22"/>
        </w:rPr>
        <w:tab/>
        <w:t>under the second phase of the MPA, the Bank intends to support regional trade and facilitation activities under the program with other participating beneficiaries in the Western Balkans.</w:t>
      </w:r>
    </w:p>
    <w:p w:rsidR="008D57CD" w:rsidRPr="0096662C" w:rsidRDefault="008D57CD" w:rsidP="008D57CD">
      <w:pPr>
        <w:spacing w:line="240" w:lineRule="auto"/>
        <w:jc w:val="both"/>
        <w:rPr>
          <w:sz w:val="22"/>
          <w:szCs w:val="22"/>
        </w:rPr>
      </w:pPr>
    </w:p>
    <w:p w:rsidR="008D57CD" w:rsidRPr="0096662C" w:rsidRDefault="008D57CD" w:rsidP="008D57CD">
      <w:pPr>
        <w:pStyle w:val="Heading1"/>
        <w:spacing w:line="240" w:lineRule="auto"/>
        <w:rPr>
          <w:sz w:val="22"/>
          <w:szCs w:val="22"/>
        </w:rPr>
      </w:pPr>
    </w:p>
    <w:p w:rsidR="008D57CD" w:rsidRPr="0096662C" w:rsidRDefault="008D57CD" w:rsidP="008D57CD">
      <w:pPr>
        <w:pStyle w:val="Heading1"/>
        <w:spacing w:line="240" w:lineRule="auto"/>
        <w:rPr>
          <w:sz w:val="22"/>
          <w:szCs w:val="22"/>
        </w:rPr>
      </w:pPr>
      <w:r w:rsidRPr="0096662C">
        <w:rPr>
          <w:sz w:val="22"/>
          <w:szCs w:val="22"/>
        </w:rPr>
        <w:t>ARTICLE I — GENERAL CONDITIONS; DEFINITIONS</w:t>
      </w:r>
    </w:p>
    <w:p w:rsidR="008D57CD" w:rsidRPr="0096662C" w:rsidRDefault="008D57CD" w:rsidP="008D57CD">
      <w:pPr>
        <w:spacing w:line="240" w:lineRule="auto"/>
        <w:rPr>
          <w:sz w:val="22"/>
          <w:szCs w:val="22"/>
        </w:rPr>
      </w:pPr>
    </w:p>
    <w:p w:rsidR="008D57CD" w:rsidRPr="0096662C" w:rsidRDefault="008D57CD" w:rsidP="008D57CD">
      <w:pPr>
        <w:pStyle w:val="BodyText"/>
        <w:numPr>
          <w:ilvl w:val="1"/>
          <w:numId w:val="2"/>
        </w:numPr>
        <w:tabs>
          <w:tab w:val="clear" w:pos="1485"/>
          <w:tab w:val="num" w:pos="720"/>
        </w:tabs>
        <w:ind w:left="720" w:hanging="720"/>
        <w:rPr>
          <w:sz w:val="22"/>
          <w:szCs w:val="22"/>
        </w:rPr>
      </w:pPr>
      <w:r w:rsidRPr="0096662C">
        <w:rPr>
          <w:sz w:val="22"/>
          <w:szCs w:val="22"/>
        </w:rPr>
        <w:t>The General Conditions (as defined in the Appendix to this Agreement) apply to and form part of this Agreement.</w:t>
      </w:r>
    </w:p>
    <w:p w:rsidR="008D57CD" w:rsidRPr="0096662C" w:rsidRDefault="008D57CD" w:rsidP="008D57CD">
      <w:pPr>
        <w:pStyle w:val="BodyText"/>
        <w:tabs>
          <w:tab w:val="num" w:pos="720"/>
        </w:tabs>
        <w:ind w:left="720" w:hanging="720"/>
        <w:rPr>
          <w:sz w:val="22"/>
          <w:szCs w:val="22"/>
        </w:rPr>
      </w:pPr>
    </w:p>
    <w:p w:rsidR="008D57CD" w:rsidRPr="0096662C" w:rsidRDefault="008D57CD" w:rsidP="008D57CD">
      <w:pPr>
        <w:pStyle w:val="BodyText"/>
        <w:numPr>
          <w:ilvl w:val="1"/>
          <w:numId w:val="2"/>
        </w:numPr>
        <w:tabs>
          <w:tab w:val="clear" w:pos="1485"/>
          <w:tab w:val="num" w:pos="720"/>
        </w:tabs>
        <w:ind w:left="720" w:hanging="720"/>
        <w:rPr>
          <w:sz w:val="22"/>
          <w:szCs w:val="22"/>
        </w:rPr>
      </w:pPr>
      <w:r w:rsidRPr="0096662C">
        <w:rPr>
          <w:sz w:val="22"/>
          <w:szCs w:val="22"/>
        </w:rPr>
        <w:t>Unless the context requires otherwise, the capitalized terms used in this Agreement have the meanings ascribed to them in the General Conditions or in the Appendix to this Agreement.</w:t>
      </w:r>
    </w:p>
    <w:p w:rsidR="008D57CD" w:rsidRPr="0096662C" w:rsidRDefault="008D57CD" w:rsidP="008D57CD">
      <w:pPr>
        <w:pStyle w:val="BodyText"/>
        <w:rPr>
          <w:sz w:val="22"/>
          <w:szCs w:val="22"/>
        </w:rPr>
      </w:pPr>
    </w:p>
    <w:p w:rsidR="008D57CD" w:rsidRPr="0096662C" w:rsidRDefault="008D57CD" w:rsidP="008D57CD">
      <w:pPr>
        <w:pStyle w:val="BodyText"/>
        <w:jc w:val="center"/>
        <w:rPr>
          <w:b/>
          <w:bCs/>
          <w:sz w:val="22"/>
          <w:szCs w:val="22"/>
        </w:rPr>
      </w:pPr>
      <w:r w:rsidRPr="0096662C">
        <w:rPr>
          <w:b/>
          <w:bCs/>
          <w:sz w:val="22"/>
          <w:szCs w:val="22"/>
        </w:rPr>
        <w:t>ARTICLE II — LOAN</w:t>
      </w:r>
    </w:p>
    <w:p w:rsidR="008D57CD" w:rsidRPr="0096662C" w:rsidRDefault="008D57CD" w:rsidP="008D57CD">
      <w:pPr>
        <w:pStyle w:val="BodyText"/>
        <w:jc w:val="center"/>
        <w:rPr>
          <w:b/>
          <w:bCs/>
          <w:sz w:val="22"/>
          <w:szCs w:val="22"/>
        </w:rPr>
      </w:pPr>
    </w:p>
    <w:p w:rsidR="008D57CD" w:rsidRPr="0096662C" w:rsidRDefault="00C013CB" w:rsidP="00C013CB">
      <w:pPr>
        <w:pStyle w:val="BodyText"/>
        <w:ind w:left="720" w:hanging="720"/>
        <w:rPr>
          <w:sz w:val="22"/>
          <w:szCs w:val="22"/>
        </w:rPr>
      </w:pPr>
      <w:r>
        <w:rPr>
          <w:sz w:val="22"/>
          <w:szCs w:val="22"/>
          <w:lang w:val="sr-Cyrl-RS"/>
        </w:rPr>
        <w:t>2.01</w:t>
      </w:r>
      <w:r w:rsidR="008D57CD" w:rsidRPr="0096662C">
        <w:rPr>
          <w:sz w:val="22"/>
          <w:szCs w:val="22"/>
        </w:rPr>
        <w:tab/>
        <w:t>The Bank agrees to lend to the Borrower the amount of thirty</w:t>
      </w:r>
      <w:r w:rsidR="008D57CD">
        <w:rPr>
          <w:sz w:val="22"/>
          <w:szCs w:val="22"/>
        </w:rPr>
        <w:t>-</w:t>
      </w:r>
      <w:r w:rsidR="008D57CD" w:rsidRPr="0096662C">
        <w:rPr>
          <w:sz w:val="22"/>
          <w:szCs w:val="22"/>
        </w:rPr>
        <w:t>five million Euro, (€35,000,000), as such amount may be converted from time to time through a Currency Conversion (“Loan”), to assist in financing of Parts 1, 2 and 4 of the Project</w:t>
      </w:r>
      <w:r w:rsidR="008D57CD">
        <w:rPr>
          <w:sz w:val="22"/>
          <w:szCs w:val="22"/>
        </w:rPr>
        <w:t xml:space="preserve">, </w:t>
      </w:r>
      <w:r w:rsidR="008D57CD" w:rsidRPr="0096662C">
        <w:rPr>
          <w:sz w:val="22"/>
          <w:szCs w:val="22"/>
        </w:rPr>
        <w:t>as described in Schedule 1 to this Agreement.</w:t>
      </w:r>
    </w:p>
    <w:p w:rsidR="008D57CD" w:rsidRPr="0096662C" w:rsidRDefault="008D57CD" w:rsidP="008D57CD">
      <w:pPr>
        <w:pStyle w:val="BodyText"/>
        <w:tabs>
          <w:tab w:val="num" w:pos="720"/>
        </w:tabs>
        <w:ind w:left="720" w:hanging="720"/>
        <w:rPr>
          <w:sz w:val="22"/>
          <w:szCs w:val="22"/>
        </w:rPr>
      </w:pPr>
    </w:p>
    <w:p w:rsidR="008D57CD" w:rsidRPr="0096662C" w:rsidRDefault="008D57CD" w:rsidP="008D57CD">
      <w:pPr>
        <w:pStyle w:val="BodyText"/>
        <w:numPr>
          <w:ilvl w:val="1"/>
          <w:numId w:val="6"/>
        </w:numPr>
        <w:tabs>
          <w:tab w:val="clear" w:pos="480"/>
        </w:tabs>
        <w:ind w:left="720" w:hanging="720"/>
        <w:rPr>
          <w:sz w:val="22"/>
          <w:szCs w:val="22"/>
        </w:rPr>
      </w:pPr>
      <w:r w:rsidRPr="0096662C">
        <w:rPr>
          <w:sz w:val="22"/>
          <w:szCs w:val="22"/>
        </w:rPr>
        <w:t>The Borrower may withdraw the proceeds of the Loan in accordance with Section III of Schedule 2 to this Agreement.</w:t>
      </w:r>
      <w:r w:rsidRPr="0096662C">
        <w:rPr>
          <w:rStyle w:val="FootnoteReference"/>
          <w:sz w:val="22"/>
          <w:szCs w:val="22"/>
        </w:rPr>
        <w:t xml:space="preserve"> </w:t>
      </w:r>
      <w:r w:rsidRPr="0096662C">
        <w:rPr>
          <w:sz w:val="22"/>
          <w:szCs w:val="22"/>
        </w:rPr>
        <w:t xml:space="preserve"> </w:t>
      </w:r>
    </w:p>
    <w:p w:rsidR="008D57CD" w:rsidRPr="0096662C" w:rsidRDefault="008D57CD" w:rsidP="008D57CD">
      <w:pPr>
        <w:pStyle w:val="BodyText"/>
        <w:rPr>
          <w:sz w:val="22"/>
          <w:szCs w:val="22"/>
        </w:rPr>
      </w:pPr>
    </w:p>
    <w:p w:rsidR="008D57CD" w:rsidRPr="0096662C" w:rsidRDefault="008D57CD" w:rsidP="008D57CD">
      <w:pPr>
        <w:pStyle w:val="BodyText"/>
        <w:numPr>
          <w:ilvl w:val="1"/>
          <w:numId w:val="6"/>
        </w:numPr>
        <w:tabs>
          <w:tab w:val="clear" w:pos="480"/>
        </w:tabs>
        <w:ind w:left="720" w:hanging="720"/>
        <w:rPr>
          <w:sz w:val="22"/>
          <w:szCs w:val="22"/>
        </w:rPr>
      </w:pPr>
      <w:r w:rsidRPr="0096662C">
        <w:rPr>
          <w:sz w:val="22"/>
          <w:szCs w:val="22"/>
        </w:rPr>
        <w:t>The Front-end Fee is one quarter of one percent (0.25%) of the Loan amount.</w:t>
      </w:r>
    </w:p>
    <w:p w:rsidR="008D57CD" w:rsidRPr="0096662C" w:rsidRDefault="008D57CD" w:rsidP="008D57CD">
      <w:pPr>
        <w:pStyle w:val="BodyText"/>
        <w:ind w:left="720" w:hanging="720"/>
        <w:rPr>
          <w:sz w:val="22"/>
          <w:szCs w:val="22"/>
        </w:rPr>
      </w:pPr>
    </w:p>
    <w:p w:rsidR="008D57CD" w:rsidRPr="0096662C" w:rsidRDefault="008D57CD" w:rsidP="008D57CD">
      <w:pPr>
        <w:pStyle w:val="BodyText"/>
        <w:numPr>
          <w:ilvl w:val="1"/>
          <w:numId w:val="6"/>
        </w:numPr>
        <w:tabs>
          <w:tab w:val="clear" w:pos="480"/>
        </w:tabs>
        <w:ind w:left="720" w:hanging="720"/>
        <w:rPr>
          <w:sz w:val="22"/>
          <w:szCs w:val="22"/>
        </w:rPr>
      </w:pPr>
      <w:r w:rsidRPr="0096662C">
        <w:rPr>
          <w:sz w:val="22"/>
          <w:szCs w:val="22"/>
        </w:rPr>
        <w:lastRenderedPageBreak/>
        <w:t>The Commitment Charge is one quarter of one percent (0.25%) per annum on the Unwithdrawn Loan Balance.</w:t>
      </w:r>
    </w:p>
    <w:p w:rsidR="008D57CD" w:rsidRPr="0096662C" w:rsidRDefault="008D57CD" w:rsidP="008D57CD">
      <w:pPr>
        <w:pStyle w:val="BodyText"/>
        <w:ind w:left="720" w:hanging="720"/>
        <w:rPr>
          <w:sz w:val="22"/>
          <w:szCs w:val="22"/>
        </w:rPr>
      </w:pPr>
    </w:p>
    <w:p w:rsidR="008D57CD" w:rsidRPr="0096662C" w:rsidRDefault="008D57CD" w:rsidP="008D57CD">
      <w:pPr>
        <w:pStyle w:val="BodyText"/>
        <w:ind w:left="720" w:hanging="720"/>
        <w:rPr>
          <w:sz w:val="22"/>
          <w:szCs w:val="22"/>
        </w:rPr>
      </w:pPr>
      <w:r w:rsidRPr="0096662C">
        <w:rPr>
          <w:sz w:val="22"/>
          <w:szCs w:val="22"/>
        </w:rPr>
        <w:t>2.05.</w:t>
      </w:r>
      <w:r w:rsidRPr="0096662C">
        <w:rPr>
          <w:sz w:val="22"/>
          <w:szCs w:val="22"/>
        </w:rPr>
        <w:tab/>
        <w:t>The interest rate is the Reference Rate plus the Fixed Spread</w:t>
      </w:r>
      <w:r w:rsidRPr="0096662C" w:rsidDel="00660C88">
        <w:rPr>
          <w:rStyle w:val="FootnoteReference"/>
          <w:sz w:val="22"/>
          <w:szCs w:val="22"/>
        </w:rPr>
        <w:t xml:space="preserve"> </w:t>
      </w:r>
      <w:r w:rsidRPr="0096662C">
        <w:rPr>
          <w:sz w:val="22"/>
          <w:szCs w:val="22"/>
        </w:rPr>
        <w:t>or such rate as may apply following a Conversion; subject to Section 3.02(e) of the General Conditions.</w:t>
      </w:r>
    </w:p>
    <w:p w:rsidR="008D57CD" w:rsidRPr="0096662C" w:rsidRDefault="008D57CD" w:rsidP="008D57CD">
      <w:pPr>
        <w:pStyle w:val="BodyText"/>
        <w:ind w:left="720" w:hanging="720"/>
        <w:rPr>
          <w:sz w:val="22"/>
          <w:szCs w:val="22"/>
        </w:rPr>
      </w:pPr>
    </w:p>
    <w:p w:rsidR="008D57CD" w:rsidRPr="0096662C" w:rsidRDefault="008D57CD" w:rsidP="008D57CD">
      <w:pPr>
        <w:pStyle w:val="BodyText"/>
        <w:ind w:left="720" w:hanging="720"/>
        <w:rPr>
          <w:sz w:val="22"/>
          <w:szCs w:val="22"/>
        </w:rPr>
      </w:pPr>
      <w:r w:rsidRPr="0096662C">
        <w:rPr>
          <w:sz w:val="22"/>
          <w:szCs w:val="22"/>
        </w:rPr>
        <w:t>2.06.</w:t>
      </w:r>
      <w:r w:rsidRPr="0096662C">
        <w:rPr>
          <w:sz w:val="22"/>
          <w:szCs w:val="22"/>
        </w:rPr>
        <w:tab/>
        <w:t>The Payment Dates are May 15 and November 15 in each year.</w:t>
      </w:r>
    </w:p>
    <w:p w:rsidR="008D57CD" w:rsidRPr="0096662C" w:rsidRDefault="008D57CD" w:rsidP="008D57CD">
      <w:pPr>
        <w:pStyle w:val="BodyText"/>
        <w:ind w:left="720" w:hanging="720"/>
        <w:rPr>
          <w:sz w:val="22"/>
          <w:szCs w:val="22"/>
        </w:rPr>
      </w:pPr>
    </w:p>
    <w:p w:rsidR="008D57CD" w:rsidRPr="0096662C" w:rsidRDefault="008D57CD" w:rsidP="008D57CD">
      <w:pPr>
        <w:pStyle w:val="BodyText"/>
        <w:ind w:left="720" w:hanging="720"/>
        <w:rPr>
          <w:sz w:val="22"/>
          <w:szCs w:val="22"/>
        </w:rPr>
      </w:pPr>
      <w:r w:rsidRPr="0096662C">
        <w:rPr>
          <w:sz w:val="22"/>
          <w:szCs w:val="22"/>
        </w:rPr>
        <w:t>2.07.</w:t>
      </w:r>
      <w:r w:rsidRPr="0096662C">
        <w:rPr>
          <w:sz w:val="22"/>
          <w:szCs w:val="22"/>
        </w:rPr>
        <w:tab/>
        <w:t>The principal amount of the Loan shall be repaid in accordance with Schedule 3 to this Agreement.</w:t>
      </w:r>
    </w:p>
    <w:p w:rsidR="008D57CD" w:rsidRPr="0096662C" w:rsidRDefault="008D57CD" w:rsidP="008D57CD">
      <w:pPr>
        <w:pStyle w:val="BodyText"/>
        <w:jc w:val="center"/>
        <w:rPr>
          <w:b/>
          <w:bCs/>
          <w:sz w:val="22"/>
          <w:szCs w:val="22"/>
        </w:rPr>
      </w:pPr>
    </w:p>
    <w:p w:rsidR="008D57CD" w:rsidRPr="0096662C" w:rsidRDefault="008D57CD" w:rsidP="008D57CD">
      <w:pPr>
        <w:pStyle w:val="BodyText"/>
        <w:jc w:val="center"/>
        <w:rPr>
          <w:b/>
          <w:bCs/>
          <w:sz w:val="22"/>
          <w:szCs w:val="22"/>
        </w:rPr>
      </w:pPr>
      <w:r w:rsidRPr="0096662C">
        <w:rPr>
          <w:b/>
          <w:bCs/>
          <w:sz w:val="22"/>
          <w:szCs w:val="22"/>
        </w:rPr>
        <w:t>ARTICLE III — PROJECT</w:t>
      </w:r>
    </w:p>
    <w:p w:rsidR="008D57CD" w:rsidRPr="0096662C" w:rsidRDefault="008D57CD" w:rsidP="008D57CD">
      <w:pPr>
        <w:pStyle w:val="Story"/>
        <w:spacing w:line="240" w:lineRule="auto"/>
        <w:rPr>
          <w:sz w:val="22"/>
          <w:szCs w:val="22"/>
        </w:rPr>
      </w:pPr>
    </w:p>
    <w:p w:rsidR="008D57CD" w:rsidRPr="0096662C" w:rsidRDefault="008D57CD" w:rsidP="008D57CD">
      <w:pPr>
        <w:numPr>
          <w:ilvl w:val="1"/>
          <w:numId w:val="1"/>
        </w:numPr>
        <w:tabs>
          <w:tab w:val="clear" w:pos="1320"/>
          <w:tab w:val="num" w:pos="720"/>
        </w:tabs>
        <w:spacing w:line="240" w:lineRule="auto"/>
        <w:ind w:left="720" w:hanging="720"/>
        <w:jc w:val="both"/>
        <w:rPr>
          <w:sz w:val="22"/>
          <w:szCs w:val="22"/>
        </w:rPr>
      </w:pPr>
      <w:r w:rsidRPr="0096662C">
        <w:rPr>
          <w:sz w:val="22"/>
          <w:szCs w:val="22"/>
        </w:rPr>
        <w:t>The Borrower declares its commitment to the objectives of the Project and the MPA Program.  To this end, the Borrower shall carry out the Project in accordance with the provisions of Article V of the General Conditions and Schedule 2 to this Agreement.</w:t>
      </w:r>
    </w:p>
    <w:p w:rsidR="008D57CD" w:rsidRPr="0096662C" w:rsidRDefault="008D57CD" w:rsidP="008D57CD">
      <w:pPr>
        <w:pStyle w:val="Heading1"/>
        <w:spacing w:line="240" w:lineRule="auto"/>
        <w:rPr>
          <w:sz w:val="22"/>
          <w:szCs w:val="22"/>
        </w:rPr>
      </w:pPr>
    </w:p>
    <w:p w:rsidR="008D57CD" w:rsidRPr="0096662C" w:rsidRDefault="008D57CD" w:rsidP="008D57CD">
      <w:pPr>
        <w:pStyle w:val="Heading1"/>
        <w:spacing w:line="240" w:lineRule="auto"/>
        <w:rPr>
          <w:sz w:val="22"/>
          <w:szCs w:val="22"/>
        </w:rPr>
      </w:pPr>
      <w:r w:rsidRPr="0096662C">
        <w:rPr>
          <w:sz w:val="22"/>
          <w:szCs w:val="22"/>
        </w:rPr>
        <w:t>ARTICLE IV — REMEDIES OF THE BANK</w:t>
      </w:r>
    </w:p>
    <w:p w:rsidR="008D57CD" w:rsidRPr="0096662C" w:rsidRDefault="008D57CD" w:rsidP="008D57CD">
      <w:pPr>
        <w:spacing w:line="240" w:lineRule="auto"/>
        <w:jc w:val="center"/>
        <w:rPr>
          <w:sz w:val="22"/>
          <w:szCs w:val="22"/>
        </w:rPr>
      </w:pPr>
    </w:p>
    <w:p w:rsidR="008D57CD" w:rsidRPr="0096662C" w:rsidRDefault="008D57CD" w:rsidP="008D57CD">
      <w:pPr>
        <w:pStyle w:val="BodyText"/>
        <w:ind w:left="720" w:hanging="720"/>
        <w:rPr>
          <w:sz w:val="22"/>
          <w:szCs w:val="22"/>
        </w:rPr>
      </w:pPr>
      <w:r w:rsidRPr="0096662C">
        <w:rPr>
          <w:sz w:val="22"/>
          <w:szCs w:val="22"/>
        </w:rPr>
        <w:t>4.01.</w:t>
      </w:r>
      <w:r w:rsidRPr="0096662C">
        <w:rPr>
          <w:sz w:val="22"/>
          <w:szCs w:val="22"/>
        </w:rPr>
        <w:tab/>
        <w:t>The Additional Event of Suspension consists namely of the following that as a result of events which have occurred after the date of the Loan Agreement, an extraordinary situation has arisen which makes it improbable that the MPA can be carried out.</w:t>
      </w:r>
    </w:p>
    <w:p w:rsidR="008D57CD" w:rsidRPr="0096662C" w:rsidRDefault="008D57CD" w:rsidP="008D57CD">
      <w:pPr>
        <w:pStyle w:val="BodyText"/>
        <w:rPr>
          <w:sz w:val="22"/>
          <w:szCs w:val="22"/>
        </w:rPr>
      </w:pPr>
    </w:p>
    <w:p w:rsidR="008D57CD" w:rsidRPr="0096662C" w:rsidRDefault="008D57CD" w:rsidP="008D57CD">
      <w:pPr>
        <w:pStyle w:val="BodyText"/>
        <w:jc w:val="center"/>
        <w:rPr>
          <w:b/>
          <w:bCs/>
          <w:sz w:val="22"/>
          <w:szCs w:val="22"/>
        </w:rPr>
      </w:pPr>
    </w:p>
    <w:p w:rsidR="008D57CD" w:rsidRPr="0096662C" w:rsidRDefault="008D57CD" w:rsidP="008D57CD">
      <w:pPr>
        <w:pStyle w:val="BodyText"/>
        <w:jc w:val="center"/>
        <w:rPr>
          <w:sz w:val="22"/>
          <w:szCs w:val="22"/>
        </w:rPr>
      </w:pPr>
      <w:r w:rsidRPr="0096662C">
        <w:rPr>
          <w:b/>
          <w:bCs/>
          <w:sz w:val="22"/>
          <w:szCs w:val="22"/>
        </w:rPr>
        <w:t>ARTICLE V — EFFECTIVENESS; TERMINATION</w:t>
      </w:r>
    </w:p>
    <w:p w:rsidR="008D57CD" w:rsidRPr="0096662C" w:rsidRDefault="008D57CD" w:rsidP="008D57CD">
      <w:pPr>
        <w:pStyle w:val="BodyText"/>
        <w:ind w:left="720" w:hanging="720"/>
        <w:rPr>
          <w:sz w:val="22"/>
          <w:szCs w:val="22"/>
        </w:rPr>
      </w:pPr>
    </w:p>
    <w:p w:rsidR="008D57CD" w:rsidRPr="0096662C" w:rsidRDefault="008D57CD" w:rsidP="008D57CD">
      <w:pPr>
        <w:pStyle w:val="BodyText"/>
        <w:rPr>
          <w:sz w:val="22"/>
          <w:szCs w:val="22"/>
        </w:rPr>
      </w:pPr>
      <w:r w:rsidRPr="0096662C">
        <w:rPr>
          <w:sz w:val="22"/>
          <w:szCs w:val="22"/>
        </w:rPr>
        <w:t>5.01.</w:t>
      </w:r>
      <w:r w:rsidRPr="0096662C">
        <w:rPr>
          <w:sz w:val="22"/>
          <w:szCs w:val="22"/>
        </w:rPr>
        <w:tab/>
        <w:t>The Additional Conditions of Effectiveness consist of the following:</w:t>
      </w:r>
    </w:p>
    <w:p w:rsidR="008D57CD" w:rsidRPr="0096662C" w:rsidRDefault="008D57CD" w:rsidP="008D57CD">
      <w:pPr>
        <w:pStyle w:val="BodyText"/>
        <w:rPr>
          <w:sz w:val="22"/>
          <w:szCs w:val="22"/>
        </w:rPr>
      </w:pPr>
    </w:p>
    <w:p w:rsidR="008D57CD" w:rsidRPr="0096662C" w:rsidRDefault="008D57CD" w:rsidP="008D57CD">
      <w:pPr>
        <w:pStyle w:val="ModelNrmlDouble"/>
        <w:spacing w:line="240" w:lineRule="auto"/>
        <w:ind w:left="1440" w:hanging="720"/>
        <w:rPr>
          <w:szCs w:val="22"/>
        </w:rPr>
      </w:pPr>
      <w:r w:rsidRPr="0096662C">
        <w:rPr>
          <w:szCs w:val="22"/>
        </w:rPr>
        <w:t xml:space="preserve">(a) </w:t>
      </w:r>
      <w:r>
        <w:rPr>
          <w:szCs w:val="22"/>
        </w:rPr>
        <w:tab/>
      </w:r>
      <w:r w:rsidRPr="0096662C">
        <w:rPr>
          <w:szCs w:val="22"/>
        </w:rPr>
        <w:t>the Borrower has established a Project Implementation Unit within MCTI</w:t>
      </w:r>
      <w:r>
        <w:rPr>
          <w:szCs w:val="22"/>
        </w:rPr>
        <w:t xml:space="preserve"> </w:t>
      </w:r>
      <w:r w:rsidRPr="0096662C">
        <w:rPr>
          <w:szCs w:val="22"/>
        </w:rPr>
        <w:t>(PIU) under terms, conditions, composition, functions, and resources satisfactory to the Bank; and</w:t>
      </w:r>
    </w:p>
    <w:p w:rsidR="008D57CD" w:rsidRPr="0096662C" w:rsidRDefault="008D57CD" w:rsidP="008D57CD">
      <w:pPr>
        <w:pStyle w:val="ModelNrmlDouble"/>
        <w:spacing w:line="240" w:lineRule="auto"/>
        <w:ind w:left="1440" w:hanging="720"/>
        <w:rPr>
          <w:szCs w:val="22"/>
        </w:rPr>
      </w:pPr>
      <w:r w:rsidRPr="0096662C">
        <w:rPr>
          <w:szCs w:val="22"/>
        </w:rPr>
        <w:t xml:space="preserve">(b) </w:t>
      </w:r>
      <w:r>
        <w:rPr>
          <w:szCs w:val="22"/>
        </w:rPr>
        <w:tab/>
      </w:r>
      <w:r w:rsidRPr="0096662C">
        <w:rPr>
          <w:szCs w:val="22"/>
        </w:rPr>
        <w:t>the Borrower has adopted a Project Operations Manual (POM) under terms satisfactory to the Bank.</w:t>
      </w:r>
    </w:p>
    <w:p w:rsidR="008D57CD" w:rsidRPr="0096662C" w:rsidRDefault="008D57CD" w:rsidP="008D57CD">
      <w:pPr>
        <w:pStyle w:val="BodyText"/>
        <w:ind w:left="720" w:hanging="720"/>
        <w:rPr>
          <w:sz w:val="22"/>
          <w:szCs w:val="22"/>
        </w:rPr>
      </w:pPr>
      <w:r w:rsidRPr="0096662C">
        <w:rPr>
          <w:sz w:val="22"/>
          <w:szCs w:val="22"/>
        </w:rPr>
        <w:t>5.02.</w:t>
      </w:r>
      <w:r w:rsidRPr="0096662C">
        <w:rPr>
          <w:sz w:val="22"/>
          <w:szCs w:val="22"/>
        </w:rPr>
        <w:tab/>
        <w:t>The Effectiveness Deadline is the date one hundred and eighty (180) days after the Signature Date.</w:t>
      </w:r>
    </w:p>
    <w:p w:rsidR="008D57CD" w:rsidRPr="0096662C" w:rsidRDefault="008D57CD" w:rsidP="008D57CD">
      <w:pPr>
        <w:pStyle w:val="BodyText"/>
        <w:ind w:left="720" w:hanging="720"/>
      </w:pPr>
    </w:p>
    <w:p w:rsidR="008D57CD" w:rsidRPr="0096662C" w:rsidRDefault="008D57CD" w:rsidP="008D57CD">
      <w:pPr>
        <w:pStyle w:val="BodyText"/>
        <w:jc w:val="center"/>
        <w:rPr>
          <w:sz w:val="22"/>
          <w:szCs w:val="22"/>
        </w:rPr>
      </w:pPr>
      <w:r w:rsidRPr="0096662C">
        <w:rPr>
          <w:b/>
          <w:bCs/>
          <w:sz w:val="22"/>
          <w:szCs w:val="22"/>
        </w:rPr>
        <w:t>ARTICLE VI — REPRESENTATIVE; ADDRESSES</w:t>
      </w:r>
    </w:p>
    <w:p w:rsidR="008D57CD" w:rsidRPr="0096662C" w:rsidRDefault="008D57CD" w:rsidP="008D57CD">
      <w:pPr>
        <w:pStyle w:val="BodyText"/>
        <w:jc w:val="center"/>
        <w:rPr>
          <w:sz w:val="22"/>
          <w:szCs w:val="22"/>
        </w:rPr>
      </w:pPr>
    </w:p>
    <w:p w:rsidR="008D57CD" w:rsidRPr="0096662C" w:rsidRDefault="008D57CD" w:rsidP="008D57CD">
      <w:pPr>
        <w:pStyle w:val="BodyText"/>
        <w:ind w:left="720" w:hanging="720"/>
        <w:rPr>
          <w:sz w:val="22"/>
          <w:szCs w:val="22"/>
        </w:rPr>
      </w:pPr>
      <w:r w:rsidRPr="0096662C">
        <w:rPr>
          <w:sz w:val="22"/>
          <w:szCs w:val="22"/>
        </w:rPr>
        <w:t>6.01.</w:t>
      </w:r>
      <w:r w:rsidRPr="0096662C">
        <w:rPr>
          <w:sz w:val="22"/>
          <w:szCs w:val="22"/>
        </w:rPr>
        <w:tab/>
        <w:t xml:space="preserve">The Borrower’s Representative, who, </w:t>
      </w:r>
      <w:r w:rsidRPr="0096662C">
        <w:rPr>
          <w:i/>
          <w:sz w:val="22"/>
          <w:szCs w:val="22"/>
        </w:rPr>
        <w:t>inter alia</w:t>
      </w:r>
      <w:r w:rsidRPr="0096662C">
        <w:rPr>
          <w:sz w:val="22"/>
          <w:szCs w:val="22"/>
        </w:rPr>
        <w:t>, may agree to modification of the provisions of this Agreement on behalf of the Borrower through exchange of letters (unless otherwise determined by the Borrower and the Bank), is its Minister of Finance.</w:t>
      </w:r>
    </w:p>
    <w:p w:rsidR="008D57CD" w:rsidRPr="0096662C" w:rsidRDefault="008D57CD" w:rsidP="008D57CD">
      <w:pPr>
        <w:pStyle w:val="BodyText"/>
        <w:ind w:left="720" w:hanging="720"/>
        <w:rPr>
          <w:sz w:val="22"/>
          <w:szCs w:val="22"/>
        </w:rPr>
      </w:pPr>
    </w:p>
    <w:p w:rsidR="008D57CD" w:rsidRPr="0096662C" w:rsidRDefault="008D57CD" w:rsidP="008D57CD">
      <w:pPr>
        <w:pStyle w:val="BodyText"/>
        <w:ind w:left="720" w:hanging="720"/>
        <w:rPr>
          <w:sz w:val="22"/>
          <w:szCs w:val="22"/>
        </w:rPr>
      </w:pPr>
    </w:p>
    <w:p w:rsidR="008D57CD" w:rsidRPr="0096662C" w:rsidRDefault="008D57CD" w:rsidP="008D57CD">
      <w:pPr>
        <w:pStyle w:val="BodyText"/>
        <w:ind w:left="720" w:hanging="720"/>
        <w:rPr>
          <w:sz w:val="22"/>
          <w:szCs w:val="22"/>
        </w:rPr>
      </w:pPr>
    </w:p>
    <w:p w:rsidR="008D57CD" w:rsidRPr="0096662C" w:rsidRDefault="008D57CD" w:rsidP="008D57CD">
      <w:pPr>
        <w:pStyle w:val="BodyText"/>
        <w:ind w:left="720" w:hanging="720"/>
        <w:rPr>
          <w:sz w:val="22"/>
          <w:szCs w:val="22"/>
        </w:rPr>
      </w:pPr>
    </w:p>
    <w:p w:rsidR="008D57CD" w:rsidRPr="0096662C" w:rsidRDefault="008D57CD" w:rsidP="008D57CD">
      <w:pPr>
        <w:pStyle w:val="BodyText"/>
        <w:ind w:left="720" w:hanging="720"/>
        <w:rPr>
          <w:sz w:val="22"/>
          <w:szCs w:val="22"/>
        </w:rPr>
      </w:pPr>
    </w:p>
    <w:p w:rsidR="008D57CD" w:rsidRPr="0096662C" w:rsidRDefault="008D57CD" w:rsidP="008D57CD">
      <w:pPr>
        <w:pStyle w:val="BodyText"/>
        <w:rPr>
          <w:sz w:val="22"/>
          <w:szCs w:val="22"/>
        </w:rPr>
      </w:pPr>
    </w:p>
    <w:p w:rsidR="008D57CD" w:rsidRPr="0096662C" w:rsidRDefault="008D57CD" w:rsidP="008D57CD">
      <w:pPr>
        <w:pStyle w:val="BodyText"/>
        <w:rPr>
          <w:sz w:val="22"/>
          <w:szCs w:val="22"/>
        </w:rPr>
      </w:pPr>
      <w:r w:rsidRPr="0096662C">
        <w:rPr>
          <w:sz w:val="22"/>
          <w:szCs w:val="22"/>
        </w:rPr>
        <w:t>6.02.</w:t>
      </w:r>
      <w:r w:rsidRPr="0096662C">
        <w:rPr>
          <w:sz w:val="22"/>
          <w:szCs w:val="22"/>
        </w:rPr>
        <w:tab/>
        <w:t>For purposes of Section 10.01 of the General Conditions: (a) the Borrower’s address is:</w:t>
      </w:r>
    </w:p>
    <w:p w:rsidR="008D57CD" w:rsidRPr="0096662C" w:rsidRDefault="008D57CD" w:rsidP="008D57CD">
      <w:pPr>
        <w:pStyle w:val="BodyText"/>
        <w:ind w:left="720"/>
        <w:rPr>
          <w:sz w:val="22"/>
          <w:szCs w:val="22"/>
        </w:rPr>
      </w:pPr>
    </w:p>
    <w:p w:rsidR="008D57CD" w:rsidRPr="0096662C" w:rsidRDefault="008D57CD" w:rsidP="008D57CD">
      <w:pPr>
        <w:pStyle w:val="BodyText"/>
        <w:ind w:left="720"/>
        <w:rPr>
          <w:sz w:val="22"/>
          <w:szCs w:val="22"/>
        </w:rPr>
      </w:pPr>
      <w:r w:rsidRPr="0096662C">
        <w:rPr>
          <w:sz w:val="22"/>
          <w:szCs w:val="22"/>
        </w:rPr>
        <w:t>Ministry of Finance</w:t>
      </w:r>
    </w:p>
    <w:p w:rsidR="008D57CD" w:rsidRPr="0096662C" w:rsidRDefault="008D57CD" w:rsidP="008D57CD">
      <w:pPr>
        <w:pStyle w:val="BodyText"/>
        <w:ind w:left="720"/>
        <w:rPr>
          <w:sz w:val="22"/>
          <w:szCs w:val="22"/>
        </w:rPr>
      </w:pPr>
      <w:r w:rsidRPr="0096662C">
        <w:rPr>
          <w:sz w:val="22"/>
          <w:szCs w:val="22"/>
        </w:rPr>
        <w:t xml:space="preserve">20 </w:t>
      </w:r>
      <w:proofErr w:type="spellStart"/>
      <w:r w:rsidRPr="0096662C">
        <w:rPr>
          <w:sz w:val="22"/>
          <w:szCs w:val="22"/>
        </w:rPr>
        <w:t>Kneza</w:t>
      </w:r>
      <w:proofErr w:type="spellEnd"/>
      <w:r w:rsidRPr="0096662C">
        <w:rPr>
          <w:sz w:val="22"/>
          <w:szCs w:val="22"/>
        </w:rPr>
        <w:t xml:space="preserve"> </w:t>
      </w:r>
      <w:proofErr w:type="spellStart"/>
      <w:r w:rsidRPr="0096662C">
        <w:rPr>
          <w:sz w:val="22"/>
          <w:szCs w:val="22"/>
        </w:rPr>
        <w:t>Milosa</w:t>
      </w:r>
      <w:proofErr w:type="spellEnd"/>
      <w:r w:rsidRPr="0096662C">
        <w:rPr>
          <w:sz w:val="22"/>
          <w:szCs w:val="22"/>
        </w:rPr>
        <w:t xml:space="preserve"> St.</w:t>
      </w:r>
    </w:p>
    <w:p w:rsidR="008D57CD" w:rsidRPr="0096662C" w:rsidRDefault="008D57CD" w:rsidP="008D57CD">
      <w:pPr>
        <w:pStyle w:val="BodyText"/>
        <w:ind w:left="720"/>
        <w:rPr>
          <w:sz w:val="22"/>
          <w:szCs w:val="22"/>
        </w:rPr>
      </w:pPr>
      <w:r w:rsidRPr="0096662C">
        <w:rPr>
          <w:sz w:val="22"/>
          <w:szCs w:val="22"/>
        </w:rPr>
        <w:t>11000 Belgrade</w:t>
      </w:r>
    </w:p>
    <w:p w:rsidR="008D57CD" w:rsidRPr="0096662C" w:rsidRDefault="008D57CD" w:rsidP="008D57CD">
      <w:pPr>
        <w:pStyle w:val="BodyText"/>
        <w:ind w:left="720"/>
        <w:rPr>
          <w:sz w:val="22"/>
          <w:szCs w:val="22"/>
        </w:rPr>
      </w:pPr>
      <w:r w:rsidRPr="0096662C">
        <w:rPr>
          <w:sz w:val="22"/>
          <w:szCs w:val="22"/>
        </w:rPr>
        <w:t>Republic of Serbia; and</w:t>
      </w:r>
    </w:p>
    <w:p w:rsidR="008D57CD" w:rsidRPr="0096662C" w:rsidRDefault="008D57CD" w:rsidP="008D57CD">
      <w:pPr>
        <w:pStyle w:val="BodyText"/>
        <w:ind w:left="720"/>
        <w:rPr>
          <w:sz w:val="22"/>
          <w:szCs w:val="22"/>
        </w:rPr>
      </w:pPr>
    </w:p>
    <w:p w:rsidR="008D57CD" w:rsidRPr="0096662C" w:rsidRDefault="008D57CD" w:rsidP="008D57CD">
      <w:pPr>
        <w:pStyle w:val="BodyText"/>
        <w:ind w:left="720"/>
        <w:rPr>
          <w:sz w:val="22"/>
          <w:szCs w:val="22"/>
        </w:rPr>
      </w:pPr>
      <w:r w:rsidRPr="0096662C">
        <w:rPr>
          <w:sz w:val="22"/>
          <w:szCs w:val="22"/>
        </w:rPr>
        <w:t>(b) the Borrower’s Electronic Address is:</w:t>
      </w:r>
    </w:p>
    <w:p w:rsidR="008D57CD" w:rsidRPr="0096662C" w:rsidRDefault="008D57CD" w:rsidP="008D57CD">
      <w:pPr>
        <w:pStyle w:val="BodyText"/>
        <w:ind w:left="720"/>
        <w:rPr>
          <w:sz w:val="22"/>
          <w:szCs w:val="22"/>
        </w:rPr>
      </w:pPr>
    </w:p>
    <w:p w:rsidR="008D57CD" w:rsidRPr="0096662C" w:rsidRDefault="008D57CD" w:rsidP="008D57CD">
      <w:pPr>
        <w:pStyle w:val="BodyText"/>
        <w:ind w:left="720"/>
        <w:rPr>
          <w:sz w:val="22"/>
          <w:szCs w:val="22"/>
          <w:lang w:val="it-IT"/>
        </w:rPr>
      </w:pPr>
      <w:r w:rsidRPr="0096662C">
        <w:rPr>
          <w:sz w:val="22"/>
          <w:szCs w:val="22"/>
          <w:lang w:val="it-IT"/>
        </w:rPr>
        <w:t>Facsimile:</w:t>
      </w:r>
      <w:r w:rsidRPr="0096662C">
        <w:rPr>
          <w:sz w:val="22"/>
          <w:szCs w:val="22"/>
          <w:lang w:val="it-IT"/>
        </w:rPr>
        <w:tab/>
      </w:r>
      <w:r w:rsidRPr="0096662C">
        <w:rPr>
          <w:sz w:val="22"/>
          <w:szCs w:val="22"/>
          <w:lang w:val="it-IT"/>
        </w:rPr>
        <w:tab/>
        <w:t>E-mail:</w:t>
      </w:r>
    </w:p>
    <w:p w:rsidR="008D57CD" w:rsidRPr="0096662C" w:rsidRDefault="008D57CD" w:rsidP="008D57CD">
      <w:pPr>
        <w:pStyle w:val="BodyText"/>
        <w:ind w:left="720"/>
        <w:rPr>
          <w:sz w:val="22"/>
          <w:szCs w:val="22"/>
          <w:lang w:val="it-IT"/>
        </w:rPr>
      </w:pPr>
      <w:r w:rsidRPr="0096662C">
        <w:rPr>
          <w:sz w:val="22"/>
          <w:szCs w:val="22"/>
          <w:lang w:val="it-IT"/>
        </w:rPr>
        <w:t>(381-11) 3618-961</w:t>
      </w:r>
      <w:r w:rsidRPr="0096662C">
        <w:rPr>
          <w:sz w:val="22"/>
          <w:szCs w:val="22"/>
          <w:lang w:val="it-IT"/>
        </w:rPr>
        <w:tab/>
      </w:r>
      <w:hyperlink r:id="rId14" w:history="1">
        <w:r w:rsidRPr="0096662C">
          <w:rPr>
            <w:rStyle w:val="Hyperlink"/>
            <w:sz w:val="22"/>
            <w:szCs w:val="22"/>
            <w:lang w:val="it-IT"/>
          </w:rPr>
          <w:t>kabinet@mfin.gov.rs</w:t>
        </w:r>
      </w:hyperlink>
    </w:p>
    <w:p w:rsidR="008D57CD" w:rsidRPr="0096662C" w:rsidRDefault="008D57CD" w:rsidP="008D57CD">
      <w:pPr>
        <w:pStyle w:val="BodyText"/>
        <w:ind w:left="720"/>
        <w:rPr>
          <w:sz w:val="22"/>
          <w:szCs w:val="22"/>
          <w:lang w:val="it-IT"/>
        </w:rPr>
      </w:pPr>
    </w:p>
    <w:p w:rsidR="008D57CD" w:rsidRPr="0096662C" w:rsidRDefault="008D57CD" w:rsidP="008D57CD">
      <w:pPr>
        <w:pStyle w:val="BodyText"/>
        <w:rPr>
          <w:sz w:val="22"/>
          <w:szCs w:val="22"/>
          <w:lang w:val="it-IT"/>
        </w:rPr>
      </w:pPr>
    </w:p>
    <w:p w:rsidR="008D57CD" w:rsidRPr="0096662C" w:rsidRDefault="008D57CD" w:rsidP="008D57CD">
      <w:pPr>
        <w:pStyle w:val="BodyText"/>
        <w:rPr>
          <w:sz w:val="22"/>
          <w:szCs w:val="22"/>
        </w:rPr>
      </w:pPr>
      <w:r w:rsidRPr="0096662C">
        <w:rPr>
          <w:sz w:val="22"/>
          <w:szCs w:val="22"/>
        </w:rPr>
        <w:t>6.03.</w:t>
      </w:r>
      <w:r w:rsidRPr="0096662C">
        <w:rPr>
          <w:sz w:val="22"/>
          <w:szCs w:val="22"/>
        </w:rPr>
        <w:tab/>
        <w:t>For purposes of Section 10.01 of the General Conditions: (a) the Bank’s address is:</w:t>
      </w:r>
    </w:p>
    <w:p w:rsidR="008D57CD" w:rsidRPr="0096662C" w:rsidRDefault="008D57CD" w:rsidP="008D57CD">
      <w:pPr>
        <w:pStyle w:val="BodyText"/>
        <w:ind w:left="720"/>
        <w:rPr>
          <w:sz w:val="22"/>
          <w:szCs w:val="22"/>
        </w:rPr>
      </w:pPr>
    </w:p>
    <w:p w:rsidR="008D57CD" w:rsidRPr="0096662C" w:rsidRDefault="008D57CD" w:rsidP="008D57CD">
      <w:pPr>
        <w:pStyle w:val="BodyText"/>
        <w:ind w:left="720"/>
        <w:rPr>
          <w:sz w:val="22"/>
          <w:szCs w:val="22"/>
        </w:rPr>
      </w:pPr>
      <w:r w:rsidRPr="0096662C">
        <w:rPr>
          <w:sz w:val="22"/>
          <w:szCs w:val="22"/>
        </w:rPr>
        <w:t>International Bank for Reconstruction and Development</w:t>
      </w:r>
    </w:p>
    <w:p w:rsidR="008D57CD" w:rsidRPr="0096662C" w:rsidRDefault="008D57CD" w:rsidP="008D57CD">
      <w:pPr>
        <w:pStyle w:val="BodyText"/>
        <w:ind w:left="720"/>
        <w:rPr>
          <w:sz w:val="22"/>
          <w:szCs w:val="22"/>
        </w:rPr>
      </w:pPr>
      <w:r w:rsidRPr="0096662C">
        <w:rPr>
          <w:sz w:val="22"/>
          <w:szCs w:val="22"/>
        </w:rPr>
        <w:t>1818 H Street, N.W.</w:t>
      </w:r>
    </w:p>
    <w:p w:rsidR="008D57CD" w:rsidRPr="0096662C" w:rsidRDefault="008D57CD" w:rsidP="008D57CD">
      <w:pPr>
        <w:pStyle w:val="BodyText"/>
        <w:ind w:left="720"/>
        <w:rPr>
          <w:sz w:val="22"/>
          <w:szCs w:val="22"/>
        </w:rPr>
      </w:pPr>
      <w:r w:rsidRPr="0096662C">
        <w:rPr>
          <w:sz w:val="22"/>
          <w:szCs w:val="22"/>
        </w:rPr>
        <w:t>Washington, D.C. 20433</w:t>
      </w:r>
    </w:p>
    <w:p w:rsidR="008D57CD" w:rsidRPr="0096662C" w:rsidRDefault="008D57CD" w:rsidP="008D57CD">
      <w:pPr>
        <w:pStyle w:val="BodyText"/>
        <w:ind w:left="720"/>
        <w:rPr>
          <w:sz w:val="22"/>
          <w:szCs w:val="22"/>
        </w:rPr>
      </w:pPr>
      <w:r w:rsidRPr="0096662C">
        <w:rPr>
          <w:sz w:val="22"/>
          <w:szCs w:val="22"/>
        </w:rPr>
        <w:t>United States of America; and</w:t>
      </w:r>
    </w:p>
    <w:p w:rsidR="008D57CD" w:rsidRPr="0096662C" w:rsidRDefault="008D57CD" w:rsidP="008D57CD">
      <w:pPr>
        <w:pStyle w:val="BodyText"/>
        <w:ind w:left="720"/>
        <w:rPr>
          <w:sz w:val="22"/>
          <w:szCs w:val="22"/>
        </w:rPr>
      </w:pPr>
    </w:p>
    <w:p w:rsidR="008D57CD" w:rsidRPr="0096662C" w:rsidRDefault="008D57CD" w:rsidP="008D57CD">
      <w:pPr>
        <w:pStyle w:val="BodyText"/>
        <w:ind w:left="720"/>
        <w:rPr>
          <w:sz w:val="22"/>
          <w:szCs w:val="22"/>
        </w:rPr>
      </w:pPr>
      <w:r w:rsidRPr="0096662C">
        <w:rPr>
          <w:sz w:val="22"/>
          <w:szCs w:val="22"/>
        </w:rPr>
        <w:t>(b) the Bank’s Electronic Address is:</w:t>
      </w:r>
    </w:p>
    <w:p w:rsidR="008D57CD" w:rsidRPr="0096662C" w:rsidRDefault="008D57CD" w:rsidP="008D57CD">
      <w:pPr>
        <w:pStyle w:val="BodyText"/>
        <w:ind w:left="720"/>
        <w:rPr>
          <w:sz w:val="22"/>
          <w:szCs w:val="22"/>
        </w:rPr>
      </w:pPr>
    </w:p>
    <w:p w:rsidR="008D57CD" w:rsidRPr="0096662C" w:rsidRDefault="008D57CD" w:rsidP="008D57CD">
      <w:pPr>
        <w:pStyle w:val="BodyText"/>
        <w:ind w:left="720"/>
        <w:rPr>
          <w:sz w:val="22"/>
          <w:szCs w:val="22"/>
        </w:rPr>
      </w:pPr>
      <w:r w:rsidRPr="0096662C">
        <w:rPr>
          <w:sz w:val="22"/>
          <w:szCs w:val="22"/>
        </w:rPr>
        <w:t>Facsimile:</w:t>
      </w:r>
      <w:r w:rsidRPr="0096662C">
        <w:rPr>
          <w:sz w:val="22"/>
          <w:szCs w:val="22"/>
        </w:rPr>
        <w:tab/>
      </w:r>
      <w:r w:rsidRPr="0096662C">
        <w:rPr>
          <w:sz w:val="22"/>
          <w:szCs w:val="22"/>
        </w:rPr>
        <w:tab/>
        <w:t>E-mail:</w:t>
      </w:r>
    </w:p>
    <w:p w:rsidR="008D57CD" w:rsidRDefault="008D57CD" w:rsidP="008D57CD">
      <w:pPr>
        <w:pStyle w:val="BodyText"/>
        <w:ind w:left="720"/>
        <w:rPr>
          <w:sz w:val="22"/>
          <w:szCs w:val="22"/>
        </w:rPr>
      </w:pPr>
      <w:r w:rsidRPr="0096662C">
        <w:rPr>
          <w:sz w:val="22"/>
          <w:szCs w:val="22"/>
        </w:rPr>
        <w:t>1-202-477-6391</w:t>
      </w:r>
      <w:r w:rsidRPr="0096662C">
        <w:rPr>
          <w:sz w:val="22"/>
          <w:szCs w:val="22"/>
        </w:rPr>
        <w:tab/>
      </w:r>
      <w:r w:rsidRPr="0096662C">
        <w:rPr>
          <w:sz w:val="22"/>
          <w:szCs w:val="22"/>
        </w:rPr>
        <w:tab/>
      </w:r>
      <w:hyperlink r:id="rId15" w:history="1">
        <w:r w:rsidRPr="00EB167C">
          <w:rPr>
            <w:rStyle w:val="Hyperlink"/>
            <w:sz w:val="22"/>
            <w:szCs w:val="22"/>
          </w:rPr>
          <w:t>sndegwa@worldbank.org</w:t>
        </w:r>
      </w:hyperlink>
    </w:p>
    <w:p w:rsidR="008D57CD" w:rsidRPr="0096662C" w:rsidRDefault="008D57CD" w:rsidP="008D57CD">
      <w:pPr>
        <w:pStyle w:val="BodyText"/>
        <w:ind w:left="720"/>
        <w:rPr>
          <w:sz w:val="22"/>
          <w:szCs w:val="22"/>
        </w:rPr>
      </w:pPr>
    </w:p>
    <w:p w:rsidR="008D57CD" w:rsidRPr="0096662C" w:rsidRDefault="008D57CD" w:rsidP="008D57CD">
      <w:pPr>
        <w:pStyle w:val="BodyText"/>
        <w:rPr>
          <w:sz w:val="22"/>
          <w:szCs w:val="22"/>
        </w:rPr>
      </w:pPr>
    </w:p>
    <w:p w:rsidR="008D57CD" w:rsidRDefault="008D57CD" w:rsidP="008D57CD">
      <w:pPr>
        <w:spacing w:line="240" w:lineRule="auto"/>
        <w:rPr>
          <w:sz w:val="22"/>
          <w:szCs w:val="22"/>
        </w:rPr>
      </w:pPr>
      <w:r>
        <w:rPr>
          <w:sz w:val="22"/>
          <w:szCs w:val="22"/>
        </w:rPr>
        <w:br w:type="page"/>
      </w:r>
    </w:p>
    <w:p w:rsidR="008D57CD" w:rsidRDefault="008D57CD" w:rsidP="008D57CD">
      <w:pPr>
        <w:pStyle w:val="BodyText"/>
        <w:rPr>
          <w:sz w:val="22"/>
          <w:szCs w:val="22"/>
        </w:rPr>
      </w:pPr>
      <w:r w:rsidRPr="0096662C">
        <w:rPr>
          <w:sz w:val="22"/>
          <w:szCs w:val="22"/>
        </w:rPr>
        <w:lastRenderedPageBreak/>
        <w:t>AGREED</w:t>
      </w:r>
      <w:r>
        <w:rPr>
          <w:sz w:val="22"/>
          <w:szCs w:val="22"/>
        </w:rPr>
        <w:t xml:space="preserve"> and signed in English</w:t>
      </w:r>
      <w:r w:rsidRPr="0096662C">
        <w:rPr>
          <w:sz w:val="22"/>
          <w:szCs w:val="22"/>
        </w:rPr>
        <w:t xml:space="preserve"> as of the Signature Date.</w:t>
      </w:r>
    </w:p>
    <w:p w:rsidR="008D57CD" w:rsidRDefault="008D57CD" w:rsidP="008D57CD">
      <w:pPr>
        <w:pStyle w:val="BodyText"/>
        <w:rPr>
          <w:sz w:val="22"/>
          <w:szCs w:val="22"/>
        </w:rPr>
      </w:pPr>
    </w:p>
    <w:p w:rsidR="008D57CD" w:rsidRDefault="008D57CD" w:rsidP="008D57CD">
      <w:pPr>
        <w:pStyle w:val="BodyText"/>
        <w:rPr>
          <w:sz w:val="22"/>
          <w:szCs w:val="22"/>
        </w:rPr>
      </w:pPr>
    </w:p>
    <w:p w:rsidR="00FE10AE" w:rsidRPr="0096662C" w:rsidRDefault="00FE10AE" w:rsidP="008D57CD">
      <w:pPr>
        <w:pStyle w:val="BodyText"/>
        <w:rPr>
          <w:sz w:val="22"/>
          <w:szCs w:val="22"/>
        </w:rPr>
      </w:pPr>
    </w:p>
    <w:p w:rsidR="008D57CD" w:rsidRPr="0096662C" w:rsidRDefault="008D57CD" w:rsidP="008D57CD">
      <w:pPr>
        <w:pStyle w:val="BodyText"/>
        <w:ind w:left="2880" w:firstLine="720"/>
        <w:rPr>
          <w:b/>
          <w:sz w:val="22"/>
          <w:szCs w:val="22"/>
        </w:rPr>
      </w:pPr>
      <w:r w:rsidRPr="0096662C">
        <w:rPr>
          <w:b/>
          <w:sz w:val="22"/>
          <w:szCs w:val="22"/>
        </w:rPr>
        <w:t>REPUBLIC OF SERBIA</w:t>
      </w:r>
    </w:p>
    <w:p w:rsidR="008D57CD" w:rsidRDefault="008D57CD" w:rsidP="008D57CD">
      <w:pPr>
        <w:spacing w:line="240" w:lineRule="auto"/>
        <w:rPr>
          <w:b/>
          <w:sz w:val="22"/>
          <w:szCs w:val="22"/>
        </w:rPr>
      </w:pPr>
    </w:p>
    <w:p w:rsidR="008D57CD" w:rsidRPr="0096662C" w:rsidRDefault="008D57CD" w:rsidP="008D57CD">
      <w:pPr>
        <w:spacing w:line="240" w:lineRule="auto"/>
        <w:rPr>
          <w:b/>
          <w:sz w:val="22"/>
          <w:szCs w:val="22"/>
        </w:rPr>
      </w:pPr>
    </w:p>
    <w:p w:rsidR="008D57CD" w:rsidRPr="0096662C" w:rsidRDefault="009F38D0" w:rsidP="008D57CD">
      <w:pPr>
        <w:pStyle w:val="BodyText"/>
        <w:ind w:left="2160" w:firstLine="720"/>
        <w:rPr>
          <w:b/>
          <w:sz w:val="22"/>
          <w:szCs w:val="22"/>
        </w:rPr>
      </w:pPr>
      <w:r>
        <w:rPr>
          <w:b/>
          <w:sz w:val="22"/>
          <w:szCs w:val="22"/>
        </w:rPr>
        <w:tab/>
      </w:r>
      <w:r w:rsidR="008D57CD" w:rsidRPr="0096662C">
        <w:rPr>
          <w:b/>
          <w:sz w:val="22"/>
          <w:szCs w:val="22"/>
        </w:rPr>
        <w:t>By</w:t>
      </w:r>
    </w:p>
    <w:p w:rsidR="008D57CD" w:rsidRPr="0096662C" w:rsidRDefault="008D57CD" w:rsidP="008D57CD">
      <w:pPr>
        <w:spacing w:line="240" w:lineRule="auto"/>
        <w:jc w:val="right"/>
        <w:rPr>
          <w:b/>
          <w:sz w:val="22"/>
          <w:szCs w:val="22"/>
        </w:rPr>
      </w:pPr>
      <w:r w:rsidRPr="0096662C">
        <w:rPr>
          <w:b/>
          <w:sz w:val="22"/>
          <w:szCs w:val="22"/>
        </w:rPr>
        <w:t>_____________________________________</w:t>
      </w:r>
    </w:p>
    <w:p w:rsidR="008D57CD" w:rsidRPr="0096662C" w:rsidRDefault="008D57CD" w:rsidP="008D57CD">
      <w:pPr>
        <w:pStyle w:val="BodyText"/>
        <w:rPr>
          <w:b/>
          <w:sz w:val="22"/>
          <w:szCs w:val="22"/>
        </w:rPr>
      </w:pPr>
      <w:r>
        <w:rPr>
          <w:b/>
          <w:sz w:val="22"/>
          <w:szCs w:val="22"/>
          <w:lang w:val="sr-Cyrl-RS"/>
        </w:rPr>
        <w:t xml:space="preserve">                                                                                </w:t>
      </w:r>
      <w:r w:rsidRPr="0096662C">
        <w:rPr>
          <w:b/>
          <w:sz w:val="22"/>
          <w:szCs w:val="22"/>
        </w:rPr>
        <w:t>Authorized Representative</w:t>
      </w:r>
    </w:p>
    <w:p w:rsidR="009F38D0" w:rsidRDefault="009F38D0" w:rsidP="008D57CD">
      <w:pPr>
        <w:pStyle w:val="BodyText"/>
        <w:rPr>
          <w:b/>
          <w:sz w:val="22"/>
          <w:szCs w:val="22"/>
        </w:rPr>
      </w:pPr>
    </w:p>
    <w:tbl>
      <w:tblPr>
        <w:tblStyle w:val="TableGrid"/>
        <w:tblW w:w="4252" w:type="dxa"/>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260"/>
      </w:tblGrid>
      <w:tr w:rsidR="009F38D0" w:rsidTr="009F38D0">
        <w:tc>
          <w:tcPr>
            <w:tcW w:w="992" w:type="dxa"/>
          </w:tcPr>
          <w:p w:rsidR="009F38D0" w:rsidRPr="009F38D0" w:rsidRDefault="009F38D0" w:rsidP="008D57CD">
            <w:pPr>
              <w:pStyle w:val="BodyText"/>
              <w:rPr>
                <w:b/>
                <w:sz w:val="22"/>
                <w:szCs w:val="22"/>
                <w:lang w:val="sr-Latn-RS"/>
              </w:rPr>
            </w:pPr>
            <w:r>
              <w:rPr>
                <w:b/>
                <w:sz w:val="22"/>
                <w:szCs w:val="22"/>
              </w:rPr>
              <w:t>Name</w:t>
            </w:r>
            <w:r>
              <w:rPr>
                <w:b/>
                <w:sz w:val="22"/>
                <w:szCs w:val="22"/>
                <w:lang w:val="sr-Latn-RS"/>
              </w:rPr>
              <w:t>:</w:t>
            </w:r>
          </w:p>
        </w:tc>
        <w:tc>
          <w:tcPr>
            <w:tcW w:w="3260" w:type="dxa"/>
            <w:tcBorders>
              <w:bottom w:val="single" w:sz="4" w:space="0" w:color="auto"/>
            </w:tcBorders>
          </w:tcPr>
          <w:p w:rsidR="009F38D0" w:rsidRDefault="009F38D0" w:rsidP="008D57CD">
            <w:pPr>
              <w:pStyle w:val="BodyText"/>
              <w:rPr>
                <w:b/>
                <w:sz w:val="22"/>
                <w:szCs w:val="22"/>
              </w:rPr>
            </w:pPr>
            <w:r>
              <w:rPr>
                <w:b/>
                <w:sz w:val="22"/>
                <w:szCs w:val="22"/>
              </w:rPr>
              <w:t xml:space="preserve">          SINIŠA MALI</w:t>
            </w:r>
          </w:p>
        </w:tc>
      </w:tr>
    </w:tbl>
    <w:p w:rsidR="009F38D0" w:rsidRDefault="009F38D0" w:rsidP="008D57CD">
      <w:pPr>
        <w:pStyle w:val="BodyText"/>
        <w:rPr>
          <w:b/>
          <w:sz w:val="22"/>
          <w:szCs w:val="22"/>
        </w:rPr>
      </w:pPr>
    </w:p>
    <w:tbl>
      <w:tblPr>
        <w:tblStyle w:val="TableGrid"/>
        <w:tblW w:w="4252" w:type="dxa"/>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260"/>
      </w:tblGrid>
      <w:tr w:rsidR="009F38D0" w:rsidTr="002A2DE3">
        <w:tc>
          <w:tcPr>
            <w:tcW w:w="992" w:type="dxa"/>
          </w:tcPr>
          <w:p w:rsidR="009F38D0" w:rsidRPr="009F38D0" w:rsidRDefault="009F38D0" w:rsidP="002A2DE3">
            <w:pPr>
              <w:pStyle w:val="BodyText"/>
              <w:rPr>
                <w:b/>
                <w:sz w:val="22"/>
                <w:szCs w:val="22"/>
                <w:lang w:val="sr-Latn-RS"/>
              </w:rPr>
            </w:pPr>
            <w:r>
              <w:rPr>
                <w:b/>
                <w:sz w:val="22"/>
                <w:szCs w:val="22"/>
              </w:rPr>
              <w:t>Title</w:t>
            </w:r>
            <w:r>
              <w:rPr>
                <w:b/>
                <w:sz w:val="22"/>
                <w:szCs w:val="22"/>
                <w:lang w:val="sr-Latn-RS"/>
              </w:rPr>
              <w:t>:</w:t>
            </w:r>
          </w:p>
        </w:tc>
        <w:tc>
          <w:tcPr>
            <w:tcW w:w="3260" w:type="dxa"/>
            <w:tcBorders>
              <w:bottom w:val="single" w:sz="4" w:space="0" w:color="auto"/>
            </w:tcBorders>
          </w:tcPr>
          <w:p w:rsidR="009F38D0" w:rsidRDefault="009F38D0" w:rsidP="009F38D0">
            <w:pPr>
              <w:pStyle w:val="BodyText"/>
              <w:rPr>
                <w:b/>
                <w:sz w:val="22"/>
                <w:szCs w:val="22"/>
              </w:rPr>
            </w:pPr>
            <w:r>
              <w:rPr>
                <w:b/>
                <w:sz w:val="22"/>
                <w:szCs w:val="22"/>
              </w:rPr>
              <w:t xml:space="preserve">     MINISTER OF FINANCE</w:t>
            </w:r>
          </w:p>
        </w:tc>
      </w:tr>
    </w:tbl>
    <w:p w:rsidR="009F38D0" w:rsidRDefault="009F38D0" w:rsidP="008D57CD">
      <w:pPr>
        <w:pStyle w:val="BodyText"/>
        <w:rPr>
          <w:b/>
          <w:sz w:val="22"/>
          <w:szCs w:val="22"/>
        </w:rPr>
      </w:pPr>
    </w:p>
    <w:tbl>
      <w:tblPr>
        <w:tblStyle w:val="TableGrid"/>
        <w:tblW w:w="4252" w:type="dxa"/>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260"/>
      </w:tblGrid>
      <w:tr w:rsidR="009F38D0" w:rsidTr="002A2DE3">
        <w:tc>
          <w:tcPr>
            <w:tcW w:w="992" w:type="dxa"/>
          </w:tcPr>
          <w:p w:rsidR="009F38D0" w:rsidRPr="009F38D0" w:rsidRDefault="009F38D0" w:rsidP="002A2DE3">
            <w:pPr>
              <w:pStyle w:val="BodyText"/>
              <w:rPr>
                <w:b/>
                <w:sz w:val="22"/>
                <w:szCs w:val="22"/>
                <w:lang w:val="sr-Latn-RS"/>
              </w:rPr>
            </w:pPr>
            <w:r>
              <w:rPr>
                <w:b/>
                <w:sz w:val="22"/>
                <w:szCs w:val="22"/>
              </w:rPr>
              <w:t>Date</w:t>
            </w:r>
            <w:r>
              <w:rPr>
                <w:b/>
                <w:sz w:val="22"/>
                <w:szCs w:val="22"/>
                <w:lang w:val="sr-Latn-RS"/>
              </w:rPr>
              <w:t>:</w:t>
            </w:r>
          </w:p>
        </w:tc>
        <w:tc>
          <w:tcPr>
            <w:tcW w:w="3260" w:type="dxa"/>
            <w:tcBorders>
              <w:bottom w:val="single" w:sz="4" w:space="0" w:color="auto"/>
            </w:tcBorders>
          </w:tcPr>
          <w:p w:rsidR="009F38D0" w:rsidRDefault="009F38D0" w:rsidP="009F38D0">
            <w:pPr>
              <w:pStyle w:val="BodyText"/>
              <w:rPr>
                <w:b/>
                <w:sz w:val="22"/>
                <w:szCs w:val="22"/>
              </w:rPr>
            </w:pPr>
            <w:r>
              <w:rPr>
                <w:b/>
                <w:sz w:val="22"/>
                <w:szCs w:val="22"/>
              </w:rPr>
              <w:t xml:space="preserve">            07/05/2019</w:t>
            </w:r>
          </w:p>
        </w:tc>
      </w:tr>
    </w:tbl>
    <w:p w:rsidR="009F38D0" w:rsidRDefault="009F38D0" w:rsidP="008D57CD">
      <w:pPr>
        <w:pStyle w:val="BodyText"/>
        <w:rPr>
          <w:b/>
          <w:sz w:val="22"/>
          <w:szCs w:val="22"/>
        </w:rPr>
      </w:pPr>
    </w:p>
    <w:p w:rsidR="009F38D0" w:rsidRPr="0096662C" w:rsidRDefault="009F38D0" w:rsidP="008D57CD">
      <w:pPr>
        <w:pStyle w:val="BodyText"/>
        <w:rPr>
          <w:b/>
          <w:sz w:val="22"/>
          <w:szCs w:val="22"/>
        </w:rPr>
      </w:pPr>
    </w:p>
    <w:p w:rsidR="008D57CD" w:rsidRPr="0096662C" w:rsidRDefault="008D57CD" w:rsidP="008D57CD">
      <w:pPr>
        <w:spacing w:line="240" w:lineRule="auto"/>
        <w:rPr>
          <w:b/>
          <w:sz w:val="22"/>
          <w:szCs w:val="22"/>
        </w:rPr>
      </w:pPr>
    </w:p>
    <w:p w:rsidR="008D57CD" w:rsidRDefault="008D57CD" w:rsidP="008D57CD">
      <w:pPr>
        <w:pStyle w:val="BodyText"/>
        <w:ind w:left="3600" w:right="-360" w:firstLine="720"/>
        <w:jc w:val="left"/>
        <w:rPr>
          <w:b/>
          <w:sz w:val="22"/>
          <w:szCs w:val="22"/>
        </w:rPr>
      </w:pPr>
    </w:p>
    <w:p w:rsidR="00FE10AE" w:rsidRDefault="00FE10AE" w:rsidP="008D57CD">
      <w:pPr>
        <w:pStyle w:val="BodyText"/>
        <w:ind w:left="3600" w:right="-360" w:firstLine="720"/>
        <w:jc w:val="left"/>
        <w:rPr>
          <w:b/>
          <w:sz w:val="22"/>
          <w:szCs w:val="22"/>
        </w:rPr>
      </w:pPr>
    </w:p>
    <w:p w:rsidR="008D57CD" w:rsidRDefault="008D57CD" w:rsidP="009F38D0">
      <w:pPr>
        <w:pStyle w:val="BodyText"/>
        <w:ind w:right="-360"/>
        <w:jc w:val="left"/>
        <w:rPr>
          <w:b/>
          <w:sz w:val="22"/>
          <w:szCs w:val="22"/>
        </w:rPr>
      </w:pPr>
    </w:p>
    <w:p w:rsidR="008D57CD" w:rsidRPr="0096662C" w:rsidRDefault="008D57CD" w:rsidP="008D57CD">
      <w:pPr>
        <w:pStyle w:val="BodyText"/>
        <w:ind w:left="3600" w:right="-360"/>
        <w:jc w:val="left"/>
        <w:rPr>
          <w:b/>
          <w:sz w:val="22"/>
          <w:szCs w:val="22"/>
        </w:rPr>
      </w:pPr>
      <w:r w:rsidRPr="0096662C">
        <w:rPr>
          <w:b/>
          <w:sz w:val="22"/>
          <w:szCs w:val="22"/>
        </w:rPr>
        <w:t>INTERNATIONAL BANK FOR</w:t>
      </w:r>
    </w:p>
    <w:p w:rsidR="008D57CD" w:rsidRDefault="008D57CD" w:rsidP="008D57CD">
      <w:pPr>
        <w:pStyle w:val="BodyText"/>
        <w:ind w:right="-360"/>
        <w:jc w:val="left"/>
        <w:rPr>
          <w:b/>
          <w:sz w:val="22"/>
          <w:szCs w:val="22"/>
        </w:rPr>
      </w:pPr>
      <w:r w:rsidRPr="0096662C">
        <w:rPr>
          <w:b/>
          <w:sz w:val="22"/>
          <w:szCs w:val="22"/>
        </w:rPr>
        <w:tab/>
      </w:r>
      <w:r w:rsidRPr="0096662C">
        <w:rPr>
          <w:b/>
          <w:sz w:val="22"/>
          <w:szCs w:val="22"/>
        </w:rPr>
        <w:tab/>
      </w:r>
      <w:r w:rsidRPr="0096662C">
        <w:rPr>
          <w:b/>
          <w:sz w:val="22"/>
          <w:szCs w:val="22"/>
        </w:rPr>
        <w:tab/>
      </w:r>
      <w:r w:rsidRPr="0096662C">
        <w:rPr>
          <w:b/>
          <w:sz w:val="22"/>
          <w:szCs w:val="22"/>
        </w:rPr>
        <w:tab/>
        <w:t xml:space="preserve"> </w:t>
      </w:r>
      <w:r>
        <w:rPr>
          <w:b/>
          <w:sz w:val="22"/>
          <w:szCs w:val="22"/>
        </w:rPr>
        <w:tab/>
      </w:r>
      <w:r w:rsidRPr="0096662C">
        <w:rPr>
          <w:b/>
          <w:sz w:val="22"/>
          <w:szCs w:val="22"/>
        </w:rPr>
        <w:t>RECONSTRUCTION AND DEVELOPMENT</w:t>
      </w:r>
      <w:r>
        <w:rPr>
          <w:b/>
          <w:sz w:val="22"/>
          <w:szCs w:val="22"/>
          <w:lang w:val="sr-Cyrl-RS"/>
        </w:rPr>
        <w:t xml:space="preserve">        </w:t>
      </w:r>
    </w:p>
    <w:p w:rsidR="008D57CD" w:rsidRDefault="008D57CD" w:rsidP="008D57CD">
      <w:pPr>
        <w:pStyle w:val="BodyText"/>
        <w:ind w:right="-360"/>
        <w:jc w:val="left"/>
      </w:pPr>
    </w:p>
    <w:p w:rsidR="008D57CD" w:rsidRPr="0096662C" w:rsidRDefault="008D57CD" w:rsidP="008D57CD">
      <w:pPr>
        <w:pStyle w:val="BodyText"/>
        <w:ind w:right="-360"/>
        <w:jc w:val="left"/>
      </w:pPr>
    </w:p>
    <w:p w:rsidR="008D57CD" w:rsidRPr="0096662C" w:rsidRDefault="009F38D0" w:rsidP="008D57CD">
      <w:pPr>
        <w:pStyle w:val="BodyText"/>
        <w:ind w:left="2160" w:firstLine="720"/>
        <w:rPr>
          <w:b/>
          <w:sz w:val="22"/>
          <w:szCs w:val="22"/>
        </w:rPr>
      </w:pPr>
      <w:r>
        <w:rPr>
          <w:b/>
          <w:sz w:val="22"/>
          <w:szCs w:val="22"/>
        </w:rPr>
        <w:tab/>
      </w:r>
      <w:r w:rsidR="008D57CD" w:rsidRPr="0096662C">
        <w:rPr>
          <w:b/>
          <w:sz w:val="22"/>
          <w:szCs w:val="22"/>
        </w:rPr>
        <w:t>By</w:t>
      </w:r>
    </w:p>
    <w:p w:rsidR="008D57CD" w:rsidRPr="0096662C" w:rsidRDefault="008D57CD" w:rsidP="008D57CD">
      <w:pPr>
        <w:spacing w:line="240" w:lineRule="auto"/>
        <w:jc w:val="right"/>
        <w:rPr>
          <w:b/>
          <w:sz w:val="22"/>
          <w:szCs w:val="22"/>
        </w:rPr>
      </w:pPr>
      <w:r w:rsidRPr="0096662C">
        <w:rPr>
          <w:b/>
          <w:sz w:val="22"/>
          <w:szCs w:val="22"/>
        </w:rPr>
        <w:t>_____________________________________</w:t>
      </w:r>
    </w:p>
    <w:p w:rsidR="008D57CD" w:rsidRPr="0096662C" w:rsidRDefault="008D57CD" w:rsidP="008D57CD">
      <w:pPr>
        <w:tabs>
          <w:tab w:val="left" w:pos="5760"/>
        </w:tabs>
        <w:spacing w:line="240" w:lineRule="auto"/>
        <w:jc w:val="center"/>
        <w:rPr>
          <w:b/>
          <w:sz w:val="22"/>
          <w:szCs w:val="22"/>
        </w:rPr>
      </w:pPr>
      <w:r>
        <w:rPr>
          <w:b/>
          <w:sz w:val="22"/>
          <w:szCs w:val="22"/>
        </w:rPr>
        <w:t xml:space="preserve">                                                           </w:t>
      </w:r>
      <w:r w:rsidRPr="0096662C">
        <w:rPr>
          <w:b/>
          <w:sz w:val="22"/>
          <w:szCs w:val="22"/>
        </w:rPr>
        <w:t>Authorized Representative</w:t>
      </w:r>
    </w:p>
    <w:p w:rsidR="008D57CD" w:rsidRDefault="008D57CD" w:rsidP="008D57CD">
      <w:pPr>
        <w:spacing w:line="240" w:lineRule="auto"/>
        <w:jc w:val="right"/>
        <w:rPr>
          <w:b/>
          <w:sz w:val="22"/>
          <w:szCs w:val="22"/>
        </w:rPr>
      </w:pPr>
    </w:p>
    <w:tbl>
      <w:tblPr>
        <w:tblStyle w:val="TableGrid"/>
        <w:tblW w:w="4252" w:type="dxa"/>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260"/>
      </w:tblGrid>
      <w:tr w:rsidR="009F38D0" w:rsidTr="002A2DE3">
        <w:tc>
          <w:tcPr>
            <w:tcW w:w="992" w:type="dxa"/>
          </w:tcPr>
          <w:p w:rsidR="009F38D0" w:rsidRPr="009F38D0" w:rsidRDefault="009F38D0" w:rsidP="002A2DE3">
            <w:pPr>
              <w:pStyle w:val="BodyText"/>
              <w:rPr>
                <w:b/>
                <w:sz w:val="22"/>
                <w:szCs w:val="22"/>
                <w:lang w:val="sr-Latn-RS"/>
              </w:rPr>
            </w:pPr>
            <w:r>
              <w:rPr>
                <w:b/>
                <w:sz w:val="22"/>
                <w:szCs w:val="22"/>
              </w:rPr>
              <w:t>Name</w:t>
            </w:r>
            <w:r>
              <w:rPr>
                <w:b/>
                <w:sz w:val="22"/>
                <w:szCs w:val="22"/>
                <w:lang w:val="sr-Latn-RS"/>
              </w:rPr>
              <w:t>:</w:t>
            </w:r>
          </w:p>
        </w:tc>
        <w:tc>
          <w:tcPr>
            <w:tcW w:w="3260" w:type="dxa"/>
            <w:tcBorders>
              <w:bottom w:val="single" w:sz="4" w:space="0" w:color="auto"/>
            </w:tcBorders>
          </w:tcPr>
          <w:p w:rsidR="009F38D0" w:rsidRDefault="009F38D0" w:rsidP="002A2DE3">
            <w:pPr>
              <w:pStyle w:val="BodyText"/>
              <w:rPr>
                <w:b/>
                <w:sz w:val="22"/>
                <w:szCs w:val="22"/>
              </w:rPr>
            </w:pPr>
            <w:r>
              <w:rPr>
                <w:b/>
                <w:sz w:val="22"/>
                <w:szCs w:val="22"/>
              </w:rPr>
              <w:t xml:space="preserve">          </w:t>
            </w:r>
            <w:r w:rsidRPr="000B4ADE">
              <w:rPr>
                <w:b/>
                <w:sz w:val="22"/>
                <w:szCs w:val="22"/>
              </w:rPr>
              <w:t>STEPHEN NDEGWA</w:t>
            </w:r>
          </w:p>
        </w:tc>
      </w:tr>
    </w:tbl>
    <w:p w:rsidR="009F38D0" w:rsidRDefault="009F38D0" w:rsidP="009F38D0">
      <w:pPr>
        <w:pStyle w:val="BodyText"/>
        <w:rPr>
          <w:b/>
          <w:sz w:val="22"/>
          <w:szCs w:val="22"/>
        </w:rPr>
      </w:pPr>
    </w:p>
    <w:tbl>
      <w:tblPr>
        <w:tblStyle w:val="TableGrid"/>
        <w:tblW w:w="4252" w:type="dxa"/>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260"/>
      </w:tblGrid>
      <w:tr w:rsidR="009F38D0" w:rsidTr="002A2DE3">
        <w:tc>
          <w:tcPr>
            <w:tcW w:w="992" w:type="dxa"/>
          </w:tcPr>
          <w:p w:rsidR="009F38D0" w:rsidRPr="009F38D0" w:rsidRDefault="009F38D0" w:rsidP="002A2DE3">
            <w:pPr>
              <w:pStyle w:val="BodyText"/>
              <w:rPr>
                <w:b/>
                <w:sz w:val="22"/>
                <w:szCs w:val="22"/>
                <w:lang w:val="sr-Latn-RS"/>
              </w:rPr>
            </w:pPr>
            <w:r>
              <w:rPr>
                <w:b/>
                <w:sz w:val="22"/>
                <w:szCs w:val="22"/>
              </w:rPr>
              <w:t>Title</w:t>
            </w:r>
            <w:r>
              <w:rPr>
                <w:b/>
                <w:sz w:val="22"/>
                <w:szCs w:val="22"/>
                <w:lang w:val="sr-Latn-RS"/>
              </w:rPr>
              <w:t>:</w:t>
            </w:r>
          </w:p>
        </w:tc>
        <w:tc>
          <w:tcPr>
            <w:tcW w:w="3260" w:type="dxa"/>
            <w:tcBorders>
              <w:bottom w:val="single" w:sz="4" w:space="0" w:color="auto"/>
            </w:tcBorders>
          </w:tcPr>
          <w:p w:rsidR="009F38D0" w:rsidRDefault="009F38D0" w:rsidP="002A2DE3">
            <w:pPr>
              <w:pStyle w:val="BodyText"/>
              <w:rPr>
                <w:b/>
                <w:sz w:val="22"/>
                <w:szCs w:val="22"/>
              </w:rPr>
            </w:pPr>
            <w:r>
              <w:rPr>
                <w:b/>
                <w:sz w:val="22"/>
                <w:szCs w:val="22"/>
              </w:rPr>
              <w:t xml:space="preserve">     </w:t>
            </w:r>
            <w:r w:rsidRPr="000B4ADE">
              <w:rPr>
                <w:b/>
                <w:sz w:val="22"/>
                <w:szCs w:val="22"/>
              </w:rPr>
              <w:t>COUNTRY MANAGER</w:t>
            </w:r>
          </w:p>
        </w:tc>
      </w:tr>
    </w:tbl>
    <w:p w:rsidR="009F38D0" w:rsidRDefault="009F38D0" w:rsidP="009F38D0">
      <w:pPr>
        <w:pStyle w:val="BodyText"/>
        <w:rPr>
          <w:b/>
          <w:sz w:val="22"/>
          <w:szCs w:val="22"/>
        </w:rPr>
      </w:pPr>
    </w:p>
    <w:tbl>
      <w:tblPr>
        <w:tblStyle w:val="TableGrid"/>
        <w:tblW w:w="4252" w:type="dxa"/>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260"/>
      </w:tblGrid>
      <w:tr w:rsidR="009F38D0" w:rsidTr="002A2DE3">
        <w:tc>
          <w:tcPr>
            <w:tcW w:w="992" w:type="dxa"/>
          </w:tcPr>
          <w:p w:rsidR="009F38D0" w:rsidRPr="009F38D0" w:rsidRDefault="009F38D0" w:rsidP="002A2DE3">
            <w:pPr>
              <w:pStyle w:val="BodyText"/>
              <w:rPr>
                <w:b/>
                <w:sz w:val="22"/>
                <w:szCs w:val="22"/>
                <w:lang w:val="sr-Latn-RS"/>
              </w:rPr>
            </w:pPr>
            <w:r>
              <w:rPr>
                <w:b/>
                <w:sz w:val="22"/>
                <w:szCs w:val="22"/>
              </w:rPr>
              <w:t>Date</w:t>
            </w:r>
            <w:r>
              <w:rPr>
                <w:b/>
                <w:sz w:val="22"/>
                <w:szCs w:val="22"/>
                <w:lang w:val="sr-Latn-RS"/>
              </w:rPr>
              <w:t>:</w:t>
            </w:r>
          </w:p>
        </w:tc>
        <w:tc>
          <w:tcPr>
            <w:tcW w:w="3260" w:type="dxa"/>
            <w:tcBorders>
              <w:bottom w:val="single" w:sz="4" w:space="0" w:color="auto"/>
            </w:tcBorders>
          </w:tcPr>
          <w:p w:rsidR="009F38D0" w:rsidRDefault="009F38D0" w:rsidP="002A2DE3">
            <w:pPr>
              <w:pStyle w:val="BodyText"/>
              <w:rPr>
                <w:b/>
                <w:sz w:val="22"/>
                <w:szCs w:val="22"/>
              </w:rPr>
            </w:pPr>
            <w:r>
              <w:rPr>
                <w:b/>
                <w:sz w:val="22"/>
                <w:szCs w:val="22"/>
              </w:rPr>
              <w:t xml:space="preserve">            07/05/2019</w:t>
            </w:r>
          </w:p>
        </w:tc>
      </w:tr>
    </w:tbl>
    <w:p w:rsidR="009F38D0" w:rsidRDefault="009F38D0" w:rsidP="008D57CD">
      <w:pPr>
        <w:spacing w:line="240" w:lineRule="auto"/>
        <w:jc w:val="right"/>
        <w:rPr>
          <w:b/>
          <w:sz w:val="22"/>
          <w:szCs w:val="22"/>
        </w:rPr>
      </w:pPr>
    </w:p>
    <w:p w:rsidR="009F38D0" w:rsidRDefault="009F38D0" w:rsidP="008D57CD">
      <w:pPr>
        <w:spacing w:line="240" w:lineRule="auto"/>
        <w:jc w:val="right"/>
        <w:rPr>
          <w:b/>
          <w:sz w:val="22"/>
          <w:szCs w:val="22"/>
        </w:rPr>
      </w:pPr>
    </w:p>
    <w:p w:rsidR="009F38D0" w:rsidRDefault="009F38D0" w:rsidP="008D57CD">
      <w:pPr>
        <w:spacing w:line="240" w:lineRule="auto"/>
        <w:jc w:val="right"/>
        <w:rPr>
          <w:b/>
          <w:sz w:val="22"/>
          <w:szCs w:val="22"/>
        </w:rPr>
      </w:pPr>
    </w:p>
    <w:p w:rsidR="008D57CD" w:rsidRPr="0096662C" w:rsidRDefault="008D57CD" w:rsidP="008D57CD">
      <w:pPr>
        <w:pStyle w:val="BodyText"/>
        <w:jc w:val="center"/>
        <w:rPr>
          <w:b/>
          <w:bCs/>
          <w:sz w:val="22"/>
          <w:szCs w:val="22"/>
        </w:rPr>
      </w:pPr>
      <w:r w:rsidRPr="0096662C">
        <w:rPr>
          <w:b/>
          <w:sz w:val="22"/>
          <w:szCs w:val="22"/>
        </w:rPr>
        <w:br w:type="page"/>
      </w:r>
      <w:r w:rsidRPr="0096662C">
        <w:rPr>
          <w:b/>
          <w:bCs/>
          <w:sz w:val="22"/>
          <w:szCs w:val="22"/>
        </w:rPr>
        <w:lastRenderedPageBreak/>
        <w:t>SCHEDULE 1</w:t>
      </w:r>
    </w:p>
    <w:p w:rsidR="008D57CD" w:rsidRPr="0096662C" w:rsidRDefault="008D57CD" w:rsidP="008D57CD">
      <w:pPr>
        <w:pStyle w:val="BodyText"/>
        <w:jc w:val="center"/>
        <w:rPr>
          <w:b/>
          <w:bCs/>
          <w:sz w:val="22"/>
          <w:szCs w:val="22"/>
        </w:rPr>
      </w:pPr>
    </w:p>
    <w:p w:rsidR="008D57CD" w:rsidRPr="0096662C" w:rsidRDefault="008D57CD" w:rsidP="008D57CD">
      <w:pPr>
        <w:pStyle w:val="BodyText"/>
        <w:jc w:val="center"/>
        <w:rPr>
          <w:b/>
          <w:bCs/>
          <w:sz w:val="22"/>
          <w:szCs w:val="22"/>
        </w:rPr>
      </w:pPr>
      <w:r w:rsidRPr="0096662C">
        <w:rPr>
          <w:b/>
          <w:bCs/>
          <w:sz w:val="22"/>
          <w:szCs w:val="22"/>
        </w:rPr>
        <w:t>Project Description</w:t>
      </w:r>
    </w:p>
    <w:p w:rsidR="008D57CD" w:rsidRPr="0096662C" w:rsidRDefault="008D57CD" w:rsidP="008D57CD">
      <w:pPr>
        <w:pStyle w:val="BodyText"/>
        <w:rPr>
          <w:sz w:val="22"/>
          <w:szCs w:val="22"/>
        </w:rPr>
      </w:pPr>
    </w:p>
    <w:p w:rsidR="008D57CD" w:rsidRPr="0096662C" w:rsidRDefault="008D57CD" w:rsidP="008D57CD">
      <w:pPr>
        <w:pStyle w:val="BodyText"/>
        <w:ind w:firstLine="720"/>
        <w:rPr>
          <w:sz w:val="22"/>
          <w:szCs w:val="22"/>
        </w:rPr>
      </w:pPr>
      <w:r w:rsidRPr="0096662C">
        <w:rPr>
          <w:sz w:val="22"/>
          <w:szCs w:val="22"/>
        </w:rPr>
        <w:t>The objective of the Project is to reduce trade costs and increase transport efficiency in Serbia. The Project constitutes the first phase of the MPA Program, and consists of the following parts:</w:t>
      </w:r>
    </w:p>
    <w:p w:rsidR="008D57CD" w:rsidRPr="0096662C" w:rsidRDefault="008D57CD" w:rsidP="008D57CD">
      <w:pPr>
        <w:pStyle w:val="BodyText"/>
        <w:rPr>
          <w:sz w:val="22"/>
          <w:szCs w:val="22"/>
        </w:rPr>
      </w:pPr>
    </w:p>
    <w:p w:rsidR="008D57CD" w:rsidRPr="0096662C" w:rsidRDefault="008D57CD" w:rsidP="008D57CD">
      <w:pPr>
        <w:pStyle w:val="ListParagraph"/>
        <w:autoSpaceDN w:val="0"/>
        <w:spacing w:after="120" w:line="240" w:lineRule="auto"/>
        <w:ind w:left="0"/>
        <w:jc w:val="both"/>
        <w:rPr>
          <w:b/>
          <w:bCs/>
          <w:color w:val="000000" w:themeColor="text1"/>
          <w:sz w:val="22"/>
          <w:szCs w:val="22"/>
        </w:rPr>
      </w:pPr>
      <w:r w:rsidRPr="0096662C">
        <w:rPr>
          <w:b/>
          <w:bCs/>
          <w:color w:val="000000" w:themeColor="text1"/>
          <w:sz w:val="22"/>
          <w:szCs w:val="22"/>
          <w:u w:val="single"/>
        </w:rPr>
        <w:t>Part 1</w:t>
      </w:r>
      <w:r w:rsidRPr="0096662C">
        <w:rPr>
          <w:b/>
          <w:bCs/>
          <w:color w:val="000000" w:themeColor="text1"/>
          <w:sz w:val="22"/>
          <w:szCs w:val="22"/>
        </w:rPr>
        <w:t xml:space="preserve">: </w:t>
      </w:r>
      <w:r w:rsidRPr="0096662C">
        <w:rPr>
          <w:b/>
          <w:bCs/>
          <w:color w:val="000000" w:themeColor="text1"/>
          <w:sz w:val="22"/>
          <w:szCs w:val="22"/>
          <w:u w:val="single"/>
        </w:rPr>
        <w:t>Facilitating movement of goods across the Western Balkans</w:t>
      </w:r>
      <w:r w:rsidRPr="0096662C">
        <w:rPr>
          <w:b/>
          <w:bCs/>
          <w:color w:val="000000" w:themeColor="text1"/>
          <w:sz w:val="22"/>
          <w:szCs w:val="22"/>
        </w:rPr>
        <w:t xml:space="preserve"> </w:t>
      </w:r>
    </w:p>
    <w:p w:rsidR="008D57CD" w:rsidRPr="0096662C" w:rsidRDefault="008D57CD" w:rsidP="008D57CD">
      <w:pPr>
        <w:pStyle w:val="BodyText"/>
        <w:rPr>
          <w:sz w:val="22"/>
          <w:szCs w:val="22"/>
        </w:rPr>
      </w:pPr>
      <w:bookmarkStart w:id="5" w:name="_Hlk506418501"/>
      <w:r w:rsidRPr="0096662C">
        <w:rPr>
          <w:sz w:val="22"/>
          <w:szCs w:val="22"/>
        </w:rPr>
        <w:t xml:space="preserve">1. </w:t>
      </w:r>
      <w:r w:rsidRPr="0096662C">
        <w:rPr>
          <w:sz w:val="22"/>
          <w:szCs w:val="22"/>
        </w:rPr>
        <w:tab/>
        <w:t xml:space="preserve">Provision of support to design, develop and implement a National Single Window (NSW) solution and the associated reform and modernization of customs and other border management agency requirement to improve transparency and integrity, lower trade transaction costs, improve inter agency coordination and reduce the time taken to clear goods.  </w:t>
      </w:r>
      <w:bookmarkEnd w:id="5"/>
    </w:p>
    <w:p w:rsidR="008D57CD" w:rsidRPr="0096662C" w:rsidRDefault="008D57CD" w:rsidP="008D57CD">
      <w:pPr>
        <w:pStyle w:val="BodyText"/>
        <w:rPr>
          <w:sz w:val="22"/>
          <w:szCs w:val="22"/>
        </w:rPr>
      </w:pPr>
    </w:p>
    <w:p w:rsidR="008D57CD" w:rsidRPr="0096662C" w:rsidRDefault="008D57CD" w:rsidP="008D57CD">
      <w:pPr>
        <w:pStyle w:val="BodyText"/>
        <w:rPr>
          <w:sz w:val="22"/>
          <w:szCs w:val="22"/>
        </w:rPr>
      </w:pPr>
      <w:r w:rsidRPr="0096662C">
        <w:rPr>
          <w:sz w:val="22"/>
          <w:szCs w:val="22"/>
        </w:rPr>
        <w:t xml:space="preserve">2. </w:t>
      </w:r>
      <w:r w:rsidRPr="0096662C">
        <w:rPr>
          <w:sz w:val="22"/>
          <w:szCs w:val="22"/>
        </w:rPr>
        <w:tab/>
        <w:t>Provision of support to implement Electronic Data Interchange (EDI) for railways.</w:t>
      </w:r>
    </w:p>
    <w:p w:rsidR="008D57CD" w:rsidRPr="0096662C" w:rsidRDefault="008D57CD" w:rsidP="008D57CD">
      <w:pPr>
        <w:pStyle w:val="BodyText"/>
        <w:rPr>
          <w:sz w:val="22"/>
          <w:szCs w:val="22"/>
        </w:rPr>
      </w:pPr>
    </w:p>
    <w:p w:rsidR="008D57CD" w:rsidRPr="0096662C" w:rsidRDefault="008D57CD" w:rsidP="008D57CD">
      <w:pPr>
        <w:pStyle w:val="ListParagraph"/>
        <w:autoSpaceDN w:val="0"/>
        <w:spacing w:after="120" w:line="240" w:lineRule="auto"/>
        <w:ind w:left="0"/>
        <w:jc w:val="both"/>
        <w:rPr>
          <w:color w:val="000000" w:themeColor="text1"/>
          <w:sz w:val="22"/>
          <w:szCs w:val="22"/>
          <w:u w:val="single"/>
        </w:rPr>
      </w:pPr>
      <w:r w:rsidRPr="0096662C">
        <w:rPr>
          <w:b/>
          <w:color w:val="000000" w:themeColor="text1"/>
          <w:sz w:val="22"/>
          <w:szCs w:val="22"/>
          <w:u w:val="single"/>
        </w:rPr>
        <w:t>Part 2:</w:t>
      </w:r>
      <w:r w:rsidRPr="0096662C">
        <w:rPr>
          <w:b/>
          <w:color w:val="000000" w:themeColor="text1"/>
          <w:sz w:val="22"/>
          <w:szCs w:val="22"/>
        </w:rPr>
        <w:t xml:space="preserve"> </w:t>
      </w:r>
      <w:r w:rsidRPr="0096662C">
        <w:rPr>
          <w:b/>
          <w:color w:val="000000" w:themeColor="text1"/>
          <w:sz w:val="22"/>
          <w:szCs w:val="22"/>
          <w:u w:val="single"/>
        </w:rPr>
        <w:t>Enhancing transport efficiency and predictability</w:t>
      </w:r>
      <w:r w:rsidRPr="0096662C" w:rsidDel="00302E3D">
        <w:rPr>
          <w:color w:val="000000" w:themeColor="text1"/>
          <w:sz w:val="22"/>
          <w:szCs w:val="22"/>
          <w:u w:val="single"/>
        </w:rPr>
        <w:t xml:space="preserve"> </w:t>
      </w:r>
    </w:p>
    <w:p w:rsidR="008D57CD" w:rsidRPr="0096662C" w:rsidRDefault="008D57CD" w:rsidP="008D57CD">
      <w:pPr>
        <w:autoSpaceDN w:val="0"/>
        <w:spacing w:after="120" w:line="240" w:lineRule="auto"/>
        <w:jc w:val="both"/>
        <w:rPr>
          <w:sz w:val="22"/>
          <w:szCs w:val="22"/>
          <w:lang w:eastAsia="fr-FR"/>
        </w:rPr>
      </w:pPr>
      <w:r w:rsidRPr="0096662C">
        <w:rPr>
          <w:sz w:val="22"/>
          <w:szCs w:val="22"/>
          <w:lang w:eastAsia="fr-FR"/>
        </w:rPr>
        <w:t>1.</w:t>
      </w:r>
      <w:r w:rsidRPr="0096662C">
        <w:rPr>
          <w:sz w:val="22"/>
          <w:szCs w:val="22"/>
          <w:lang w:eastAsia="fr-FR"/>
        </w:rPr>
        <w:tab/>
        <w:t>Provision of support to develop an Intelligent Transport System (ITS) through the procurement and installation of the following, equipment such as but not limited to: (a) a system for collecting data on traffic flow from inductive loops that are positioned into the carriageway</w:t>
      </w:r>
      <w:r>
        <w:rPr>
          <w:sz w:val="22"/>
          <w:szCs w:val="22"/>
          <w:lang w:eastAsia="fr-FR"/>
        </w:rPr>
        <w:t>;</w:t>
      </w:r>
      <w:r w:rsidRPr="0096662C">
        <w:rPr>
          <w:sz w:val="22"/>
          <w:szCs w:val="22"/>
          <w:lang w:eastAsia="fr-FR"/>
        </w:rPr>
        <w:t xml:space="preserve"> (b) Weight In Motion (WIM)</w:t>
      </w:r>
      <w:r>
        <w:rPr>
          <w:sz w:val="22"/>
          <w:szCs w:val="22"/>
          <w:lang w:eastAsia="fr-FR"/>
        </w:rPr>
        <w:t>;</w:t>
      </w:r>
      <w:r w:rsidRPr="0096662C">
        <w:rPr>
          <w:sz w:val="22"/>
          <w:szCs w:val="22"/>
          <w:lang w:eastAsia="fr-FR"/>
        </w:rPr>
        <w:t xml:space="preserve"> (c) elements to control the height of vehicles that access highway</w:t>
      </w:r>
      <w:r>
        <w:rPr>
          <w:sz w:val="22"/>
          <w:szCs w:val="22"/>
          <w:lang w:eastAsia="fr-FR"/>
        </w:rPr>
        <w:t>;</w:t>
      </w:r>
      <w:r w:rsidRPr="0096662C">
        <w:rPr>
          <w:sz w:val="22"/>
          <w:szCs w:val="22"/>
          <w:lang w:eastAsia="fr-FR"/>
        </w:rPr>
        <w:t xml:space="preserve"> (d) a system to collect data on weather conditions along the route of the highway</w:t>
      </w:r>
      <w:r>
        <w:rPr>
          <w:sz w:val="22"/>
          <w:szCs w:val="22"/>
          <w:lang w:eastAsia="fr-FR"/>
        </w:rPr>
        <w:t>;</w:t>
      </w:r>
      <w:r w:rsidRPr="0096662C">
        <w:rPr>
          <w:sz w:val="22"/>
          <w:szCs w:val="22"/>
          <w:lang w:eastAsia="fr-FR"/>
        </w:rPr>
        <w:t xml:space="preserve"> and (e) a system to detect the transport of dangerous goods.</w:t>
      </w:r>
    </w:p>
    <w:p w:rsidR="008D57CD" w:rsidRPr="0096662C" w:rsidRDefault="008D57CD" w:rsidP="008D57CD">
      <w:pPr>
        <w:autoSpaceDN w:val="0"/>
        <w:spacing w:after="120" w:line="240" w:lineRule="auto"/>
        <w:jc w:val="both"/>
        <w:rPr>
          <w:sz w:val="22"/>
          <w:szCs w:val="22"/>
          <w:lang w:eastAsia="fr-FR"/>
        </w:rPr>
      </w:pPr>
      <w:r w:rsidRPr="0096662C">
        <w:rPr>
          <w:sz w:val="22"/>
          <w:szCs w:val="22"/>
          <w:lang w:eastAsia="fr-FR"/>
        </w:rPr>
        <w:t xml:space="preserve">2. </w:t>
      </w:r>
      <w:r w:rsidRPr="0096662C">
        <w:rPr>
          <w:sz w:val="22"/>
          <w:szCs w:val="22"/>
          <w:lang w:eastAsia="fr-FR"/>
        </w:rPr>
        <w:tab/>
        <w:t xml:space="preserve">Provision of support for the improvement of specific railway level crossings on the network </w:t>
      </w:r>
      <w:r w:rsidRPr="00B802C8">
        <w:rPr>
          <w:i/>
          <w:sz w:val="22"/>
          <w:szCs w:val="22"/>
          <w:lang w:eastAsia="fr-FR"/>
        </w:rPr>
        <w:t>vis à vis</w:t>
      </w:r>
      <w:r w:rsidRPr="0096662C">
        <w:rPr>
          <w:sz w:val="22"/>
          <w:szCs w:val="22"/>
          <w:lang w:eastAsia="fr-FR"/>
        </w:rPr>
        <w:t xml:space="preserve"> safety and efficiency of the signaling and interoperability</w:t>
      </w:r>
      <w:r>
        <w:rPr>
          <w:sz w:val="22"/>
          <w:szCs w:val="22"/>
          <w:lang w:eastAsia="fr-FR"/>
        </w:rPr>
        <w:t>.</w:t>
      </w:r>
    </w:p>
    <w:p w:rsidR="008D57CD" w:rsidRPr="0096662C" w:rsidRDefault="008D57CD" w:rsidP="008D57CD">
      <w:pPr>
        <w:autoSpaceDN w:val="0"/>
        <w:spacing w:after="120" w:line="240" w:lineRule="auto"/>
        <w:jc w:val="both"/>
        <w:rPr>
          <w:sz w:val="22"/>
          <w:szCs w:val="22"/>
          <w:lang w:eastAsia="fr-FR"/>
        </w:rPr>
      </w:pPr>
      <w:r w:rsidRPr="0096662C">
        <w:rPr>
          <w:sz w:val="22"/>
          <w:szCs w:val="22"/>
          <w:lang w:eastAsia="fr-FR"/>
        </w:rPr>
        <w:t xml:space="preserve">3. </w:t>
      </w:r>
      <w:r w:rsidRPr="0096662C">
        <w:rPr>
          <w:sz w:val="22"/>
          <w:szCs w:val="22"/>
          <w:lang w:eastAsia="fr-FR"/>
        </w:rPr>
        <w:tab/>
        <w:t>Provision of support for the development of a Reliability, Availability, Maintainability, and Safety system (RAMS), towards better maintenance and safety of the railway infrastructure</w:t>
      </w:r>
      <w:r>
        <w:rPr>
          <w:sz w:val="22"/>
          <w:szCs w:val="22"/>
          <w:lang w:eastAsia="fr-FR"/>
        </w:rPr>
        <w:t>.</w:t>
      </w:r>
    </w:p>
    <w:p w:rsidR="008D57CD" w:rsidRPr="0096662C" w:rsidRDefault="008D57CD" w:rsidP="008D57CD">
      <w:pPr>
        <w:autoSpaceDN w:val="0"/>
        <w:spacing w:after="120" w:line="240" w:lineRule="auto"/>
        <w:ind w:firstLine="720"/>
        <w:jc w:val="both"/>
        <w:rPr>
          <w:sz w:val="22"/>
          <w:szCs w:val="22"/>
          <w:lang w:eastAsia="fr-FR"/>
        </w:rPr>
      </w:pPr>
    </w:p>
    <w:p w:rsidR="008D57CD" w:rsidRPr="0096662C" w:rsidRDefault="008D57CD" w:rsidP="008D57CD">
      <w:pPr>
        <w:pStyle w:val="ListParagraph"/>
        <w:autoSpaceDN w:val="0"/>
        <w:spacing w:after="120" w:line="240" w:lineRule="auto"/>
        <w:ind w:left="0"/>
        <w:jc w:val="both"/>
        <w:rPr>
          <w:b/>
          <w:bCs/>
          <w:color w:val="000000" w:themeColor="text1"/>
          <w:sz w:val="22"/>
          <w:szCs w:val="22"/>
        </w:rPr>
      </w:pPr>
      <w:r w:rsidRPr="0096662C">
        <w:rPr>
          <w:b/>
          <w:bCs/>
          <w:color w:val="000000" w:themeColor="text1"/>
          <w:sz w:val="22"/>
          <w:szCs w:val="22"/>
          <w:u w:val="single"/>
        </w:rPr>
        <w:t>Part 3</w:t>
      </w:r>
      <w:r w:rsidRPr="0096662C">
        <w:rPr>
          <w:b/>
          <w:bCs/>
          <w:color w:val="000000" w:themeColor="text1"/>
          <w:sz w:val="22"/>
          <w:szCs w:val="22"/>
        </w:rPr>
        <w:t xml:space="preserve">: </w:t>
      </w:r>
      <w:r w:rsidRPr="0096662C">
        <w:rPr>
          <w:b/>
          <w:bCs/>
          <w:color w:val="000000" w:themeColor="text1"/>
          <w:sz w:val="22"/>
          <w:szCs w:val="22"/>
          <w:u w:val="single"/>
        </w:rPr>
        <w:t>Enhancing Market Access for Trade in Services and Investments</w:t>
      </w:r>
    </w:p>
    <w:p w:rsidR="008D57CD" w:rsidRPr="0096662C" w:rsidRDefault="008D57CD" w:rsidP="008D57CD">
      <w:pPr>
        <w:pStyle w:val="ListParagraph"/>
        <w:numPr>
          <w:ilvl w:val="0"/>
          <w:numId w:val="27"/>
        </w:numPr>
        <w:autoSpaceDN w:val="0"/>
        <w:spacing w:after="120" w:line="240" w:lineRule="auto"/>
        <w:ind w:left="0" w:firstLine="0"/>
        <w:jc w:val="both"/>
        <w:rPr>
          <w:bCs/>
          <w:sz w:val="22"/>
          <w:szCs w:val="22"/>
        </w:rPr>
      </w:pPr>
      <w:r w:rsidRPr="0096662C">
        <w:rPr>
          <w:bCs/>
          <w:sz w:val="22"/>
          <w:szCs w:val="22"/>
        </w:rPr>
        <w:t xml:space="preserve">Provision of support through technical assistance for the implementation of regulatory and institutional reforms to align with the </w:t>
      </w:r>
      <w:r>
        <w:rPr>
          <w:bCs/>
          <w:sz w:val="22"/>
          <w:szCs w:val="22"/>
        </w:rPr>
        <w:t xml:space="preserve">parties </w:t>
      </w:r>
      <w:r w:rsidRPr="0096662C">
        <w:rPr>
          <w:bCs/>
          <w:sz w:val="22"/>
          <w:szCs w:val="22"/>
        </w:rPr>
        <w:t>specific commitments under</w:t>
      </w:r>
      <w:r>
        <w:rPr>
          <w:bCs/>
          <w:sz w:val="22"/>
          <w:szCs w:val="22"/>
        </w:rPr>
        <w:t>:</w:t>
      </w:r>
      <w:r w:rsidRPr="0096662C">
        <w:rPr>
          <w:bCs/>
          <w:sz w:val="22"/>
          <w:szCs w:val="22"/>
        </w:rPr>
        <w:t xml:space="preserve"> (a) </w:t>
      </w:r>
      <w:r>
        <w:rPr>
          <w:bCs/>
          <w:sz w:val="22"/>
          <w:szCs w:val="22"/>
        </w:rPr>
        <w:t>Central European Free Trade Agreement (</w:t>
      </w:r>
      <w:r w:rsidRPr="0096662C">
        <w:rPr>
          <w:bCs/>
          <w:sz w:val="22"/>
          <w:szCs w:val="22"/>
        </w:rPr>
        <w:t>CEFTA</w:t>
      </w:r>
      <w:r>
        <w:rPr>
          <w:bCs/>
          <w:sz w:val="22"/>
          <w:szCs w:val="22"/>
        </w:rPr>
        <w:t>)</w:t>
      </w:r>
      <w:r w:rsidRPr="0096662C">
        <w:rPr>
          <w:bCs/>
          <w:sz w:val="22"/>
          <w:szCs w:val="22"/>
        </w:rPr>
        <w:t xml:space="preserve"> Additional Protocol 6; and (b) the Multi-annual Action Plan for a Regional Economic Area in the Western Balkans (MAP).</w:t>
      </w:r>
    </w:p>
    <w:p w:rsidR="008D57CD" w:rsidRPr="0096662C" w:rsidRDefault="008D57CD" w:rsidP="008D57CD">
      <w:pPr>
        <w:pStyle w:val="ListParagraph"/>
        <w:autoSpaceDN w:val="0"/>
        <w:spacing w:after="120" w:line="240" w:lineRule="auto"/>
        <w:ind w:left="0"/>
        <w:jc w:val="both"/>
        <w:rPr>
          <w:bCs/>
          <w:sz w:val="22"/>
          <w:szCs w:val="22"/>
        </w:rPr>
      </w:pPr>
    </w:p>
    <w:p w:rsidR="008D57CD" w:rsidRPr="0096662C" w:rsidRDefault="008D57CD" w:rsidP="008D57CD">
      <w:pPr>
        <w:pStyle w:val="ListParagraph"/>
        <w:autoSpaceDN w:val="0"/>
        <w:spacing w:after="120" w:line="240" w:lineRule="auto"/>
        <w:ind w:left="0"/>
        <w:jc w:val="both"/>
        <w:rPr>
          <w:b/>
          <w:color w:val="000000" w:themeColor="text1"/>
          <w:sz w:val="22"/>
          <w:szCs w:val="22"/>
        </w:rPr>
      </w:pPr>
      <w:r w:rsidRPr="0096662C">
        <w:rPr>
          <w:b/>
          <w:color w:val="000000" w:themeColor="text1"/>
          <w:sz w:val="22"/>
          <w:szCs w:val="22"/>
          <w:u w:val="single"/>
        </w:rPr>
        <w:t>Part 4</w:t>
      </w:r>
      <w:r w:rsidRPr="0096662C">
        <w:rPr>
          <w:b/>
          <w:color w:val="000000" w:themeColor="text1"/>
          <w:sz w:val="22"/>
          <w:szCs w:val="22"/>
        </w:rPr>
        <w:t xml:space="preserve">: </w:t>
      </w:r>
      <w:r w:rsidRPr="0096662C">
        <w:rPr>
          <w:b/>
          <w:color w:val="000000" w:themeColor="text1"/>
          <w:sz w:val="22"/>
          <w:szCs w:val="22"/>
          <w:u w:val="single"/>
        </w:rPr>
        <w:t>Project implementation support</w:t>
      </w:r>
    </w:p>
    <w:p w:rsidR="008D57CD" w:rsidRPr="0096662C" w:rsidRDefault="008D57CD" w:rsidP="008D57CD">
      <w:pPr>
        <w:pStyle w:val="ListParagraph"/>
        <w:numPr>
          <w:ilvl w:val="0"/>
          <w:numId w:val="28"/>
        </w:numPr>
        <w:autoSpaceDN w:val="0"/>
        <w:spacing w:after="120" w:line="240" w:lineRule="auto"/>
        <w:ind w:left="0" w:firstLine="0"/>
        <w:jc w:val="both"/>
        <w:rPr>
          <w:bCs/>
          <w:sz w:val="22"/>
          <w:szCs w:val="22"/>
        </w:rPr>
      </w:pPr>
      <w:r w:rsidRPr="0096662C">
        <w:rPr>
          <w:bCs/>
          <w:sz w:val="22"/>
          <w:szCs w:val="22"/>
        </w:rPr>
        <w:t xml:space="preserve">Provision of support to the PIU and </w:t>
      </w:r>
      <w:r w:rsidRPr="0096662C">
        <w:rPr>
          <w:sz w:val="22"/>
          <w:szCs w:val="22"/>
        </w:rPr>
        <w:t>Central Fiduciary Unit (</w:t>
      </w:r>
      <w:r w:rsidRPr="0096662C">
        <w:rPr>
          <w:bCs/>
          <w:sz w:val="22"/>
          <w:szCs w:val="22"/>
        </w:rPr>
        <w:t xml:space="preserve">CFU) including </w:t>
      </w:r>
      <w:r w:rsidRPr="0096662C">
        <w:rPr>
          <w:sz w:val="22"/>
          <w:szCs w:val="22"/>
        </w:rPr>
        <w:t xml:space="preserve">procurement, financial management, monitoring, and evaluation, audits, safeguards and technical oversight, and </w:t>
      </w:r>
      <w:r w:rsidRPr="0096662C">
        <w:rPr>
          <w:bCs/>
          <w:sz w:val="22"/>
          <w:szCs w:val="22"/>
        </w:rPr>
        <w:t xml:space="preserve">policy coordination. </w:t>
      </w:r>
    </w:p>
    <w:p w:rsidR="008D57CD" w:rsidRPr="0096662C" w:rsidRDefault="008D57CD" w:rsidP="008D57CD">
      <w:pPr>
        <w:pStyle w:val="ListParagraph"/>
        <w:numPr>
          <w:ilvl w:val="0"/>
          <w:numId w:val="28"/>
        </w:numPr>
        <w:autoSpaceDN w:val="0"/>
        <w:spacing w:after="120" w:line="240" w:lineRule="auto"/>
        <w:ind w:left="0" w:firstLine="0"/>
        <w:jc w:val="both"/>
        <w:rPr>
          <w:bCs/>
          <w:sz w:val="22"/>
          <w:szCs w:val="22"/>
        </w:rPr>
      </w:pPr>
      <w:r w:rsidRPr="0096662C">
        <w:rPr>
          <w:bCs/>
          <w:sz w:val="22"/>
          <w:szCs w:val="22"/>
        </w:rPr>
        <w:t>Provisions of support to carry out public and multi-stakeholder consultations and surveys (including women traders); grievance redress mechanism; corridor performance tool; and user satisfaction surveys.</w:t>
      </w:r>
    </w:p>
    <w:p w:rsidR="008D57CD" w:rsidRPr="0096662C" w:rsidRDefault="008D57CD" w:rsidP="008D57CD">
      <w:pPr>
        <w:pStyle w:val="BodyText"/>
        <w:jc w:val="center"/>
        <w:rPr>
          <w:sz w:val="22"/>
          <w:szCs w:val="22"/>
        </w:rPr>
      </w:pPr>
      <w:r w:rsidRPr="0096662C">
        <w:rPr>
          <w:sz w:val="22"/>
          <w:szCs w:val="22"/>
        </w:rPr>
        <w:br w:type="page"/>
      </w:r>
      <w:r w:rsidRPr="0096662C">
        <w:rPr>
          <w:b/>
          <w:bCs/>
          <w:sz w:val="22"/>
          <w:szCs w:val="22"/>
        </w:rPr>
        <w:lastRenderedPageBreak/>
        <w:t>SCHEDULE 2</w:t>
      </w:r>
    </w:p>
    <w:p w:rsidR="008D57CD" w:rsidRPr="0096662C" w:rsidRDefault="008D57CD" w:rsidP="008D57CD">
      <w:pPr>
        <w:pStyle w:val="BodyText"/>
        <w:jc w:val="center"/>
        <w:rPr>
          <w:sz w:val="22"/>
          <w:szCs w:val="22"/>
        </w:rPr>
      </w:pPr>
    </w:p>
    <w:p w:rsidR="008D57CD" w:rsidRPr="0096662C" w:rsidRDefault="008D57CD" w:rsidP="008D57CD">
      <w:pPr>
        <w:pStyle w:val="BodyText"/>
        <w:jc w:val="center"/>
        <w:rPr>
          <w:b/>
          <w:bCs/>
          <w:sz w:val="22"/>
          <w:szCs w:val="22"/>
        </w:rPr>
      </w:pPr>
      <w:r w:rsidRPr="0096662C">
        <w:rPr>
          <w:b/>
          <w:bCs/>
          <w:sz w:val="22"/>
          <w:szCs w:val="22"/>
        </w:rPr>
        <w:t>Project Execution</w:t>
      </w:r>
    </w:p>
    <w:p w:rsidR="008D57CD" w:rsidRPr="005B12C7" w:rsidRDefault="008D57CD" w:rsidP="005B12C7">
      <w:pPr>
        <w:pStyle w:val="BodyText"/>
        <w:jc w:val="center"/>
        <w:rPr>
          <w:sz w:val="16"/>
          <w:szCs w:val="16"/>
        </w:rPr>
      </w:pPr>
    </w:p>
    <w:p w:rsidR="008D57CD" w:rsidRPr="0096662C" w:rsidRDefault="008D57CD" w:rsidP="005B12C7">
      <w:pPr>
        <w:pStyle w:val="BodyText"/>
        <w:rPr>
          <w:b/>
          <w:bCs/>
          <w:sz w:val="22"/>
          <w:szCs w:val="22"/>
        </w:rPr>
      </w:pPr>
      <w:r w:rsidRPr="0096662C">
        <w:rPr>
          <w:b/>
          <w:bCs/>
          <w:sz w:val="22"/>
          <w:szCs w:val="22"/>
        </w:rPr>
        <w:t>Section I.</w:t>
      </w:r>
      <w:r w:rsidRPr="0096662C">
        <w:rPr>
          <w:b/>
          <w:bCs/>
          <w:sz w:val="22"/>
          <w:szCs w:val="22"/>
        </w:rPr>
        <w:tab/>
      </w:r>
      <w:r w:rsidRPr="0096662C">
        <w:rPr>
          <w:b/>
          <w:bCs/>
          <w:sz w:val="22"/>
          <w:szCs w:val="22"/>
          <w:u w:val="single"/>
        </w:rPr>
        <w:t>Implementation Arrangements</w:t>
      </w:r>
    </w:p>
    <w:p w:rsidR="008D57CD" w:rsidRPr="0096662C" w:rsidRDefault="008D57CD" w:rsidP="005B12C7">
      <w:pPr>
        <w:pStyle w:val="BodyText"/>
        <w:rPr>
          <w:sz w:val="22"/>
          <w:szCs w:val="22"/>
        </w:rPr>
      </w:pPr>
    </w:p>
    <w:p w:rsidR="008D57CD" w:rsidRPr="0096662C" w:rsidRDefault="008D57CD" w:rsidP="005B12C7">
      <w:pPr>
        <w:pStyle w:val="ModelNrmlSingle"/>
        <w:spacing w:after="0"/>
        <w:ind w:left="720" w:hanging="720"/>
        <w:rPr>
          <w:bCs/>
          <w:szCs w:val="22"/>
        </w:rPr>
      </w:pPr>
      <w:r w:rsidRPr="0096662C">
        <w:rPr>
          <w:b/>
          <w:bCs/>
          <w:szCs w:val="22"/>
        </w:rPr>
        <w:t>A.</w:t>
      </w:r>
      <w:r w:rsidRPr="0096662C">
        <w:rPr>
          <w:b/>
          <w:bCs/>
          <w:szCs w:val="22"/>
        </w:rPr>
        <w:tab/>
        <w:t>Institutional Arrangements.</w:t>
      </w:r>
      <w:r w:rsidRPr="0096662C">
        <w:rPr>
          <w:bCs/>
          <w:szCs w:val="22"/>
        </w:rPr>
        <w:t xml:space="preserve">  </w:t>
      </w:r>
    </w:p>
    <w:p w:rsidR="008D57CD" w:rsidRPr="0096662C" w:rsidRDefault="008D57CD" w:rsidP="005B12C7">
      <w:pPr>
        <w:numPr>
          <w:ilvl w:val="0"/>
          <w:numId w:val="29"/>
        </w:numPr>
        <w:spacing w:line="240" w:lineRule="auto"/>
        <w:ind w:right="23" w:hanging="5"/>
        <w:jc w:val="both"/>
        <w:rPr>
          <w:sz w:val="22"/>
          <w:szCs w:val="22"/>
        </w:rPr>
      </w:pPr>
      <w:r w:rsidRPr="0096662C">
        <w:rPr>
          <w:sz w:val="22"/>
          <w:szCs w:val="22"/>
        </w:rPr>
        <w:t>Without limitation to the provisions of Article V of the General Conditions, and except as the B</w:t>
      </w:r>
      <w:r>
        <w:rPr>
          <w:sz w:val="22"/>
          <w:szCs w:val="22"/>
        </w:rPr>
        <w:t>ank</w:t>
      </w:r>
      <w:r w:rsidRPr="0096662C">
        <w:rPr>
          <w:sz w:val="22"/>
          <w:szCs w:val="22"/>
        </w:rPr>
        <w:t xml:space="preserve"> shall otherwise agree, the Borrower shall:</w:t>
      </w:r>
    </w:p>
    <w:p w:rsidR="008D57CD" w:rsidRPr="0096662C" w:rsidRDefault="008D57CD" w:rsidP="008D57CD">
      <w:pPr>
        <w:spacing w:after="278" w:line="240" w:lineRule="auto"/>
        <w:ind w:left="1440" w:right="23" w:hanging="687"/>
        <w:jc w:val="both"/>
        <w:rPr>
          <w:sz w:val="22"/>
          <w:szCs w:val="22"/>
        </w:rPr>
      </w:pPr>
      <w:r w:rsidRPr="0096662C">
        <w:rPr>
          <w:sz w:val="22"/>
          <w:szCs w:val="22"/>
        </w:rPr>
        <w:t>(a)</w:t>
      </w:r>
      <w:r>
        <w:rPr>
          <w:sz w:val="22"/>
          <w:szCs w:val="22"/>
        </w:rPr>
        <w:t xml:space="preserve"> </w:t>
      </w:r>
      <w:r>
        <w:rPr>
          <w:sz w:val="22"/>
          <w:szCs w:val="22"/>
        </w:rPr>
        <w:tab/>
      </w:r>
      <w:r w:rsidRPr="0096662C">
        <w:rPr>
          <w:sz w:val="22"/>
          <w:szCs w:val="22"/>
        </w:rPr>
        <w:t>through MCTI, maintain at all times during the implementation of the Project, a PIU within MCTI with composition, resources, terms of reference and functions acceptable to the Bank. The PIU shall be responsible for disbursement, monitoring and evaluation and safeguards compliance under the Project</w:t>
      </w:r>
      <w:r>
        <w:rPr>
          <w:sz w:val="22"/>
          <w:szCs w:val="22"/>
        </w:rPr>
        <w:t>; and</w:t>
      </w:r>
    </w:p>
    <w:p w:rsidR="008D57CD" w:rsidRPr="0096662C" w:rsidRDefault="008D57CD" w:rsidP="008D57CD">
      <w:pPr>
        <w:spacing w:after="278" w:line="240" w:lineRule="auto"/>
        <w:ind w:left="1440" w:right="23" w:hanging="687"/>
        <w:jc w:val="both"/>
        <w:rPr>
          <w:sz w:val="22"/>
          <w:szCs w:val="22"/>
        </w:rPr>
      </w:pPr>
      <w:r w:rsidRPr="0096662C">
        <w:rPr>
          <w:sz w:val="22"/>
          <w:szCs w:val="22"/>
        </w:rPr>
        <w:t xml:space="preserve">(b) </w:t>
      </w:r>
      <w:r>
        <w:rPr>
          <w:sz w:val="22"/>
          <w:szCs w:val="22"/>
        </w:rPr>
        <w:tab/>
      </w:r>
      <w:proofErr w:type="gramStart"/>
      <w:r w:rsidRPr="0096662C">
        <w:rPr>
          <w:sz w:val="22"/>
          <w:szCs w:val="22"/>
        </w:rPr>
        <w:t>through</w:t>
      </w:r>
      <w:proofErr w:type="gramEnd"/>
      <w:r w:rsidRPr="0096662C">
        <w:rPr>
          <w:sz w:val="22"/>
          <w:szCs w:val="22"/>
        </w:rPr>
        <w:t xml:space="preserve"> the MOF, maintain at all times during the implementation of the Project, the CFU within MOF, with composition, resources, terms of reference and functions acceptable to the Bank. The CFU shall be responsible for the procurement and financial management of the Project</w:t>
      </w:r>
      <w:r w:rsidRPr="0096662C">
        <w:rPr>
          <w:noProof/>
          <w:sz w:val="22"/>
          <w:szCs w:val="22"/>
          <w:lang w:val="en-GB" w:eastAsia="en-GB"/>
        </w:rPr>
        <w:drawing>
          <wp:inline distT="0" distB="0" distL="0" distR="0" wp14:anchorId="055AABC4" wp14:editId="027C4397">
            <wp:extent cx="18288" cy="1829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1608" name="Picture 11608"/>
                    <pic:cNvPicPr/>
                  </pic:nvPicPr>
                  <pic:blipFill>
                    <a:blip r:embed="rId16"/>
                    <a:stretch>
                      <a:fillRect/>
                    </a:stretch>
                  </pic:blipFill>
                  <pic:spPr>
                    <a:xfrm>
                      <a:off x="0" y="0"/>
                      <a:ext cx="18288" cy="18293"/>
                    </a:xfrm>
                    <a:prstGeom prst="rect">
                      <a:avLst/>
                    </a:prstGeom>
                  </pic:spPr>
                </pic:pic>
              </a:graphicData>
            </a:graphic>
          </wp:inline>
        </w:drawing>
      </w:r>
    </w:p>
    <w:p w:rsidR="008D57CD" w:rsidRPr="0096662C" w:rsidRDefault="008D57CD" w:rsidP="008D57CD">
      <w:pPr>
        <w:numPr>
          <w:ilvl w:val="0"/>
          <w:numId w:val="29"/>
        </w:numPr>
        <w:spacing w:after="256" w:line="240" w:lineRule="auto"/>
        <w:ind w:right="23" w:hanging="5"/>
        <w:jc w:val="both"/>
        <w:rPr>
          <w:sz w:val="22"/>
          <w:szCs w:val="22"/>
        </w:rPr>
      </w:pPr>
      <w:r w:rsidRPr="0096662C">
        <w:rPr>
          <w:sz w:val="22"/>
          <w:szCs w:val="22"/>
        </w:rPr>
        <w:t>The Borrower shall by not later than 2 months following the Effectiveness Date identify the focal points in the authorities engaged in the implementation of the Project in line with the POM.</w:t>
      </w:r>
    </w:p>
    <w:p w:rsidR="008D57CD" w:rsidRPr="0096662C" w:rsidRDefault="008D57CD" w:rsidP="008D57CD">
      <w:pPr>
        <w:pStyle w:val="ModelNrmlSingle"/>
        <w:ind w:firstLine="0"/>
        <w:rPr>
          <w:b/>
          <w:bCs/>
          <w:szCs w:val="22"/>
        </w:rPr>
      </w:pPr>
      <w:r w:rsidRPr="0096662C">
        <w:rPr>
          <w:b/>
          <w:bCs/>
          <w:szCs w:val="22"/>
        </w:rPr>
        <w:t xml:space="preserve">B. </w:t>
      </w:r>
      <w:r w:rsidRPr="0096662C">
        <w:rPr>
          <w:b/>
          <w:bCs/>
          <w:szCs w:val="22"/>
        </w:rPr>
        <w:tab/>
        <w:t>Project Operations Manual</w:t>
      </w:r>
      <w:r>
        <w:rPr>
          <w:b/>
          <w:bCs/>
          <w:szCs w:val="22"/>
        </w:rPr>
        <w:t>.</w:t>
      </w:r>
    </w:p>
    <w:p w:rsidR="008D57CD" w:rsidRPr="0096662C" w:rsidRDefault="008D57CD" w:rsidP="008D57CD">
      <w:pPr>
        <w:pStyle w:val="ListParagraph"/>
        <w:numPr>
          <w:ilvl w:val="0"/>
          <w:numId w:val="30"/>
        </w:numPr>
        <w:spacing w:after="256" w:line="240" w:lineRule="auto"/>
        <w:ind w:left="0" w:right="23" w:firstLine="0"/>
        <w:jc w:val="both"/>
        <w:rPr>
          <w:sz w:val="22"/>
          <w:szCs w:val="22"/>
        </w:rPr>
      </w:pPr>
      <w:r w:rsidRPr="0096662C">
        <w:rPr>
          <w:sz w:val="22"/>
          <w:szCs w:val="22"/>
        </w:rPr>
        <w:t xml:space="preserve">The Borrower, through MCTI, shall implement the Project in accordance with a POM, in form and substance satisfactory to the Bank, that sets out the operational and administrative procedures and requirements for Project implementation. </w:t>
      </w:r>
    </w:p>
    <w:p w:rsidR="008D57CD" w:rsidRDefault="008D57CD" w:rsidP="005B12C7">
      <w:pPr>
        <w:pStyle w:val="ListParagraph"/>
        <w:numPr>
          <w:ilvl w:val="0"/>
          <w:numId w:val="30"/>
        </w:numPr>
        <w:spacing w:line="240" w:lineRule="auto"/>
        <w:ind w:left="0" w:right="23" w:firstLine="0"/>
        <w:jc w:val="both"/>
        <w:rPr>
          <w:sz w:val="22"/>
          <w:szCs w:val="22"/>
        </w:rPr>
      </w:pPr>
      <w:r w:rsidRPr="0096662C">
        <w:rPr>
          <w:sz w:val="22"/>
          <w:szCs w:val="22"/>
        </w:rPr>
        <w:t xml:space="preserve">The POM may not be assigned, amended, abrogated or waived, or permitted to be assigned, amended, abrogated or waived, or any provision thereof, in a manner which, in the opinion of the Bank, may materially and adversely affect the implementation of the Project. The POM may only be amended in consultation with, and after approval of, the Bank.  In case of any conflict between the terms of the POM and those of this Agreement, the terms of this Agreement shall prevail. </w:t>
      </w:r>
    </w:p>
    <w:p w:rsidR="005B12C7" w:rsidRPr="0096662C" w:rsidRDefault="005B12C7" w:rsidP="005B12C7">
      <w:pPr>
        <w:pStyle w:val="ListParagraph"/>
        <w:spacing w:line="240" w:lineRule="auto"/>
        <w:ind w:left="0" w:right="23"/>
        <w:jc w:val="both"/>
        <w:rPr>
          <w:sz w:val="22"/>
          <w:szCs w:val="22"/>
        </w:rPr>
      </w:pPr>
    </w:p>
    <w:p w:rsidR="008D57CD" w:rsidRDefault="008D57CD" w:rsidP="005B12C7">
      <w:pPr>
        <w:pStyle w:val="ListParagraph"/>
        <w:spacing w:line="240" w:lineRule="auto"/>
        <w:ind w:left="0" w:right="23"/>
        <w:jc w:val="both"/>
        <w:rPr>
          <w:b/>
          <w:sz w:val="22"/>
          <w:szCs w:val="22"/>
        </w:rPr>
      </w:pPr>
      <w:r w:rsidRPr="0096662C">
        <w:rPr>
          <w:b/>
          <w:sz w:val="22"/>
          <w:szCs w:val="22"/>
        </w:rPr>
        <w:t>C.</w:t>
      </w:r>
      <w:r w:rsidRPr="0096662C">
        <w:rPr>
          <w:b/>
          <w:sz w:val="22"/>
          <w:szCs w:val="22"/>
        </w:rPr>
        <w:tab/>
        <w:t>Annual Work Plan and Budget</w:t>
      </w:r>
      <w:r>
        <w:rPr>
          <w:b/>
          <w:sz w:val="22"/>
          <w:szCs w:val="22"/>
        </w:rPr>
        <w:t>.</w:t>
      </w:r>
    </w:p>
    <w:p w:rsidR="005B12C7" w:rsidRPr="0096662C" w:rsidRDefault="005B12C7" w:rsidP="005B12C7">
      <w:pPr>
        <w:pStyle w:val="ListParagraph"/>
        <w:spacing w:line="240" w:lineRule="auto"/>
        <w:ind w:left="0" w:right="23"/>
        <w:jc w:val="both"/>
        <w:rPr>
          <w:b/>
          <w:sz w:val="22"/>
          <w:szCs w:val="22"/>
        </w:rPr>
      </w:pPr>
    </w:p>
    <w:p w:rsidR="008D57CD" w:rsidRPr="0096662C" w:rsidRDefault="008D57CD" w:rsidP="008D57CD">
      <w:pPr>
        <w:pStyle w:val="ListParagraph"/>
        <w:spacing w:after="256" w:line="240" w:lineRule="auto"/>
        <w:ind w:left="0" w:right="23"/>
        <w:jc w:val="both"/>
        <w:rPr>
          <w:sz w:val="22"/>
          <w:szCs w:val="22"/>
        </w:rPr>
      </w:pPr>
      <w:r w:rsidRPr="0096662C">
        <w:rPr>
          <w:sz w:val="22"/>
          <w:szCs w:val="22"/>
        </w:rPr>
        <w:t>The Borrower, through MCTI, shall:</w:t>
      </w:r>
    </w:p>
    <w:p w:rsidR="008D57CD" w:rsidRPr="0096662C" w:rsidRDefault="008D57CD" w:rsidP="008D57CD">
      <w:pPr>
        <w:pStyle w:val="Default"/>
        <w:spacing w:after="240"/>
        <w:ind w:left="720" w:hanging="720"/>
        <w:jc w:val="both"/>
        <w:rPr>
          <w:rFonts w:eastAsia="Calibri"/>
          <w:sz w:val="22"/>
          <w:szCs w:val="22"/>
        </w:rPr>
      </w:pPr>
      <w:r w:rsidRPr="0096662C">
        <w:rPr>
          <w:rFonts w:eastAsia="Calibri"/>
          <w:sz w:val="22"/>
          <w:szCs w:val="22"/>
        </w:rPr>
        <w:t>(a)</w:t>
      </w:r>
      <w:r w:rsidRPr="0096662C">
        <w:rPr>
          <w:rFonts w:eastAsia="Calibri"/>
          <w:sz w:val="22"/>
          <w:szCs w:val="22"/>
        </w:rPr>
        <w:tab/>
        <w:t>prepare and furnish to the Bank not later than December 15 of each year during the implementation of the Project, starting December 15, 2019 a proposed Annual Work Plan and Budget for the next calendar year containing: (i) all activities to be carried out under the Project during that calendar year; (ii) a proposed financing plan for expenditures required for such activities, setting forth the proposed amounts and sources of financing; and (iii) any training activities that may be required under the Project including: (A) the type of training; (B) the purpose of the training; and (C) the cost of the training;</w:t>
      </w:r>
      <w:r>
        <w:rPr>
          <w:rFonts w:eastAsia="Calibri"/>
          <w:sz w:val="22"/>
          <w:szCs w:val="22"/>
        </w:rPr>
        <w:t xml:space="preserve"> and</w:t>
      </w:r>
    </w:p>
    <w:p w:rsidR="008D57CD" w:rsidRPr="0096662C" w:rsidRDefault="008D57CD" w:rsidP="008D57CD">
      <w:pPr>
        <w:pStyle w:val="Default"/>
        <w:spacing w:after="240"/>
        <w:ind w:left="720" w:hanging="720"/>
        <w:jc w:val="both"/>
        <w:rPr>
          <w:rFonts w:eastAsia="Calibri"/>
          <w:sz w:val="22"/>
          <w:szCs w:val="22"/>
        </w:rPr>
      </w:pPr>
      <w:r w:rsidRPr="0096662C">
        <w:rPr>
          <w:rFonts w:eastAsia="Calibri"/>
          <w:sz w:val="22"/>
          <w:szCs w:val="22"/>
        </w:rPr>
        <w:lastRenderedPageBreak/>
        <w:t xml:space="preserve">(b) </w:t>
      </w:r>
      <w:r w:rsidRPr="0096662C">
        <w:rPr>
          <w:rFonts w:eastAsia="Calibri"/>
          <w:sz w:val="22"/>
          <w:szCs w:val="22"/>
        </w:rPr>
        <w:tab/>
        <w:t>provide the Bank a reasonable opportunity to exchange views with the Borrower on each such proposed Annual Work Plan and Budget, and shall thereafter ensure that the Project is implemented with due diligence during said following year, in accordance with such Annual Work Plan and Budget as shall have been approved by the Bank; and not make or allow to be made any change to the approved Annual Work Plan and Budget without the Bank’s prior written approval.</w:t>
      </w:r>
    </w:p>
    <w:p w:rsidR="008D57CD" w:rsidRPr="0096662C" w:rsidRDefault="008D57CD" w:rsidP="008D57CD">
      <w:pPr>
        <w:pStyle w:val="ModelNrmlSingle"/>
        <w:ind w:left="720" w:hanging="720"/>
        <w:rPr>
          <w:bCs/>
          <w:szCs w:val="22"/>
        </w:rPr>
      </w:pPr>
      <w:r w:rsidRPr="0096662C">
        <w:rPr>
          <w:b/>
          <w:bCs/>
          <w:szCs w:val="22"/>
        </w:rPr>
        <w:t>D.</w:t>
      </w:r>
      <w:r w:rsidRPr="0096662C">
        <w:rPr>
          <w:b/>
          <w:bCs/>
          <w:szCs w:val="22"/>
        </w:rPr>
        <w:tab/>
        <w:t>Safeguards.</w:t>
      </w:r>
      <w:r w:rsidRPr="0096662C">
        <w:rPr>
          <w:bCs/>
          <w:szCs w:val="22"/>
        </w:rPr>
        <w:t xml:space="preserve">  </w:t>
      </w:r>
    </w:p>
    <w:p w:rsidR="008D57CD" w:rsidRPr="0096662C" w:rsidRDefault="008D57CD" w:rsidP="005B12C7">
      <w:pPr>
        <w:spacing w:line="240" w:lineRule="auto"/>
        <w:jc w:val="both"/>
        <w:rPr>
          <w:sz w:val="22"/>
          <w:szCs w:val="22"/>
        </w:rPr>
      </w:pPr>
      <w:r w:rsidRPr="0096662C">
        <w:rPr>
          <w:sz w:val="22"/>
          <w:szCs w:val="22"/>
        </w:rPr>
        <w:t xml:space="preserve">1. </w:t>
      </w:r>
      <w:r>
        <w:rPr>
          <w:sz w:val="22"/>
          <w:szCs w:val="22"/>
        </w:rPr>
        <w:tab/>
      </w:r>
      <w:r w:rsidRPr="0096662C">
        <w:rPr>
          <w:sz w:val="22"/>
          <w:szCs w:val="22"/>
        </w:rPr>
        <w:t>The Borrower shall ensure that the Project is carried out with due regard to appropriate health, safety, social, and environmental standards and practices, and in accordance with the Safeguards Instruments.</w:t>
      </w:r>
    </w:p>
    <w:p w:rsidR="008D57CD" w:rsidRPr="005B12C7" w:rsidRDefault="008D57CD" w:rsidP="005B12C7">
      <w:pPr>
        <w:pStyle w:val="ListParagraph"/>
        <w:spacing w:line="240" w:lineRule="auto"/>
        <w:ind w:left="0"/>
        <w:jc w:val="both"/>
        <w:rPr>
          <w:sz w:val="12"/>
          <w:szCs w:val="12"/>
        </w:rPr>
      </w:pPr>
    </w:p>
    <w:p w:rsidR="008D57CD" w:rsidRPr="0096662C" w:rsidRDefault="008D57CD" w:rsidP="005B12C7">
      <w:pPr>
        <w:spacing w:line="240" w:lineRule="auto"/>
        <w:jc w:val="both"/>
        <w:rPr>
          <w:color w:val="000000"/>
          <w:sz w:val="22"/>
          <w:szCs w:val="22"/>
        </w:rPr>
      </w:pPr>
      <w:r w:rsidRPr="0096662C">
        <w:rPr>
          <w:sz w:val="22"/>
          <w:szCs w:val="22"/>
        </w:rPr>
        <w:t xml:space="preserve">2. </w:t>
      </w:r>
      <w:r>
        <w:rPr>
          <w:sz w:val="22"/>
          <w:szCs w:val="22"/>
        </w:rPr>
        <w:tab/>
      </w:r>
      <w:r w:rsidRPr="0096662C">
        <w:rPr>
          <w:color w:val="000000"/>
          <w:sz w:val="22"/>
          <w:szCs w:val="22"/>
        </w:rPr>
        <w:t xml:space="preserve">The Borrower shall ensure that the obligation to comply with the relevant Safeguard Instruments is incorporated: (a) in the contracts between the Borrower and the relevant contractors and any entity (including any engineer) supervising the Project’s civil works; and (b) in the contracts between the relevant contractors and the contractors’ subcontractors.   </w:t>
      </w:r>
    </w:p>
    <w:p w:rsidR="008D57CD" w:rsidRPr="005B12C7" w:rsidRDefault="008D57CD" w:rsidP="005B12C7">
      <w:pPr>
        <w:spacing w:line="240" w:lineRule="auto"/>
        <w:jc w:val="both"/>
        <w:rPr>
          <w:sz w:val="12"/>
          <w:szCs w:val="12"/>
        </w:rPr>
      </w:pPr>
    </w:p>
    <w:p w:rsidR="008D57CD" w:rsidRPr="0096662C" w:rsidRDefault="008D57CD" w:rsidP="005B12C7">
      <w:pPr>
        <w:spacing w:line="240" w:lineRule="auto"/>
        <w:jc w:val="both"/>
        <w:rPr>
          <w:sz w:val="22"/>
          <w:szCs w:val="22"/>
        </w:rPr>
      </w:pPr>
      <w:r w:rsidRPr="0096662C">
        <w:rPr>
          <w:color w:val="000000"/>
          <w:sz w:val="22"/>
          <w:szCs w:val="22"/>
        </w:rPr>
        <w:t xml:space="preserve">3. </w:t>
      </w:r>
      <w:r>
        <w:rPr>
          <w:color w:val="000000"/>
          <w:sz w:val="22"/>
          <w:szCs w:val="22"/>
        </w:rPr>
        <w:tab/>
      </w:r>
      <w:r w:rsidRPr="0096662C">
        <w:rPr>
          <w:color w:val="000000"/>
          <w:sz w:val="22"/>
          <w:szCs w:val="22"/>
        </w:rPr>
        <w:t>The Borrower shall ensure that all the bidding documents and contracts include the obligation of the relevant contractors and subcontractors to adopt and enforce codes of conduct that should be provided to and signed by all workers; as applicable to such civil works commissioned or carried out pursuant to said contracts.</w:t>
      </w:r>
    </w:p>
    <w:p w:rsidR="008D57CD" w:rsidRPr="005B12C7" w:rsidRDefault="008D57CD" w:rsidP="008D57CD">
      <w:pPr>
        <w:spacing w:line="240" w:lineRule="auto"/>
        <w:rPr>
          <w:sz w:val="12"/>
          <w:szCs w:val="12"/>
        </w:rPr>
      </w:pPr>
    </w:p>
    <w:p w:rsidR="008D57CD" w:rsidRPr="0096662C" w:rsidRDefault="008D57CD" w:rsidP="008D57CD">
      <w:pPr>
        <w:spacing w:line="240" w:lineRule="auto"/>
        <w:jc w:val="both"/>
        <w:rPr>
          <w:sz w:val="22"/>
          <w:szCs w:val="22"/>
        </w:rPr>
      </w:pPr>
      <w:r w:rsidRPr="0096662C">
        <w:rPr>
          <w:sz w:val="22"/>
          <w:szCs w:val="22"/>
        </w:rPr>
        <w:t xml:space="preserve">4. </w:t>
      </w:r>
      <w:r>
        <w:rPr>
          <w:sz w:val="22"/>
          <w:szCs w:val="22"/>
        </w:rPr>
        <w:tab/>
      </w:r>
      <w:r w:rsidRPr="0096662C">
        <w:rPr>
          <w:sz w:val="22"/>
          <w:szCs w:val="22"/>
        </w:rPr>
        <w:t xml:space="preserve">Except as the Bank shall otherwise agree, the Borrower shall ensure, and cause to ensure, that none of the provisions of the Safeguard Instruments is abrogated, amended, repealed, suspended or waived. In case of any inconsistencies between the provisions of any of the Safeguard Instruments and the provisions of this Agreement, the provisions of this Agreement shall prevail.   </w:t>
      </w:r>
    </w:p>
    <w:p w:rsidR="008D57CD" w:rsidRPr="005B12C7" w:rsidRDefault="008D57CD" w:rsidP="008D57CD">
      <w:pPr>
        <w:tabs>
          <w:tab w:val="left" w:pos="1909"/>
        </w:tabs>
        <w:spacing w:line="240" w:lineRule="auto"/>
        <w:jc w:val="both"/>
        <w:rPr>
          <w:sz w:val="12"/>
          <w:szCs w:val="12"/>
        </w:rPr>
      </w:pPr>
    </w:p>
    <w:p w:rsidR="008D57CD" w:rsidRDefault="008D57CD" w:rsidP="008D57CD">
      <w:pPr>
        <w:pStyle w:val="Default"/>
        <w:jc w:val="both"/>
        <w:rPr>
          <w:color w:val="auto"/>
          <w:sz w:val="22"/>
          <w:szCs w:val="22"/>
        </w:rPr>
      </w:pPr>
      <w:r w:rsidRPr="0096662C">
        <w:rPr>
          <w:color w:val="auto"/>
          <w:sz w:val="22"/>
          <w:szCs w:val="22"/>
        </w:rPr>
        <w:t xml:space="preserve">5. </w:t>
      </w:r>
      <w:r>
        <w:rPr>
          <w:color w:val="auto"/>
          <w:sz w:val="22"/>
          <w:szCs w:val="22"/>
        </w:rPr>
        <w:tab/>
      </w:r>
      <w:r w:rsidRPr="0096662C">
        <w:rPr>
          <w:color w:val="auto"/>
          <w:sz w:val="22"/>
          <w:szCs w:val="22"/>
        </w:rPr>
        <w:t>The Borrower shall maintain, throughout Project implementation, and publicize the availability of a grievance redress mechanism, in form and substance satisfactory to the Bank, to hear and determine fairly and in good faith all complaints raised in relation to the Project and take all measures necessary to implement the determinations made by such mechanism in a manner satisfactory to the Bank.</w:t>
      </w:r>
    </w:p>
    <w:p w:rsidR="008D57CD" w:rsidRPr="0070228C" w:rsidRDefault="008D57CD" w:rsidP="008D57CD">
      <w:pPr>
        <w:pStyle w:val="Default"/>
        <w:jc w:val="both"/>
        <w:rPr>
          <w:color w:val="auto"/>
          <w:sz w:val="22"/>
          <w:szCs w:val="22"/>
        </w:rPr>
      </w:pPr>
    </w:p>
    <w:p w:rsidR="008D57CD" w:rsidRPr="0096662C" w:rsidRDefault="008D57CD" w:rsidP="008D57CD">
      <w:pPr>
        <w:pStyle w:val="BodyText"/>
        <w:rPr>
          <w:b/>
          <w:bCs/>
          <w:sz w:val="22"/>
          <w:szCs w:val="22"/>
        </w:rPr>
      </w:pPr>
      <w:r w:rsidRPr="0096662C">
        <w:rPr>
          <w:b/>
          <w:bCs/>
          <w:sz w:val="22"/>
          <w:szCs w:val="22"/>
        </w:rPr>
        <w:t>Section II.</w:t>
      </w:r>
      <w:r w:rsidRPr="0096662C">
        <w:rPr>
          <w:b/>
          <w:bCs/>
          <w:sz w:val="22"/>
          <w:szCs w:val="22"/>
        </w:rPr>
        <w:tab/>
      </w:r>
      <w:r w:rsidRPr="0096662C">
        <w:rPr>
          <w:b/>
          <w:bCs/>
          <w:sz w:val="22"/>
          <w:szCs w:val="22"/>
          <w:u w:val="single"/>
        </w:rPr>
        <w:t>Project Monitoring Reporting and Evaluation</w:t>
      </w:r>
    </w:p>
    <w:p w:rsidR="008D57CD" w:rsidRPr="0096662C" w:rsidRDefault="008D57CD" w:rsidP="008D57CD">
      <w:pPr>
        <w:pStyle w:val="BodyText"/>
        <w:rPr>
          <w:sz w:val="22"/>
          <w:szCs w:val="22"/>
        </w:rPr>
      </w:pPr>
    </w:p>
    <w:p w:rsidR="008D57CD" w:rsidRPr="0096662C" w:rsidRDefault="008D57CD" w:rsidP="005B12C7">
      <w:pPr>
        <w:pStyle w:val="BodyText"/>
        <w:numPr>
          <w:ilvl w:val="0"/>
          <w:numId w:val="26"/>
        </w:numPr>
        <w:tabs>
          <w:tab w:val="left" w:pos="720"/>
        </w:tabs>
        <w:ind w:left="1440" w:hanging="1440"/>
        <w:rPr>
          <w:sz w:val="22"/>
          <w:szCs w:val="22"/>
        </w:rPr>
      </w:pPr>
      <w:r>
        <w:rPr>
          <w:sz w:val="22"/>
          <w:szCs w:val="22"/>
        </w:rPr>
        <w:t>(a)</w:t>
      </w:r>
      <w:r>
        <w:rPr>
          <w:sz w:val="22"/>
          <w:szCs w:val="22"/>
        </w:rPr>
        <w:tab/>
      </w:r>
      <w:r w:rsidRPr="0096662C">
        <w:rPr>
          <w:sz w:val="22"/>
          <w:szCs w:val="22"/>
        </w:rPr>
        <w:t>The Borrower shall furnish to the Bank each Project Report not later than forty-five (45) days after the end of each calendar semester, covering the calendar semester</w:t>
      </w:r>
      <w:r>
        <w:rPr>
          <w:sz w:val="22"/>
          <w:szCs w:val="22"/>
        </w:rPr>
        <w:t>.</w:t>
      </w:r>
      <w:r w:rsidRPr="0096662C">
        <w:rPr>
          <w:sz w:val="22"/>
          <w:szCs w:val="22"/>
        </w:rPr>
        <w:t xml:space="preserve"> </w:t>
      </w:r>
    </w:p>
    <w:p w:rsidR="008D57CD" w:rsidRPr="0096662C" w:rsidRDefault="008D57CD" w:rsidP="005B12C7">
      <w:pPr>
        <w:pStyle w:val="BodyText"/>
        <w:rPr>
          <w:sz w:val="22"/>
          <w:szCs w:val="22"/>
        </w:rPr>
      </w:pPr>
    </w:p>
    <w:p w:rsidR="008D57CD" w:rsidRPr="0096662C" w:rsidRDefault="008D57CD" w:rsidP="005B12C7">
      <w:pPr>
        <w:pStyle w:val="BodyText"/>
        <w:numPr>
          <w:ilvl w:val="0"/>
          <w:numId w:val="32"/>
        </w:numPr>
        <w:ind w:left="1440" w:hanging="720"/>
        <w:rPr>
          <w:sz w:val="22"/>
          <w:szCs w:val="22"/>
        </w:rPr>
      </w:pPr>
      <w:r w:rsidRPr="0096662C">
        <w:rPr>
          <w:sz w:val="22"/>
          <w:szCs w:val="22"/>
        </w:rPr>
        <w:t>The Borrower, through the PIU shall prepare, under terms of reference satisfactory to the Bank, and furnish to the Bank, on or about September 30, 2022, a report integrating the results of the monitoring and evaluation activities performed pursuant to paragraph (a) of this Section, on the progress achieved in the carrying out of the Project during the period preceding the date of said report and setting out the measures recommended to ensure the efficient carrying out of the Project and the achievement of the objectives thereof during the period following such date</w:t>
      </w:r>
      <w:r>
        <w:rPr>
          <w:sz w:val="22"/>
          <w:szCs w:val="22"/>
        </w:rPr>
        <w:t>.</w:t>
      </w:r>
    </w:p>
    <w:p w:rsidR="008D57CD" w:rsidRPr="0096662C" w:rsidRDefault="008D57CD" w:rsidP="008D57CD">
      <w:pPr>
        <w:pStyle w:val="BodyText"/>
        <w:numPr>
          <w:ilvl w:val="0"/>
          <w:numId w:val="32"/>
        </w:numPr>
        <w:ind w:left="1440" w:hanging="720"/>
        <w:rPr>
          <w:sz w:val="22"/>
          <w:szCs w:val="22"/>
        </w:rPr>
      </w:pPr>
      <w:r>
        <w:rPr>
          <w:sz w:val="22"/>
          <w:szCs w:val="22"/>
        </w:rPr>
        <w:lastRenderedPageBreak/>
        <w:t>R</w:t>
      </w:r>
      <w:r w:rsidRPr="0096662C">
        <w:rPr>
          <w:sz w:val="22"/>
          <w:szCs w:val="22"/>
        </w:rPr>
        <w:t xml:space="preserve">eview with the Bank, by November 30, 2022, or such later date as the Bank shall request, the report referred to in paragraph (b) of this Section, and, thereafter, take all measures required to ensure the efficient completion of the Project and the achievement of the objectives thereof, based on the conclusions and recommendations of the said report and the Bank’s views on the matter. </w:t>
      </w:r>
    </w:p>
    <w:p w:rsidR="008D57CD" w:rsidRPr="00AC198F" w:rsidRDefault="008D57CD" w:rsidP="008D57CD">
      <w:pPr>
        <w:pStyle w:val="BodyText"/>
        <w:rPr>
          <w:sz w:val="12"/>
          <w:szCs w:val="12"/>
        </w:rPr>
      </w:pPr>
    </w:p>
    <w:p w:rsidR="008D57CD" w:rsidRPr="0096662C" w:rsidRDefault="008D57CD" w:rsidP="008D57CD">
      <w:pPr>
        <w:pStyle w:val="ListParagraph"/>
        <w:numPr>
          <w:ilvl w:val="0"/>
          <w:numId w:val="26"/>
        </w:numPr>
        <w:spacing w:line="240" w:lineRule="auto"/>
        <w:ind w:left="0" w:firstLine="0"/>
        <w:jc w:val="both"/>
        <w:rPr>
          <w:sz w:val="22"/>
          <w:szCs w:val="22"/>
        </w:rPr>
      </w:pPr>
      <w:r w:rsidRPr="0096662C">
        <w:rPr>
          <w:sz w:val="22"/>
          <w:szCs w:val="22"/>
        </w:rPr>
        <w:t xml:space="preserve">Without limitation upon its other reporting obligations under this Agreement, the Borrower, through the PIU shall: </w:t>
      </w:r>
    </w:p>
    <w:p w:rsidR="008D57CD" w:rsidRPr="00AC198F" w:rsidRDefault="008D57CD" w:rsidP="008D57CD">
      <w:pPr>
        <w:pStyle w:val="ListParagraph"/>
        <w:spacing w:line="240" w:lineRule="auto"/>
        <w:ind w:left="0"/>
        <w:jc w:val="both"/>
        <w:rPr>
          <w:sz w:val="12"/>
          <w:szCs w:val="12"/>
        </w:rPr>
      </w:pPr>
    </w:p>
    <w:p w:rsidR="008D57CD" w:rsidRPr="0096662C" w:rsidRDefault="008D57CD" w:rsidP="008D57CD">
      <w:pPr>
        <w:pStyle w:val="ListParagraph"/>
        <w:numPr>
          <w:ilvl w:val="0"/>
          <w:numId w:val="31"/>
        </w:numPr>
        <w:spacing w:line="240" w:lineRule="auto"/>
        <w:ind w:left="1440" w:hanging="720"/>
        <w:contextualSpacing/>
        <w:jc w:val="both"/>
        <w:rPr>
          <w:sz w:val="22"/>
          <w:szCs w:val="22"/>
        </w:rPr>
      </w:pPr>
      <w:proofErr w:type="gramStart"/>
      <w:r w:rsidRPr="0096662C">
        <w:rPr>
          <w:sz w:val="22"/>
          <w:szCs w:val="22"/>
        </w:rPr>
        <w:t>take</w:t>
      </w:r>
      <w:proofErr w:type="gramEnd"/>
      <w:r w:rsidRPr="0096662C">
        <w:rPr>
          <w:sz w:val="22"/>
          <w:szCs w:val="22"/>
        </w:rPr>
        <w:t xml:space="preserve"> all measures necessary on its part to regularly collect, compile, and submit to the Bank, as part of the Project Reports, and promptly in a separate report whenever the Bank may require, information on the status of compliance with the Safeguards Instruments. Such information shall include: (i) measures taken in furtherance of the Safeguards Instruments; (ii) conditions, if any, which interfere or threaten to interfere with the smooth implementation of the Safeguards Instruments; and (iii) remedial measures taken or required to be taken to address such conditions;</w:t>
      </w:r>
    </w:p>
    <w:p w:rsidR="008D57CD" w:rsidRPr="00AC198F" w:rsidRDefault="008D57CD" w:rsidP="008D57CD">
      <w:pPr>
        <w:pStyle w:val="ListParagraph"/>
        <w:spacing w:line="240" w:lineRule="auto"/>
        <w:ind w:left="1440" w:hanging="720"/>
        <w:jc w:val="both"/>
        <w:rPr>
          <w:sz w:val="12"/>
          <w:szCs w:val="12"/>
        </w:rPr>
      </w:pPr>
    </w:p>
    <w:p w:rsidR="008D57CD" w:rsidRPr="0096662C" w:rsidRDefault="008D57CD" w:rsidP="008D57CD">
      <w:pPr>
        <w:pStyle w:val="ListParagraph"/>
        <w:numPr>
          <w:ilvl w:val="0"/>
          <w:numId w:val="31"/>
        </w:numPr>
        <w:spacing w:line="240" w:lineRule="auto"/>
        <w:ind w:left="1440" w:hanging="720"/>
        <w:contextualSpacing/>
        <w:jc w:val="both"/>
        <w:rPr>
          <w:sz w:val="22"/>
          <w:szCs w:val="22"/>
        </w:rPr>
      </w:pPr>
      <w:r w:rsidRPr="0096662C">
        <w:rPr>
          <w:sz w:val="22"/>
          <w:szCs w:val="22"/>
        </w:rPr>
        <w:t>promptly furnish to the Bank a copy of each progress report prepared and submitted by any entity (including any engineer) supervising the Project’s civil works, the Project’s contractors and/or subcontractors; and</w:t>
      </w:r>
    </w:p>
    <w:p w:rsidR="008D57CD" w:rsidRPr="00AC198F" w:rsidRDefault="008D57CD" w:rsidP="008D57CD">
      <w:pPr>
        <w:pStyle w:val="ListParagraph"/>
        <w:spacing w:line="240" w:lineRule="auto"/>
        <w:ind w:left="1440" w:hanging="720"/>
        <w:contextualSpacing/>
        <w:jc w:val="both"/>
        <w:rPr>
          <w:sz w:val="12"/>
          <w:szCs w:val="12"/>
        </w:rPr>
      </w:pPr>
    </w:p>
    <w:p w:rsidR="008D57CD" w:rsidRPr="0096662C" w:rsidRDefault="008D57CD" w:rsidP="008D57CD">
      <w:pPr>
        <w:pStyle w:val="ListParagraph"/>
        <w:numPr>
          <w:ilvl w:val="0"/>
          <w:numId w:val="31"/>
        </w:numPr>
        <w:spacing w:line="240" w:lineRule="auto"/>
        <w:ind w:left="1440" w:hanging="720"/>
        <w:contextualSpacing/>
        <w:jc w:val="both"/>
        <w:rPr>
          <w:sz w:val="22"/>
          <w:szCs w:val="22"/>
        </w:rPr>
      </w:pPr>
      <w:r w:rsidRPr="0096662C">
        <w:rPr>
          <w:sz w:val="22"/>
          <w:szCs w:val="22"/>
        </w:rPr>
        <w:t>promptly upon receipt, the Borrower shall furnish to the Bank any notification received from any entity (including any engineer) supervising the Project’s civil works, the Project’s contractors and/or subcontractors regarding any incident that have might occurred during Project implementation.</w:t>
      </w:r>
    </w:p>
    <w:p w:rsidR="008D57CD" w:rsidRPr="0096662C" w:rsidRDefault="008D57CD" w:rsidP="008D57CD">
      <w:pPr>
        <w:pStyle w:val="BodyText"/>
        <w:rPr>
          <w:sz w:val="22"/>
          <w:szCs w:val="22"/>
        </w:rPr>
      </w:pPr>
    </w:p>
    <w:p w:rsidR="008D57CD" w:rsidRPr="0096662C" w:rsidRDefault="008D57CD" w:rsidP="008D57CD">
      <w:pPr>
        <w:pStyle w:val="BodyText"/>
        <w:rPr>
          <w:b/>
          <w:bCs/>
          <w:sz w:val="22"/>
          <w:szCs w:val="22"/>
        </w:rPr>
      </w:pPr>
      <w:r w:rsidRPr="0096662C">
        <w:rPr>
          <w:b/>
          <w:bCs/>
          <w:sz w:val="22"/>
          <w:szCs w:val="22"/>
        </w:rPr>
        <w:t>Section III.</w:t>
      </w:r>
      <w:r w:rsidRPr="0096662C">
        <w:rPr>
          <w:b/>
          <w:bCs/>
          <w:sz w:val="22"/>
          <w:szCs w:val="22"/>
        </w:rPr>
        <w:tab/>
      </w:r>
      <w:r w:rsidRPr="0096662C">
        <w:rPr>
          <w:b/>
          <w:bCs/>
          <w:sz w:val="22"/>
          <w:szCs w:val="22"/>
          <w:u w:val="single"/>
        </w:rPr>
        <w:t>Withdrawal of Loan Proceeds</w:t>
      </w:r>
    </w:p>
    <w:p w:rsidR="008D57CD" w:rsidRPr="0096662C" w:rsidRDefault="008D57CD" w:rsidP="008D57CD">
      <w:pPr>
        <w:pStyle w:val="BodyText"/>
        <w:rPr>
          <w:sz w:val="22"/>
          <w:szCs w:val="22"/>
        </w:rPr>
      </w:pPr>
    </w:p>
    <w:p w:rsidR="008D57CD" w:rsidRPr="0096662C" w:rsidRDefault="008D57CD" w:rsidP="008D57CD">
      <w:pPr>
        <w:pStyle w:val="BodyText"/>
        <w:ind w:left="720" w:hanging="720"/>
        <w:rPr>
          <w:b/>
          <w:bCs/>
          <w:sz w:val="22"/>
          <w:szCs w:val="22"/>
        </w:rPr>
      </w:pPr>
      <w:r w:rsidRPr="0096662C">
        <w:rPr>
          <w:b/>
          <w:bCs/>
          <w:sz w:val="22"/>
          <w:szCs w:val="22"/>
        </w:rPr>
        <w:t>A.</w:t>
      </w:r>
      <w:r w:rsidRPr="0096662C">
        <w:rPr>
          <w:b/>
          <w:bCs/>
          <w:sz w:val="22"/>
          <w:szCs w:val="22"/>
        </w:rPr>
        <w:tab/>
        <w:t>General.</w:t>
      </w:r>
    </w:p>
    <w:p w:rsidR="008D57CD" w:rsidRPr="0096662C" w:rsidRDefault="008D57CD" w:rsidP="008D57CD">
      <w:pPr>
        <w:pStyle w:val="BodyText"/>
        <w:ind w:left="720" w:hanging="720"/>
        <w:rPr>
          <w:bCs/>
          <w:sz w:val="22"/>
          <w:szCs w:val="22"/>
        </w:rPr>
      </w:pPr>
    </w:p>
    <w:p w:rsidR="008D57CD" w:rsidRPr="0096662C" w:rsidRDefault="008D57CD" w:rsidP="00AC198F">
      <w:pPr>
        <w:pStyle w:val="BodyText"/>
        <w:ind w:left="720"/>
        <w:rPr>
          <w:sz w:val="22"/>
          <w:szCs w:val="22"/>
        </w:rPr>
      </w:pPr>
      <w:r w:rsidRPr="0096662C">
        <w:rPr>
          <w:sz w:val="22"/>
          <w:szCs w:val="22"/>
        </w:rPr>
        <w:t>Without limitation upon the provisions of Article II of the General Conditions and in accordance with the</w:t>
      </w:r>
      <w:r w:rsidRPr="0096662C">
        <w:rPr>
          <w:color w:val="000000"/>
          <w:sz w:val="22"/>
          <w:szCs w:val="22"/>
        </w:rPr>
        <w:t xml:space="preserve"> Disbursement and Financial Information Letter</w:t>
      </w:r>
      <w:r w:rsidRPr="0096662C">
        <w:rPr>
          <w:sz w:val="22"/>
          <w:szCs w:val="22"/>
        </w:rPr>
        <w:t>, the Borrower may withdraw the proceeds of the Loan to: (a) finance Eligible Expenditures; and (b) pay</w:t>
      </w:r>
      <w:r>
        <w:rPr>
          <w:sz w:val="22"/>
          <w:szCs w:val="22"/>
        </w:rPr>
        <w:t xml:space="preserve"> </w:t>
      </w:r>
      <w:r w:rsidRPr="0096662C">
        <w:rPr>
          <w:sz w:val="22"/>
          <w:szCs w:val="22"/>
        </w:rPr>
        <w:t>the Front-end Fee; in the amount allocated and, if applicable, up to the percentage set forth against each Category of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2713"/>
        <w:gridCol w:w="2711"/>
      </w:tblGrid>
      <w:tr w:rsidR="008D57CD" w:rsidRPr="0096662C" w:rsidTr="0090447C">
        <w:trPr>
          <w:cantSplit/>
        </w:trPr>
        <w:tc>
          <w:tcPr>
            <w:tcW w:w="1667" w:type="pct"/>
          </w:tcPr>
          <w:p w:rsidR="008D57CD" w:rsidRPr="0096662C" w:rsidRDefault="008D57CD" w:rsidP="0090447C">
            <w:pPr>
              <w:pStyle w:val="BodyText"/>
              <w:jc w:val="center"/>
              <w:rPr>
                <w:b/>
                <w:sz w:val="22"/>
                <w:szCs w:val="22"/>
              </w:rPr>
            </w:pPr>
            <w:r w:rsidRPr="0096662C">
              <w:rPr>
                <w:b/>
                <w:sz w:val="22"/>
                <w:szCs w:val="22"/>
              </w:rPr>
              <w:t>Category</w:t>
            </w:r>
          </w:p>
        </w:tc>
        <w:tc>
          <w:tcPr>
            <w:tcW w:w="1667" w:type="pct"/>
          </w:tcPr>
          <w:p w:rsidR="008D57CD" w:rsidRPr="0096662C" w:rsidRDefault="008D57CD" w:rsidP="0090447C">
            <w:pPr>
              <w:pStyle w:val="BodyText"/>
              <w:jc w:val="center"/>
              <w:rPr>
                <w:b/>
                <w:sz w:val="22"/>
                <w:szCs w:val="22"/>
              </w:rPr>
            </w:pPr>
            <w:r w:rsidRPr="0096662C">
              <w:rPr>
                <w:b/>
                <w:sz w:val="22"/>
                <w:szCs w:val="22"/>
              </w:rPr>
              <w:t>Amount of the Loan</w:t>
            </w:r>
          </w:p>
          <w:p w:rsidR="008D57CD" w:rsidRPr="0096662C" w:rsidRDefault="008D57CD" w:rsidP="0090447C">
            <w:pPr>
              <w:pStyle w:val="BodyText"/>
              <w:jc w:val="center"/>
              <w:rPr>
                <w:b/>
                <w:sz w:val="22"/>
                <w:szCs w:val="22"/>
              </w:rPr>
            </w:pPr>
            <w:r w:rsidRPr="0096662C">
              <w:rPr>
                <w:b/>
                <w:sz w:val="22"/>
                <w:szCs w:val="22"/>
              </w:rPr>
              <w:t>Allocated</w:t>
            </w:r>
          </w:p>
          <w:p w:rsidR="008D57CD" w:rsidRPr="0096662C" w:rsidRDefault="008D57CD" w:rsidP="0090447C">
            <w:pPr>
              <w:pStyle w:val="BodyText"/>
              <w:jc w:val="center"/>
              <w:rPr>
                <w:b/>
                <w:sz w:val="22"/>
                <w:szCs w:val="22"/>
              </w:rPr>
            </w:pPr>
            <w:r w:rsidRPr="0096662C">
              <w:rPr>
                <w:b/>
                <w:sz w:val="22"/>
                <w:szCs w:val="22"/>
              </w:rPr>
              <w:t>(expressed in Euro)</w:t>
            </w:r>
          </w:p>
        </w:tc>
        <w:tc>
          <w:tcPr>
            <w:tcW w:w="1666" w:type="pct"/>
          </w:tcPr>
          <w:p w:rsidR="008D57CD" w:rsidRPr="0096662C" w:rsidRDefault="008D57CD" w:rsidP="0090447C">
            <w:pPr>
              <w:pStyle w:val="BodyText"/>
              <w:jc w:val="center"/>
              <w:rPr>
                <w:b/>
                <w:sz w:val="22"/>
                <w:szCs w:val="22"/>
              </w:rPr>
            </w:pPr>
            <w:r w:rsidRPr="0096662C">
              <w:rPr>
                <w:b/>
                <w:sz w:val="22"/>
                <w:szCs w:val="22"/>
              </w:rPr>
              <w:t>Percentage of Expenditures to be financed</w:t>
            </w:r>
          </w:p>
          <w:p w:rsidR="008D57CD" w:rsidRPr="0096662C" w:rsidRDefault="008D57CD" w:rsidP="0090447C">
            <w:pPr>
              <w:pStyle w:val="BodyText"/>
              <w:jc w:val="center"/>
              <w:rPr>
                <w:b/>
                <w:sz w:val="22"/>
                <w:szCs w:val="22"/>
              </w:rPr>
            </w:pPr>
            <w:r w:rsidRPr="0096662C">
              <w:rPr>
                <w:b/>
                <w:bCs/>
                <w:sz w:val="22"/>
                <w:szCs w:val="22"/>
              </w:rPr>
              <w:t xml:space="preserve">(inclusive of Taxes other than Value Added Tax and Customs Duties) </w:t>
            </w:r>
          </w:p>
        </w:tc>
      </w:tr>
      <w:tr w:rsidR="008D57CD" w:rsidRPr="0096662C" w:rsidTr="0090447C">
        <w:trPr>
          <w:cantSplit/>
        </w:trPr>
        <w:tc>
          <w:tcPr>
            <w:tcW w:w="1667" w:type="pct"/>
          </w:tcPr>
          <w:p w:rsidR="008D57CD" w:rsidRPr="0096662C" w:rsidRDefault="008D57CD" w:rsidP="0090447C">
            <w:pPr>
              <w:pStyle w:val="BodyText"/>
              <w:rPr>
                <w:sz w:val="22"/>
                <w:szCs w:val="22"/>
              </w:rPr>
            </w:pPr>
            <w:r w:rsidRPr="0096662C">
              <w:rPr>
                <w:sz w:val="22"/>
                <w:szCs w:val="22"/>
              </w:rPr>
              <w:t>(1) Goods, works, non-consulting services, consulting services, Operating Costs and Training for Parts 1, 2 and 4 of the Project</w:t>
            </w:r>
          </w:p>
        </w:tc>
        <w:tc>
          <w:tcPr>
            <w:tcW w:w="1667" w:type="pct"/>
          </w:tcPr>
          <w:p w:rsidR="008D57CD" w:rsidRPr="0096662C" w:rsidRDefault="008D57CD" w:rsidP="0090447C">
            <w:pPr>
              <w:pStyle w:val="BodyText"/>
              <w:tabs>
                <w:tab w:val="right" w:pos="1659"/>
              </w:tabs>
              <w:jc w:val="left"/>
              <w:rPr>
                <w:sz w:val="22"/>
                <w:szCs w:val="22"/>
              </w:rPr>
            </w:pPr>
            <w:r>
              <w:rPr>
                <w:sz w:val="22"/>
                <w:szCs w:val="22"/>
              </w:rPr>
              <w:tab/>
            </w:r>
            <w:r w:rsidRPr="0096662C">
              <w:rPr>
                <w:sz w:val="22"/>
                <w:szCs w:val="22"/>
              </w:rPr>
              <w:t>34,912,500</w:t>
            </w:r>
          </w:p>
        </w:tc>
        <w:tc>
          <w:tcPr>
            <w:tcW w:w="1666" w:type="pct"/>
          </w:tcPr>
          <w:p w:rsidR="008D57CD" w:rsidRPr="0096662C" w:rsidRDefault="008D57CD" w:rsidP="0090447C">
            <w:pPr>
              <w:pStyle w:val="BodyText"/>
              <w:rPr>
                <w:sz w:val="22"/>
                <w:szCs w:val="22"/>
              </w:rPr>
            </w:pPr>
            <w:r w:rsidRPr="0096662C">
              <w:rPr>
                <w:sz w:val="22"/>
                <w:szCs w:val="22"/>
              </w:rPr>
              <w:t>100%</w:t>
            </w:r>
          </w:p>
        </w:tc>
      </w:tr>
      <w:tr w:rsidR="008D57CD" w:rsidRPr="0096662C" w:rsidTr="0090447C">
        <w:trPr>
          <w:cantSplit/>
        </w:trPr>
        <w:tc>
          <w:tcPr>
            <w:tcW w:w="1667" w:type="pct"/>
          </w:tcPr>
          <w:p w:rsidR="008D57CD" w:rsidRPr="0096662C" w:rsidRDefault="008D57CD" w:rsidP="0090447C">
            <w:pPr>
              <w:pStyle w:val="BodyText"/>
              <w:rPr>
                <w:sz w:val="22"/>
                <w:szCs w:val="22"/>
              </w:rPr>
            </w:pPr>
            <w:r w:rsidRPr="0096662C">
              <w:rPr>
                <w:sz w:val="22"/>
                <w:szCs w:val="22"/>
              </w:rPr>
              <w:lastRenderedPageBreak/>
              <w:t>(2) Front-end Fee</w:t>
            </w:r>
          </w:p>
        </w:tc>
        <w:tc>
          <w:tcPr>
            <w:tcW w:w="1667" w:type="pct"/>
          </w:tcPr>
          <w:p w:rsidR="008D57CD" w:rsidRPr="0096662C" w:rsidRDefault="008D57CD" w:rsidP="0090447C">
            <w:pPr>
              <w:pStyle w:val="BodyText"/>
              <w:tabs>
                <w:tab w:val="right" w:pos="1659"/>
              </w:tabs>
              <w:jc w:val="left"/>
              <w:rPr>
                <w:sz w:val="22"/>
                <w:szCs w:val="22"/>
              </w:rPr>
            </w:pPr>
            <w:r>
              <w:rPr>
                <w:sz w:val="22"/>
                <w:szCs w:val="22"/>
              </w:rPr>
              <w:tab/>
            </w:r>
            <w:r w:rsidRPr="0096662C">
              <w:rPr>
                <w:sz w:val="22"/>
                <w:szCs w:val="22"/>
              </w:rPr>
              <w:t>87,500</w:t>
            </w:r>
          </w:p>
        </w:tc>
        <w:tc>
          <w:tcPr>
            <w:tcW w:w="1666" w:type="pct"/>
          </w:tcPr>
          <w:p w:rsidR="008D57CD" w:rsidRPr="0096662C" w:rsidRDefault="008D57CD" w:rsidP="0090447C">
            <w:pPr>
              <w:pStyle w:val="BodyText"/>
              <w:rPr>
                <w:sz w:val="22"/>
                <w:szCs w:val="22"/>
              </w:rPr>
            </w:pPr>
            <w:r w:rsidRPr="0096662C">
              <w:rPr>
                <w:sz w:val="22"/>
                <w:szCs w:val="22"/>
              </w:rPr>
              <w:t>Amount payable pursuant to Section 2.03 of this Agreement in accordance with Section 2.07 (b) of the General Conditions</w:t>
            </w:r>
          </w:p>
        </w:tc>
      </w:tr>
      <w:tr w:rsidR="008D57CD" w:rsidRPr="0096662C" w:rsidTr="0090447C">
        <w:trPr>
          <w:cantSplit/>
        </w:trPr>
        <w:tc>
          <w:tcPr>
            <w:tcW w:w="1667" w:type="pct"/>
          </w:tcPr>
          <w:p w:rsidR="008D57CD" w:rsidRPr="0096662C" w:rsidRDefault="008D57CD" w:rsidP="0090447C">
            <w:pPr>
              <w:pStyle w:val="BodyText"/>
              <w:rPr>
                <w:sz w:val="22"/>
                <w:szCs w:val="22"/>
              </w:rPr>
            </w:pPr>
            <w:r w:rsidRPr="0096662C">
              <w:rPr>
                <w:sz w:val="22"/>
                <w:szCs w:val="22"/>
              </w:rPr>
              <w:t>TOTAL AMOUNT</w:t>
            </w:r>
          </w:p>
        </w:tc>
        <w:tc>
          <w:tcPr>
            <w:tcW w:w="1667" w:type="pct"/>
          </w:tcPr>
          <w:p w:rsidR="008D57CD" w:rsidRPr="0096662C" w:rsidRDefault="008D57CD" w:rsidP="0090447C">
            <w:pPr>
              <w:pStyle w:val="BodyText"/>
              <w:tabs>
                <w:tab w:val="right" w:pos="1659"/>
              </w:tabs>
              <w:jc w:val="left"/>
              <w:rPr>
                <w:sz w:val="22"/>
                <w:szCs w:val="22"/>
              </w:rPr>
            </w:pPr>
            <w:r>
              <w:rPr>
                <w:sz w:val="22"/>
                <w:szCs w:val="22"/>
              </w:rPr>
              <w:tab/>
            </w:r>
            <w:r w:rsidRPr="0096662C">
              <w:rPr>
                <w:sz w:val="22"/>
                <w:szCs w:val="22"/>
              </w:rPr>
              <w:t>35,000,000</w:t>
            </w:r>
          </w:p>
        </w:tc>
        <w:tc>
          <w:tcPr>
            <w:tcW w:w="1666" w:type="pct"/>
          </w:tcPr>
          <w:p w:rsidR="008D57CD" w:rsidRPr="0096662C" w:rsidRDefault="008D57CD" w:rsidP="0090447C">
            <w:pPr>
              <w:pStyle w:val="BodyText"/>
              <w:rPr>
                <w:sz w:val="22"/>
                <w:szCs w:val="22"/>
              </w:rPr>
            </w:pPr>
          </w:p>
        </w:tc>
      </w:tr>
    </w:tbl>
    <w:p w:rsidR="008D57CD" w:rsidRPr="0096662C" w:rsidRDefault="008D57CD" w:rsidP="008D57CD">
      <w:pPr>
        <w:pStyle w:val="BodyText"/>
        <w:rPr>
          <w:sz w:val="22"/>
          <w:szCs w:val="22"/>
        </w:rPr>
      </w:pPr>
    </w:p>
    <w:p w:rsidR="008D57CD" w:rsidRPr="000E13CE" w:rsidRDefault="008D57CD" w:rsidP="008D57CD">
      <w:pPr>
        <w:pStyle w:val="BodyText"/>
        <w:rPr>
          <w:sz w:val="22"/>
          <w:szCs w:val="22"/>
        </w:rPr>
      </w:pPr>
      <w:r w:rsidRPr="000E13CE">
        <w:rPr>
          <w:sz w:val="22"/>
          <w:szCs w:val="22"/>
        </w:rPr>
        <w:t>For the purpose of this table, the custom duties and value added tax for the importation and supply of goods and services, within the Borrower’s territory and for the purpose of the implementation of the Project, shall not be financed out of Loan proceeds. The Borrower confirms that the importation and supply of goods and services, within the Borrower’s territory and for the purpose of the implementation of the Project, shall be exempted from customs duties and value added tax.</w:t>
      </w:r>
    </w:p>
    <w:p w:rsidR="008D57CD" w:rsidRPr="0096662C" w:rsidRDefault="008D57CD" w:rsidP="008D57CD">
      <w:pPr>
        <w:pStyle w:val="BodyText"/>
        <w:rPr>
          <w:sz w:val="22"/>
          <w:szCs w:val="22"/>
        </w:rPr>
      </w:pPr>
    </w:p>
    <w:p w:rsidR="008D57CD" w:rsidRPr="0096662C" w:rsidRDefault="008D57CD" w:rsidP="008D57CD">
      <w:pPr>
        <w:pStyle w:val="BodyText"/>
        <w:rPr>
          <w:sz w:val="22"/>
          <w:szCs w:val="22"/>
        </w:rPr>
      </w:pPr>
    </w:p>
    <w:p w:rsidR="008D57CD" w:rsidRPr="0096662C" w:rsidRDefault="008D57CD" w:rsidP="008D57CD">
      <w:pPr>
        <w:pStyle w:val="BodyText"/>
        <w:ind w:left="810" w:hanging="810"/>
        <w:rPr>
          <w:b/>
          <w:bCs/>
          <w:sz w:val="22"/>
          <w:szCs w:val="22"/>
        </w:rPr>
      </w:pPr>
      <w:r w:rsidRPr="0096662C">
        <w:rPr>
          <w:b/>
          <w:bCs/>
          <w:sz w:val="22"/>
          <w:szCs w:val="22"/>
        </w:rPr>
        <w:t>B.</w:t>
      </w:r>
      <w:r w:rsidRPr="0096662C">
        <w:rPr>
          <w:b/>
          <w:bCs/>
          <w:sz w:val="22"/>
          <w:szCs w:val="22"/>
        </w:rPr>
        <w:tab/>
        <w:t>Withdrawal Conditions; Withdrawal Period.</w:t>
      </w:r>
    </w:p>
    <w:p w:rsidR="008D57CD" w:rsidRPr="0096662C" w:rsidRDefault="008D57CD" w:rsidP="008D57CD">
      <w:pPr>
        <w:pStyle w:val="BodyText"/>
        <w:rPr>
          <w:bCs/>
          <w:sz w:val="22"/>
          <w:szCs w:val="22"/>
        </w:rPr>
      </w:pPr>
    </w:p>
    <w:p w:rsidR="008D57CD" w:rsidRPr="0096662C" w:rsidRDefault="008D57CD" w:rsidP="008D57CD">
      <w:pPr>
        <w:pStyle w:val="BodyText"/>
        <w:rPr>
          <w:b/>
          <w:bCs/>
          <w:sz w:val="22"/>
          <w:szCs w:val="22"/>
        </w:rPr>
      </w:pPr>
      <w:r w:rsidRPr="0096662C">
        <w:rPr>
          <w:bCs/>
          <w:sz w:val="22"/>
          <w:szCs w:val="22"/>
        </w:rPr>
        <w:t>1.</w:t>
      </w:r>
      <w:r w:rsidRPr="0096662C">
        <w:rPr>
          <w:b/>
          <w:bCs/>
          <w:sz w:val="22"/>
          <w:szCs w:val="22"/>
        </w:rPr>
        <w:tab/>
      </w:r>
      <w:r w:rsidRPr="0096662C">
        <w:rPr>
          <w:bCs/>
          <w:sz w:val="22"/>
          <w:szCs w:val="22"/>
        </w:rPr>
        <w:t>Notwithstanding the provisions of Part A above, no withdrawal shall be made</w:t>
      </w:r>
      <w:r w:rsidRPr="0096662C">
        <w:rPr>
          <w:sz w:val="22"/>
          <w:szCs w:val="22"/>
        </w:rPr>
        <w:t xml:space="preserve"> for payments made prior to the Signature Date. </w:t>
      </w:r>
    </w:p>
    <w:p w:rsidR="008D57CD" w:rsidRPr="0096662C" w:rsidRDefault="008D57CD" w:rsidP="008D57CD">
      <w:pPr>
        <w:pStyle w:val="BodyText"/>
        <w:rPr>
          <w:b/>
          <w:bCs/>
          <w:sz w:val="22"/>
          <w:szCs w:val="22"/>
        </w:rPr>
      </w:pPr>
    </w:p>
    <w:p w:rsidR="008D57CD" w:rsidRPr="0096662C" w:rsidRDefault="008D57CD" w:rsidP="008D57CD">
      <w:pPr>
        <w:pStyle w:val="BodyText"/>
        <w:ind w:left="30"/>
        <w:rPr>
          <w:sz w:val="22"/>
          <w:szCs w:val="22"/>
        </w:rPr>
      </w:pPr>
      <w:r w:rsidRPr="0096662C">
        <w:rPr>
          <w:bCs/>
          <w:sz w:val="22"/>
          <w:szCs w:val="22"/>
        </w:rPr>
        <w:t>2.</w:t>
      </w:r>
      <w:r w:rsidRPr="0096662C">
        <w:rPr>
          <w:b/>
          <w:bCs/>
          <w:sz w:val="22"/>
          <w:szCs w:val="22"/>
        </w:rPr>
        <w:tab/>
      </w:r>
      <w:r w:rsidRPr="0096662C">
        <w:rPr>
          <w:sz w:val="22"/>
          <w:szCs w:val="22"/>
        </w:rPr>
        <w:t>The Closing Date is December 15, 2025.</w:t>
      </w:r>
    </w:p>
    <w:p w:rsidR="008D57CD" w:rsidRPr="0096662C" w:rsidRDefault="008D57CD" w:rsidP="008D57CD">
      <w:pPr>
        <w:pStyle w:val="BodyText"/>
        <w:jc w:val="left"/>
        <w:rPr>
          <w:sz w:val="22"/>
          <w:szCs w:val="22"/>
        </w:rPr>
      </w:pPr>
    </w:p>
    <w:p w:rsidR="008D57CD" w:rsidRPr="0096662C" w:rsidRDefault="008D57CD" w:rsidP="008D57CD">
      <w:pPr>
        <w:pStyle w:val="BodyText"/>
        <w:rPr>
          <w:sz w:val="22"/>
          <w:szCs w:val="22"/>
        </w:rPr>
      </w:pPr>
      <w:r w:rsidRPr="0096662C">
        <w:rPr>
          <w:sz w:val="22"/>
          <w:szCs w:val="22"/>
        </w:rPr>
        <w:br w:type="page"/>
      </w:r>
    </w:p>
    <w:p w:rsidR="008D57CD" w:rsidRPr="0096662C" w:rsidRDefault="008D57CD" w:rsidP="008D57CD">
      <w:pPr>
        <w:pStyle w:val="BodyText"/>
        <w:jc w:val="center"/>
        <w:rPr>
          <w:b/>
          <w:sz w:val="22"/>
          <w:szCs w:val="22"/>
        </w:rPr>
      </w:pPr>
      <w:r w:rsidRPr="0096662C">
        <w:rPr>
          <w:b/>
          <w:sz w:val="22"/>
          <w:szCs w:val="22"/>
        </w:rPr>
        <w:lastRenderedPageBreak/>
        <w:t>SCHEDULE 3</w:t>
      </w:r>
    </w:p>
    <w:p w:rsidR="008D57CD" w:rsidRPr="0096662C" w:rsidRDefault="008D57CD" w:rsidP="008D57CD">
      <w:pPr>
        <w:pStyle w:val="BodyText"/>
        <w:jc w:val="center"/>
        <w:rPr>
          <w:b/>
          <w:sz w:val="22"/>
          <w:szCs w:val="22"/>
        </w:rPr>
      </w:pPr>
    </w:p>
    <w:p w:rsidR="008D57CD" w:rsidRPr="0096662C" w:rsidRDefault="008D57CD" w:rsidP="008D57CD">
      <w:pPr>
        <w:pStyle w:val="BodyText"/>
        <w:rPr>
          <w:b/>
          <w:sz w:val="22"/>
          <w:szCs w:val="22"/>
        </w:rPr>
      </w:pPr>
    </w:p>
    <w:p w:rsidR="008D57CD" w:rsidRPr="0096662C" w:rsidRDefault="008D57CD" w:rsidP="008D57CD">
      <w:pPr>
        <w:pStyle w:val="BodyText"/>
        <w:rPr>
          <w:sz w:val="22"/>
          <w:szCs w:val="22"/>
        </w:rPr>
      </w:pPr>
      <w:r w:rsidRPr="0096662C">
        <w:rPr>
          <w:sz w:val="22"/>
          <w:szCs w:val="22"/>
        </w:rPr>
        <w:t xml:space="preserve">The following table sets forth the Principal Payment Dates of the Loan and the percentage of the total principal amount of the Loan payable on each Principal Payment Date (“Installment Share”). </w:t>
      </w:r>
    </w:p>
    <w:p w:rsidR="008D57CD" w:rsidRPr="0096662C" w:rsidRDefault="008D57CD" w:rsidP="008D57CD">
      <w:pPr>
        <w:pStyle w:val="BodyText"/>
        <w:ind w:left="720"/>
        <w:rPr>
          <w:sz w:val="22"/>
          <w:szCs w:val="22"/>
        </w:rPr>
      </w:pPr>
    </w:p>
    <w:p w:rsidR="008D57CD" w:rsidRPr="0096662C" w:rsidRDefault="008D57CD" w:rsidP="008D57CD">
      <w:pPr>
        <w:pStyle w:val="BodyText"/>
        <w:ind w:left="720"/>
        <w:jc w:val="center"/>
        <w:rPr>
          <w:b/>
          <w:i/>
          <w:sz w:val="22"/>
          <w:szCs w:val="22"/>
        </w:rPr>
      </w:pPr>
      <w:r w:rsidRPr="0096662C">
        <w:rPr>
          <w:b/>
          <w:sz w:val="22"/>
          <w:szCs w:val="22"/>
        </w:rPr>
        <w:t>Level Principal Repayments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4068"/>
      </w:tblGrid>
      <w:tr w:rsidR="008D57CD" w:rsidRPr="0096662C" w:rsidTr="0090447C">
        <w:tc>
          <w:tcPr>
            <w:tcW w:w="2500" w:type="pct"/>
          </w:tcPr>
          <w:p w:rsidR="008D57CD" w:rsidRPr="0096662C" w:rsidRDefault="008D57CD" w:rsidP="0090447C">
            <w:pPr>
              <w:pStyle w:val="BodyText"/>
              <w:jc w:val="center"/>
              <w:rPr>
                <w:b/>
                <w:sz w:val="22"/>
                <w:szCs w:val="22"/>
              </w:rPr>
            </w:pPr>
            <w:r w:rsidRPr="0096662C">
              <w:rPr>
                <w:b/>
                <w:sz w:val="22"/>
                <w:szCs w:val="22"/>
              </w:rPr>
              <w:t>Principal Payment Date</w:t>
            </w:r>
          </w:p>
        </w:tc>
        <w:tc>
          <w:tcPr>
            <w:tcW w:w="2500" w:type="pct"/>
          </w:tcPr>
          <w:p w:rsidR="008D57CD" w:rsidRPr="0096662C" w:rsidRDefault="008D57CD" w:rsidP="0090447C">
            <w:pPr>
              <w:pStyle w:val="BodyText"/>
              <w:jc w:val="center"/>
              <w:rPr>
                <w:sz w:val="22"/>
                <w:szCs w:val="22"/>
              </w:rPr>
            </w:pPr>
            <w:r w:rsidRPr="0096662C">
              <w:rPr>
                <w:b/>
                <w:sz w:val="22"/>
                <w:szCs w:val="22"/>
              </w:rPr>
              <w:t>Installment Share</w:t>
            </w:r>
          </w:p>
        </w:tc>
      </w:tr>
      <w:tr w:rsidR="008D57CD" w:rsidRPr="0096662C" w:rsidTr="0090447C">
        <w:tc>
          <w:tcPr>
            <w:tcW w:w="2500" w:type="pct"/>
          </w:tcPr>
          <w:p w:rsidR="008D57CD" w:rsidRPr="0096662C" w:rsidRDefault="008D57CD" w:rsidP="0090447C">
            <w:pPr>
              <w:pStyle w:val="BodyText"/>
              <w:rPr>
                <w:sz w:val="22"/>
                <w:szCs w:val="22"/>
              </w:rPr>
            </w:pPr>
            <w:r w:rsidRPr="0096662C">
              <w:rPr>
                <w:sz w:val="22"/>
                <w:szCs w:val="22"/>
              </w:rPr>
              <w:t>On each May 15 and November 15</w:t>
            </w:r>
          </w:p>
          <w:p w:rsidR="008D57CD" w:rsidRPr="0096662C" w:rsidRDefault="008D57CD" w:rsidP="0090447C">
            <w:pPr>
              <w:pStyle w:val="BodyText"/>
              <w:rPr>
                <w:sz w:val="22"/>
                <w:szCs w:val="22"/>
              </w:rPr>
            </w:pPr>
            <w:r w:rsidRPr="0096662C">
              <w:rPr>
                <w:sz w:val="22"/>
                <w:szCs w:val="22"/>
              </w:rPr>
              <w:tab/>
              <w:t xml:space="preserve">Beginning May 15, 2022 </w:t>
            </w:r>
          </w:p>
          <w:p w:rsidR="008D57CD" w:rsidRPr="0096662C" w:rsidRDefault="008D57CD" w:rsidP="0090447C">
            <w:pPr>
              <w:pStyle w:val="BodyText"/>
              <w:rPr>
                <w:sz w:val="22"/>
                <w:szCs w:val="22"/>
              </w:rPr>
            </w:pPr>
            <w:r w:rsidRPr="0096662C">
              <w:rPr>
                <w:sz w:val="22"/>
                <w:szCs w:val="22"/>
              </w:rPr>
              <w:tab/>
              <w:t>through May 15, 2030</w:t>
            </w:r>
          </w:p>
        </w:tc>
        <w:tc>
          <w:tcPr>
            <w:tcW w:w="2500" w:type="pct"/>
          </w:tcPr>
          <w:p w:rsidR="008D57CD" w:rsidRPr="0096662C" w:rsidRDefault="008D57CD" w:rsidP="0090447C">
            <w:pPr>
              <w:pStyle w:val="BodyText"/>
              <w:rPr>
                <w:sz w:val="22"/>
                <w:szCs w:val="22"/>
              </w:rPr>
            </w:pPr>
          </w:p>
          <w:p w:rsidR="008D57CD" w:rsidRPr="0096662C" w:rsidRDefault="008D57CD" w:rsidP="0090447C">
            <w:pPr>
              <w:pStyle w:val="BodyText"/>
              <w:rPr>
                <w:sz w:val="22"/>
                <w:szCs w:val="22"/>
              </w:rPr>
            </w:pPr>
          </w:p>
          <w:p w:rsidR="008D57CD" w:rsidRPr="0096662C" w:rsidRDefault="008D57CD" w:rsidP="0090447C">
            <w:pPr>
              <w:pStyle w:val="BodyText"/>
              <w:jc w:val="center"/>
              <w:rPr>
                <w:sz w:val="22"/>
                <w:szCs w:val="22"/>
              </w:rPr>
            </w:pPr>
            <w:r w:rsidRPr="0096662C">
              <w:rPr>
                <w:sz w:val="22"/>
                <w:szCs w:val="22"/>
              </w:rPr>
              <w:t>5,56%</w:t>
            </w:r>
          </w:p>
        </w:tc>
      </w:tr>
      <w:tr w:rsidR="008D57CD" w:rsidRPr="0096662C" w:rsidTr="0090447C">
        <w:tc>
          <w:tcPr>
            <w:tcW w:w="2500" w:type="pct"/>
          </w:tcPr>
          <w:p w:rsidR="008D57CD" w:rsidRPr="0096662C" w:rsidRDefault="008D57CD" w:rsidP="0090447C">
            <w:pPr>
              <w:pStyle w:val="BodyText"/>
              <w:rPr>
                <w:sz w:val="22"/>
                <w:szCs w:val="22"/>
              </w:rPr>
            </w:pPr>
            <w:r w:rsidRPr="0096662C">
              <w:rPr>
                <w:sz w:val="22"/>
                <w:szCs w:val="22"/>
              </w:rPr>
              <w:t>On November 15, 2030</w:t>
            </w:r>
          </w:p>
        </w:tc>
        <w:tc>
          <w:tcPr>
            <w:tcW w:w="2500" w:type="pct"/>
          </w:tcPr>
          <w:p w:rsidR="008D57CD" w:rsidRPr="0096662C" w:rsidRDefault="008D57CD" w:rsidP="0090447C">
            <w:pPr>
              <w:pStyle w:val="BodyText"/>
              <w:jc w:val="center"/>
              <w:rPr>
                <w:sz w:val="22"/>
                <w:szCs w:val="22"/>
              </w:rPr>
            </w:pPr>
            <w:r w:rsidRPr="0096662C">
              <w:rPr>
                <w:sz w:val="22"/>
                <w:szCs w:val="22"/>
              </w:rPr>
              <w:t>5,48%</w:t>
            </w:r>
          </w:p>
        </w:tc>
      </w:tr>
    </w:tbl>
    <w:p w:rsidR="008D57CD" w:rsidRPr="0096662C" w:rsidRDefault="008D57CD" w:rsidP="008D57CD">
      <w:pPr>
        <w:pStyle w:val="BodyText"/>
        <w:rPr>
          <w:sz w:val="22"/>
          <w:szCs w:val="22"/>
        </w:rPr>
      </w:pPr>
    </w:p>
    <w:p w:rsidR="008D57CD" w:rsidRPr="0096662C" w:rsidRDefault="008D57CD" w:rsidP="008D57CD">
      <w:pPr>
        <w:pStyle w:val="BodyText"/>
        <w:tabs>
          <w:tab w:val="left" w:pos="720"/>
        </w:tabs>
        <w:rPr>
          <w:sz w:val="22"/>
          <w:szCs w:val="22"/>
        </w:rPr>
      </w:pPr>
    </w:p>
    <w:p w:rsidR="008D57CD" w:rsidRPr="0096662C" w:rsidRDefault="008D57CD" w:rsidP="008D57CD">
      <w:pPr>
        <w:pStyle w:val="BodyText"/>
        <w:ind w:left="720" w:hanging="720"/>
        <w:jc w:val="center"/>
        <w:rPr>
          <w:b/>
          <w:bCs/>
          <w:sz w:val="22"/>
          <w:szCs w:val="22"/>
        </w:rPr>
      </w:pPr>
      <w:r w:rsidRPr="0096662C">
        <w:rPr>
          <w:sz w:val="22"/>
          <w:szCs w:val="22"/>
        </w:rPr>
        <w:br w:type="page"/>
      </w:r>
      <w:r w:rsidRPr="0096662C">
        <w:rPr>
          <w:b/>
          <w:bCs/>
          <w:sz w:val="22"/>
          <w:szCs w:val="22"/>
        </w:rPr>
        <w:lastRenderedPageBreak/>
        <w:t>APPENDIX</w:t>
      </w:r>
    </w:p>
    <w:p w:rsidR="008D57CD" w:rsidRPr="0096662C" w:rsidRDefault="008D57CD" w:rsidP="008D57CD">
      <w:pPr>
        <w:pStyle w:val="BodyText"/>
        <w:ind w:left="720" w:hanging="720"/>
        <w:rPr>
          <w:b/>
          <w:bCs/>
          <w:sz w:val="22"/>
          <w:szCs w:val="22"/>
          <w:u w:val="single"/>
        </w:rPr>
      </w:pPr>
      <w:r w:rsidRPr="0096662C">
        <w:rPr>
          <w:b/>
          <w:bCs/>
          <w:sz w:val="22"/>
          <w:szCs w:val="22"/>
          <w:u w:val="single"/>
        </w:rPr>
        <w:t>Definitions</w:t>
      </w:r>
    </w:p>
    <w:p w:rsidR="008D57CD" w:rsidRPr="00214C0B" w:rsidRDefault="008D57CD" w:rsidP="008D57CD">
      <w:pPr>
        <w:pStyle w:val="BodyText"/>
        <w:ind w:left="720" w:hanging="720"/>
        <w:rPr>
          <w:sz w:val="20"/>
        </w:rPr>
      </w:pPr>
    </w:p>
    <w:p w:rsidR="008D57CD" w:rsidRDefault="008D57CD" w:rsidP="00214C0B">
      <w:pPr>
        <w:pStyle w:val="ModelNrmlDouble"/>
        <w:numPr>
          <w:ilvl w:val="0"/>
          <w:numId w:val="5"/>
        </w:numPr>
        <w:tabs>
          <w:tab w:val="clear" w:pos="1080"/>
        </w:tabs>
        <w:spacing w:after="0" w:line="240" w:lineRule="auto"/>
        <w:ind w:left="720" w:hanging="720"/>
        <w:rPr>
          <w:szCs w:val="22"/>
        </w:rPr>
      </w:pPr>
      <w:r w:rsidRPr="0096662C">
        <w:rPr>
          <w:szCs w:val="22"/>
        </w:rPr>
        <w:t xml:space="preserve"> “Albania Financing Agreement” means the agreement between Albania and the Bank for the MPA, as such agreement may be amended from time to time.  “Albania Financing Agreement” includes all appendices, schedules and agreements supplemental to the Financing Agreement. </w:t>
      </w:r>
    </w:p>
    <w:p w:rsidR="00214C0B" w:rsidRPr="00214C0B" w:rsidRDefault="00214C0B" w:rsidP="00214C0B">
      <w:pPr>
        <w:pStyle w:val="ModelNrmlDouble"/>
        <w:spacing w:after="0" w:line="240" w:lineRule="auto"/>
        <w:ind w:left="720" w:firstLine="0"/>
        <w:rPr>
          <w:sz w:val="16"/>
          <w:szCs w:val="16"/>
        </w:rPr>
      </w:pPr>
    </w:p>
    <w:p w:rsidR="008D57CD" w:rsidRDefault="008D57CD" w:rsidP="00214C0B">
      <w:pPr>
        <w:pStyle w:val="ModelNrmlDouble"/>
        <w:numPr>
          <w:ilvl w:val="0"/>
          <w:numId w:val="5"/>
        </w:numPr>
        <w:tabs>
          <w:tab w:val="clear" w:pos="1080"/>
        </w:tabs>
        <w:spacing w:after="0" w:line="240" w:lineRule="auto"/>
        <w:ind w:left="720" w:hanging="720"/>
        <w:rPr>
          <w:szCs w:val="22"/>
        </w:rPr>
      </w:pPr>
      <w:r w:rsidRPr="004E69F9">
        <w:rPr>
          <w:szCs w:val="22"/>
        </w:rPr>
        <w:t xml:space="preserve"> “Annual Work Plan and Budget” means the work plan and budget prepared annually by the Borrower and approved by the Borrower in accordance with Section I.C of Schedule 2 to this Agreement; “Annual Work Plans and Budgets” means more than one such Annual Work Plan and Budget</w:t>
      </w:r>
      <w:r>
        <w:rPr>
          <w:szCs w:val="22"/>
        </w:rPr>
        <w:t>.</w:t>
      </w:r>
    </w:p>
    <w:p w:rsidR="00214C0B" w:rsidRPr="00214C0B" w:rsidRDefault="00214C0B" w:rsidP="00214C0B">
      <w:pPr>
        <w:pStyle w:val="ModelNrmlDouble"/>
        <w:spacing w:after="0" w:line="240" w:lineRule="auto"/>
        <w:ind w:firstLine="0"/>
        <w:rPr>
          <w:sz w:val="16"/>
          <w:szCs w:val="16"/>
        </w:rPr>
      </w:pPr>
    </w:p>
    <w:p w:rsidR="008D57CD" w:rsidRDefault="008D57CD" w:rsidP="00214C0B">
      <w:pPr>
        <w:pStyle w:val="ModelNrmlDouble"/>
        <w:numPr>
          <w:ilvl w:val="0"/>
          <w:numId w:val="5"/>
        </w:numPr>
        <w:tabs>
          <w:tab w:val="clear" w:pos="1080"/>
        </w:tabs>
        <w:spacing w:after="0" w:line="240" w:lineRule="auto"/>
        <w:ind w:left="720" w:hanging="720"/>
        <w:rPr>
          <w:szCs w:val="22"/>
        </w:rPr>
      </w:pPr>
      <w:r w:rsidRPr="0096662C">
        <w:rPr>
          <w:szCs w:val="22"/>
        </w:rPr>
        <w:t>“Anti-Corruption Guidelines” means, for purposes of paragraph 5 of the Appendix to the General Conditions, the “Guidelines on Preventing and Combating Fraud and Corruption in Projects Financed by IBRD Loans and IDA Credits and Grants”, dated October 15, 2006 and revised in January 2011 and as of July 1, 2016.</w:t>
      </w:r>
    </w:p>
    <w:p w:rsidR="00214C0B" w:rsidRPr="00214C0B" w:rsidRDefault="00214C0B" w:rsidP="00214C0B">
      <w:pPr>
        <w:pStyle w:val="ModelNrmlDouble"/>
        <w:spacing w:after="0" w:line="240" w:lineRule="auto"/>
        <w:ind w:firstLine="0"/>
        <w:rPr>
          <w:sz w:val="16"/>
          <w:szCs w:val="16"/>
        </w:rPr>
      </w:pPr>
    </w:p>
    <w:p w:rsidR="008D57CD" w:rsidRDefault="008D57CD" w:rsidP="00214C0B">
      <w:pPr>
        <w:pStyle w:val="ModelNrmlDouble"/>
        <w:numPr>
          <w:ilvl w:val="0"/>
          <w:numId w:val="5"/>
        </w:numPr>
        <w:tabs>
          <w:tab w:val="clear" w:pos="1080"/>
        </w:tabs>
        <w:spacing w:after="0" w:line="240" w:lineRule="auto"/>
        <w:ind w:left="720" w:hanging="720"/>
        <w:rPr>
          <w:szCs w:val="22"/>
        </w:rPr>
      </w:pPr>
      <w:r w:rsidRPr="0096662C">
        <w:rPr>
          <w:szCs w:val="22"/>
        </w:rPr>
        <w:t>“Category” means a category set forth in the table in Section III.A of Schedule 2 to this Agreement.</w:t>
      </w:r>
    </w:p>
    <w:p w:rsidR="00214C0B" w:rsidRPr="00214C0B" w:rsidRDefault="00214C0B" w:rsidP="00214C0B">
      <w:pPr>
        <w:pStyle w:val="ModelNrmlDouble"/>
        <w:spacing w:after="0" w:line="240" w:lineRule="auto"/>
        <w:ind w:firstLine="0"/>
        <w:rPr>
          <w:sz w:val="16"/>
          <w:szCs w:val="16"/>
        </w:rPr>
      </w:pPr>
    </w:p>
    <w:p w:rsidR="008D57CD" w:rsidRPr="0096662C" w:rsidRDefault="008D57CD" w:rsidP="00214C0B">
      <w:pPr>
        <w:pStyle w:val="BodyText"/>
        <w:numPr>
          <w:ilvl w:val="0"/>
          <w:numId w:val="5"/>
        </w:numPr>
        <w:tabs>
          <w:tab w:val="clear" w:pos="1080"/>
        </w:tabs>
        <w:ind w:left="720" w:hanging="720"/>
        <w:rPr>
          <w:sz w:val="22"/>
          <w:szCs w:val="22"/>
        </w:rPr>
      </w:pPr>
      <w:r w:rsidRPr="0096662C">
        <w:rPr>
          <w:sz w:val="22"/>
          <w:szCs w:val="22"/>
        </w:rPr>
        <w:t>“Co-financier” means the European Union.</w:t>
      </w:r>
    </w:p>
    <w:p w:rsidR="008D57CD" w:rsidRPr="00214C0B" w:rsidRDefault="008D57CD" w:rsidP="00214C0B">
      <w:pPr>
        <w:pStyle w:val="BodyText"/>
        <w:rPr>
          <w:sz w:val="16"/>
          <w:szCs w:val="16"/>
        </w:rPr>
      </w:pPr>
    </w:p>
    <w:p w:rsidR="008D57CD" w:rsidRPr="0096662C" w:rsidRDefault="008D57CD" w:rsidP="00214C0B">
      <w:pPr>
        <w:pStyle w:val="BodyText"/>
        <w:numPr>
          <w:ilvl w:val="0"/>
          <w:numId w:val="5"/>
        </w:numPr>
        <w:tabs>
          <w:tab w:val="clear" w:pos="1080"/>
        </w:tabs>
        <w:ind w:left="720" w:hanging="720"/>
        <w:rPr>
          <w:sz w:val="22"/>
          <w:szCs w:val="22"/>
        </w:rPr>
      </w:pPr>
      <w:r w:rsidRPr="0096662C">
        <w:rPr>
          <w:sz w:val="22"/>
          <w:szCs w:val="22"/>
        </w:rPr>
        <w:t>“Co-financing” means, for purposes of paragraph 16 of the Appendix to the General Conditions, an amount to be provided by the Co-financier to assist in financing Part 3 of the Project.</w:t>
      </w:r>
    </w:p>
    <w:p w:rsidR="008D57CD" w:rsidRPr="00214C0B" w:rsidRDefault="008D57CD" w:rsidP="00214C0B">
      <w:pPr>
        <w:pStyle w:val="BodyText"/>
        <w:rPr>
          <w:sz w:val="16"/>
          <w:szCs w:val="16"/>
        </w:rPr>
      </w:pPr>
    </w:p>
    <w:p w:rsidR="008D57CD" w:rsidRPr="0096662C" w:rsidRDefault="008D57CD" w:rsidP="00214C0B">
      <w:pPr>
        <w:pStyle w:val="BodyText"/>
        <w:numPr>
          <w:ilvl w:val="0"/>
          <w:numId w:val="5"/>
        </w:numPr>
        <w:tabs>
          <w:tab w:val="clear" w:pos="1080"/>
        </w:tabs>
        <w:ind w:left="720" w:hanging="720"/>
        <w:rPr>
          <w:sz w:val="22"/>
          <w:szCs w:val="22"/>
        </w:rPr>
      </w:pPr>
      <w:r w:rsidRPr="0096662C">
        <w:rPr>
          <w:sz w:val="22"/>
          <w:szCs w:val="22"/>
        </w:rPr>
        <w:t>“Co-financing Agreement” means the agreement between implementing entities and the Co-financier providing for the Co-financing.</w:t>
      </w:r>
    </w:p>
    <w:p w:rsidR="008D57CD" w:rsidRPr="00214C0B" w:rsidRDefault="008D57CD" w:rsidP="00214C0B">
      <w:pPr>
        <w:pStyle w:val="BodyText"/>
        <w:ind w:left="720"/>
        <w:rPr>
          <w:sz w:val="16"/>
          <w:szCs w:val="16"/>
        </w:rPr>
      </w:pPr>
    </w:p>
    <w:p w:rsidR="008D57CD" w:rsidRPr="0096662C" w:rsidRDefault="008D57CD" w:rsidP="00214C0B">
      <w:pPr>
        <w:pStyle w:val="BodyText"/>
        <w:numPr>
          <w:ilvl w:val="0"/>
          <w:numId w:val="5"/>
        </w:numPr>
        <w:tabs>
          <w:tab w:val="clear" w:pos="1080"/>
        </w:tabs>
        <w:ind w:left="720" w:hanging="720"/>
        <w:rPr>
          <w:sz w:val="22"/>
          <w:szCs w:val="22"/>
        </w:rPr>
      </w:pPr>
      <w:r w:rsidRPr="0096662C">
        <w:rPr>
          <w:sz w:val="22"/>
          <w:szCs w:val="22"/>
        </w:rPr>
        <w:t xml:space="preserve">“CFU” means Central Fiduciary Unit, the unit referred to in Section </w:t>
      </w:r>
      <w:proofErr w:type="gramStart"/>
      <w:r w:rsidRPr="0096662C">
        <w:rPr>
          <w:sz w:val="22"/>
          <w:szCs w:val="22"/>
        </w:rPr>
        <w:t>I.A</w:t>
      </w:r>
      <w:r>
        <w:rPr>
          <w:sz w:val="22"/>
          <w:szCs w:val="22"/>
        </w:rPr>
        <w:t>(</w:t>
      </w:r>
      <w:proofErr w:type="gramEnd"/>
      <w:r>
        <w:rPr>
          <w:sz w:val="22"/>
          <w:szCs w:val="22"/>
        </w:rPr>
        <w:t>b)</w:t>
      </w:r>
      <w:r w:rsidRPr="0096662C">
        <w:rPr>
          <w:sz w:val="22"/>
          <w:szCs w:val="22"/>
        </w:rPr>
        <w:t xml:space="preserve"> of Schedule 2 to this Agreement.</w:t>
      </w:r>
    </w:p>
    <w:p w:rsidR="008D57CD" w:rsidRPr="00214C0B" w:rsidRDefault="008D57CD" w:rsidP="008D57CD">
      <w:pPr>
        <w:pStyle w:val="BodyText"/>
        <w:rPr>
          <w:sz w:val="16"/>
          <w:szCs w:val="16"/>
        </w:rPr>
      </w:pPr>
    </w:p>
    <w:p w:rsidR="008D57CD" w:rsidRDefault="008D57CD" w:rsidP="00AC198F">
      <w:pPr>
        <w:pStyle w:val="ModelNrmlDouble"/>
        <w:numPr>
          <w:ilvl w:val="0"/>
          <w:numId w:val="5"/>
        </w:numPr>
        <w:tabs>
          <w:tab w:val="clear" w:pos="1080"/>
        </w:tabs>
        <w:spacing w:after="0" w:line="240" w:lineRule="auto"/>
        <w:ind w:left="720" w:hanging="720"/>
        <w:rPr>
          <w:szCs w:val="22"/>
        </w:rPr>
      </w:pPr>
      <w:r w:rsidRPr="0096662C" w:rsidDel="00541AE2">
        <w:rPr>
          <w:szCs w:val="22"/>
        </w:rPr>
        <w:t xml:space="preserve"> </w:t>
      </w:r>
      <w:r w:rsidRPr="0096662C">
        <w:rPr>
          <w:szCs w:val="22"/>
        </w:rPr>
        <w:t>“Environmental and Social Management Framework” or “ESMF” means the plan prepared and adopted by the Borrower dated October 15, 2018 disclosed in-country, and the Bank’s website on October 15, 2018, setting out the modalities to be followed in assessing the potential adverse environmental and social impacts of Project activities including impacts, and risks of gender-based violence and sexual exploitation and abuse and the measures to be taken to offset, reduce or mitigate such adverse impacts, including measures that endeavor to prevent and respond to gender-based violence and sexual exploitation and abuse; as well as for the preparation of environmental and social management plans, as such framework may be amended by the Borrower from time to time, with the prior written agreement of the Bank.</w:t>
      </w:r>
    </w:p>
    <w:p w:rsidR="00AC198F" w:rsidRPr="00214C0B" w:rsidRDefault="00AC198F" w:rsidP="00AC198F">
      <w:pPr>
        <w:pStyle w:val="ModelNrmlDouble"/>
        <w:spacing w:after="0" w:line="240" w:lineRule="auto"/>
        <w:ind w:left="720" w:firstLine="0"/>
        <w:rPr>
          <w:sz w:val="16"/>
          <w:szCs w:val="16"/>
        </w:rPr>
      </w:pPr>
    </w:p>
    <w:p w:rsidR="00AC198F" w:rsidRDefault="008D57CD" w:rsidP="00AC198F">
      <w:pPr>
        <w:pStyle w:val="ModelNrmlDouble"/>
        <w:numPr>
          <w:ilvl w:val="0"/>
          <w:numId w:val="5"/>
        </w:numPr>
        <w:tabs>
          <w:tab w:val="clear" w:pos="1080"/>
        </w:tabs>
        <w:spacing w:after="0" w:line="240" w:lineRule="auto"/>
        <w:ind w:left="720" w:hanging="720"/>
        <w:rPr>
          <w:szCs w:val="22"/>
        </w:rPr>
      </w:pPr>
      <w:r w:rsidRPr="0096662C">
        <w:rPr>
          <w:szCs w:val="22"/>
        </w:rPr>
        <w:t xml:space="preserve">“Environmental and Social Management Plans” or “ESMPs” means the plan to be prepared and adopted by the Borrower as required, setting out details of the specific actions and measures including measures that endeavor to prevent and respond to gender-based violence and sexual exploitation and abuse, as well as policies designed to facilitate the </w:t>
      </w:r>
    </w:p>
    <w:p w:rsidR="008D57CD" w:rsidRDefault="008D57CD" w:rsidP="00AC198F">
      <w:pPr>
        <w:pStyle w:val="ModelNrmlDouble"/>
        <w:spacing w:after="0" w:line="240" w:lineRule="auto"/>
        <w:ind w:left="720" w:firstLine="0"/>
        <w:rPr>
          <w:szCs w:val="22"/>
        </w:rPr>
      </w:pPr>
      <w:proofErr w:type="gramStart"/>
      <w:r w:rsidRPr="0096662C">
        <w:rPr>
          <w:szCs w:val="22"/>
        </w:rPr>
        <w:lastRenderedPageBreak/>
        <w:t>achievement</w:t>
      </w:r>
      <w:proofErr w:type="gramEnd"/>
      <w:r w:rsidRPr="0096662C">
        <w:rPr>
          <w:szCs w:val="22"/>
        </w:rPr>
        <w:t xml:space="preserve"> of the objectives of the ESMF under the Project, along with the procedural and institutional measures needed to implement such actions, measures and policies, including any schedules to such plans, and as such plan may be amended by the Borrower from time to time, with the prior written approval of the Bank.</w:t>
      </w:r>
    </w:p>
    <w:p w:rsidR="00AC198F" w:rsidRPr="00214C0B" w:rsidRDefault="00AC198F" w:rsidP="00AC198F">
      <w:pPr>
        <w:pStyle w:val="ModelNrmlDouble"/>
        <w:spacing w:after="0" w:line="240" w:lineRule="auto"/>
        <w:ind w:left="720" w:firstLine="0"/>
        <w:rPr>
          <w:sz w:val="6"/>
          <w:szCs w:val="10"/>
        </w:rPr>
      </w:pPr>
    </w:p>
    <w:p w:rsidR="008D57CD" w:rsidRDefault="008D57CD" w:rsidP="00AC198F">
      <w:pPr>
        <w:pStyle w:val="ModelNrmlDouble"/>
        <w:numPr>
          <w:ilvl w:val="0"/>
          <w:numId w:val="5"/>
        </w:numPr>
        <w:tabs>
          <w:tab w:val="clear" w:pos="1080"/>
        </w:tabs>
        <w:spacing w:after="0" w:line="240" w:lineRule="auto"/>
        <w:ind w:left="720" w:hanging="720"/>
        <w:rPr>
          <w:szCs w:val="22"/>
        </w:rPr>
      </w:pPr>
      <w:r w:rsidRPr="0096662C">
        <w:rPr>
          <w:szCs w:val="22"/>
        </w:rPr>
        <w:t>“General Conditions” means the “International Bank for Reconstruction and Development General Conditions for IBRD Financing, Investment Project Financing”, dated July 14, 2017.</w:t>
      </w:r>
    </w:p>
    <w:p w:rsidR="00AC198F" w:rsidRPr="00214C0B" w:rsidRDefault="00AC198F" w:rsidP="00AC198F">
      <w:pPr>
        <w:pStyle w:val="ModelNrmlDouble"/>
        <w:spacing w:after="0" w:line="240" w:lineRule="auto"/>
        <w:ind w:left="720" w:firstLine="0"/>
        <w:rPr>
          <w:sz w:val="6"/>
          <w:szCs w:val="10"/>
        </w:rPr>
      </w:pPr>
    </w:p>
    <w:p w:rsidR="008D57CD" w:rsidRDefault="008D57CD" w:rsidP="00AC198F">
      <w:pPr>
        <w:pStyle w:val="ModelNrmlDouble"/>
        <w:numPr>
          <w:ilvl w:val="0"/>
          <w:numId w:val="5"/>
        </w:numPr>
        <w:tabs>
          <w:tab w:val="clear" w:pos="1080"/>
        </w:tabs>
        <w:spacing w:after="0" w:line="240" w:lineRule="auto"/>
        <w:ind w:left="720" w:hanging="720"/>
        <w:rPr>
          <w:szCs w:val="22"/>
        </w:rPr>
      </w:pPr>
      <w:r w:rsidRPr="0096662C" w:rsidDel="000E4193">
        <w:rPr>
          <w:szCs w:val="22"/>
        </w:rPr>
        <w:t xml:space="preserve"> </w:t>
      </w:r>
      <w:r w:rsidRPr="0096662C">
        <w:rPr>
          <w:szCs w:val="22"/>
        </w:rPr>
        <w:t>“MCTI” means the Borrower’s ministry of construction, transport and infrastructure, or its successor thereof.</w:t>
      </w:r>
    </w:p>
    <w:p w:rsidR="00AC198F" w:rsidRPr="00214C0B" w:rsidRDefault="00AC198F" w:rsidP="00AC198F">
      <w:pPr>
        <w:pStyle w:val="ModelNrmlDouble"/>
        <w:spacing w:after="0" w:line="240" w:lineRule="auto"/>
        <w:ind w:left="720" w:firstLine="0"/>
        <w:rPr>
          <w:sz w:val="6"/>
          <w:szCs w:val="6"/>
        </w:rPr>
      </w:pPr>
    </w:p>
    <w:p w:rsidR="00AC198F" w:rsidRDefault="008D57CD" w:rsidP="00AC198F">
      <w:pPr>
        <w:pStyle w:val="ModelNrmlDouble"/>
        <w:numPr>
          <w:ilvl w:val="0"/>
          <w:numId w:val="5"/>
        </w:numPr>
        <w:tabs>
          <w:tab w:val="clear" w:pos="1080"/>
        </w:tabs>
        <w:spacing w:after="0" w:line="240" w:lineRule="auto"/>
        <w:ind w:left="720" w:hanging="720"/>
        <w:rPr>
          <w:szCs w:val="22"/>
        </w:rPr>
      </w:pPr>
      <w:r w:rsidRPr="0096662C">
        <w:rPr>
          <w:szCs w:val="22"/>
        </w:rPr>
        <w:t>“MPA Program” means the multiphase programmatic approach program, whose objective is to reduce the trade costs and increase transport efficiency in participating beneficiaries in the Western Balkans.</w:t>
      </w:r>
    </w:p>
    <w:p w:rsidR="00AC198F" w:rsidRPr="00214C0B" w:rsidRDefault="00AC198F" w:rsidP="00AC198F">
      <w:pPr>
        <w:pStyle w:val="ModelNrmlDouble"/>
        <w:spacing w:after="0" w:line="240" w:lineRule="auto"/>
        <w:ind w:left="720" w:firstLine="0"/>
        <w:rPr>
          <w:sz w:val="6"/>
          <w:szCs w:val="6"/>
        </w:rPr>
      </w:pPr>
    </w:p>
    <w:p w:rsidR="008D57CD" w:rsidRDefault="008D57CD" w:rsidP="00AC198F">
      <w:pPr>
        <w:pStyle w:val="ModelNrmlDouble"/>
        <w:numPr>
          <w:ilvl w:val="0"/>
          <w:numId w:val="5"/>
        </w:numPr>
        <w:tabs>
          <w:tab w:val="clear" w:pos="1080"/>
        </w:tabs>
        <w:spacing w:after="0" w:line="240" w:lineRule="auto"/>
        <w:ind w:left="720" w:hanging="720"/>
        <w:rPr>
          <w:szCs w:val="22"/>
        </w:rPr>
      </w:pPr>
      <w:r w:rsidRPr="0096662C">
        <w:rPr>
          <w:szCs w:val="22"/>
        </w:rPr>
        <w:t>“MOF” means the Borrower’s ministry of finance, or its successor thereof.</w:t>
      </w:r>
    </w:p>
    <w:p w:rsidR="00AC198F" w:rsidRPr="00214C0B" w:rsidRDefault="00AC198F" w:rsidP="00AC198F">
      <w:pPr>
        <w:pStyle w:val="ModelNrmlDouble"/>
        <w:spacing w:after="0" w:line="240" w:lineRule="auto"/>
        <w:ind w:left="720" w:firstLine="0"/>
        <w:rPr>
          <w:sz w:val="6"/>
          <w:szCs w:val="6"/>
        </w:rPr>
      </w:pPr>
    </w:p>
    <w:p w:rsidR="008D57CD" w:rsidRDefault="008D57CD" w:rsidP="00AC198F">
      <w:pPr>
        <w:pStyle w:val="ModelNrmlDouble"/>
        <w:numPr>
          <w:ilvl w:val="0"/>
          <w:numId w:val="5"/>
        </w:numPr>
        <w:tabs>
          <w:tab w:val="clear" w:pos="1080"/>
        </w:tabs>
        <w:spacing w:after="0" w:line="240" w:lineRule="auto"/>
        <w:ind w:left="720" w:hanging="720"/>
        <w:rPr>
          <w:szCs w:val="22"/>
        </w:rPr>
      </w:pPr>
      <w:r w:rsidRPr="0096662C">
        <w:rPr>
          <w:szCs w:val="22"/>
        </w:rPr>
        <w:t>“</w:t>
      </w:r>
      <w:r>
        <w:rPr>
          <w:szCs w:val="22"/>
        </w:rPr>
        <w:t>North</w:t>
      </w:r>
      <w:r w:rsidRPr="0096662C">
        <w:rPr>
          <w:szCs w:val="22"/>
        </w:rPr>
        <w:t xml:space="preserve"> Macedonia Financing Agreement” means the agreement between </w:t>
      </w:r>
      <w:r>
        <w:rPr>
          <w:szCs w:val="22"/>
        </w:rPr>
        <w:t xml:space="preserve">the Republic of North </w:t>
      </w:r>
      <w:r w:rsidRPr="0096662C">
        <w:rPr>
          <w:szCs w:val="22"/>
        </w:rPr>
        <w:t>Macedonia and the Bank for the MPA, as such agreement may be amended from time to time.  “</w:t>
      </w:r>
      <w:r>
        <w:rPr>
          <w:szCs w:val="22"/>
        </w:rPr>
        <w:t xml:space="preserve">North </w:t>
      </w:r>
      <w:r w:rsidRPr="0096662C">
        <w:rPr>
          <w:szCs w:val="22"/>
        </w:rPr>
        <w:t>Macedonia Financing Agreement” includes all appendices, schedules and agreements supplemental to the Financing Agreement.</w:t>
      </w:r>
    </w:p>
    <w:p w:rsidR="00AC198F" w:rsidRPr="00214C0B" w:rsidRDefault="00AC198F" w:rsidP="00AC198F">
      <w:pPr>
        <w:pStyle w:val="ModelNrmlDouble"/>
        <w:spacing w:after="0" w:line="240" w:lineRule="auto"/>
        <w:ind w:left="720" w:firstLine="0"/>
        <w:rPr>
          <w:sz w:val="6"/>
          <w:szCs w:val="6"/>
        </w:rPr>
      </w:pPr>
    </w:p>
    <w:p w:rsidR="008D57CD" w:rsidRDefault="008D57CD" w:rsidP="00AC198F">
      <w:pPr>
        <w:pStyle w:val="ModelNrmlDouble"/>
        <w:numPr>
          <w:ilvl w:val="0"/>
          <w:numId w:val="5"/>
        </w:numPr>
        <w:tabs>
          <w:tab w:val="clear" w:pos="1080"/>
        </w:tabs>
        <w:spacing w:after="0" w:line="240" w:lineRule="auto"/>
        <w:ind w:left="720" w:hanging="720"/>
        <w:rPr>
          <w:szCs w:val="22"/>
        </w:rPr>
      </w:pPr>
      <w:r>
        <w:rPr>
          <w:szCs w:val="22"/>
        </w:rPr>
        <w:t>“</w:t>
      </w:r>
      <w:r w:rsidRPr="0096662C">
        <w:rPr>
          <w:szCs w:val="22"/>
        </w:rPr>
        <w:t>Operating Costs</w:t>
      </w:r>
      <w:r>
        <w:rPr>
          <w:szCs w:val="22"/>
        </w:rPr>
        <w:t>”</w:t>
      </w:r>
      <w:r w:rsidRPr="0096662C">
        <w:rPr>
          <w:szCs w:val="22"/>
        </w:rPr>
        <w:t xml:space="preserve"> means expenditures incurred by the Borrower on account of the Project implementation for office supplies, utilities, bank charges, communication tools, advertisement fees, translation and interpretation services, car rental and fuel costs, office rental and maintenance, moving expenses, equipment insurance, maintenance and repair, printing and publications, travel per diem allowances and accommodation costs for PIU and CFU staff, and salaries for</w:t>
      </w:r>
      <w:r>
        <w:rPr>
          <w:szCs w:val="22"/>
        </w:rPr>
        <w:t xml:space="preserve"> selected </w:t>
      </w:r>
      <w:r w:rsidRPr="0096662C">
        <w:rPr>
          <w:szCs w:val="22"/>
        </w:rPr>
        <w:t>CFU staff, including social charges, but excluding salaries for the Borrower's civil servants</w:t>
      </w:r>
      <w:r>
        <w:rPr>
          <w:szCs w:val="22"/>
        </w:rPr>
        <w:t>.</w:t>
      </w:r>
    </w:p>
    <w:p w:rsidR="00AC198F" w:rsidRPr="00214C0B" w:rsidRDefault="00AC198F" w:rsidP="00AC198F">
      <w:pPr>
        <w:pStyle w:val="ModelNrmlDouble"/>
        <w:spacing w:after="0" w:line="240" w:lineRule="auto"/>
        <w:ind w:left="720" w:firstLine="0"/>
        <w:rPr>
          <w:sz w:val="6"/>
          <w:szCs w:val="6"/>
        </w:rPr>
      </w:pPr>
    </w:p>
    <w:p w:rsidR="008D57CD" w:rsidRDefault="008D57CD" w:rsidP="00AC198F">
      <w:pPr>
        <w:pStyle w:val="BodyText"/>
        <w:numPr>
          <w:ilvl w:val="0"/>
          <w:numId w:val="5"/>
        </w:numPr>
        <w:tabs>
          <w:tab w:val="clear" w:pos="1080"/>
        </w:tabs>
        <w:ind w:left="720" w:hanging="720"/>
        <w:rPr>
          <w:sz w:val="22"/>
          <w:szCs w:val="22"/>
        </w:rPr>
      </w:pPr>
      <w:r>
        <w:rPr>
          <w:sz w:val="22"/>
          <w:szCs w:val="22"/>
        </w:rPr>
        <w:t>“</w:t>
      </w:r>
      <w:r w:rsidRPr="0096662C">
        <w:rPr>
          <w:sz w:val="22"/>
          <w:szCs w:val="22"/>
        </w:rPr>
        <w:t>PIU</w:t>
      </w:r>
      <w:r>
        <w:rPr>
          <w:sz w:val="22"/>
          <w:szCs w:val="22"/>
        </w:rPr>
        <w:t>”</w:t>
      </w:r>
      <w:r w:rsidRPr="0096662C">
        <w:rPr>
          <w:sz w:val="22"/>
          <w:szCs w:val="22"/>
        </w:rPr>
        <w:t xml:space="preserve"> means the Borrower's Project Implementation Unit, maintained by the Borrower within MCTI in accordance with Section I.A</w:t>
      </w:r>
      <w:r>
        <w:rPr>
          <w:sz w:val="22"/>
          <w:szCs w:val="22"/>
        </w:rPr>
        <w:t>.1 (a)</w:t>
      </w:r>
      <w:r w:rsidRPr="0096662C">
        <w:rPr>
          <w:sz w:val="22"/>
          <w:szCs w:val="22"/>
        </w:rPr>
        <w:t xml:space="preserve"> of Schedule 2 to this Agreement.</w:t>
      </w:r>
    </w:p>
    <w:p w:rsidR="008D57CD" w:rsidRPr="00214C0B" w:rsidRDefault="008D57CD" w:rsidP="00AC198F">
      <w:pPr>
        <w:pStyle w:val="BodyText"/>
        <w:ind w:left="720"/>
        <w:rPr>
          <w:sz w:val="6"/>
          <w:szCs w:val="6"/>
        </w:rPr>
      </w:pPr>
    </w:p>
    <w:p w:rsidR="008D57CD" w:rsidRDefault="008D57CD" w:rsidP="00AC198F">
      <w:pPr>
        <w:pStyle w:val="ModelNrmlDouble"/>
        <w:numPr>
          <w:ilvl w:val="0"/>
          <w:numId w:val="5"/>
        </w:numPr>
        <w:tabs>
          <w:tab w:val="clear" w:pos="1080"/>
        </w:tabs>
        <w:spacing w:after="0" w:line="240" w:lineRule="auto"/>
        <w:ind w:left="720" w:hanging="720"/>
        <w:rPr>
          <w:szCs w:val="22"/>
        </w:rPr>
      </w:pPr>
      <w:r w:rsidRPr="0096662C">
        <w:rPr>
          <w:szCs w:val="22"/>
        </w:rPr>
        <w:t>“Procurement Regulations” means, for purposes of paragraph 85 of the Appendix to the General Conditions, the “World Bank Procurement Regulations for IPF Borrowers”, dated July 2016, revised November 2017.</w:t>
      </w:r>
    </w:p>
    <w:p w:rsidR="00AC198F" w:rsidRPr="00214C0B" w:rsidRDefault="00AC198F" w:rsidP="00AC198F">
      <w:pPr>
        <w:pStyle w:val="ModelNrmlDouble"/>
        <w:spacing w:after="0" w:line="240" w:lineRule="auto"/>
        <w:ind w:left="720" w:firstLine="0"/>
        <w:rPr>
          <w:sz w:val="6"/>
          <w:szCs w:val="6"/>
        </w:rPr>
      </w:pPr>
    </w:p>
    <w:p w:rsidR="008D57CD" w:rsidRPr="0096662C" w:rsidRDefault="008D57CD" w:rsidP="008D57CD">
      <w:pPr>
        <w:pStyle w:val="BodyText"/>
        <w:numPr>
          <w:ilvl w:val="0"/>
          <w:numId w:val="5"/>
        </w:numPr>
        <w:tabs>
          <w:tab w:val="clear" w:pos="1080"/>
        </w:tabs>
        <w:ind w:left="720" w:hanging="720"/>
        <w:rPr>
          <w:sz w:val="22"/>
          <w:szCs w:val="22"/>
        </w:rPr>
      </w:pPr>
      <w:r>
        <w:rPr>
          <w:sz w:val="22"/>
          <w:szCs w:val="22"/>
        </w:rPr>
        <w:t>“</w:t>
      </w:r>
      <w:r w:rsidRPr="0096662C">
        <w:rPr>
          <w:sz w:val="22"/>
          <w:szCs w:val="22"/>
        </w:rPr>
        <w:t>Project Operational Manual</w:t>
      </w:r>
      <w:r>
        <w:rPr>
          <w:sz w:val="22"/>
          <w:szCs w:val="22"/>
        </w:rPr>
        <w:t>”</w:t>
      </w:r>
      <w:r w:rsidRPr="0096662C">
        <w:rPr>
          <w:sz w:val="22"/>
          <w:szCs w:val="22"/>
        </w:rPr>
        <w:t xml:space="preserve"> or “POM” means the Project Operational Manual prepared by the Borrower in accordance with Section I.B of Schedule 2 to this Agreement and satisfactory to the Bank, setting forth the operational and administrative responsibilities, procedures and rules for the implementation of the Project, including the Environmental and Social Management Framework, the Performance Indicators and the financial management arrangements for the Project, as the same may be amended and supplemented from time to time with the Bank's prior written approval.</w:t>
      </w:r>
    </w:p>
    <w:p w:rsidR="008D57CD" w:rsidRPr="00214C0B" w:rsidRDefault="008D57CD" w:rsidP="008D57CD">
      <w:pPr>
        <w:pStyle w:val="BodyText"/>
        <w:ind w:left="720"/>
        <w:rPr>
          <w:sz w:val="6"/>
          <w:szCs w:val="6"/>
        </w:rPr>
      </w:pPr>
    </w:p>
    <w:p w:rsidR="008D57CD" w:rsidRDefault="008D57CD" w:rsidP="008D57CD">
      <w:pPr>
        <w:pStyle w:val="BodyText"/>
        <w:numPr>
          <w:ilvl w:val="0"/>
          <w:numId w:val="5"/>
        </w:numPr>
        <w:tabs>
          <w:tab w:val="clear" w:pos="1080"/>
        </w:tabs>
        <w:ind w:left="720" w:hanging="720"/>
        <w:rPr>
          <w:sz w:val="22"/>
          <w:szCs w:val="22"/>
        </w:rPr>
      </w:pPr>
      <w:r>
        <w:rPr>
          <w:sz w:val="22"/>
          <w:szCs w:val="22"/>
        </w:rPr>
        <w:t>“</w:t>
      </w:r>
      <w:r w:rsidRPr="0096662C">
        <w:rPr>
          <w:sz w:val="22"/>
          <w:szCs w:val="22"/>
        </w:rPr>
        <w:t>Training</w:t>
      </w:r>
      <w:r>
        <w:rPr>
          <w:sz w:val="22"/>
          <w:szCs w:val="22"/>
        </w:rPr>
        <w:t>”</w:t>
      </w:r>
      <w:r w:rsidRPr="0096662C">
        <w:rPr>
          <w:sz w:val="22"/>
          <w:szCs w:val="22"/>
        </w:rPr>
        <w:t xml:space="preserve"> means Project related study tours, training courses, seminars, workshops and other training activities, including costs of training materials, space and equipment rental, travel, accommodation and per diem costs of trainees and trainers, trainers</w:t>
      </w:r>
      <w:r>
        <w:rPr>
          <w:sz w:val="22"/>
          <w:szCs w:val="22"/>
        </w:rPr>
        <w:t>’</w:t>
      </w:r>
      <w:r w:rsidRPr="0096662C">
        <w:rPr>
          <w:sz w:val="22"/>
          <w:szCs w:val="22"/>
        </w:rPr>
        <w:t xml:space="preserve"> fees, and other training related miscellaneous costs.</w:t>
      </w:r>
    </w:p>
    <w:p w:rsidR="008D57CD" w:rsidRPr="007302D3" w:rsidRDefault="008D57CD" w:rsidP="008D57CD">
      <w:pPr>
        <w:pStyle w:val="BodyText"/>
        <w:rPr>
          <w:sz w:val="22"/>
          <w:szCs w:val="22"/>
        </w:rPr>
      </w:pPr>
    </w:p>
    <w:p w:rsidR="008D57CD" w:rsidRPr="0096662C" w:rsidRDefault="008D57CD" w:rsidP="008D57CD">
      <w:pPr>
        <w:pStyle w:val="BodyText"/>
        <w:numPr>
          <w:ilvl w:val="0"/>
          <w:numId w:val="5"/>
        </w:numPr>
        <w:tabs>
          <w:tab w:val="clear" w:pos="1080"/>
        </w:tabs>
        <w:ind w:left="720" w:hanging="720"/>
        <w:rPr>
          <w:sz w:val="22"/>
          <w:szCs w:val="22"/>
        </w:rPr>
      </w:pPr>
      <w:r w:rsidRPr="0096662C">
        <w:rPr>
          <w:sz w:val="22"/>
          <w:szCs w:val="22"/>
        </w:rPr>
        <w:t>“Resettlement Action Plan” or “RAP” means  the plan to be prepared by the Borrower, as required,  pursuant to the RPF (as defined hereinafter), satisfactory to the Bank, and to be disclosed on the Bank’s website, which includes the principles, guidelines, organizational arrangements and budget to implement the resettlement related activities under the Project, as said resettlement action plan may be revised from time to time with the prior written agreement of the Bank; and “RAPs” means collectively all such RAP.</w:t>
      </w:r>
    </w:p>
    <w:p w:rsidR="008D57CD" w:rsidRPr="0096662C" w:rsidRDefault="008D57CD" w:rsidP="008D57CD">
      <w:pPr>
        <w:pStyle w:val="BodyText"/>
        <w:ind w:left="720"/>
        <w:rPr>
          <w:sz w:val="22"/>
          <w:szCs w:val="22"/>
        </w:rPr>
      </w:pPr>
    </w:p>
    <w:p w:rsidR="008D57CD" w:rsidRPr="0096662C" w:rsidRDefault="008D57CD" w:rsidP="008D57CD">
      <w:pPr>
        <w:pStyle w:val="BodyText"/>
        <w:numPr>
          <w:ilvl w:val="0"/>
          <w:numId w:val="5"/>
        </w:numPr>
        <w:tabs>
          <w:tab w:val="clear" w:pos="1080"/>
        </w:tabs>
        <w:ind w:left="720" w:hanging="720"/>
        <w:rPr>
          <w:sz w:val="22"/>
          <w:szCs w:val="22"/>
        </w:rPr>
      </w:pPr>
      <w:r w:rsidRPr="0096662C">
        <w:rPr>
          <w:sz w:val="22"/>
          <w:szCs w:val="22"/>
        </w:rPr>
        <w:t>“Resettlement Policy Framework” or “RPF” means the  framework prepared and adopted by the Borrower on October 15, 2018, satisfactory to the Bank, and disclosed in country and on the Bank’s website on October 15, 2018, which sets out the resettlement principles, organizational arrangements (including consultation and budget), and design criteria to be applied to resettlement related Project activities to be prepared during Project implementation, as such framework may be amended from time to time with the prior written agreement of the Bank.</w:t>
      </w:r>
    </w:p>
    <w:p w:rsidR="008D57CD" w:rsidRPr="0096662C" w:rsidRDefault="008D57CD" w:rsidP="008D57CD">
      <w:pPr>
        <w:pStyle w:val="BodyText"/>
        <w:ind w:left="720"/>
        <w:rPr>
          <w:sz w:val="22"/>
          <w:szCs w:val="22"/>
        </w:rPr>
      </w:pPr>
    </w:p>
    <w:p w:rsidR="008D57CD" w:rsidRPr="0096662C" w:rsidRDefault="008D57CD" w:rsidP="008D57CD">
      <w:pPr>
        <w:pStyle w:val="BodyText"/>
        <w:numPr>
          <w:ilvl w:val="0"/>
          <w:numId w:val="5"/>
        </w:numPr>
        <w:tabs>
          <w:tab w:val="clear" w:pos="1080"/>
        </w:tabs>
        <w:ind w:left="720" w:hanging="720"/>
        <w:rPr>
          <w:sz w:val="22"/>
          <w:szCs w:val="22"/>
        </w:rPr>
      </w:pPr>
      <w:r w:rsidRPr="0096662C">
        <w:rPr>
          <w:sz w:val="22"/>
          <w:szCs w:val="22"/>
        </w:rPr>
        <w:t xml:space="preserve">“Safeguard Instruments” means collectively, the ESMF, ESMP, RPF, RAP, and “Safeguard Instrument” means any of such Safeguards Instruments. </w:t>
      </w:r>
    </w:p>
    <w:p w:rsidR="008D57CD" w:rsidRPr="0096662C" w:rsidRDefault="008D57CD" w:rsidP="008D57CD">
      <w:pPr>
        <w:pStyle w:val="BodyText"/>
        <w:ind w:left="720"/>
        <w:rPr>
          <w:sz w:val="22"/>
          <w:szCs w:val="22"/>
        </w:rPr>
      </w:pPr>
    </w:p>
    <w:p w:rsidR="008D57CD" w:rsidRPr="0096662C" w:rsidRDefault="008D57CD" w:rsidP="008D57CD">
      <w:pPr>
        <w:pStyle w:val="BodyText"/>
        <w:numPr>
          <w:ilvl w:val="0"/>
          <w:numId w:val="5"/>
        </w:numPr>
        <w:tabs>
          <w:tab w:val="clear" w:pos="1080"/>
        </w:tabs>
        <w:ind w:left="720" w:hanging="720"/>
        <w:rPr>
          <w:sz w:val="22"/>
          <w:szCs w:val="22"/>
        </w:rPr>
      </w:pPr>
      <w:r w:rsidRPr="0096662C">
        <w:rPr>
          <w:sz w:val="22"/>
          <w:szCs w:val="22"/>
        </w:rPr>
        <w:t>“Safeguard Policies” means, the Operational Policies (O</w:t>
      </w:r>
      <w:r>
        <w:rPr>
          <w:sz w:val="22"/>
          <w:szCs w:val="22"/>
        </w:rPr>
        <w:t>P</w:t>
      </w:r>
      <w:r w:rsidRPr="0096662C">
        <w:rPr>
          <w:sz w:val="22"/>
          <w:szCs w:val="22"/>
        </w:rPr>
        <w:t>s) and Bank Procedures (BPs) of the Bank, namely OP/BP 4.01 (Environmental Assessment) and OP</w:t>
      </w:r>
      <w:r>
        <w:rPr>
          <w:sz w:val="22"/>
          <w:szCs w:val="22"/>
        </w:rPr>
        <w:t>.</w:t>
      </w:r>
      <w:r w:rsidRPr="0096662C">
        <w:rPr>
          <w:sz w:val="22"/>
          <w:szCs w:val="22"/>
        </w:rPr>
        <w:t xml:space="preserve">BP 4.12 (Involuntary Resettlement); they can be found at </w:t>
      </w:r>
      <w:hyperlink r:id="rId17" w:history="1">
        <w:r w:rsidRPr="0096662C">
          <w:rPr>
            <w:sz w:val="22"/>
            <w:szCs w:val="22"/>
          </w:rPr>
          <w:t>https://policies.worldbank.org</w:t>
        </w:r>
      </w:hyperlink>
      <w:r w:rsidRPr="0096662C">
        <w:rPr>
          <w:sz w:val="22"/>
          <w:szCs w:val="22"/>
        </w:rPr>
        <w:t xml:space="preserve">. </w:t>
      </w:r>
    </w:p>
    <w:p w:rsidR="008D57CD" w:rsidRPr="0096662C" w:rsidRDefault="008D57CD" w:rsidP="008D57CD">
      <w:pPr>
        <w:pStyle w:val="BodyText"/>
        <w:rPr>
          <w:sz w:val="22"/>
          <w:szCs w:val="22"/>
        </w:rPr>
      </w:pPr>
    </w:p>
    <w:p w:rsidR="008D57CD" w:rsidRPr="0096662C" w:rsidRDefault="008D57CD" w:rsidP="008D57CD">
      <w:pPr>
        <w:pStyle w:val="BodyText"/>
        <w:numPr>
          <w:ilvl w:val="0"/>
          <w:numId w:val="5"/>
        </w:numPr>
        <w:tabs>
          <w:tab w:val="clear" w:pos="1080"/>
        </w:tabs>
        <w:ind w:left="720" w:hanging="720"/>
        <w:rPr>
          <w:sz w:val="22"/>
          <w:szCs w:val="22"/>
        </w:rPr>
      </w:pPr>
      <w:r w:rsidRPr="0096662C">
        <w:rPr>
          <w:sz w:val="22"/>
          <w:szCs w:val="22"/>
        </w:rPr>
        <w:t>“Signature Date” means the later of the two dates on which the Borrower and the Bank signed this Agreement and such definition applies to all references to “the date of the Loan Agreement” in the General Conditions.</w:t>
      </w:r>
    </w:p>
    <w:p w:rsidR="00102021" w:rsidRPr="004327C2" w:rsidRDefault="00102021" w:rsidP="008D57CD">
      <w:pPr>
        <w:suppressAutoHyphens/>
        <w:spacing w:line="240" w:lineRule="auto"/>
        <w:jc w:val="right"/>
        <w:rPr>
          <w:bCs/>
          <w:sz w:val="22"/>
          <w:szCs w:val="22"/>
        </w:rPr>
      </w:pPr>
    </w:p>
    <w:sectPr w:rsidR="00102021" w:rsidRPr="004327C2" w:rsidSect="008D57CD">
      <w:headerReference w:type="default" r:id="rId18"/>
      <w:headerReference w:type="first" r:id="rId19"/>
      <w:pgSz w:w="12240" w:h="15840"/>
      <w:pgMar w:top="1135" w:right="2160" w:bottom="2160" w:left="216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2DE" w:rsidRDefault="00B862DE">
      <w:r>
        <w:separator/>
      </w:r>
    </w:p>
  </w:endnote>
  <w:endnote w:type="continuationSeparator" w:id="0">
    <w:p w:rsidR="00B862DE" w:rsidRDefault="00B86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2DE" w:rsidRDefault="00B862DE">
      <w:r>
        <w:separator/>
      </w:r>
    </w:p>
  </w:footnote>
  <w:footnote w:type="continuationSeparator" w:id="0">
    <w:p w:rsidR="00B862DE" w:rsidRDefault="00B86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7CD" w:rsidRDefault="008D57CD" w:rsidP="004B4F72">
    <w:pPr>
      <w:pStyle w:val="Header"/>
      <w:spacing w:line="240" w:lineRule="auto"/>
    </w:pPr>
  </w:p>
  <w:p w:rsidR="008D57CD" w:rsidRPr="00522CB3" w:rsidRDefault="008D57CD" w:rsidP="004B4F72">
    <w:pPr>
      <w:pStyle w:val="Header"/>
      <w:spacing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4E6" w:rsidRPr="00562E0E" w:rsidRDefault="00E604E6">
    <w:pPr>
      <w:pStyle w:val="Header"/>
      <w:spacing w:line="240" w:lineRule="auto"/>
      <w:rPr>
        <w:b/>
        <w:sz w:val="18"/>
        <w:szCs w:val="18"/>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9099855"/>
      <w:docPartObj>
        <w:docPartGallery w:val="Page Numbers (Top of Page)"/>
        <w:docPartUnique/>
      </w:docPartObj>
    </w:sdtPr>
    <w:sdtEndPr>
      <w:rPr>
        <w:noProof/>
      </w:rPr>
    </w:sdtEndPr>
    <w:sdtContent>
      <w:p w:rsidR="00E604E6" w:rsidRDefault="00E604E6">
        <w:pPr>
          <w:pStyle w:val="Header"/>
          <w:jc w:val="center"/>
          <w:rPr>
            <w:noProof/>
          </w:rPr>
        </w:pPr>
      </w:p>
      <w:p w:rsidR="00E604E6" w:rsidRDefault="00B862DE" w:rsidP="00981102">
        <w:pPr>
          <w:pStyle w:val="Header"/>
          <w:rPr>
            <w:b/>
            <w:bCs/>
            <w:u w:val="single"/>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EB8CF5F"/>
    <w:multiLevelType w:val="hybridMultilevel"/>
    <w:tmpl w:val="83D78F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C24EAC9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B963D6F"/>
    <w:multiLevelType w:val="hybridMultilevel"/>
    <w:tmpl w:val="7360BE90"/>
    <w:lvl w:ilvl="0" w:tplc="3F260ECE">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56319F1"/>
    <w:multiLevelType w:val="hybridMultilevel"/>
    <w:tmpl w:val="DAA6AFF0"/>
    <w:lvl w:ilvl="0" w:tplc="2C3C46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E113E0"/>
    <w:multiLevelType w:val="hybridMultilevel"/>
    <w:tmpl w:val="568CAEC4"/>
    <w:lvl w:ilvl="0" w:tplc="1398EF7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283EF8"/>
    <w:multiLevelType w:val="hybridMultilevel"/>
    <w:tmpl w:val="84426AD2"/>
    <w:lvl w:ilvl="0" w:tplc="0480FC8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8B9011F"/>
    <w:multiLevelType w:val="hybridMultilevel"/>
    <w:tmpl w:val="75108956"/>
    <w:lvl w:ilvl="0" w:tplc="3112F03C">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EBF1C73"/>
    <w:multiLevelType w:val="hybridMultilevel"/>
    <w:tmpl w:val="80E68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E72E67"/>
    <w:multiLevelType w:val="hybridMultilevel"/>
    <w:tmpl w:val="B3E29D74"/>
    <w:lvl w:ilvl="0" w:tplc="52723230">
      <w:start w:val="1"/>
      <w:numFmt w:val="lowerLetter"/>
      <w:lvlText w:val="(%1)"/>
      <w:lvlJc w:val="left"/>
      <w:pPr>
        <w:ind w:left="1410" w:hanging="6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20238CC"/>
    <w:multiLevelType w:val="hybridMultilevel"/>
    <w:tmpl w:val="79BE01A8"/>
    <w:lvl w:ilvl="0" w:tplc="E8BE86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3694024"/>
    <w:multiLevelType w:val="hybridMultilevel"/>
    <w:tmpl w:val="3AACDA7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9A35F24"/>
    <w:multiLevelType w:val="hybridMultilevel"/>
    <w:tmpl w:val="EF146CB0"/>
    <w:lvl w:ilvl="0" w:tplc="6DCCC2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A33724A"/>
    <w:multiLevelType w:val="hybridMultilevel"/>
    <w:tmpl w:val="B6740676"/>
    <w:lvl w:ilvl="0" w:tplc="1EE809D6">
      <w:start w:val="1"/>
      <w:numFmt w:val="lowerRoman"/>
      <w:lvlText w:val="(%1)"/>
      <w:lvlJc w:val="left"/>
      <w:pPr>
        <w:ind w:left="2385" w:hanging="94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B2E1ADA"/>
    <w:multiLevelType w:val="hybridMultilevel"/>
    <w:tmpl w:val="B054FAF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499A5A57"/>
    <w:multiLevelType w:val="hybridMultilevel"/>
    <w:tmpl w:val="7212A370"/>
    <w:lvl w:ilvl="0" w:tplc="2BE6868E">
      <w:start w:val="1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21"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2" w15:restartNumberingAfterBreak="0">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52ED23FF"/>
    <w:multiLevelType w:val="hybridMultilevel"/>
    <w:tmpl w:val="65D65650"/>
    <w:lvl w:ilvl="0" w:tplc="FC866D90">
      <w:start w:val="2"/>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257E35"/>
    <w:multiLevelType w:val="hybridMultilevel"/>
    <w:tmpl w:val="F6022FB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4F4CB9"/>
    <w:multiLevelType w:val="hybridMultilevel"/>
    <w:tmpl w:val="59C8C2E0"/>
    <w:lvl w:ilvl="0" w:tplc="202A5044">
      <w:start w:val="46"/>
      <w:numFmt w:val="decimal"/>
      <w:lvlText w:val="%1."/>
      <w:lvlJc w:val="left"/>
      <w:pPr>
        <w:tabs>
          <w:tab w:val="num" w:pos="900"/>
        </w:tabs>
        <w:ind w:left="90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BD5C09"/>
    <w:multiLevelType w:val="hybridMultilevel"/>
    <w:tmpl w:val="38B24F6C"/>
    <w:lvl w:ilvl="0" w:tplc="22102556">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686E19C6"/>
    <w:multiLevelType w:val="hybridMultilevel"/>
    <w:tmpl w:val="20EECCC0"/>
    <w:lvl w:ilvl="0" w:tplc="5D5C049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30" w15:restartNumberingAfterBreak="0">
    <w:nsid w:val="6CCA4B2C"/>
    <w:multiLevelType w:val="hybridMultilevel"/>
    <w:tmpl w:val="89005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B31F31"/>
    <w:multiLevelType w:val="hybridMultilevel"/>
    <w:tmpl w:val="7FF082C8"/>
    <w:lvl w:ilvl="0" w:tplc="BD98178A">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abstractNumId w:val="28"/>
  </w:num>
  <w:num w:numId="2">
    <w:abstractNumId w:val="18"/>
  </w:num>
  <w:num w:numId="3">
    <w:abstractNumId w:val="23"/>
  </w:num>
  <w:num w:numId="4">
    <w:abstractNumId w:val="21"/>
  </w:num>
  <w:num w:numId="5">
    <w:abstractNumId w:val="16"/>
  </w:num>
  <w:num w:numId="6">
    <w:abstractNumId w:val="17"/>
  </w:num>
  <w:num w:numId="7">
    <w:abstractNumId w:val="20"/>
  </w:num>
  <w:num w:numId="8">
    <w:abstractNumId w:val="22"/>
  </w:num>
  <w:num w:numId="9">
    <w:abstractNumId w:val="0"/>
  </w:num>
  <w:num w:numId="10">
    <w:abstractNumId w:val="13"/>
  </w:num>
  <w:num w:numId="11">
    <w:abstractNumId w:val="26"/>
  </w:num>
  <w:num w:numId="12">
    <w:abstractNumId w:val="6"/>
  </w:num>
  <w:num w:numId="13">
    <w:abstractNumId w:val="27"/>
  </w:num>
  <w:num w:numId="14">
    <w:abstractNumId w:val="2"/>
  </w:num>
  <w:num w:numId="15">
    <w:abstractNumId w:val="19"/>
  </w:num>
  <w:num w:numId="16">
    <w:abstractNumId w:val="1"/>
  </w:num>
  <w:num w:numId="17">
    <w:abstractNumId w:val="3"/>
  </w:num>
  <w:num w:numId="18">
    <w:abstractNumId w:val="8"/>
  </w:num>
  <w:num w:numId="19">
    <w:abstractNumId w:val="31"/>
  </w:num>
  <w:num w:numId="20">
    <w:abstractNumId w:val="12"/>
  </w:num>
  <w:num w:numId="21">
    <w:abstractNumId w:val="15"/>
  </w:num>
  <w:num w:numId="22">
    <w:abstractNumId w:val="11"/>
  </w:num>
  <w:num w:numId="23">
    <w:abstractNumId w:val="24"/>
  </w:num>
  <w:num w:numId="24">
    <w:abstractNumId w:val="5"/>
  </w:num>
  <w:num w:numId="25">
    <w:abstractNumId w:val="30"/>
  </w:num>
  <w:num w:numId="26">
    <w:abstractNumId w:val="10"/>
  </w:num>
  <w:num w:numId="27">
    <w:abstractNumId w:val="25"/>
  </w:num>
  <w:num w:numId="28">
    <w:abstractNumId w:val="4"/>
  </w:num>
  <w:num w:numId="29">
    <w:abstractNumId w:val="9"/>
  </w:num>
  <w:num w:numId="30">
    <w:abstractNumId w:val="29"/>
  </w:num>
  <w:num w:numId="31">
    <w:abstractNumId w:val="14"/>
  </w:num>
  <w:num w:numId="32">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A3A"/>
    <w:rsid w:val="0000735A"/>
    <w:rsid w:val="000079E5"/>
    <w:rsid w:val="00007FA3"/>
    <w:rsid w:val="0001285C"/>
    <w:rsid w:val="00017FEB"/>
    <w:rsid w:val="00020971"/>
    <w:rsid w:val="00022181"/>
    <w:rsid w:val="000224FA"/>
    <w:rsid w:val="0002409A"/>
    <w:rsid w:val="00025B43"/>
    <w:rsid w:val="0002606D"/>
    <w:rsid w:val="00032A74"/>
    <w:rsid w:val="00032F1E"/>
    <w:rsid w:val="000348C4"/>
    <w:rsid w:val="000364BD"/>
    <w:rsid w:val="00037847"/>
    <w:rsid w:val="0004008B"/>
    <w:rsid w:val="00042F67"/>
    <w:rsid w:val="00051883"/>
    <w:rsid w:val="00053842"/>
    <w:rsid w:val="00056F33"/>
    <w:rsid w:val="000571DD"/>
    <w:rsid w:val="000578AB"/>
    <w:rsid w:val="000600CE"/>
    <w:rsid w:val="00063768"/>
    <w:rsid w:val="0006449D"/>
    <w:rsid w:val="00064C89"/>
    <w:rsid w:val="00066501"/>
    <w:rsid w:val="00066E05"/>
    <w:rsid w:val="00071139"/>
    <w:rsid w:val="00073DA1"/>
    <w:rsid w:val="00081649"/>
    <w:rsid w:val="0008229B"/>
    <w:rsid w:val="00086AE8"/>
    <w:rsid w:val="00087B3D"/>
    <w:rsid w:val="00090BC7"/>
    <w:rsid w:val="00093818"/>
    <w:rsid w:val="00093DD7"/>
    <w:rsid w:val="000946A7"/>
    <w:rsid w:val="000978D3"/>
    <w:rsid w:val="000A0C1E"/>
    <w:rsid w:val="000A11DF"/>
    <w:rsid w:val="000A129F"/>
    <w:rsid w:val="000A35DA"/>
    <w:rsid w:val="000A3DAF"/>
    <w:rsid w:val="000A7620"/>
    <w:rsid w:val="000A76B8"/>
    <w:rsid w:val="000B0D27"/>
    <w:rsid w:val="000B12F5"/>
    <w:rsid w:val="000B14AE"/>
    <w:rsid w:val="000B4532"/>
    <w:rsid w:val="000B4649"/>
    <w:rsid w:val="000B4ADE"/>
    <w:rsid w:val="000B5449"/>
    <w:rsid w:val="000C2D37"/>
    <w:rsid w:val="000D14A6"/>
    <w:rsid w:val="000D48D7"/>
    <w:rsid w:val="000D5027"/>
    <w:rsid w:val="000D5441"/>
    <w:rsid w:val="000D7A40"/>
    <w:rsid w:val="000E4841"/>
    <w:rsid w:val="000E4E56"/>
    <w:rsid w:val="000E7072"/>
    <w:rsid w:val="000E749E"/>
    <w:rsid w:val="000E7FFE"/>
    <w:rsid w:val="000F1A7E"/>
    <w:rsid w:val="00100BFE"/>
    <w:rsid w:val="00102021"/>
    <w:rsid w:val="00102FB2"/>
    <w:rsid w:val="0010368D"/>
    <w:rsid w:val="00103762"/>
    <w:rsid w:val="00105E2A"/>
    <w:rsid w:val="00113948"/>
    <w:rsid w:val="00122378"/>
    <w:rsid w:val="0012770D"/>
    <w:rsid w:val="001303F7"/>
    <w:rsid w:val="00133421"/>
    <w:rsid w:val="00135D57"/>
    <w:rsid w:val="00136189"/>
    <w:rsid w:val="00143A55"/>
    <w:rsid w:val="00144A34"/>
    <w:rsid w:val="00147191"/>
    <w:rsid w:val="001475E2"/>
    <w:rsid w:val="0015433F"/>
    <w:rsid w:val="001625BC"/>
    <w:rsid w:val="00166050"/>
    <w:rsid w:val="0016616E"/>
    <w:rsid w:val="0016741B"/>
    <w:rsid w:val="00167BEF"/>
    <w:rsid w:val="00172BA9"/>
    <w:rsid w:val="00173A4A"/>
    <w:rsid w:val="00173DF9"/>
    <w:rsid w:val="00173E97"/>
    <w:rsid w:val="001764F0"/>
    <w:rsid w:val="00177893"/>
    <w:rsid w:val="001830C1"/>
    <w:rsid w:val="00186014"/>
    <w:rsid w:val="00186240"/>
    <w:rsid w:val="00191097"/>
    <w:rsid w:val="001A24D0"/>
    <w:rsid w:val="001A268E"/>
    <w:rsid w:val="001A3FA0"/>
    <w:rsid w:val="001A7726"/>
    <w:rsid w:val="001B3553"/>
    <w:rsid w:val="001B5C60"/>
    <w:rsid w:val="001C259E"/>
    <w:rsid w:val="001C3BB2"/>
    <w:rsid w:val="001D01DC"/>
    <w:rsid w:val="001D058F"/>
    <w:rsid w:val="001D3E70"/>
    <w:rsid w:val="001D7F85"/>
    <w:rsid w:val="001E1650"/>
    <w:rsid w:val="001E3C97"/>
    <w:rsid w:val="001F04B9"/>
    <w:rsid w:val="001F6351"/>
    <w:rsid w:val="001F784D"/>
    <w:rsid w:val="002014A8"/>
    <w:rsid w:val="0020628F"/>
    <w:rsid w:val="00211D91"/>
    <w:rsid w:val="00214C0B"/>
    <w:rsid w:val="0021552A"/>
    <w:rsid w:val="00217570"/>
    <w:rsid w:val="002175C3"/>
    <w:rsid w:val="002201BC"/>
    <w:rsid w:val="00220293"/>
    <w:rsid w:val="00221EFA"/>
    <w:rsid w:val="00222667"/>
    <w:rsid w:val="00224EDD"/>
    <w:rsid w:val="00231472"/>
    <w:rsid w:val="00231885"/>
    <w:rsid w:val="00233041"/>
    <w:rsid w:val="00234C00"/>
    <w:rsid w:val="00235522"/>
    <w:rsid w:val="0024188F"/>
    <w:rsid w:val="00244A78"/>
    <w:rsid w:val="0024549A"/>
    <w:rsid w:val="00252F95"/>
    <w:rsid w:val="0025448C"/>
    <w:rsid w:val="00260F11"/>
    <w:rsid w:val="00261B74"/>
    <w:rsid w:val="00263AE6"/>
    <w:rsid w:val="00264D07"/>
    <w:rsid w:val="00265E67"/>
    <w:rsid w:val="00270C4B"/>
    <w:rsid w:val="0027300A"/>
    <w:rsid w:val="00275A7E"/>
    <w:rsid w:val="002815B7"/>
    <w:rsid w:val="00284922"/>
    <w:rsid w:val="00287D37"/>
    <w:rsid w:val="00293605"/>
    <w:rsid w:val="00293D20"/>
    <w:rsid w:val="00294825"/>
    <w:rsid w:val="00296236"/>
    <w:rsid w:val="00296914"/>
    <w:rsid w:val="00296DBE"/>
    <w:rsid w:val="002A1822"/>
    <w:rsid w:val="002A567C"/>
    <w:rsid w:val="002A5BCB"/>
    <w:rsid w:val="002A622D"/>
    <w:rsid w:val="002A6B79"/>
    <w:rsid w:val="002B0F31"/>
    <w:rsid w:val="002B13BD"/>
    <w:rsid w:val="002B2F5A"/>
    <w:rsid w:val="002B4CBE"/>
    <w:rsid w:val="002C20A5"/>
    <w:rsid w:val="002C2305"/>
    <w:rsid w:val="002C7206"/>
    <w:rsid w:val="002C7E93"/>
    <w:rsid w:val="002D1F59"/>
    <w:rsid w:val="002D700F"/>
    <w:rsid w:val="002D796B"/>
    <w:rsid w:val="002E1481"/>
    <w:rsid w:val="002E5873"/>
    <w:rsid w:val="002E5DA4"/>
    <w:rsid w:val="002E7E1C"/>
    <w:rsid w:val="002F1D60"/>
    <w:rsid w:val="002F307A"/>
    <w:rsid w:val="002F3851"/>
    <w:rsid w:val="002F4C08"/>
    <w:rsid w:val="002F4C31"/>
    <w:rsid w:val="002F67CC"/>
    <w:rsid w:val="002F6D64"/>
    <w:rsid w:val="002F7B74"/>
    <w:rsid w:val="003022FD"/>
    <w:rsid w:val="00304CA2"/>
    <w:rsid w:val="00307817"/>
    <w:rsid w:val="003144A2"/>
    <w:rsid w:val="00317019"/>
    <w:rsid w:val="003205D7"/>
    <w:rsid w:val="003233B1"/>
    <w:rsid w:val="00323848"/>
    <w:rsid w:val="003252A9"/>
    <w:rsid w:val="00331B59"/>
    <w:rsid w:val="00331C57"/>
    <w:rsid w:val="00333289"/>
    <w:rsid w:val="00333291"/>
    <w:rsid w:val="00334A39"/>
    <w:rsid w:val="00336092"/>
    <w:rsid w:val="00336714"/>
    <w:rsid w:val="0034281E"/>
    <w:rsid w:val="0034307C"/>
    <w:rsid w:val="00343F2D"/>
    <w:rsid w:val="003442F8"/>
    <w:rsid w:val="0034532F"/>
    <w:rsid w:val="003511E1"/>
    <w:rsid w:val="003526C6"/>
    <w:rsid w:val="00353BFA"/>
    <w:rsid w:val="00357BB1"/>
    <w:rsid w:val="00360947"/>
    <w:rsid w:val="003628EB"/>
    <w:rsid w:val="00363426"/>
    <w:rsid w:val="00363AF2"/>
    <w:rsid w:val="00364E3F"/>
    <w:rsid w:val="00365193"/>
    <w:rsid w:val="00367817"/>
    <w:rsid w:val="00370EB2"/>
    <w:rsid w:val="0037186B"/>
    <w:rsid w:val="003732A1"/>
    <w:rsid w:val="00373609"/>
    <w:rsid w:val="003738C9"/>
    <w:rsid w:val="00375904"/>
    <w:rsid w:val="003803E6"/>
    <w:rsid w:val="003811A5"/>
    <w:rsid w:val="003848A0"/>
    <w:rsid w:val="003873DA"/>
    <w:rsid w:val="0038779F"/>
    <w:rsid w:val="00396644"/>
    <w:rsid w:val="003A0988"/>
    <w:rsid w:val="003A1983"/>
    <w:rsid w:val="003A38EC"/>
    <w:rsid w:val="003B02E8"/>
    <w:rsid w:val="003B1D0A"/>
    <w:rsid w:val="003B1D86"/>
    <w:rsid w:val="003B693D"/>
    <w:rsid w:val="003C1F83"/>
    <w:rsid w:val="003C28AA"/>
    <w:rsid w:val="003C2942"/>
    <w:rsid w:val="003C2AB7"/>
    <w:rsid w:val="003C6D16"/>
    <w:rsid w:val="003C7D85"/>
    <w:rsid w:val="003D0C80"/>
    <w:rsid w:val="003D4AAB"/>
    <w:rsid w:val="003D7010"/>
    <w:rsid w:val="003D7F46"/>
    <w:rsid w:val="003E7CA6"/>
    <w:rsid w:val="003F1A31"/>
    <w:rsid w:val="003F3B28"/>
    <w:rsid w:val="003F5E52"/>
    <w:rsid w:val="003F5FA1"/>
    <w:rsid w:val="003F7259"/>
    <w:rsid w:val="00400530"/>
    <w:rsid w:val="00403C1D"/>
    <w:rsid w:val="00407827"/>
    <w:rsid w:val="00412286"/>
    <w:rsid w:val="0041355F"/>
    <w:rsid w:val="0041423C"/>
    <w:rsid w:val="00414EFB"/>
    <w:rsid w:val="00416A63"/>
    <w:rsid w:val="00417844"/>
    <w:rsid w:val="00420B59"/>
    <w:rsid w:val="004210F0"/>
    <w:rsid w:val="00421312"/>
    <w:rsid w:val="004256AA"/>
    <w:rsid w:val="004304CE"/>
    <w:rsid w:val="0043085D"/>
    <w:rsid w:val="004327C2"/>
    <w:rsid w:val="00433F22"/>
    <w:rsid w:val="0043479B"/>
    <w:rsid w:val="00435C9F"/>
    <w:rsid w:val="00441884"/>
    <w:rsid w:val="00443DA7"/>
    <w:rsid w:val="00446567"/>
    <w:rsid w:val="004520DD"/>
    <w:rsid w:val="00453486"/>
    <w:rsid w:val="0045450A"/>
    <w:rsid w:val="00456B65"/>
    <w:rsid w:val="004570BB"/>
    <w:rsid w:val="00461A45"/>
    <w:rsid w:val="00463720"/>
    <w:rsid w:val="00466FD7"/>
    <w:rsid w:val="004672D0"/>
    <w:rsid w:val="00471474"/>
    <w:rsid w:val="00473F2E"/>
    <w:rsid w:val="00485071"/>
    <w:rsid w:val="00490303"/>
    <w:rsid w:val="0049440E"/>
    <w:rsid w:val="00494C0D"/>
    <w:rsid w:val="004A1278"/>
    <w:rsid w:val="004A2955"/>
    <w:rsid w:val="004A318A"/>
    <w:rsid w:val="004A5176"/>
    <w:rsid w:val="004A5BAA"/>
    <w:rsid w:val="004B3DEA"/>
    <w:rsid w:val="004B66EB"/>
    <w:rsid w:val="004C19DA"/>
    <w:rsid w:val="004C1FC5"/>
    <w:rsid w:val="004C79DD"/>
    <w:rsid w:val="004D0A80"/>
    <w:rsid w:val="004D0EE4"/>
    <w:rsid w:val="004D1B2F"/>
    <w:rsid w:val="004D281E"/>
    <w:rsid w:val="004D2D9F"/>
    <w:rsid w:val="004E16B0"/>
    <w:rsid w:val="004E6323"/>
    <w:rsid w:val="004E7941"/>
    <w:rsid w:val="004F5D16"/>
    <w:rsid w:val="004F5D5C"/>
    <w:rsid w:val="004F6D1D"/>
    <w:rsid w:val="005035DD"/>
    <w:rsid w:val="005059CD"/>
    <w:rsid w:val="005068B2"/>
    <w:rsid w:val="00510907"/>
    <w:rsid w:val="00512316"/>
    <w:rsid w:val="005145E8"/>
    <w:rsid w:val="005156A0"/>
    <w:rsid w:val="00515F5B"/>
    <w:rsid w:val="00516B64"/>
    <w:rsid w:val="0052007A"/>
    <w:rsid w:val="005214C2"/>
    <w:rsid w:val="00522B97"/>
    <w:rsid w:val="00522FDC"/>
    <w:rsid w:val="00523466"/>
    <w:rsid w:val="00523A30"/>
    <w:rsid w:val="00526839"/>
    <w:rsid w:val="00526C9B"/>
    <w:rsid w:val="005364F6"/>
    <w:rsid w:val="005402E9"/>
    <w:rsid w:val="00543997"/>
    <w:rsid w:val="00545D83"/>
    <w:rsid w:val="005463F1"/>
    <w:rsid w:val="005474C2"/>
    <w:rsid w:val="00550C27"/>
    <w:rsid w:val="005540F5"/>
    <w:rsid w:val="005548C0"/>
    <w:rsid w:val="0055539C"/>
    <w:rsid w:val="005557C2"/>
    <w:rsid w:val="005568AC"/>
    <w:rsid w:val="00560451"/>
    <w:rsid w:val="00561693"/>
    <w:rsid w:val="00562110"/>
    <w:rsid w:val="00562E0E"/>
    <w:rsid w:val="00566E0F"/>
    <w:rsid w:val="00570A62"/>
    <w:rsid w:val="005713A9"/>
    <w:rsid w:val="00576CA6"/>
    <w:rsid w:val="005774F3"/>
    <w:rsid w:val="005810F6"/>
    <w:rsid w:val="00584C03"/>
    <w:rsid w:val="00585A61"/>
    <w:rsid w:val="00591982"/>
    <w:rsid w:val="00591B4E"/>
    <w:rsid w:val="00595504"/>
    <w:rsid w:val="00596A34"/>
    <w:rsid w:val="00596C0A"/>
    <w:rsid w:val="005B00D2"/>
    <w:rsid w:val="005B069B"/>
    <w:rsid w:val="005B12C7"/>
    <w:rsid w:val="005B37C8"/>
    <w:rsid w:val="005B4FC1"/>
    <w:rsid w:val="005B6418"/>
    <w:rsid w:val="005B77D6"/>
    <w:rsid w:val="005C2585"/>
    <w:rsid w:val="005C26D9"/>
    <w:rsid w:val="005C52B7"/>
    <w:rsid w:val="005D3256"/>
    <w:rsid w:val="005D345F"/>
    <w:rsid w:val="005D43C1"/>
    <w:rsid w:val="005D478E"/>
    <w:rsid w:val="005E0475"/>
    <w:rsid w:val="005E6F37"/>
    <w:rsid w:val="005F22EB"/>
    <w:rsid w:val="005F3827"/>
    <w:rsid w:val="005F69F1"/>
    <w:rsid w:val="005F7031"/>
    <w:rsid w:val="00600C48"/>
    <w:rsid w:val="00603141"/>
    <w:rsid w:val="0060535E"/>
    <w:rsid w:val="00606E9B"/>
    <w:rsid w:val="00610215"/>
    <w:rsid w:val="006161E0"/>
    <w:rsid w:val="006176F8"/>
    <w:rsid w:val="00617BB0"/>
    <w:rsid w:val="00623C0A"/>
    <w:rsid w:val="00623FDD"/>
    <w:rsid w:val="00624015"/>
    <w:rsid w:val="00624281"/>
    <w:rsid w:val="00625616"/>
    <w:rsid w:val="00625F08"/>
    <w:rsid w:val="006277D1"/>
    <w:rsid w:val="006303F3"/>
    <w:rsid w:val="00631574"/>
    <w:rsid w:val="0063162C"/>
    <w:rsid w:val="00637EB3"/>
    <w:rsid w:val="00640B23"/>
    <w:rsid w:val="006426FE"/>
    <w:rsid w:val="00642B1D"/>
    <w:rsid w:val="00646D77"/>
    <w:rsid w:val="00651349"/>
    <w:rsid w:val="006532F1"/>
    <w:rsid w:val="006543F5"/>
    <w:rsid w:val="0065463F"/>
    <w:rsid w:val="006600C8"/>
    <w:rsid w:val="00662B9B"/>
    <w:rsid w:val="00663424"/>
    <w:rsid w:val="00667837"/>
    <w:rsid w:val="006679C7"/>
    <w:rsid w:val="00670BD0"/>
    <w:rsid w:val="00672E43"/>
    <w:rsid w:val="00681211"/>
    <w:rsid w:val="00691CEF"/>
    <w:rsid w:val="0069292C"/>
    <w:rsid w:val="00692C55"/>
    <w:rsid w:val="00693905"/>
    <w:rsid w:val="006952F8"/>
    <w:rsid w:val="00697347"/>
    <w:rsid w:val="0069772A"/>
    <w:rsid w:val="006A18F2"/>
    <w:rsid w:val="006A19FE"/>
    <w:rsid w:val="006A1EA8"/>
    <w:rsid w:val="006A2184"/>
    <w:rsid w:val="006A409D"/>
    <w:rsid w:val="006A6FB5"/>
    <w:rsid w:val="006A73A5"/>
    <w:rsid w:val="006B0C3E"/>
    <w:rsid w:val="006B3EF4"/>
    <w:rsid w:val="006B442D"/>
    <w:rsid w:val="006B6C11"/>
    <w:rsid w:val="006B7153"/>
    <w:rsid w:val="006B78A1"/>
    <w:rsid w:val="006C140A"/>
    <w:rsid w:val="006C4C69"/>
    <w:rsid w:val="006C5187"/>
    <w:rsid w:val="006C7625"/>
    <w:rsid w:val="006D124D"/>
    <w:rsid w:val="006D197E"/>
    <w:rsid w:val="006D7909"/>
    <w:rsid w:val="006E04AF"/>
    <w:rsid w:val="006E0E98"/>
    <w:rsid w:val="006E24D3"/>
    <w:rsid w:val="006E26F1"/>
    <w:rsid w:val="006E3BDF"/>
    <w:rsid w:val="006E4132"/>
    <w:rsid w:val="006E5F68"/>
    <w:rsid w:val="006E6234"/>
    <w:rsid w:val="006F3728"/>
    <w:rsid w:val="006F45EA"/>
    <w:rsid w:val="006F6ABD"/>
    <w:rsid w:val="0070112B"/>
    <w:rsid w:val="00701207"/>
    <w:rsid w:val="00703C2A"/>
    <w:rsid w:val="0070733F"/>
    <w:rsid w:val="00711001"/>
    <w:rsid w:val="00712749"/>
    <w:rsid w:val="00713973"/>
    <w:rsid w:val="00714EE7"/>
    <w:rsid w:val="007175CF"/>
    <w:rsid w:val="00720AF2"/>
    <w:rsid w:val="007216F4"/>
    <w:rsid w:val="00721F55"/>
    <w:rsid w:val="00722AC7"/>
    <w:rsid w:val="007233D8"/>
    <w:rsid w:val="00725C72"/>
    <w:rsid w:val="00727FCB"/>
    <w:rsid w:val="00733738"/>
    <w:rsid w:val="0073443C"/>
    <w:rsid w:val="00736FBB"/>
    <w:rsid w:val="0074323D"/>
    <w:rsid w:val="00745125"/>
    <w:rsid w:val="00745220"/>
    <w:rsid w:val="007454C2"/>
    <w:rsid w:val="00747A6E"/>
    <w:rsid w:val="007552E9"/>
    <w:rsid w:val="00757367"/>
    <w:rsid w:val="00761A2C"/>
    <w:rsid w:val="00761FBA"/>
    <w:rsid w:val="007639AE"/>
    <w:rsid w:val="00763AA6"/>
    <w:rsid w:val="007654A6"/>
    <w:rsid w:val="00766CFA"/>
    <w:rsid w:val="0076703C"/>
    <w:rsid w:val="00767E0E"/>
    <w:rsid w:val="00767E29"/>
    <w:rsid w:val="00776249"/>
    <w:rsid w:val="007777A6"/>
    <w:rsid w:val="00777B5A"/>
    <w:rsid w:val="007802CC"/>
    <w:rsid w:val="00784386"/>
    <w:rsid w:val="00787CC8"/>
    <w:rsid w:val="00787F23"/>
    <w:rsid w:val="00793B67"/>
    <w:rsid w:val="00796B04"/>
    <w:rsid w:val="0079784B"/>
    <w:rsid w:val="00797D8D"/>
    <w:rsid w:val="007A1F9C"/>
    <w:rsid w:val="007A4E30"/>
    <w:rsid w:val="007A517B"/>
    <w:rsid w:val="007A52A9"/>
    <w:rsid w:val="007A60A1"/>
    <w:rsid w:val="007B2F18"/>
    <w:rsid w:val="007B43B1"/>
    <w:rsid w:val="007B476B"/>
    <w:rsid w:val="007B67BC"/>
    <w:rsid w:val="007C4225"/>
    <w:rsid w:val="007C7321"/>
    <w:rsid w:val="007D037B"/>
    <w:rsid w:val="007D0F98"/>
    <w:rsid w:val="007D2601"/>
    <w:rsid w:val="007D3F47"/>
    <w:rsid w:val="007D618A"/>
    <w:rsid w:val="007D6A6D"/>
    <w:rsid w:val="007D6B1F"/>
    <w:rsid w:val="007D6FDC"/>
    <w:rsid w:val="007E017E"/>
    <w:rsid w:val="007E16F6"/>
    <w:rsid w:val="007E5B44"/>
    <w:rsid w:val="007E6425"/>
    <w:rsid w:val="007F1FB8"/>
    <w:rsid w:val="007F2032"/>
    <w:rsid w:val="007F5091"/>
    <w:rsid w:val="007F69DC"/>
    <w:rsid w:val="007F73E0"/>
    <w:rsid w:val="008033D3"/>
    <w:rsid w:val="0080360A"/>
    <w:rsid w:val="00805A27"/>
    <w:rsid w:val="00806173"/>
    <w:rsid w:val="008071D9"/>
    <w:rsid w:val="00812C17"/>
    <w:rsid w:val="00820E8D"/>
    <w:rsid w:val="00820FE8"/>
    <w:rsid w:val="00823723"/>
    <w:rsid w:val="008270FB"/>
    <w:rsid w:val="008274B1"/>
    <w:rsid w:val="00832D74"/>
    <w:rsid w:val="00833732"/>
    <w:rsid w:val="00836A40"/>
    <w:rsid w:val="00843672"/>
    <w:rsid w:val="00845374"/>
    <w:rsid w:val="008459C7"/>
    <w:rsid w:val="008525C3"/>
    <w:rsid w:val="008533D6"/>
    <w:rsid w:val="00853A4C"/>
    <w:rsid w:val="008569AD"/>
    <w:rsid w:val="00857B0D"/>
    <w:rsid w:val="00857E58"/>
    <w:rsid w:val="008613B8"/>
    <w:rsid w:val="0086194C"/>
    <w:rsid w:val="00870A1A"/>
    <w:rsid w:val="00870F2E"/>
    <w:rsid w:val="00871312"/>
    <w:rsid w:val="0087144E"/>
    <w:rsid w:val="00871A7A"/>
    <w:rsid w:val="008768B7"/>
    <w:rsid w:val="00880121"/>
    <w:rsid w:val="00881C2D"/>
    <w:rsid w:val="00883DFE"/>
    <w:rsid w:val="00884693"/>
    <w:rsid w:val="0088659F"/>
    <w:rsid w:val="008923B0"/>
    <w:rsid w:val="0089723D"/>
    <w:rsid w:val="008A39EA"/>
    <w:rsid w:val="008B4455"/>
    <w:rsid w:val="008B4757"/>
    <w:rsid w:val="008C0453"/>
    <w:rsid w:val="008C0F98"/>
    <w:rsid w:val="008C18D9"/>
    <w:rsid w:val="008C206D"/>
    <w:rsid w:val="008C21A2"/>
    <w:rsid w:val="008C79B7"/>
    <w:rsid w:val="008D17AC"/>
    <w:rsid w:val="008D2665"/>
    <w:rsid w:val="008D437B"/>
    <w:rsid w:val="008D47AB"/>
    <w:rsid w:val="008D48E7"/>
    <w:rsid w:val="008D4E52"/>
    <w:rsid w:val="008D4E9B"/>
    <w:rsid w:val="008D502B"/>
    <w:rsid w:val="008D57CD"/>
    <w:rsid w:val="008D5F0B"/>
    <w:rsid w:val="008E4023"/>
    <w:rsid w:val="008E4625"/>
    <w:rsid w:val="008E4754"/>
    <w:rsid w:val="008E4C25"/>
    <w:rsid w:val="008E6051"/>
    <w:rsid w:val="008F232E"/>
    <w:rsid w:val="008F4DA4"/>
    <w:rsid w:val="008F5299"/>
    <w:rsid w:val="00902E96"/>
    <w:rsid w:val="00903950"/>
    <w:rsid w:val="00911627"/>
    <w:rsid w:val="00916227"/>
    <w:rsid w:val="00917CAA"/>
    <w:rsid w:val="009209FE"/>
    <w:rsid w:val="0092221C"/>
    <w:rsid w:val="00923E7E"/>
    <w:rsid w:val="00925406"/>
    <w:rsid w:val="00925B9F"/>
    <w:rsid w:val="00926828"/>
    <w:rsid w:val="009310C3"/>
    <w:rsid w:val="009310D7"/>
    <w:rsid w:val="00935AA4"/>
    <w:rsid w:val="0093782E"/>
    <w:rsid w:val="0095197D"/>
    <w:rsid w:val="00956BEB"/>
    <w:rsid w:val="00957003"/>
    <w:rsid w:val="009607CD"/>
    <w:rsid w:val="00961E62"/>
    <w:rsid w:val="00962A2D"/>
    <w:rsid w:val="0097063E"/>
    <w:rsid w:val="00971128"/>
    <w:rsid w:val="00973BB3"/>
    <w:rsid w:val="00976F1F"/>
    <w:rsid w:val="0097703C"/>
    <w:rsid w:val="009778E2"/>
    <w:rsid w:val="009806C3"/>
    <w:rsid w:val="009809FA"/>
    <w:rsid w:val="00981102"/>
    <w:rsid w:val="009815A1"/>
    <w:rsid w:val="009827AC"/>
    <w:rsid w:val="00984229"/>
    <w:rsid w:val="00991460"/>
    <w:rsid w:val="00997967"/>
    <w:rsid w:val="009A1D72"/>
    <w:rsid w:val="009A2758"/>
    <w:rsid w:val="009A4861"/>
    <w:rsid w:val="009A5154"/>
    <w:rsid w:val="009A6899"/>
    <w:rsid w:val="009A6E33"/>
    <w:rsid w:val="009B022F"/>
    <w:rsid w:val="009B1A72"/>
    <w:rsid w:val="009B2308"/>
    <w:rsid w:val="009B3D13"/>
    <w:rsid w:val="009B3F83"/>
    <w:rsid w:val="009B43E9"/>
    <w:rsid w:val="009B4A1F"/>
    <w:rsid w:val="009B5D15"/>
    <w:rsid w:val="009B6138"/>
    <w:rsid w:val="009B6329"/>
    <w:rsid w:val="009B6F57"/>
    <w:rsid w:val="009B7D7C"/>
    <w:rsid w:val="009C0428"/>
    <w:rsid w:val="009C0C72"/>
    <w:rsid w:val="009C0E50"/>
    <w:rsid w:val="009C14DE"/>
    <w:rsid w:val="009C1FAA"/>
    <w:rsid w:val="009C22EC"/>
    <w:rsid w:val="009C30FF"/>
    <w:rsid w:val="009C3737"/>
    <w:rsid w:val="009C5A49"/>
    <w:rsid w:val="009D2DE6"/>
    <w:rsid w:val="009D3E32"/>
    <w:rsid w:val="009D45CF"/>
    <w:rsid w:val="009D594A"/>
    <w:rsid w:val="009D6D4B"/>
    <w:rsid w:val="009E3C65"/>
    <w:rsid w:val="009F265B"/>
    <w:rsid w:val="009F36CC"/>
    <w:rsid w:val="009F38D0"/>
    <w:rsid w:val="009F44CB"/>
    <w:rsid w:val="009F477A"/>
    <w:rsid w:val="009F6360"/>
    <w:rsid w:val="009F7F7E"/>
    <w:rsid w:val="00A00770"/>
    <w:rsid w:val="00A009D9"/>
    <w:rsid w:val="00A03F44"/>
    <w:rsid w:val="00A05F61"/>
    <w:rsid w:val="00A07A8E"/>
    <w:rsid w:val="00A1045C"/>
    <w:rsid w:val="00A10C44"/>
    <w:rsid w:val="00A111FA"/>
    <w:rsid w:val="00A12FC3"/>
    <w:rsid w:val="00A143CC"/>
    <w:rsid w:val="00A16305"/>
    <w:rsid w:val="00A169AE"/>
    <w:rsid w:val="00A17BD8"/>
    <w:rsid w:val="00A205C4"/>
    <w:rsid w:val="00A20A8C"/>
    <w:rsid w:val="00A226C8"/>
    <w:rsid w:val="00A2434B"/>
    <w:rsid w:val="00A253BA"/>
    <w:rsid w:val="00A2594C"/>
    <w:rsid w:val="00A2626A"/>
    <w:rsid w:val="00A27BB0"/>
    <w:rsid w:val="00A33209"/>
    <w:rsid w:val="00A34867"/>
    <w:rsid w:val="00A351D1"/>
    <w:rsid w:val="00A36F67"/>
    <w:rsid w:val="00A40069"/>
    <w:rsid w:val="00A42F08"/>
    <w:rsid w:val="00A43192"/>
    <w:rsid w:val="00A4412E"/>
    <w:rsid w:val="00A44AF2"/>
    <w:rsid w:val="00A45110"/>
    <w:rsid w:val="00A458A4"/>
    <w:rsid w:val="00A4683E"/>
    <w:rsid w:val="00A51273"/>
    <w:rsid w:val="00A51BF6"/>
    <w:rsid w:val="00A51E7F"/>
    <w:rsid w:val="00A54973"/>
    <w:rsid w:val="00A5661C"/>
    <w:rsid w:val="00A57841"/>
    <w:rsid w:val="00A615AF"/>
    <w:rsid w:val="00A651E7"/>
    <w:rsid w:val="00A665E7"/>
    <w:rsid w:val="00A676D6"/>
    <w:rsid w:val="00A705DB"/>
    <w:rsid w:val="00A71EBB"/>
    <w:rsid w:val="00A731FB"/>
    <w:rsid w:val="00A74341"/>
    <w:rsid w:val="00A75680"/>
    <w:rsid w:val="00A779FF"/>
    <w:rsid w:val="00A80067"/>
    <w:rsid w:val="00A80EF3"/>
    <w:rsid w:val="00A8300B"/>
    <w:rsid w:val="00A85096"/>
    <w:rsid w:val="00A8787F"/>
    <w:rsid w:val="00A91AA4"/>
    <w:rsid w:val="00A97879"/>
    <w:rsid w:val="00AB4238"/>
    <w:rsid w:val="00AB4C92"/>
    <w:rsid w:val="00AC09B7"/>
    <w:rsid w:val="00AC11B9"/>
    <w:rsid w:val="00AC198F"/>
    <w:rsid w:val="00AC7E78"/>
    <w:rsid w:val="00AD4E30"/>
    <w:rsid w:val="00AD5626"/>
    <w:rsid w:val="00AD61C2"/>
    <w:rsid w:val="00AD7209"/>
    <w:rsid w:val="00AE1B1F"/>
    <w:rsid w:val="00AE5DBE"/>
    <w:rsid w:val="00AF0C3F"/>
    <w:rsid w:val="00AF428F"/>
    <w:rsid w:val="00AF4CF8"/>
    <w:rsid w:val="00AF6530"/>
    <w:rsid w:val="00AF68BF"/>
    <w:rsid w:val="00AF72F4"/>
    <w:rsid w:val="00B0255A"/>
    <w:rsid w:val="00B061FD"/>
    <w:rsid w:val="00B07CE8"/>
    <w:rsid w:val="00B10233"/>
    <w:rsid w:val="00B1068B"/>
    <w:rsid w:val="00B10AEC"/>
    <w:rsid w:val="00B1174F"/>
    <w:rsid w:val="00B139D2"/>
    <w:rsid w:val="00B13EEF"/>
    <w:rsid w:val="00B22FE6"/>
    <w:rsid w:val="00B24EA2"/>
    <w:rsid w:val="00B258D4"/>
    <w:rsid w:val="00B26023"/>
    <w:rsid w:val="00B26FD1"/>
    <w:rsid w:val="00B33B77"/>
    <w:rsid w:val="00B37B99"/>
    <w:rsid w:val="00B44313"/>
    <w:rsid w:val="00B46466"/>
    <w:rsid w:val="00B46A3A"/>
    <w:rsid w:val="00B46DD3"/>
    <w:rsid w:val="00B46E64"/>
    <w:rsid w:val="00B50415"/>
    <w:rsid w:val="00B50C72"/>
    <w:rsid w:val="00B5137D"/>
    <w:rsid w:val="00B520CA"/>
    <w:rsid w:val="00B52F68"/>
    <w:rsid w:val="00B55766"/>
    <w:rsid w:val="00B5643C"/>
    <w:rsid w:val="00B5696F"/>
    <w:rsid w:val="00B62056"/>
    <w:rsid w:val="00B62968"/>
    <w:rsid w:val="00B64E36"/>
    <w:rsid w:val="00B71A8C"/>
    <w:rsid w:val="00B74949"/>
    <w:rsid w:val="00B77230"/>
    <w:rsid w:val="00B862DE"/>
    <w:rsid w:val="00B92A48"/>
    <w:rsid w:val="00BA0616"/>
    <w:rsid w:val="00BA0BD7"/>
    <w:rsid w:val="00BA22B9"/>
    <w:rsid w:val="00BB2486"/>
    <w:rsid w:val="00BB2847"/>
    <w:rsid w:val="00BB5729"/>
    <w:rsid w:val="00BB76D4"/>
    <w:rsid w:val="00BC0358"/>
    <w:rsid w:val="00BC297F"/>
    <w:rsid w:val="00BC3C16"/>
    <w:rsid w:val="00BC4B87"/>
    <w:rsid w:val="00BC526C"/>
    <w:rsid w:val="00BC5598"/>
    <w:rsid w:val="00BC6A7D"/>
    <w:rsid w:val="00BD1023"/>
    <w:rsid w:val="00BD1D05"/>
    <w:rsid w:val="00BD3F10"/>
    <w:rsid w:val="00BE38FF"/>
    <w:rsid w:val="00BF06A0"/>
    <w:rsid w:val="00BF0791"/>
    <w:rsid w:val="00BF0BD1"/>
    <w:rsid w:val="00BF0DB4"/>
    <w:rsid w:val="00BF2D73"/>
    <w:rsid w:val="00BF30EA"/>
    <w:rsid w:val="00C013CB"/>
    <w:rsid w:val="00C022E1"/>
    <w:rsid w:val="00C02E21"/>
    <w:rsid w:val="00C03FC4"/>
    <w:rsid w:val="00C04D90"/>
    <w:rsid w:val="00C06DB8"/>
    <w:rsid w:val="00C075A6"/>
    <w:rsid w:val="00C11C3D"/>
    <w:rsid w:val="00C13055"/>
    <w:rsid w:val="00C15C9F"/>
    <w:rsid w:val="00C15D8E"/>
    <w:rsid w:val="00C20F1B"/>
    <w:rsid w:val="00C2256A"/>
    <w:rsid w:val="00C257EF"/>
    <w:rsid w:val="00C264E1"/>
    <w:rsid w:val="00C276C6"/>
    <w:rsid w:val="00C3047A"/>
    <w:rsid w:val="00C31019"/>
    <w:rsid w:val="00C35050"/>
    <w:rsid w:val="00C36557"/>
    <w:rsid w:val="00C40989"/>
    <w:rsid w:val="00C4414A"/>
    <w:rsid w:val="00C44475"/>
    <w:rsid w:val="00C44F0E"/>
    <w:rsid w:val="00C451EE"/>
    <w:rsid w:val="00C5001B"/>
    <w:rsid w:val="00C5442D"/>
    <w:rsid w:val="00C551E8"/>
    <w:rsid w:val="00C567ED"/>
    <w:rsid w:val="00C5732F"/>
    <w:rsid w:val="00C57CEB"/>
    <w:rsid w:val="00C60625"/>
    <w:rsid w:val="00C61392"/>
    <w:rsid w:val="00C61516"/>
    <w:rsid w:val="00C61E9B"/>
    <w:rsid w:val="00C64837"/>
    <w:rsid w:val="00C64ABE"/>
    <w:rsid w:val="00C6757D"/>
    <w:rsid w:val="00C7080F"/>
    <w:rsid w:val="00C73020"/>
    <w:rsid w:val="00C74F12"/>
    <w:rsid w:val="00C81EAE"/>
    <w:rsid w:val="00C82937"/>
    <w:rsid w:val="00C82B02"/>
    <w:rsid w:val="00C82F66"/>
    <w:rsid w:val="00C8638D"/>
    <w:rsid w:val="00C901CA"/>
    <w:rsid w:val="00C94C3C"/>
    <w:rsid w:val="00CA3343"/>
    <w:rsid w:val="00CB00FC"/>
    <w:rsid w:val="00CB06D5"/>
    <w:rsid w:val="00CB21D0"/>
    <w:rsid w:val="00CB4525"/>
    <w:rsid w:val="00CB5FBE"/>
    <w:rsid w:val="00CB6D02"/>
    <w:rsid w:val="00CB70A9"/>
    <w:rsid w:val="00CC1F17"/>
    <w:rsid w:val="00CC335A"/>
    <w:rsid w:val="00CC5FF4"/>
    <w:rsid w:val="00CC64C9"/>
    <w:rsid w:val="00CC6927"/>
    <w:rsid w:val="00CC7074"/>
    <w:rsid w:val="00CC7757"/>
    <w:rsid w:val="00CD15FA"/>
    <w:rsid w:val="00CD35F6"/>
    <w:rsid w:val="00CD38F5"/>
    <w:rsid w:val="00CD6FAB"/>
    <w:rsid w:val="00CE1AC9"/>
    <w:rsid w:val="00CE2367"/>
    <w:rsid w:val="00CE43BD"/>
    <w:rsid w:val="00CE5F3A"/>
    <w:rsid w:val="00CE6C4C"/>
    <w:rsid w:val="00CF00E4"/>
    <w:rsid w:val="00CF7837"/>
    <w:rsid w:val="00D026D2"/>
    <w:rsid w:val="00D03E3E"/>
    <w:rsid w:val="00D0525E"/>
    <w:rsid w:val="00D06AA3"/>
    <w:rsid w:val="00D1091E"/>
    <w:rsid w:val="00D125DA"/>
    <w:rsid w:val="00D1379E"/>
    <w:rsid w:val="00D1510E"/>
    <w:rsid w:val="00D15668"/>
    <w:rsid w:val="00D15801"/>
    <w:rsid w:val="00D15982"/>
    <w:rsid w:val="00D21CCD"/>
    <w:rsid w:val="00D22362"/>
    <w:rsid w:val="00D24796"/>
    <w:rsid w:val="00D26B87"/>
    <w:rsid w:val="00D30CF8"/>
    <w:rsid w:val="00D3192F"/>
    <w:rsid w:val="00D31ABE"/>
    <w:rsid w:val="00D32BD8"/>
    <w:rsid w:val="00D357A3"/>
    <w:rsid w:val="00D36452"/>
    <w:rsid w:val="00D41249"/>
    <w:rsid w:val="00D45585"/>
    <w:rsid w:val="00D46546"/>
    <w:rsid w:val="00D46C2A"/>
    <w:rsid w:val="00D47D74"/>
    <w:rsid w:val="00D518CD"/>
    <w:rsid w:val="00D54CE7"/>
    <w:rsid w:val="00D64A2E"/>
    <w:rsid w:val="00D66213"/>
    <w:rsid w:val="00D66E49"/>
    <w:rsid w:val="00D6701C"/>
    <w:rsid w:val="00D67171"/>
    <w:rsid w:val="00D70915"/>
    <w:rsid w:val="00D72C95"/>
    <w:rsid w:val="00D73163"/>
    <w:rsid w:val="00D77222"/>
    <w:rsid w:val="00D77BCF"/>
    <w:rsid w:val="00D80EC9"/>
    <w:rsid w:val="00D8134C"/>
    <w:rsid w:val="00D860E1"/>
    <w:rsid w:val="00D9011C"/>
    <w:rsid w:val="00D9269D"/>
    <w:rsid w:val="00D93771"/>
    <w:rsid w:val="00D95183"/>
    <w:rsid w:val="00D951C4"/>
    <w:rsid w:val="00D9532C"/>
    <w:rsid w:val="00D96A6A"/>
    <w:rsid w:val="00DA1DB7"/>
    <w:rsid w:val="00DA4D60"/>
    <w:rsid w:val="00DA50D7"/>
    <w:rsid w:val="00DA57E9"/>
    <w:rsid w:val="00DA6EC2"/>
    <w:rsid w:val="00DB2AAB"/>
    <w:rsid w:val="00DB5942"/>
    <w:rsid w:val="00DB7E09"/>
    <w:rsid w:val="00DC0769"/>
    <w:rsid w:val="00DC11D4"/>
    <w:rsid w:val="00DC6E77"/>
    <w:rsid w:val="00DD07D1"/>
    <w:rsid w:val="00DD2C26"/>
    <w:rsid w:val="00DD2C59"/>
    <w:rsid w:val="00DD3772"/>
    <w:rsid w:val="00DD4DB5"/>
    <w:rsid w:val="00DD7CFC"/>
    <w:rsid w:val="00DE2A8E"/>
    <w:rsid w:val="00DE34D3"/>
    <w:rsid w:val="00DE7C8D"/>
    <w:rsid w:val="00DF1714"/>
    <w:rsid w:val="00E00588"/>
    <w:rsid w:val="00E01C3D"/>
    <w:rsid w:val="00E027B4"/>
    <w:rsid w:val="00E046A4"/>
    <w:rsid w:val="00E06C36"/>
    <w:rsid w:val="00E15521"/>
    <w:rsid w:val="00E161C9"/>
    <w:rsid w:val="00E1705B"/>
    <w:rsid w:val="00E2171F"/>
    <w:rsid w:val="00E2198B"/>
    <w:rsid w:val="00E238C9"/>
    <w:rsid w:val="00E238F1"/>
    <w:rsid w:val="00E23B34"/>
    <w:rsid w:val="00E27683"/>
    <w:rsid w:val="00E43F44"/>
    <w:rsid w:val="00E442AD"/>
    <w:rsid w:val="00E45845"/>
    <w:rsid w:val="00E467CB"/>
    <w:rsid w:val="00E5359C"/>
    <w:rsid w:val="00E53BFE"/>
    <w:rsid w:val="00E55BC6"/>
    <w:rsid w:val="00E604E6"/>
    <w:rsid w:val="00E63623"/>
    <w:rsid w:val="00E63F20"/>
    <w:rsid w:val="00E64AD6"/>
    <w:rsid w:val="00E657AC"/>
    <w:rsid w:val="00E66FE4"/>
    <w:rsid w:val="00E6750B"/>
    <w:rsid w:val="00E72862"/>
    <w:rsid w:val="00E83386"/>
    <w:rsid w:val="00E86B94"/>
    <w:rsid w:val="00E86EF4"/>
    <w:rsid w:val="00E87814"/>
    <w:rsid w:val="00E9118C"/>
    <w:rsid w:val="00E91760"/>
    <w:rsid w:val="00E91F65"/>
    <w:rsid w:val="00E94267"/>
    <w:rsid w:val="00E95302"/>
    <w:rsid w:val="00E96AFC"/>
    <w:rsid w:val="00EA45F1"/>
    <w:rsid w:val="00EA78DF"/>
    <w:rsid w:val="00EA7C50"/>
    <w:rsid w:val="00EB55D9"/>
    <w:rsid w:val="00EC5A74"/>
    <w:rsid w:val="00EC5D83"/>
    <w:rsid w:val="00EC6170"/>
    <w:rsid w:val="00EC6175"/>
    <w:rsid w:val="00ED0041"/>
    <w:rsid w:val="00ED15BF"/>
    <w:rsid w:val="00ED2218"/>
    <w:rsid w:val="00ED44ED"/>
    <w:rsid w:val="00EE228B"/>
    <w:rsid w:val="00EE3BEC"/>
    <w:rsid w:val="00EE5832"/>
    <w:rsid w:val="00EF1564"/>
    <w:rsid w:val="00EF1C49"/>
    <w:rsid w:val="00EF30F6"/>
    <w:rsid w:val="00F017DE"/>
    <w:rsid w:val="00F01D76"/>
    <w:rsid w:val="00F03A46"/>
    <w:rsid w:val="00F051DA"/>
    <w:rsid w:val="00F072DA"/>
    <w:rsid w:val="00F074EC"/>
    <w:rsid w:val="00F07A8D"/>
    <w:rsid w:val="00F10E86"/>
    <w:rsid w:val="00F16B86"/>
    <w:rsid w:val="00F20518"/>
    <w:rsid w:val="00F21331"/>
    <w:rsid w:val="00F23717"/>
    <w:rsid w:val="00F24877"/>
    <w:rsid w:val="00F24CF5"/>
    <w:rsid w:val="00F26ACE"/>
    <w:rsid w:val="00F27D89"/>
    <w:rsid w:val="00F303E5"/>
    <w:rsid w:val="00F3258F"/>
    <w:rsid w:val="00F33EAF"/>
    <w:rsid w:val="00F34AC7"/>
    <w:rsid w:val="00F353E4"/>
    <w:rsid w:val="00F35F00"/>
    <w:rsid w:val="00F35F09"/>
    <w:rsid w:val="00F368AA"/>
    <w:rsid w:val="00F37E8E"/>
    <w:rsid w:val="00F427F0"/>
    <w:rsid w:val="00F43AE9"/>
    <w:rsid w:val="00F446C2"/>
    <w:rsid w:val="00F468A6"/>
    <w:rsid w:val="00F46A91"/>
    <w:rsid w:val="00F46B90"/>
    <w:rsid w:val="00F472A0"/>
    <w:rsid w:val="00F47C2C"/>
    <w:rsid w:val="00F52B74"/>
    <w:rsid w:val="00F5369C"/>
    <w:rsid w:val="00F53A5D"/>
    <w:rsid w:val="00F53FB1"/>
    <w:rsid w:val="00F55DA2"/>
    <w:rsid w:val="00F56A17"/>
    <w:rsid w:val="00F60661"/>
    <w:rsid w:val="00F60EF8"/>
    <w:rsid w:val="00F61EDC"/>
    <w:rsid w:val="00F62EBD"/>
    <w:rsid w:val="00F639FC"/>
    <w:rsid w:val="00F64CF1"/>
    <w:rsid w:val="00F655E0"/>
    <w:rsid w:val="00F67538"/>
    <w:rsid w:val="00F700B5"/>
    <w:rsid w:val="00F72854"/>
    <w:rsid w:val="00F751A1"/>
    <w:rsid w:val="00F75E04"/>
    <w:rsid w:val="00F7730A"/>
    <w:rsid w:val="00F803ED"/>
    <w:rsid w:val="00F82601"/>
    <w:rsid w:val="00F83B5E"/>
    <w:rsid w:val="00F9055B"/>
    <w:rsid w:val="00F93499"/>
    <w:rsid w:val="00F93D97"/>
    <w:rsid w:val="00F94A0F"/>
    <w:rsid w:val="00F96FE2"/>
    <w:rsid w:val="00F97499"/>
    <w:rsid w:val="00FA1520"/>
    <w:rsid w:val="00FA197E"/>
    <w:rsid w:val="00FA219F"/>
    <w:rsid w:val="00FA4DB4"/>
    <w:rsid w:val="00FA4E00"/>
    <w:rsid w:val="00FA7803"/>
    <w:rsid w:val="00FB29EA"/>
    <w:rsid w:val="00FB409C"/>
    <w:rsid w:val="00FB44B9"/>
    <w:rsid w:val="00FB4812"/>
    <w:rsid w:val="00FB6144"/>
    <w:rsid w:val="00FC1DEE"/>
    <w:rsid w:val="00FC20DF"/>
    <w:rsid w:val="00FC3859"/>
    <w:rsid w:val="00FC4E94"/>
    <w:rsid w:val="00FE10AE"/>
    <w:rsid w:val="00FE204B"/>
    <w:rsid w:val="00FE2813"/>
    <w:rsid w:val="00FE2D7D"/>
    <w:rsid w:val="00FE401D"/>
    <w:rsid w:val="00FF0643"/>
    <w:rsid w:val="00FF17C2"/>
    <w:rsid w:val="00FF1A99"/>
    <w:rsid w:val="00FF2B4F"/>
    <w:rsid w:val="00FF4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E5441FF-52FD-467C-B8A0-2E1ED796B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6F8"/>
    <w:pPr>
      <w:spacing w:line="480" w:lineRule="auto"/>
    </w:pPr>
    <w:rPr>
      <w:sz w:val="24"/>
    </w:rPr>
  </w:style>
  <w:style w:type="paragraph" w:styleId="Heading1">
    <w:name w:val="heading 1"/>
    <w:basedOn w:val="Normal"/>
    <w:next w:val="Normal"/>
    <w:qFormat/>
    <w:rsid w:val="006176F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rsid w:val="006176F8"/>
    <w:pPr>
      <w:tabs>
        <w:tab w:val="center" w:pos="4320"/>
        <w:tab w:val="right" w:pos="8640"/>
      </w:tabs>
    </w:pPr>
  </w:style>
  <w:style w:type="paragraph" w:styleId="Title">
    <w:name w:val="Title"/>
    <w:basedOn w:val="Normal"/>
    <w:link w:val="TitleChar"/>
    <w:qFormat/>
    <w:rsid w:val="006176F8"/>
    <w:pPr>
      <w:jc w:val="center"/>
    </w:pPr>
    <w:rPr>
      <w:b/>
      <w:bCs/>
    </w:rPr>
  </w:style>
  <w:style w:type="paragraph" w:styleId="FootnoteText">
    <w:name w:val="footnote text"/>
    <w:basedOn w:val="Normal"/>
    <w:link w:val="FootnoteTextChar"/>
    <w:semiHidden/>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uiPriority w:val="99"/>
    <w:qFormat/>
    <w:rsid w:val="006176F8"/>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link w:val="ModelNrmlDoubleChar"/>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semiHidden/>
    <w:rsid w:val="006176F8"/>
    <w:rPr>
      <w:sz w:val="16"/>
      <w:szCs w:val="16"/>
    </w:rPr>
  </w:style>
  <w:style w:type="paragraph" w:styleId="CommentText">
    <w:name w:val="annotation text"/>
    <w:basedOn w:val="Normal"/>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basedOn w:val="DefaultParagraphFont"/>
    <w:link w:val="FootnoteText"/>
    <w:semiHidden/>
    <w:rsid w:val="00F61EDC"/>
  </w:style>
  <w:style w:type="character" w:styleId="Hyperlink">
    <w:name w:val="Hyperlink"/>
    <w:basedOn w:val="DefaultParagraphFont"/>
    <w:rsid w:val="00235522"/>
    <w:rPr>
      <w:color w:val="0000FF"/>
      <w:u w:val="single"/>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025B43"/>
    <w:rPr>
      <w:sz w:val="24"/>
    </w:rPr>
  </w:style>
  <w:style w:type="paragraph" w:styleId="ListParagraph">
    <w:name w:val="List Paragraph"/>
    <w:aliases w:val="References,Bullets,List Paragraph (numbered (a)),List_Paragraph,Multilevel para_II,List Paragraph1,Numbered List Paragraph,NUMBERED PARAGRAPH,List Paragraph 1,Akapit z listą BS,Bullet1,Numbered Paragraph,Main numbered paragraph,Liste 1,Ha"/>
    <w:basedOn w:val="Normal"/>
    <w:link w:val="ListParagraphChar"/>
    <w:uiPriority w:val="34"/>
    <w:qFormat/>
    <w:rsid w:val="00F03A46"/>
    <w:pPr>
      <w:ind w:left="720"/>
    </w:pPr>
  </w:style>
  <w:style w:type="character" w:customStyle="1" w:styleId="ListParagraphChar">
    <w:name w:val="List Paragraph Char"/>
    <w:aliases w:val="References Char,Bullets Char,List Paragraph (numbered (a)) Char,List_Paragraph Char,Multilevel para_II Char,List Paragraph1 Char,Numbered List Paragraph Char,NUMBERED PARAGRAPH Char,List Paragraph 1 Char,Akapit z listą BS Char"/>
    <w:link w:val="ListParagraph"/>
    <w:uiPriority w:val="34"/>
    <w:qFormat/>
    <w:rsid w:val="004570BB"/>
    <w:rPr>
      <w:sz w:val="24"/>
    </w:rPr>
  </w:style>
  <w:style w:type="character" w:customStyle="1" w:styleId="HeaderChar">
    <w:name w:val="Header Char"/>
    <w:basedOn w:val="DefaultParagraphFont"/>
    <w:link w:val="Header"/>
    <w:uiPriority w:val="99"/>
    <w:rsid w:val="00981102"/>
    <w:rPr>
      <w:sz w:val="24"/>
    </w:rPr>
  </w:style>
  <w:style w:type="paragraph" w:styleId="NoSpacing">
    <w:name w:val="No Spacing"/>
    <w:uiPriority w:val="99"/>
    <w:qFormat/>
    <w:rsid w:val="006A2184"/>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E87814"/>
    <w:pPr>
      <w:spacing w:after="160" w:line="240" w:lineRule="exact"/>
    </w:pPr>
    <w:rPr>
      <w:sz w:val="20"/>
      <w:vertAlign w:val="superscript"/>
    </w:rPr>
  </w:style>
  <w:style w:type="paragraph" w:styleId="ListBullet">
    <w:name w:val="List Bullet"/>
    <w:basedOn w:val="Normal"/>
    <w:uiPriority w:val="99"/>
    <w:unhideWhenUsed/>
    <w:rsid w:val="006C7625"/>
    <w:pPr>
      <w:numPr>
        <w:numId w:val="16"/>
      </w:numPr>
      <w:spacing w:after="160" w:line="259" w:lineRule="auto"/>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623C0A"/>
    <w:pPr>
      <w:spacing w:before="100" w:beforeAutospacing="1" w:after="100" w:afterAutospacing="1" w:line="240" w:lineRule="auto"/>
    </w:pPr>
    <w:rPr>
      <w:szCs w:val="24"/>
    </w:rPr>
  </w:style>
  <w:style w:type="paragraph" w:customStyle="1" w:styleId="2zakon">
    <w:name w:val="2zakon"/>
    <w:basedOn w:val="Normal"/>
    <w:rsid w:val="0021552A"/>
    <w:pPr>
      <w:spacing w:before="100" w:beforeAutospacing="1" w:after="100" w:afterAutospacing="1" w:line="240" w:lineRule="auto"/>
      <w:jc w:val="center"/>
    </w:pPr>
    <w:rPr>
      <w:rFonts w:ascii="Arial" w:hAnsi="Arial" w:cs="Arial"/>
      <w:color w:val="0033CC"/>
      <w:sz w:val="36"/>
      <w:szCs w:val="36"/>
    </w:rPr>
  </w:style>
  <w:style w:type="character" w:customStyle="1" w:styleId="TitleChar">
    <w:name w:val="Title Char"/>
    <w:basedOn w:val="DefaultParagraphFont"/>
    <w:link w:val="Title"/>
    <w:rsid w:val="00357BB1"/>
    <w:rPr>
      <w:b/>
      <w:bCs/>
      <w:sz w:val="24"/>
    </w:rPr>
  </w:style>
  <w:style w:type="paragraph" w:customStyle="1" w:styleId="ModelNrmlSingle">
    <w:name w:val="ModelNrmlSingle"/>
    <w:basedOn w:val="Normal"/>
    <w:link w:val="ModelNrmlSingleChar"/>
    <w:rsid w:val="00357BB1"/>
    <w:pPr>
      <w:spacing w:after="240" w:line="240" w:lineRule="auto"/>
      <w:ind w:firstLine="720"/>
      <w:jc w:val="both"/>
    </w:pPr>
    <w:rPr>
      <w:sz w:val="22"/>
    </w:rPr>
  </w:style>
  <w:style w:type="paragraph" w:customStyle="1" w:styleId="Default">
    <w:name w:val="Default"/>
    <w:rsid w:val="00357BB1"/>
    <w:pPr>
      <w:autoSpaceDE w:val="0"/>
      <w:autoSpaceDN w:val="0"/>
      <w:adjustRightInd w:val="0"/>
    </w:pPr>
    <w:rPr>
      <w:color w:val="000000"/>
      <w:sz w:val="24"/>
      <w:szCs w:val="24"/>
    </w:rPr>
  </w:style>
  <w:style w:type="character" w:customStyle="1" w:styleId="ModelNrmlDoubleChar">
    <w:name w:val="ModelNrmlDouble Char"/>
    <w:basedOn w:val="DefaultParagraphFont"/>
    <w:link w:val="ModelNrmlDouble"/>
    <w:rsid w:val="00357BB1"/>
    <w:rPr>
      <w:sz w:val="22"/>
    </w:rPr>
  </w:style>
  <w:style w:type="character" w:customStyle="1" w:styleId="Style1">
    <w:name w:val="Style1"/>
    <w:basedOn w:val="DefaultParagraphFont"/>
    <w:uiPriority w:val="1"/>
    <w:rsid w:val="00357BB1"/>
    <w:rPr>
      <w:color w:val="FFFFFF" w:themeColor="background1"/>
    </w:rPr>
  </w:style>
  <w:style w:type="character" w:customStyle="1" w:styleId="ModelNrmlSingleChar">
    <w:name w:val="ModelNrmlSingle Char"/>
    <w:link w:val="ModelNrmlSingle"/>
    <w:rsid w:val="00357BB1"/>
    <w:rPr>
      <w:sz w:val="22"/>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uiPriority w:val="99"/>
    <w:rsid w:val="00357BB1"/>
    <w:pPr>
      <w:spacing w:after="160" w:line="240" w:lineRule="exact"/>
      <w:jc w:val="both"/>
    </w:pPr>
    <w:rPr>
      <w:rFonts w:asciiTheme="minorHAnsi" w:eastAsiaTheme="minorHAnsi" w:hAnsiTheme="minorHAnsi" w:cstheme="minorBidi"/>
      <w:sz w:val="22"/>
      <w:szCs w:val="22"/>
      <w:vertAlign w:val="superscript"/>
    </w:rPr>
  </w:style>
  <w:style w:type="paragraph" w:customStyle="1" w:styleId="BVIfnrCarCar">
    <w:name w:val="BVI fnr Car Car"/>
    <w:aliases w:val=" BVI fnr Car Car Car Car Char,BVI fnr Car,BVI fnr Car Car Car Car Char"/>
    <w:basedOn w:val="Normal"/>
    <w:uiPriority w:val="99"/>
    <w:rsid w:val="008D57CD"/>
    <w:pPr>
      <w:spacing w:after="160" w:line="240" w:lineRule="exact"/>
    </w:pPr>
    <w:rPr>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232478">
      <w:bodyDiv w:val="1"/>
      <w:marLeft w:val="0"/>
      <w:marRight w:val="0"/>
      <w:marTop w:val="0"/>
      <w:marBottom w:val="0"/>
      <w:divBdr>
        <w:top w:val="none" w:sz="0" w:space="0" w:color="auto"/>
        <w:left w:val="none" w:sz="0" w:space="0" w:color="auto"/>
        <w:bottom w:val="none" w:sz="0" w:space="0" w:color="auto"/>
        <w:right w:val="none" w:sz="0" w:space="0" w:color="auto"/>
      </w:divBdr>
    </w:div>
    <w:div w:id="262685933">
      <w:bodyDiv w:val="1"/>
      <w:marLeft w:val="0"/>
      <w:marRight w:val="0"/>
      <w:marTop w:val="0"/>
      <w:marBottom w:val="0"/>
      <w:divBdr>
        <w:top w:val="none" w:sz="0" w:space="0" w:color="auto"/>
        <w:left w:val="none" w:sz="0" w:space="0" w:color="auto"/>
        <w:bottom w:val="none" w:sz="0" w:space="0" w:color="auto"/>
        <w:right w:val="none" w:sz="0" w:space="0" w:color="auto"/>
      </w:divBdr>
    </w:div>
    <w:div w:id="344332364">
      <w:bodyDiv w:val="1"/>
      <w:marLeft w:val="0"/>
      <w:marRight w:val="0"/>
      <w:marTop w:val="0"/>
      <w:marBottom w:val="0"/>
      <w:divBdr>
        <w:top w:val="none" w:sz="0" w:space="0" w:color="auto"/>
        <w:left w:val="none" w:sz="0" w:space="0" w:color="auto"/>
        <w:bottom w:val="none" w:sz="0" w:space="0" w:color="auto"/>
        <w:right w:val="none" w:sz="0" w:space="0" w:color="auto"/>
      </w:divBdr>
      <w:divsChild>
        <w:div w:id="1500123795">
          <w:marLeft w:val="0"/>
          <w:marRight w:val="0"/>
          <w:marTop w:val="0"/>
          <w:marBottom w:val="0"/>
          <w:divBdr>
            <w:top w:val="none" w:sz="0" w:space="0" w:color="auto"/>
            <w:left w:val="none" w:sz="0" w:space="0" w:color="auto"/>
            <w:bottom w:val="none" w:sz="0" w:space="0" w:color="auto"/>
            <w:right w:val="none" w:sz="0" w:space="0" w:color="auto"/>
          </w:divBdr>
          <w:divsChild>
            <w:div w:id="1253978118">
              <w:marLeft w:val="0"/>
              <w:marRight w:val="0"/>
              <w:marTop w:val="0"/>
              <w:marBottom w:val="0"/>
              <w:divBdr>
                <w:top w:val="none" w:sz="0" w:space="0" w:color="auto"/>
                <w:left w:val="none" w:sz="0" w:space="0" w:color="auto"/>
                <w:bottom w:val="none" w:sz="0" w:space="0" w:color="auto"/>
                <w:right w:val="none" w:sz="0" w:space="0" w:color="auto"/>
              </w:divBdr>
              <w:divsChild>
                <w:div w:id="1829857416">
                  <w:marLeft w:val="0"/>
                  <w:marRight w:val="0"/>
                  <w:marTop w:val="0"/>
                  <w:marBottom w:val="0"/>
                  <w:divBdr>
                    <w:top w:val="none" w:sz="0" w:space="0" w:color="auto"/>
                    <w:left w:val="none" w:sz="0" w:space="0" w:color="auto"/>
                    <w:bottom w:val="none" w:sz="0" w:space="0" w:color="auto"/>
                    <w:right w:val="none" w:sz="0" w:space="0" w:color="auto"/>
                  </w:divBdr>
                  <w:divsChild>
                    <w:div w:id="1410886576">
                      <w:marLeft w:val="0"/>
                      <w:marRight w:val="0"/>
                      <w:marTop w:val="0"/>
                      <w:marBottom w:val="0"/>
                      <w:divBdr>
                        <w:top w:val="none" w:sz="0" w:space="0" w:color="auto"/>
                        <w:left w:val="none" w:sz="0" w:space="0" w:color="auto"/>
                        <w:bottom w:val="none" w:sz="0" w:space="0" w:color="auto"/>
                        <w:right w:val="none" w:sz="0" w:space="0" w:color="auto"/>
                      </w:divBdr>
                      <w:divsChild>
                        <w:div w:id="532957101">
                          <w:marLeft w:val="0"/>
                          <w:marRight w:val="0"/>
                          <w:marTop w:val="0"/>
                          <w:marBottom w:val="0"/>
                          <w:divBdr>
                            <w:top w:val="none" w:sz="0" w:space="0" w:color="auto"/>
                            <w:left w:val="none" w:sz="0" w:space="0" w:color="auto"/>
                            <w:bottom w:val="none" w:sz="0" w:space="0" w:color="auto"/>
                            <w:right w:val="none" w:sz="0" w:space="0" w:color="auto"/>
                          </w:divBdr>
                          <w:divsChild>
                            <w:div w:id="1281693311">
                              <w:marLeft w:val="0"/>
                              <w:marRight w:val="0"/>
                              <w:marTop w:val="0"/>
                              <w:marBottom w:val="0"/>
                              <w:divBdr>
                                <w:top w:val="none" w:sz="0" w:space="0" w:color="auto"/>
                                <w:left w:val="none" w:sz="0" w:space="0" w:color="auto"/>
                                <w:bottom w:val="none" w:sz="0" w:space="0" w:color="auto"/>
                                <w:right w:val="none" w:sz="0" w:space="0" w:color="auto"/>
                              </w:divBdr>
                              <w:divsChild>
                                <w:div w:id="366565097">
                                  <w:marLeft w:val="0"/>
                                  <w:marRight w:val="0"/>
                                  <w:marTop w:val="0"/>
                                  <w:marBottom w:val="0"/>
                                  <w:divBdr>
                                    <w:top w:val="none" w:sz="0" w:space="0" w:color="auto"/>
                                    <w:left w:val="none" w:sz="0" w:space="0" w:color="auto"/>
                                    <w:bottom w:val="none" w:sz="0" w:space="0" w:color="auto"/>
                                    <w:right w:val="none" w:sz="0" w:space="0" w:color="auto"/>
                                  </w:divBdr>
                                  <w:divsChild>
                                    <w:div w:id="344745451">
                                      <w:marLeft w:val="0"/>
                                      <w:marRight w:val="0"/>
                                      <w:marTop w:val="180"/>
                                      <w:marBottom w:val="0"/>
                                      <w:divBdr>
                                        <w:top w:val="none" w:sz="0" w:space="0" w:color="auto"/>
                                        <w:left w:val="none" w:sz="0" w:space="0" w:color="auto"/>
                                        <w:bottom w:val="none" w:sz="0" w:space="0" w:color="auto"/>
                                        <w:right w:val="none" w:sz="0" w:space="0" w:color="auto"/>
                                      </w:divBdr>
                                      <w:divsChild>
                                        <w:div w:id="11255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1507249">
      <w:bodyDiv w:val="1"/>
      <w:marLeft w:val="0"/>
      <w:marRight w:val="0"/>
      <w:marTop w:val="0"/>
      <w:marBottom w:val="0"/>
      <w:divBdr>
        <w:top w:val="none" w:sz="0" w:space="0" w:color="auto"/>
        <w:left w:val="none" w:sz="0" w:space="0" w:color="auto"/>
        <w:bottom w:val="none" w:sz="0" w:space="0" w:color="auto"/>
        <w:right w:val="none" w:sz="0" w:space="0" w:color="auto"/>
      </w:divBdr>
    </w:div>
    <w:div w:id="843283623">
      <w:bodyDiv w:val="1"/>
      <w:marLeft w:val="0"/>
      <w:marRight w:val="0"/>
      <w:marTop w:val="0"/>
      <w:marBottom w:val="0"/>
      <w:divBdr>
        <w:top w:val="none" w:sz="0" w:space="0" w:color="auto"/>
        <w:left w:val="none" w:sz="0" w:space="0" w:color="auto"/>
        <w:bottom w:val="none" w:sz="0" w:space="0" w:color="auto"/>
        <w:right w:val="none" w:sz="0" w:space="0" w:color="auto"/>
      </w:divBdr>
    </w:div>
    <w:div w:id="1466852164">
      <w:bodyDiv w:val="1"/>
      <w:marLeft w:val="0"/>
      <w:marRight w:val="0"/>
      <w:marTop w:val="0"/>
      <w:marBottom w:val="0"/>
      <w:divBdr>
        <w:top w:val="none" w:sz="0" w:space="0" w:color="auto"/>
        <w:left w:val="none" w:sz="0" w:space="0" w:color="auto"/>
        <w:bottom w:val="none" w:sz="0" w:space="0" w:color="auto"/>
        <w:right w:val="none" w:sz="0" w:space="0" w:color="auto"/>
      </w:divBdr>
    </w:div>
    <w:div w:id="204728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policies.worldbank.org" TargetMode="External"/><Relationship Id="rId2" Type="http://schemas.openxmlformats.org/officeDocument/2006/relationships/customXml" Target="../customXml/item2.xml"/><Relationship Id="rId16" Type="http://schemas.openxmlformats.org/officeDocument/2006/relationships/image" Target="media/image1.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sndegwa@worldbank.org" TargetMode="Externa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abinet@mfin.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octype xmlns="5b94bb0f-675b-486d-a168-4f3fe8053d41">2</doctype>
    <Status xmlns="5b94bb0f-675b-486d-a168-4f3fe8053d41">Current</Status>
    <Author0 xmlns="5b94bb0f-675b-486d-a168-4f3fe8053d41">
      <UserInfo>
        <DisplayName>Claudia M. Pardinas Ocana</DisplayName>
        <AccountId>72</AccountId>
        <AccountType/>
      </UserInfo>
    </Author0>
    <Document_x0020_Date xmlns="5b94bb0f-675b-486d-a168-4f3fe8053d41">2016-05-09T04:00:00+00:00</Document_x0020_Date>
    <SubCategory xmlns="5b94bb0f-675b-486d-a168-4f3fe8053d41">6</SubCategory>
    <NPF xmlns="5b94bb0f-675b-486d-a168-4f3fe8053d41">No</NP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0AEE212C66E148986CAE330FC74644" ma:contentTypeVersion="13" ma:contentTypeDescription="Create a new document." ma:contentTypeScope="" ma:versionID="2f5a90d1392f5ff0166d1a47439deb24">
  <xsd:schema xmlns:xsd="http://www.w3.org/2001/XMLSchema" xmlns:xs="http://www.w3.org/2001/XMLSchema" xmlns:p="http://schemas.microsoft.com/office/2006/metadata/properties" xmlns:ns2="5b94bb0f-675b-486d-a168-4f3fe8053d41" targetNamespace="http://schemas.microsoft.com/office/2006/metadata/properties" ma:root="true" ma:fieldsID="9fcce4454e6f89f5a54e8431a1cffa28" ns2:_="">
    <xsd:import namespace="5b94bb0f-675b-486d-a168-4f3fe8053d41"/>
    <xsd:element name="properties">
      <xsd:complexType>
        <xsd:sequence>
          <xsd:element name="documentManagement">
            <xsd:complexType>
              <xsd:all>
                <xsd:element ref="ns2:Status" minOccurs="0"/>
                <xsd:element ref="ns2:doctype" minOccurs="0"/>
                <xsd:element ref="ns2:Document_x0020_Date"/>
                <xsd:element ref="ns2:Author0" minOccurs="0"/>
                <xsd:element ref="ns2:NPF"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4bb0f-675b-486d-a168-4f3fe8053d41"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Current"/>
          <xsd:enumeration value="Archived"/>
        </xsd:restriction>
      </xsd:simpleType>
    </xsd:element>
    <xsd:element name="doctype" ma:index="9" nillable="true" ma:displayName="Category" ma:indexed="true" ma:list="{1e63fdeb-c388-4023-bab9-89940afbf524}" ma:internalName="doctype" ma:readOnly="false" ma:showField="Title">
      <xsd:simpleType>
        <xsd:restriction base="dms:Lookup"/>
      </xsd:simpleType>
    </xsd:element>
    <xsd:element name="Document_x0020_Date" ma:index="10" ma:displayName="Document Date" ma:format="DateOnly" ma:internalName="Document_x0020_Date">
      <xsd:simpleType>
        <xsd:restriction base="dms:DateTime"/>
      </xsd:simpleType>
    </xsd:element>
    <xsd:element name="Author0" ma:index="11" nillable="true" ma:displayName="Author" ma:list="UserInfo" ma:SharePointGroup="0" ma:internalName="Autho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PF" ma:index="12" nillable="true" ma:displayName="NPF" ma:default="No" ma:format="Dropdown" ma:internalName="NPF">
      <xsd:simpleType>
        <xsd:restriction base="dms:Choice">
          <xsd:enumeration value="No"/>
          <xsd:enumeration value="Yes"/>
        </xsd:restriction>
      </xsd:simpleType>
    </xsd:element>
    <xsd:element name="SubCategory" ma:index="13" nillable="true" ma:displayName="SubCategory" ma:list="{294bc7fc-65bc-468d-b8e0-d5d03ad964a7}" ma:internalName="Sub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5b94bb0f-675b-486d-a168-4f3fe8053d41"/>
  </ds:schemaRefs>
</ds:datastoreItem>
</file>

<file path=customXml/itemProps2.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3.xml><?xml version="1.0" encoding="utf-8"?>
<ds:datastoreItem xmlns:ds="http://schemas.openxmlformats.org/officeDocument/2006/customXml" ds:itemID="{FBF4BAB2-84D4-4939-86FA-7E0B8966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4bb0f-675b-486d-a168-4f3fe8053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8A7875-D4EF-4826-9BA6-E4FD089308FA}">
  <ds:schemaRefs>
    <ds:schemaRef ds:uri="http://schemas.openxmlformats.org/officeDocument/2006/bibliography"/>
  </ds:schemaRefs>
</ds:datastoreItem>
</file>

<file path=customXml/itemProps5.xml><?xml version="1.0" encoding="utf-8"?>
<ds:datastoreItem xmlns:ds="http://schemas.openxmlformats.org/officeDocument/2006/customXml" ds:itemID="{1092E581-DCE4-4FAC-84FF-219C0936D0C8}">
  <ds:schemaRefs>
    <ds:schemaRef ds:uri="http://schemas.openxmlformats.org/officeDocument/2006/bibliography"/>
  </ds:schemaRefs>
</ds:datastoreItem>
</file>

<file path=customXml/itemProps6.xml><?xml version="1.0" encoding="utf-8"?>
<ds:datastoreItem xmlns:ds="http://schemas.openxmlformats.org/officeDocument/2006/customXml" ds:itemID="{7E573CB5-35C2-4880-8F47-585AEAB60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3780</Words>
  <Characters>21547</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Loan Agreement (DPF), 2016</vt:lpstr>
    </vt:vector>
  </TitlesOfParts>
  <Company>Compaq</Company>
  <LinksUpToDate>false</LinksUpToDate>
  <CharactersWithSpaces>25277</CharactersWithSpaces>
  <SharedDoc>false</SharedDoc>
  <HLinks>
    <vt:vector size="6" baseType="variant">
      <vt:variant>
        <vt:i4>6881397</vt:i4>
      </vt:variant>
      <vt:variant>
        <vt:i4>0</vt:i4>
      </vt:variant>
      <vt:variant>
        <vt:i4>0</vt:i4>
      </vt:variant>
      <vt:variant>
        <vt:i4>5</vt:i4>
      </vt:variant>
      <vt:variant>
        <vt:lpwstr>http://treasury.worldbank.org/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(DPF), 2016</dc:title>
  <dc:creator>Clifford W. Garstang</dc:creator>
  <cp:lastModifiedBy>Bojan Grgic</cp:lastModifiedBy>
  <cp:revision>2</cp:revision>
  <cp:lastPrinted>2019-05-09T11:49:00Z</cp:lastPrinted>
  <dcterms:created xsi:type="dcterms:W3CDTF">2019-05-10T14:30:00Z</dcterms:created>
  <dcterms:modified xsi:type="dcterms:W3CDTF">2019-05-10T14:30:00Z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ies>
</file>