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D5A" w:rsidRDefault="00934D5A" w:rsidP="00934D5A">
      <w:pPr>
        <w:jc w:val="center"/>
        <w:rPr>
          <w:rFonts w:ascii="Times New Roman" w:hAnsi="Times New Roman"/>
          <w:b/>
          <w:lang w:val="ru-RU"/>
        </w:rPr>
      </w:pPr>
      <w:r>
        <w:rPr>
          <w:rFonts w:ascii="Times New Roman" w:hAnsi="Times New Roman"/>
          <w:b/>
          <w:lang w:val="sr-Cyrl-CS"/>
        </w:rPr>
        <w:t>ПРЕДЛОГ</w:t>
      </w:r>
      <w:r>
        <w:rPr>
          <w:rFonts w:ascii="Times New Roman" w:hAnsi="Times New Roman"/>
          <w:b/>
          <w:lang w:val="sr-Cyrl-RS"/>
        </w:rPr>
        <w:t xml:space="preserve"> </w:t>
      </w:r>
      <w:r w:rsidRPr="006F1043">
        <w:rPr>
          <w:rFonts w:ascii="Times New Roman" w:hAnsi="Times New Roman"/>
          <w:b/>
          <w:lang w:val="ru-RU"/>
        </w:rPr>
        <w:t xml:space="preserve">ЗАКОНА </w:t>
      </w:r>
    </w:p>
    <w:p w:rsidR="00934D5A" w:rsidRPr="003361E5" w:rsidRDefault="00934D5A" w:rsidP="00934D5A">
      <w:pPr>
        <w:jc w:val="center"/>
        <w:rPr>
          <w:rFonts w:ascii="Times New Roman" w:hAnsi="Times New Roman"/>
          <w:b/>
          <w:lang w:val="sr-Latn-CS"/>
        </w:rPr>
      </w:pPr>
      <w:r w:rsidRPr="006F1043">
        <w:rPr>
          <w:rFonts w:ascii="Times New Roman" w:hAnsi="Times New Roman"/>
          <w:b/>
          <w:lang w:val="sr-Cyrl-CS"/>
        </w:rPr>
        <w:t xml:space="preserve">О ИЗМЕНАМА И ДОПУНАМА </w:t>
      </w:r>
    </w:p>
    <w:p w:rsidR="00934D5A" w:rsidRPr="006F1043" w:rsidRDefault="00934D5A" w:rsidP="00934D5A">
      <w:pPr>
        <w:jc w:val="center"/>
        <w:rPr>
          <w:rFonts w:ascii="Times New Roman" w:hAnsi="Times New Roman"/>
          <w:b/>
          <w:lang w:val="ru-RU"/>
        </w:rPr>
      </w:pPr>
      <w:r w:rsidRPr="006F1043">
        <w:rPr>
          <w:rFonts w:ascii="Times New Roman" w:hAnsi="Times New Roman"/>
          <w:b/>
          <w:lang w:val="sr-Cyrl-CS"/>
        </w:rPr>
        <w:t>ЗАКОНА О ИЗВР</w:t>
      </w:r>
      <w:r w:rsidRPr="006F1043">
        <w:rPr>
          <w:rFonts w:ascii="Times New Roman" w:hAnsi="Times New Roman"/>
          <w:b/>
          <w:lang w:val="ru-RU"/>
        </w:rPr>
        <w:t>ШЕЊУ КРИВИЧНИХ САНКЦИЈА</w:t>
      </w:r>
    </w:p>
    <w:p w:rsidR="00934D5A" w:rsidRPr="00F622C4" w:rsidRDefault="00934D5A" w:rsidP="00934D5A">
      <w:pPr>
        <w:tabs>
          <w:tab w:val="left" w:pos="3645"/>
        </w:tabs>
        <w:jc w:val="center"/>
        <w:rPr>
          <w:rFonts w:ascii="Times New Roman" w:hAnsi="Times New Roman"/>
          <w:b/>
          <w:lang w:val="sr-Cyrl-CS"/>
        </w:rPr>
      </w:pPr>
    </w:p>
    <w:p w:rsidR="00934D5A" w:rsidRPr="00D57F6B" w:rsidRDefault="00934D5A" w:rsidP="00934D5A">
      <w:pPr>
        <w:jc w:val="center"/>
        <w:rPr>
          <w:rFonts w:ascii="Times New Roman" w:hAnsi="Times New Roman"/>
          <w:lang w:val="sr-Cyrl-CS"/>
        </w:rPr>
      </w:pPr>
      <w:r w:rsidRPr="006F1043">
        <w:rPr>
          <w:rFonts w:ascii="Times New Roman" w:hAnsi="Times New Roman"/>
          <w:lang w:val="sr-Cyrl-CS"/>
        </w:rPr>
        <w:t>Члан 1.</w:t>
      </w:r>
    </w:p>
    <w:p w:rsidR="00934D5A" w:rsidRDefault="00934D5A" w:rsidP="00934D5A">
      <w:pPr>
        <w:ind w:firstLine="708"/>
        <w:jc w:val="both"/>
        <w:rPr>
          <w:rFonts w:ascii="Times New Roman" w:hAnsi="Times New Roman"/>
          <w:lang w:val="sr-Cyrl-CS"/>
        </w:rPr>
      </w:pPr>
      <w:r w:rsidRPr="006F1043">
        <w:rPr>
          <w:rFonts w:ascii="Times New Roman" w:hAnsi="Times New Roman"/>
          <w:lang w:val="sr-Cyrl-CS"/>
        </w:rPr>
        <w:t>У Закону о</w:t>
      </w:r>
      <w:r>
        <w:rPr>
          <w:rFonts w:ascii="Times New Roman" w:hAnsi="Times New Roman"/>
          <w:lang w:val="sr-Cyrl-CS"/>
        </w:rPr>
        <w:t xml:space="preserve"> извршењу кривичних санкција („Службени гласник РС</w:t>
      </w:r>
      <w:r>
        <w:rPr>
          <w:rFonts w:ascii="Times New Roman" w:hAnsi="Times New Roman"/>
          <w:lang w:val="ru-RU"/>
        </w:rPr>
        <w:t>”,</w:t>
      </w:r>
      <w:r>
        <w:rPr>
          <w:rFonts w:ascii="Times New Roman" w:hAnsi="Times New Roman"/>
          <w:lang w:val="sr-Cyrl-CS"/>
        </w:rPr>
        <w:t xml:space="preserve"> број </w:t>
      </w:r>
      <w:r>
        <w:rPr>
          <w:rFonts w:ascii="Times New Roman" w:hAnsi="Times New Roman"/>
        </w:rPr>
        <w:t>5</w:t>
      </w:r>
      <w:r>
        <w:rPr>
          <w:rFonts w:ascii="Times New Roman" w:hAnsi="Times New Roman"/>
          <w:lang w:val="sr-Cyrl-CS"/>
        </w:rPr>
        <w:t>5/14)</w:t>
      </w:r>
      <w:r>
        <w:rPr>
          <w:rFonts w:ascii="Times New Roman" w:hAnsi="Times New Roman"/>
        </w:rPr>
        <w:t>,</w:t>
      </w:r>
      <w:r>
        <w:rPr>
          <w:rFonts w:ascii="Times New Roman" w:hAnsi="Times New Roman"/>
          <w:lang w:val="sr-Cyrl-CS"/>
        </w:rPr>
        <w:t xml:space="preserve"> у члану 17. став 4. мења се и гласи: </w:t>
      </w:r>
    </w:p>
    <w:p w:rsidR="00934D5A" w:rsidRDefault="00934D5A" w:rsidP="00934D5A">
      <w:pPr>
        <w:ind w:firstLine="708"/>
        <w:jc w:val="both"/>
        <w:rPr>
          <w:rFonts w:ascii="Times New Roman" w:hAnsi="Times New Roman"/>
        </w:rPr>
      </w:pPr>
      <w:r>
        <w:rPr>
          <w:rFonts w:ascii="Times New Roman" w:hAnsi="Times New Roman"/>
          <w:lang w:val="sr-Cyrl-CS"/>
        </w:rPr>
        <w:t>„</w:t>
      </w:r>
      <w:r>
        <w:rPr>
          <w:lang w:val="sr-Cyrl-CS"/>
        </w:rPr>
        <w:t>П</w:t>
      </w:r>
      <w:r w:rsidRPr="00995719">
        <w:rPr>
          <w:rFonts w:hint="eastAsia"/>
          <w:lang w:val="sr-Cyrl-CS"/>
        </w:rPr>
        <w:t>ропис</w:t>
      </w:r>
      <w:r w:rsidRPr="00995719">
        <w:rPr>
          <w:lang w:val="sr-Cyrl-CS"/>
        </w:rPr>
        <w:t xml:space="preserve"> </w:t>
      </w:r>
      <w:r w:rsidRPr="00995719">
        <w:rPr>
          <w:rFonts w:hint="eastAsia"/>
          <w:lang w:val="sr-Cyrl-CS"/>
        </w:rPr>
        <w:t>који</w:t>
      </w:r>
      <w:r w:rsidRPr="00995719">
        <w:rPr>
          <w:lang w:val="sr-Cyrl-CS"/>
        </w:rPr>
        <w:t xml:space="preserve"> </w:t>
      </w:r>
      <w:r w:rsidRPr="00995719">
        <w:rPr>
          <w:rFonts w:hint="eastAsia"/>
          <w:lang w:val="sr-Cyrl-CS"/>
        </w:rPr>
        <w:t>уређује</w:t>
      </w:r>
      <w:r w:rsidRPr="00995719">
        <w:rPr>
          <w:lang w:val="sr-Cyrl-CS"/>
        </w:rPr>
        <w:t xml:space="preserve"> </w:t>
      </w:r>
      <w:r w:rsidRPr="00995719">
        <w:rPr>
          <w:rFonts w:hint="eastAsia"/>
          <w:lang w:val="sr-Cyrl-CS"/>
        </w:rPr>
        <w:t>рад</w:t>
      </w:r>
      <w:r w:rsidRPr="00995719">
        <w:rPr>
          <w:lang w:val="sr-Cyrl-CS"/>
        </w:rPr>
        <w:t xml:space="preserve"> </w:t>
      </w:r>
      <w:r>
        <w:rPr>
          <w:lang w:val="sr-Cyrl-CS"/>
        </w:rPr>
        <w:t>Ц</w:t>
      </w:r>
      <w:r w:rsidRPr="00995719">
        <w:rPr>
          <w:rFonts w:hint="eastAsia"/>
          <w:lang w:val="sr-Cyrl-CS"/>
        </w:rPr>
        <w:t>ентра</w:t>
      </w:r>
      <w:r w:rsidRPr="00995719">
        <w:rPr>
          <w:lang w:val="sr-Cyrl-CS"/>
        </w:rPr>
        <w:t xml:space="preserve"> </w:t>
      </w:r>
      <w:r w:rsidRPr="00995719">
        <w:rPr>
          <w:rFonts w:hint="eastAsia"/>
          <w:lang w:val="sr-Cyrl-CS"/>
        </w:rPr>
        <w:t>за</w:t>
      </w:r>
      <w:r w:rsidRPr="00995719">
        <w:rPr>
          <w:lang w:val="sr-Cyrl-CS"/>
        </w:rPr>
        <w:t xml:space="preserve"> </w:t>
      </w:r>
      <w:r w:rsidRPr="00995719">
        <w:rPr>
          <w:rFonts w:hint="eastAsia"/>
          <w:lang w:val="sr-Cyrl-CS"/>
        </w:rPr>
        <w:t>обуку</w:t>
      </w:r>
      <w:r w:rsidRPr="00995719">
        <w:rPr>
          <w:lang w:val="sr-Cyrl-CS"/>
        </w:rPr>
        <w:t xml:space="preserve">, </w:t>
      </w:r>
      <w:r>
        <w:rPr>
          <w:rFonts w:hint="eastAsia"/>
          <w:lang w:val="sr-Cyrl-CS"/>
        </w:rPr>
        <w:t>као</w:t>
      </w:r>
      <w:r>
        <w:rPr>
          <w:lang w:val="sr-Cyrl-CS"/>
        </w:rPr>
        <w:t xml:space="preserve"> </w:t>
      </w:r>
      <w:r>
        <w:rPr>
          <w:rFonts w:hint="eastAsia"/>
          <w:lang w:val="sr-Cyrl-CS"/>
        </w:rPr>
        <w:t>и</w:t>
      </w:r>
      <w:r>
        <w:rPr>
          <w:lang w:val="sr-Cyrl-CS"/>
        </w:rPr>
        <w:t xml:space="preserve"> </w:t>
      </w:r>
      <w:r w:rsidRPr="00995719">
        <w:rPr>
          <w:rFonts w:hint="eastAsia"/>
          <w:lang w:val="sr-Cyrl-CS"/>
        </w:rPr>
        <w:t>орга</w:t>
      </w:r>
      <w:r>
        <w:rPr>
          <w:rFonts w:hint="eastAsia"/>
          <w:lang w:val="sr-Cyrl-CS"/>
        </w:rPr>
        <w:t>низовање</w:t>
      </w:r>
      <w:r>
        <w:rPr>
          <w:lang w:val="sr-Cyrl-CS"/>
        </w:rPr>
        <w:t xml:space="preserve"> </w:t>
      </w:r>
      <w:r>
        <w:rPr>
          <w:rFonts w:hint="eastAsia"/>
          <w:lang w:val="sr-Cyrl-CS"/>
        </w:rPr>
        <w:t>и</w:t>
      </w:r>
      <w:r>
        <w:rPr>
          <w:lang w:val="sr-Cyrl-CS"/>
        </w:rPr>
        <w:t xml:space="preserve"> </w:t>
      </w:r>
      <w:r>
        <w:rPr>
          <w:rFonts w:hint="eastAsia"/>
          <w:lang w:val="sr-Cyrl-CS"/>
        </w:rPr>
        <w:t>спровођење</w:t>
      </w:r>
      <w:r>
        <w:rPr>
          <w:lang w:val="sr-Cyrl-CS"/>
        </w:rPr>
        <w:t xml:space="preserve"> </w:t>
      </w:r>
      <w:r>
        <w:rPr>
          <w:rFonts w:hint="eastAsia"/>
          <w:lang w:val="sr-Cyrl-CS"/>
        </w:rPr>
        <w:t>обуке</w:t>
      </w:r>
      <w:r>
        <w:rPr>
          <w:lang w:val="sr-Cyrl-CS"/>
        </w:rPr>
        <w:t xml:space="preserve">, </w:t>
      </w:r>
      <w:r>
        <w:rPr>
          <w:rFonts w:hint="eastAsia"/>
          <w:lang w:val="sr-Cyrl-CS"/>
        </w:rPr>
        <w:t>стр</w:t>
      </w:r>
      <w:r w:rsidRPr="00995719">
        <w:rPr>
          <w:rFonts w:hint="eastAsia"/>
          <w:lang w:val="sr-Cyrl-CS"/>
        </w:rPr>
        <w:t>учног</w:t>
      </w:r>
      <w:r w:rsidRPr="00995719">
        <w:rPr>
          <w:lang w:val="sr-Cyrl-CS"/>
        </w:rPr>
        <w:t xml:space="preserve"> </w:t>
      </w:r>
      <w:r w:rsidRPr="00995719">
        <w:rPr>
          <w:rFonts w:hint="eastAsia"/>
          <w:lang w:val="sr-Cyrl-CS"/>
        </w:rPr>
        <w:t>оспособљавања</w:t>
      </w:r>
      <w:r w:rsidRPr="00995719">
        <w:rPr>
          <w:lang w:val="sr-Cyrl-CS"/>
        </w:rPr>
        <w:t xml:space="preserve"> </w:t>
      </w:r>
      <w:r w:rsidRPr="00995719">
        <w:rPr>
          <w:rFonts w:hint="eastAsia"/>
          <w:lang w:val="sr-Cyrl-CS"/>
        </w:rPr>
        <w:t>и</w:t>
      </w:r>
      <w:r w:rsidRPr="00995719">
        <w:rPr>
          <w:lang w:val="sr-Cyrl-CS"/>
        </w:rPr>
        <w:t xml:space="preserve"> </w:t>
      </w:r>
      <w:r w:rsidRPr="00995719">
        <w:rPr>
          <w:rFonts w:hint="eastAsia"/>
          <w:lang w:val="sr-Cyrl-CS"/>
        </w:rPr>
        <w:t>усавршавања</w:t>
      </w:r>
      <w:r w:rsidRPr="00995719">
        <w:rPr>
          <w:lang w:val="sr-Cyrl-CS"/>
        </w:rPr>
        <w:t xml:space="preserve"> </w:t>
      </w:r>
      <w:r w:rsidRPr="00995719">
        <w:rPr>
          <w:rFonts w:hint="eastAsia"/>
          <w:lang w:val="sr-Cyrl-CS"/>
        </w:rPr>
        <w:t>доноси</w:t>
      </w:r>
      <w:r w:rsidRPr="00995719">
        <w:rPr>
          <w:lang w:val="sr-Cyrl-CS"/>
        </w:rPr>
        <w:t xml:space="preserve"> </w:t>
      </w:r>
      <w:r w:rsidRPr="00995719">
        <w:rPr>
          <w:rFonts w:hint="eastAsia"/>
          <w:lang w:val="sr-Cyrl-CS"/>
        </w:rPr>
        <w:t>министар</w:t>
      </w:r>
      <w:r w:rsidRPr="00995719">
        <w:rPr>
          <w:lang w:val="sr-Cyrl-CS"/>
        </w:rPr>
        <w:t xml:space="preserve"> </w:t>
      </w:r>
      <w:r w:rsidRPr="00995719">
        <w:rPr>
          <w:rFonts w:hint="eastAsia"/>
          <w:lang w:val="sr-Cyrl-CS"/>
        </w:rPr>
        <w:t>надлежан</w:t>
      </w:r>
      <w:r w:rsidRPr="00995719">
        <w:rPr>
          <w:lang w:val="sr-Cyrl-CS"/>
        </w:rPr>
        <w:t xml:space="preserve"> </w:t>
      </w:r>
      <w:r w:rsidRPr="00995719">
        <w:rPr>
          <w:rFonts w:hint="eastAsia"/>
          <w:lang w:val="sr-Cyrl-CS"/>
        </w:rPr>
        <w:t>за</w:t>
      </w:r>
      <w:r w:rsidRPr="00995719">
        <w:rPr>
          <w:lang w:val="sr-Cyrl-CS"/>
        </w:rPr>
        <w:t xml:space="preserve"> </w:t>
      </w:r>
      <w:r w:rsidRPr="00995719">
        <w:rPr>
          <w:rFonts w:hint="eastAsia"/>
          <w:lang w:val="sr-Cyrl-CS"/>
        </w:rPr>
        <w:t>послове</w:t>
      </w:r>
      <w:r w:rsidRPr="00995719">
        <w:rPr>
          <w:lang w:val="sr-Cyrl-CS"/>
        </w:rPr>
        <w:t xml:space="preserve"> </w:t>
      </w:r>
      <w:r w:rsidRPr="00995719">
        <w:rPr>
          <w:rFonts w:hint="eastAsia"/>
          <w:lang w:val="sr-Cyrl-CS"/>
        </w:rPr>
        <w:t>правосуђа</w:t>
      </w:r>
      <w:r w:rsidRPr="00995719">
        <w:rPr>
          <w:lang w:val="sr-Cyrl-CS"/>
        </w:rPr>
        <w:t>.</w:t>
      </w:r>
      <w:r>
        <w:rPr>
          <w:rFonts w:ascii="Times New Roman" w:hAnsi="Times New Roman"/>
          <w:lang w:val="ru-RU"/>
        </w:rPr>
        <w:t>”</w:t>
      </w:r>
    </w:p>
    <w:p w:rsidR="00934D5A" w:rsidRPr="00F622C4" w:rsidRDefault="00934D5A" w:rsidP="00934D5A">
      <w:pPr>
        <w:jc w:val="center"/>
        <w:rPr>
          <w:rFonts w:ascii="Times New Roman" w:hAnsi="Times New Roman"/>
          <w:lang w:val="sr-Cyrl-RS"/>
        </w:rPr>
      </w:pPr>
    </w:p>
    <w:p w:rsidR="00934D5A" w:rsidRDefault="00934D5A" w:rsidP="00934D5A">
      <w:pPr>
        <w:ind w:firstLine="12"/>
        <w:jc w:val="center"/>
        <w:rPr>
          <w:rFonts w:ascii="Times New Roman" w:hAnsi="Times New Roman"/>
        </w:rPr>
      </w:pPr>
      <w:r>
        <w:rPr>
          <w:rFonts w:ascii="Times New Roman" w:hAnsi="Times New Roman"/>
        </w:rPr>
        <w:t>Члан 2.</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 xml:space="preserve">У члану 27. став 5. мења се и гласи: </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 xml:space="preserve">„За директора Управе може бити постављено лице које има завршен правни факултет, на студијама другог степена (мастер академске студије, мастер струковне студије, специјалистичке академске студије), основним академским студијама у обиму од најмање 240 ЕСПБ бодова,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после стеченог високог образовања </w:t>
      </w:r>
      <w:r>
        <w:rPr>
          <w:rFonts w:hint="eastAsia"/>
          <w:lang w:val="sr-Cyrl-RS"/>
        </w:rPr>
        <w:t>од</w:t>
      </w:r>
      <w:r>
        <w:rPr>
          <w:lang w:val="sr-Cyrl-RS"/>
        </w:rPr>
        <w:t xml:space="preserve"> </w:t>
      </w:r>
      <w:r>
        <w:rPr>
          <w:rFonts w:hint="eastAsia"/>
          <w:lang w:val="sr-Cyrl-RS"/>
        </w:rPr>
        <w:t>којих</w:t>
      </w:r>
      <w:r>
        <w:rPr>
          <w:lang w:val="sr-Cyrl-RS"/>
        </w:rPr>
        <w:t xml:space="preserve"> </w:t>
      </w:r>
      <w:r>
        <w:rPr>
          <w:rFonts w:hint="eastAsia"/>
          <w:lang w:val="sr-Cyrl-RS"/>
        </w:rPr>
        <w:t>најмање</w:t>
      </w:r>
      <w:r w:rsidRPr="0071724F">
        <w:rPr>
          <w:rFonts w:ascii="Times New Roman" w:hAnsi="Times New Roman"/>
          <w:lang w:val="sr-Cyrl-CS"/>
        </w:rPr>
        <w:t xml:space="preserve"> седам година радног искуства на руководећим </w:t>
      </w:r>
      <w:r>
        <w:rPr>
          <w:rFonts w:ascii="Times New Roman" w:hAnsi="Times New Roman"/>
          <w:lang w:val="sr-Cyrl-CS"/>
        </w:rPr>
        <w:t>радним местима</w:t>
      </w:r>
      <w:r w:rsidRPr="0071724F">
        <w:rPr>
          <w:rFonts w:ascii="Times New Roman" w:hAnsi="Times New Roman"/>
          <w:lang w:val="sr-Cyrl-CS"/>
        </w:rPr>
        <w:t>.”</w:t>
      </w:r>
    </w:p>
    <w:p w:rsidR="00934D5A" w:rsidRDefault="00934D5A" w:rsidP="00934D5A">
      <w:pPr>
        <w:pStyle w:val="Normal1"/>
        <w:spacing w:before="0" w:beforeAutospacing="0" w:after="0" w:afterAutospacing="0"/>
        <w:ind w:firstLine="708"/>
        <w:jc w:val="both"/>
        <w:rPr>
          <w:lang w:val="ru-RU"/>
        </w:rPr>
      </w:pPr>
    </w:p>
    <w:p w:rsidR="00934D5A" w:rsidRDefault="00934D5A" w:rsidP="00934D5A">
      <w:pPr>
        <w:jc w:val="center"/>
        <w:rPr>
          <w:rFonts w:ascii="Times New Roman" w:hAnsi="Times New Roman"/>
        </w:rPr>
      </w:pPr>
      <w:r>
        <w:rPr>
          <w:rFonts w:ascii="Times New Roman" w:hAnsi="Times New Roman"/>
        </w:rPr>
        <w:t>Члан 3.</w:t>
      </w:r>
    </w:p>
    <w:p w:rsidR="00934D5A" w:rsidRDefault="00934D5A" w:rsidP="00934D5A">
      <w:pPr>
        <w:ind w:firstLine="708"/>
        <w:jc w:val="both"/>
        <w:rPr>
          <w:rFonts w:ascii="Times New Roman" w:hAnsi="Times New Roman"/>
          <w:lang w:val="sr-Cyrl-CS"/>
        </w:rPr>
      </w:pPr>
      <w:r>
        <w:rPr>
          <w:rFonts w:ascii="Times New Roman" w:hAnsi="Times New Roman"/>
        </w:rPr>
        <w:t>После члана 41. додај</w:t>
      </w:r>
      <w:r>
        <w:rPr>
          <w:rFonts w:ascii="Times New Roman" w:hAnsi="Times New Roman"/>
          <w:lang w:val="sr-Cyrl-RS"/>
        </w:rPr>
        <w:t>у</w:t>
      </w:r>
      <w:r>
        <w:rPr>
          <w:rFonts w:ascii="Times New Roman" w:hAnsi="Times New Roman"/>
        </w:rPr>
        <w:t xml:space="preserve"> се </w:t>
      </w:r>
      <w:r>
        <w:rPr>
          <w:rFonts w:ascii="Times New Roman" w:hAnsi="Times New Roman"/>
          <w:lang w:val="sr-Cyrl-RS"/>
        </w:rPr>
        <w:t xml:space="preserve">назив члана 41а и </w:t>
      </w:r>
      <w:r>
        <w:rPr>
          <w:rFonts w:ascii="Times New Roman" w:hAnsi="Times New Roman"/>
        </w:rPr>
        <w:t>члан 41а који глас</w:t>
      </w:r>
      <w:r>
        <w:rPr>
          <w:rFonts w:ascii="Times New Roman" w:hAnsi="Times New Roman"/>
          <w:lang w:val="sr-Cyrl-RS"/>
        </w:rPr>
        <w:t>е</w:t>
      </w:r>
      <w:r>
        <w:rPr>
          <w:rFonts w:ascii="Times New Roman" w:hAnsi="Times New Roman"/>
        </w:rPr>
        <w:t>:</w:t>
      </w:r>
      <w:r w:rsidRPr="003578C5">
        <w:rPr>
          <w:rFonts w:ascii="Times New Roman" w:hAnsi="Times New Roman"/>
          <w:lang w:val="sr-Cyrl-CS"/>
        </w:rPr>
        <w:t xml:space="preserve"> </w:t>
      </w:r>
    </w:p>
    <w:p w:rsidR="00934D5A" w:rsidRDefault="00934D5A" w:rsidP="00934D5A">
      <w:pPr>
        <w:ind w:firstLine="708"/>
        <w:jc w:val="both"/>
        <w:rPr>
          <w:rFonts w:ascii="Times New Roman" w:hAnsi="Times New Roman"/>
          <w:lang w:val="sr-Cyrl-CS"/>
        </w:rPr>
      </w:pPr>
    </w:p>
    <w:p w:rsidR="00934D5A" w:rsidRPr="004713C8" w:rsidRDefault="00934D5A" w:rsidP="00934D5A">
      <w:pPr>
        <w:jc w:val="center"/>
        <w:rPr>
          <w:rFonts w:ascii="Times New Roman" w:hAnsi="Times New Roman"/>
          <w:lang w:val="sr-Cyrl-RS"/>
        </w:rPr>
      </w:pPr>
      <w:r w:rsidRPr="00975A62">
        <w:rPr>
          <w:rFonts w:ascii="Times New Roman" w:hAnsi="Times New Roman"/>
        </w:rPr>
        <w:t>„</w:t>
      </w:r>
      <w:r>
        <w:rPr>
          <w:rFonts w:ascii="Times New Roman" w:hAnsi="Times New Roman"/>
          <w:lang w:val="sr-Cyrl-RS"/>
        </w:rPr>
        <w:t>Поступак по молби за извршење казне затвора у просторијама у којима станује осуђено лице</w:t>
      </w:r>
    </w:p>
    <w:p w:rsidR="00934D5A" w:rsidRDefault="00934D5A" w:rsidP="00934D5A">
      <w:pPr>
        <w:jc w:val="center"/>
        <w:rPr>
          <w:rFonts w:ascii="Times New Roman" w:hAnsi="Times New Roman"/>
          <w:lang w:val="sr-Cyrl-RS"/>
        </w:rPr>
      </w:pPr>
    </w:p>
    <w:p w:rsidR="00934D5A" w:rsidRPr="00975A62" w:rsidRDefault="00934D5A" w:rsidP="00934D5A">
      <w:pPr>
        <w:jc w:val="center"/>
        <w:rPr>
          <w:rFonts w:ascii="Times New Roman" w:hAnsi="Times New Roman"/>
          <w:lang w:val="sr-Cyrl-RS"/>
        </w:rPr>
      </w:pPr>
      <w:r w:rsidRPr="00975A62">
        <w:rPr>
          <w:rFonts w:ascii="Times New Roman" w:hAnsi="Times New Roman"/>
          <w:lang w:val="sr-Cyrl-RS"/>
        </w:rPr>
        <w:t>Члан 41а</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Након правноснажности пресуде, до ступања на извршење казне затвора, осуђени може поднети молбу да изречену казну затвора до једне године извршава у просторијама у којима станује.</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 xml:space="preserve">О молби из става 1. овог члана одлучује судија за извршење суда који је донео првостепену пресуду, односно уколико је пресуду донео основни суд, одлуку доноси судија за извршење непосредно вишег суда. </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Судија за извршење пре доношења одлуке прибавиће мишљење јавног тужиоца.</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Приликом доношења одлуке по молби из става 1. овог члана,</w:t>
      </w:r>
      <w:r>
        <w:rPr>
          <w:rFonts w:ascii="Times New Roman" w:hAnsi="Times New Roman"/>
          <w:lang w:val="sr-Cyrl-CS"/>
        </w:rPr>
        <w:t xml:space="preserve"> судија за извршење водиће</w:t>
      </w:r>
      <w:r w:rsidRPr="0071724F">
        <w:rPr>
          <w:rFonts w:ascii="Times New Roman" w:hAnsi="Times New Roman"/>
          <w:lang w:val="sr-Cyrl-CS"/>
        </w:rPr>
        <w:t xml:space="preserve"> рачуна да ли се променом начина извршења казне затвора може остварити сврха кажњавања. </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У одлуци којом се усваја молба из става 1. овог члана, судија за извршење ће одредити да се извршење казне затвора у просторијама у којима осуђени станује одређује уз примену мера електронског надзора или без његове примене.</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Пре доношења одлуке из става 5. овог члана,</w:t>
      </w:r>
      <w:r>
        <w:rPr>
          <w:rFonts w:ascii="Times New Roman" w:hAnsi="Times New Roman"/>
          <w:lang w:val="sr-Cyrl-CS"/>
        </w:rPr>
        <w:t xml:space="preserve"> судија за извршење водиће</w:t>
      </w:r>
      <w:r w:rsidRPr="0071724F">
        <w:rPr>
          <w:rFonts w:ascii="Times New Roman" w:hAnsi="Times New Roman"/>
          <w:lang w:val="sr-Cyrl-CS"/>
        </w:rPr>
        <w:t xml:space="preserve"> рачуна о техничким могућностима извршења казне, као и о другим околностима од значаја за њено извршење.</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Против одлуке судије за извршење из става 2. овог члана, осуђени и јавни тужилац могу изјавити жалбу ванрасправном већу истог суда, преко судије за извршење који је донео првостепену одлуку, у року од три дана од дана пријема одлуке.</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О жалби на одлуку судије за извршење одлучује ванрасправно веће истог суда, сходном применом закона који уређује кривични поступак.</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lastRenderedPageBreak/>
        <w:t>На извршење казне затвора до једне године у просторијама у којима осуђени станује на начин одређен у одлуци из става 5. овог члана, сходно се примењују одредбе закона којим се уређује извршење ванзаводских санкција и мера.”</w:t>
      </w:r>
    </w:p>
    <w:p w:rsidR="00934D5A" w:rsidRPr="006F1043" w:rsidRDefault="00934D5A" w:rsidP="00934D5A">
      <w:pPr>
        <w:jc w:val="both"/>
        <w:rPr>
          <w:rFonts w:ascii="Times New Roman" w:hAnsi="Times New Roman"/>
          <w:lang w:val="sr-Cyrl-CS"/>
        </w:rPr>
      </w:pPr>
    </w:p>
    <w:p w:rsidR="00934D5A" w:rsidRDefault="00934D5A" w:rsidP="00934D5A">
      <w:pPr>
        <w:jc w:val="center"/>
        <w:rPr>
          <w:rFonts w:ascii="Times New Roman" w:hAnsi="Times New Roman"/>
          <w:lang w:val="sr-Cyrl-CS"/>
        </w:rPr>
      </w:pPr>
      <w:r w:rsidRPr="006F1043">
        <w:rPr>
          <w:rFonts w:ascii="Times New Roman" w:hAnsi="Times New Roman"/>
          <w:lang w:val="sr-Cyrl-CS"/>
        </w:rPr>
        <w:t xml:space="preserve">Члан </w:t>
      </w:r>
      <w:r>
        <w:rPr>
          <w:rFonts w:ascii="Times New Roman" w:hAnsi="Times New Roman"/>
          <w:lang w:val="sr-Cyrl-CS"/>
        </w:rPr>
        <w:t>4</w:t>
      </w:r>
      <w:r w:rsidRPr="006F1043">
        <w:rPr>
          <w:rFonts w:ascii="Times New Roman" w:hAnsi="Times New Roman"/>
          <w:lang w:val="sr-Cyrl-CS"/>
        </w:rPr>
        <w:t xml:space="preserve">. </w:t>
      </w:r>
    </w:p>
    <w:p w:rsidR="00934D5A" w:rsidRPr="006F1043" w:rsidRDefault="00934D5A" w:rsidP="00934D5A">
      <w:pPr>
        <w:ind w:firstLine="708"/>
        <w:jc w:val="both"/>
        <w:rPr>
          <w:rFonts w:ascii="Times New Roman" w:hAnsi="Times New Roman"/>
          <w:lang w:val="sr-Cyrl-CS"/>
        </w:rPr>
      </w:pPr>
      <w:r>
        <w:rPr>
          <w:rFonts w:ascii="Times New Roman" w:hAnsi="Times New Roman"/>
          <w:lang w:val="sr-Cyrl-CS"/>
        </w:rPr>
        <w:t>У члану 50. став 1. после речи: „године</w:t>
      </w:r>
      <w:r w:rsidRPr="0071724F">
        <w:rPr>
          <w:rFonts w:ascii="Times New Roman" w:hAnsi="Times New Roman"/>
          <w:lang w:val="sr-Cyrl-CS"/>
        </w:rPr>
        <w:t>”</w:t>
      </w:r>
      <w:r>
        <w:rPr>
          <w:rFonts w:ascii="Times New Roman" w:hAnsi="Times New Roman"/>
          <w:lang w:val="sr-Cyrl-CS"/>
        </w:rPr>
        <w:t xml:space="preserve"> додају се запета и речи: „по правилу,</w:t>
      </w:r>
      <w:r w:rsidRPr="0071724F">
        <w:rPr>
          <w:rFonts w:ascii="Times New Roman" w:hAnsi="Times New Roman"/>
          <w:lang w:val="sr-Cyrl-CS"/>
        </w:rPr>
        <w:t>”.</w:t>
      </w:r>
    </w:p>
    <w:p w:rsidR="00934D5A" w:rsidRDefault="00934D5A" w:rsidP="00934D5A">
      <w:pPr>
        <w:jc w:val="center"/>
        <w:rPr>
          <w:rFonts w:ascii="Times New Roman" w:hAnsi="Times New Roman"/>
          <w:lang w:val="sr-Cyrl-CS"/>
        </w:rPr>
      </w:pPr>
    </w:p>
    <w:p w:rsidR="00934D5A" w:rsidRDefault="00934D5A" w:rsidP="00934D5A">
      <w:pPr>
        <w:jc w:val="center"/>
        <w:rPr>
          <w:rFonts w:ascii="Times New Roman" w:hAnsi="Times New Roman"/>
          <w:lang w:val="sr-Cyrl-CS"/>
        </w:rPr>
      </w:pPr>
      <w:r>
        <w:rPr>
          <w:rFonts w:ascii="Times New Roman" w:hAnsi="Times New Roman"/>
          <w:lang w:val="sr-Cyrl-CS"/>
        </w:rPr>
        <w:t>Члан 5.</w:t>
      </w:r>
    </w:p>
    <w:p w:rsidR="00934D5A" w:rsidRPr="006F1043" w:rsidRDefault="00934D5A" w:rsidP="00934D5A">
      <w:pPr>
        <w:ind w:firstLine="708"/>
        <w:jc w:val="both"/>
        <w:rPr>
          <w:rFonts w:ascii="Times New Roman" w:hAnsi="Times New Roman"/>
          <w:lang w:val="sr-Cyrl-CS"/>
        </w:rPr>
      </w:pPr>
      <w:r>
        <w:rPr>
          <w:rFonts w:ascii="Times New Roman" w:hAnsi="Times New Roman"/>
          <w:lang w:val="sr-Cyrl-CS"/>
        </w:rPr>
        <w:t>У члану 101. став 1. после речи: „завода</w:t>
      </w:r>
      <w:r w:rsidRPr="0071724F">
        <w:rPr>
          <w:rFonts w:ascii="Times New Roman" w:hAnsi="Times New Roman"/>
          <w:lang w:val="sr-Cyrl-CS"/>
        </w:rPr>
        <w:t>”</w:t>
      </w:r>
      <w:r>
        <w:rPr>
          <w:rFonts w:ascii="Times New Roman" w:hAnsi="Times New Roman"/>
          <w:lang w:val="sr-Cyrl-CS"/>
        </w:rPr>
        <w:t xml:space="preserve"> додају се запета и речи: „о чему одлучује управник завода, на предлог стручног тима</w:t>
      </w:r>
      <w:r w:rsidRPr="0071724F">
        <w:rPr>
          <w:rFonts w:ascii="Times New Roman" w:hAnsi="Times New Roman"/>
          <w:lang w:val="sr-Cyrl-CS"/>
        </w:rPr>
        <w:t>”.</w:t>
      </w:r>
    </w:p>
    <w:p w:rsidR="00934D5A" w:rsidRDefault="00934D5A" w:rsidP="00934D5A">
      <w:pPr>
        <w:jc w:val="center"/>
        <w:rPr>
          <w:rFonts w:ascii="Times New Roman" w:hAnsi="Times New Roman"/>
          <w:lang w:val="sr-Cyrl-CS"/>
        </w:rPr>
      </w:pPr>
    </w:p>
    <w:p w:rsidR="00934D5A" w:rsidRDefault="00934D5A" w:rsidP="00934D5A">
      <w:pPr>
        <w:jc w:val="center"/>
        <w:rPr>
          <w:rFonts w:ascii="Times New Roman" w:hAnsi="Times New Roman"/>
          <w:lang w:val="sr-Cyrl-CS"/>
        </w:rPr>
      </w:pPr>
      <w:r>
        <w:rPr>
          <w:rFonts w:ascii="Times New Roman" w:hAnsi="Times New Roman"/>
          <w:lang w:val="sr-Cyrl-CS"/>
        </w:rPr>
        <w:t>Члан 6.</w:t>
      </w:r>
    </w:p>
    <w:p w:rsidR="00934D5A" w:rsidRDefault="00934D5A" w:rsidP="00934D5A">
      <w:pPr>
        <w:pStyle w:val="Normal1"/>
        <w:shd w:val="clear" w:color="auto" w:fill="FFFFFF"/>
        <w:spacing w:before="0" w:beforeAutospacing="0" w:after="0" w:afterAutospacing="0"/>
        <w:ind w:firstLine="708"/>
        <w:jc w:val="both"/>
        <w:rPr>
          <w:lang w:val="sr-Cyrl-CS"/>
        </w:rPr>
      </w:pPr>
      <w:r>
        <w:rPr>
          <w:lang w:val="sr-Cyrl-CS"/>
        </w:rPr>
        <w:t>После члана 102. додају се назив члана 102а и члан 102а</w:t>
      </w:r>
      <w:r>
        <w:t xml:space="preserve"> који глас</w:t>
      </w:r>
      <w:r>
        <w:rPr>
          <w:lang w:val="sr-Cyrl-RS"/>
        </w:rPr>
        <w:t>е</w:t>
      </w:r>
      <w:r>
        <w:t>:</w:t>
      </w:r>
      <w:r w:rsidRPr="00005269">
        <w:rPr>
          <w:lang w:val="sr-Cyrl-CS"/>
        </w:rPr>
        <w:t xml:space="preserve"> </w:t>
      </w:r>
    </w:p>
    <w:p w:rsidR="00934D5A" w:rsidRDefault="00934D5A" w:rsidP="00934D5A">
      <w:pPr>
        <w:pStyle w:val="Normal1"/>
        <w:shd w:val="clear" w:color="auto" w:fill="FFFFFF"/>
        <w:spacing w:before="0" w:beforeAutospacing="0" w:after="0" w:afterAutospacing="0"/>
        <w:ind w:firstLine="708"/>
        <w:jc w:val="both"/>
        <w:rPr>
          <w:lang w:val="sr-Cyrl-CS"/>
        </w:rPr>
      </w:pPr>
    </w:p>
    <w:p w:rsidR="00934D5A" w:rsidRDefault="00934D5A" w:rsidP="00934D5A">
      <w:pPr>
        <w:pStyle w:val="Normal1"/>
        <w:shd w:val="clear" w:color="auto" w:fill="FFFFFF"/>
        <w:spacing w:before="0" w:beforeAutospacing="0" w:after="0" w:afterAutospacing="0"/>
        <w:jc w:val="center"/>
        <w:rPr>
          <w:lang w:val="sr-Cyrl-CS"/>
        </w:rPr>
      </w:pPr>
      <w:r>
        <w:rPr>
          <w:lang w:val="sr-Cyrl-CS"/>
        </w:rPr>
        <w:t>„Рад на радном месту ван завода по одлуци судије за извршење</w:t>
      </w:r>
    </w:p>
    <w:p w:rsidR="00934D5A" w:rsidRDefault="00934D5A" w:rsidP="00934D5A">
      <w:pPr>
        <w:pStyle w:val="Normal1"/>
        <w:shd w:val="clear" w:color="auto" w:fill="FFFFFF"/>
        <w:spacing w:before="0" w:beforeAutospacing="0" w:after="0" w:afterAutospacing="0"/>
        <w:jc w:val="center"/>
        <w:rPr>
          <w:lang w:val="sr-Cyrl-CS"/>
        </w:rPr>
      </w:pPr>
    </w:p>
    <w:p w:rsidR="00934D5A" w:rsidRDefault="00934D5A" w:rsidP="00934D5A">
      <w:pPr>
        <w:pStyle w:val="Normal1"/>
        <w:shd w:val="clear" w:color="auto" w:fill="FFFFFF"/>
        <w:spacing w:before="0" w:beforeAutospacing="0" w:after="0" w:afterAutospacing="0"/>
        <w:jc w:val="center"/>
        <w:rPr>
          <w:lang w:val="sr-Cyrl-CS"/>
        </w:rPr>
      </w:pPr>
      <w:r>
        <w:rPr>
          <w:lang w:val="sr-Cyrl-CS"/>
        </w:rPr>
        <w:t>Члан 102а</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 xml:space="preserve">Судија за извршење може по предлогу управника </w:t>
      </w:r>
      <w:r>
        <w:rPr>
          <w:rFonts w:ascii="Times New Roman" w:hAnsi="Times New Roman"/>
          <w:lang w:val="sr-Cyrl-CS"/>
        </w:rPr>
        <w:t xml:space="preserve">завода </w:t>
      </w:r>
      <w:r w:rsidRPr="0071724F">
        <w:rPr>
          <w:rFonts w:ascii="Times New Roman" w:hAnsi="Times New Roman"/>
          <w:lang w:val="sr-Cyrl-CS"/>
        </w:rPr>
        <w:t xml:space="preserve">одобрити да осуђени који је </w:t>
      </w:r>
      <w:r>
        <w:rPr>
          <w:rFonts w:ascii="Times New Roman" w:hAnsi="Times New Roman"/>
          <w:lang w:val="sr-Cyrl-RS"/>
        </w:rPr>
        <w:t>разврстан</w:t>
      </w:r>
      <w:r w:rsidRPr="0071724F">
        <w:rPr>
          <w:rFonts w:ascii="Times New Roman" w:hAnsi="Times New Roman"/>
          <w:lang w:val="sr-Cyrl-CS"/>
        </w:rPr>
        <w:t xml:space="preserve"> у полуотворено или отворено одељење завода обавља послове на радном месту ван завода, ако за то постоје услови, а кривично дело за које је лице осуђено није у вези са тим пословима.</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Предлог из става 1. овог члана подноси управник завода, на основу претходно прибављеног мишљења стручног тима и уз сагласност осуђеног.</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 xml:space="preserve"> Уз предлог управника</w:t>
      </w:r>
      <w:r>
        <w:rPr>
          <w:rFonts w:ascii="Times New Roman" w:hAnsi="Times New Roman"/>
          <w:lang w:val="sr-Cyrl-CS"/>
        </w:rPr>
        <w:t xml:space="preserve"> завода</w:t>
      </w:r>
      <w:r w:rsidRPr="0071724F">
        <w:rPr>
          <w:rFonts w:ascii="Times New Roman" w:hAnsi="Times New Roman"/>
          <w:lang w:val="sr-Cyrl-CS"/>
        </w:rPr>
        <w:t xml:space="preserve">, судији за извршење доставља се и нацрт уговора између завода и послодавца којим се одређују услови под којим ће осуђени обављати послове на радном месту ван завода. </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 xml:space="preserve">Ради обављања послова на радном месту ван завода, осуђени се може обратити управнику завода. </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У поступку упућивања осуђеног на рад ван завода, завод сарађује са Националном службом за запошљавање и послодавцима.</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Осуђени који обавља послове на радном месту ван завода, на основу одлуке судије за извршење, има право на накнаду у висини од 70% од накнаде за рад коју исплаћује послодавац заводу, на основу уговора из става 3. овог члана.</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На накнаду за рад не плаћају се порези и доприноси.</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Судија за извршење може опозвати одлуку којом је одобрио да осуђени обавља послове на радном месту ван завода, ако осуђени злоупотребљава право на рад ван завода или ако послодавац раскине уговор о раду.”</w:t>
      </w:r>
    </w:p>
    <w:p w:rsidR="00934D5A" w:rsidRDefault="00934D5A" w:rsidP="00934D5A">
      <w:pPr>
        <w:rPr>
          <w:rFonts w:ascii="Times New Roman" w:hAnsi="Times New Roman"/>
          <w:lang w:val="sr-Cyrl-CS"/>
        </w:rPr>
      </w:pPr>
    </w:p>
    <w:p w:rsidR="00934D5A" w:rsidRDefault="00934D5A" w:rsidP="00934D5A">
      <w:pPr>
        <w:jc w:val="center"/>
        <w:rPr>
          <w:rFonts w:ascii="Times New Roman" w:hAnsi="Times New Roman"/>
          <w:lang w:val="sr-Cyrl-CS"/>
        </w:rPr>
      </w:pPr>
      <w:r>
        <w:rPr>
          <w:rFonts w:ascii="Times New Roman" w:hAnsi="Times New Roman"/>
          <w:lang w:val="sr-Cyrl-CS"/>
        </w:rPr>
        <w:t>Члан 7.</w:t>
      </w:r>
    </w:p>
    <w:p w:rsidR="00934D5A" w:rsidRDefault="00934D5A" w:rsidP="00934D5A">
      <w:pPr>
        <w:ind w:firstLine="720"/>
        <w:jc w:val="both"/>
        <w:rPr>
          <w:rFonts w:ascii="Times New Roman" w:hAnsi="Times New Roman"/>
          <w:lang w:val="sr-Cyrl-CS"/>
        </w:rPr>
      </w:pPr>
      <w:r>
        <w:rPr>
          <w:rFonts w:ascii="Times New Roman" w:hAnsi="Times New Roman"/>
          <w:lang w:val="sr-Cyrl-CS"/>
        </w:rPr>
        <w:t xml:space="preserve">У члану 163. став 2. мења се и гласи: </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 xml:space="preserve">„Одмах након започињања извршења дисциплинске мере упућивања у самицу обавезан је лекарски преглед осуђеног, ради утврђивања његовог психичког и физичког здравственог стања.” </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После става 2. додаје се став 3. који гласи:</w:t>
      </w:r>
    </w:p>
    <w:p w:rsidR="00934D5A" w:rsidRPr="0071724F" w:rsidRDefault="00934D5A" w:rsidP="00934D5A">
      <w:pPr>
        <w:ind w:firstLine="708"/>
        <w:jc w:val="both"/>
        <w:rPr>
          <w:rFonts w:ascii="Times New Roman" w:hAnsi="Times New Roman"/>
          <w:lang w:val="sr-Cyrl-CS"/>
        </w:rPr>
      </w:pPr>
      <w:r w:rsidRPr="0071724F">
        <w:rPr>
          <w:rFonts w:ascii="Times New Roman" w:hAnsi="Times New Roman"/>
          <w:lang w:val="sr-Cyrl-CS"/>
        </w:rPr>
        <w:t>„Ако се лекарским прегледом утврди да даљи боравак у самици утиче на здравствено стање осуђеника, извршење дисциплинске мере упућивања у самицу ће се прекинути. Када престану здравствени разлози који су проузроковали прекид, наставиће се са извршењем дисциплинске мере упућивања у самицу.”</w:t>
      </w:r>
    </w:p>
    <w:p w:rsidR="00934D5A" w:rsidRDefault="00934D5A" w:rsidP="00934D5A">
      <w:pPr>
        <w:rPr>
          <w:rFonts w:ascii="Times New Roman" w:hAnsi="Times New Roman"/>
          <w:lang w:val="sr-Cyrl-RS"/>
        </w:rPr>
      </w:pPr>
    </w:p>
    <w:p w:rsidR="00934D5A" w:rsidRPr="00D9220D" w:rsidRDefault="00934D5A" w:rsidP="00934D5A">
      <w:pPr>
        <w:rPr>
          <w:rFonts w:ascii="Times New Roman" w:hAnsi="Times New Roman"/>
          <w:lang w:val="sr-Cyrl-RS"/>
        </w:rPr>
      </w:pPr>
    </w:p>
    <w:p w:rsidR="00934D5A" w:rsidRDefault="00934D5A" w:rsidP="00934D5A">
      <w:pPr>
        <w:jc w:val="center"/>
        <w:rPr>
          <w:rFonts w:ascii="Times New Roman" w:hAnsi="Times New Roman"/>
          <w:lang w:val="sr-Cyrl-CS"/>
        </w:rPr>
      </w:pPr>
      <w:r w:rsidRPr="004473CC">
        <w:rPr>
          <w:rFonts w:ascii="Times New Roman" w:hAnsi="Times New Roman"/>
          <w:lang w:val="sr-Cyrl-CS"/>
        </w:rPr>
        <w:t xml:space="preserve">Члан </w:t>
      </w:r>
      <w:r>
        <w:rPr>
          <w:rFonts w:ascii="Times New Roman" w:hAnsi="Times New Roman"/>
          <w:lang w:val="sr-Cyrl-CS"/>
        </w:rPr>
        <w:t>8.</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 xml:space="preserve">У члану 176. после става 1. додаје се став 2. који гласи: </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„На сва питања која нису уређена прописом из става 1. овог члана, сходно се примењују одредбе Кривичног законика и Законика о кривичном поступку.”</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Досадашњи став 2. постаје став 3.</w:t>
      </w:r>
    </w:p>
    <w:p w:rsidR="00934D5A" w:rsidRDefault="00934D5A" w:rsidP="00934D5A">
      <w:pPr>
        <w:ind w:firstLine="720"/>
        <w:jc w:val="both"/>
        <w:rPr>
          <w:rFonts w:ascii="Times New Roman" w:hAnsi="Times New Roman"/>
          <w:lang w:val="sr-Cyrl-CS"/>
        </w:rPr>
      </w:pPr>
    </w:p>
    <w:p w:rsidR="00934D5A" w:rsidRDefault="00934D5A" w:rsidP="00934D5A">
      <w:pPr>
        <w:jc w:val="center"/>
        <w:rPr>
          <w:rFonts w:ascii="Times New Roman" w:hAnsi="Times New Roman"/>
          <w:lang w:val="sr-Cyrl-CS"/>
        </w:rPr>
      </w:pPr>
      <w:r>
        <w:rPr>
          <w:rFonts w:ascii="Times New Roman" w:hAnsi="Times New Roman"/>
          <w:lang w:val="sr-Cyrl-CS"/>
        </w:rPr>
        <w:t>Члан 9.</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 xml:space="preserve">После члана 184. додају се назив члана 184а и члан 184а који гласе: </w:t>
      </w:r>
    </w:p>
    <w:p w:rsidR="00934D5A" w:rsidRPr="0071724F" w:rsidRDefault="00934D5A" w:rsidP="00934D5A">
      <w:pPr>
        <w:ind w:firstLine="720"/>
        <w:jc w:val="both"/>
        <w:rPr>
          <w:rFonts w:ascii="Times New Roman" w:hAnsi="Times New Roman"/>
          <w:lang w:val="sr-Cyrl-CS"/>
        </w:rPr>
      </w:pPr>
    </w:p>
    <w:p w:rsidR="00934D5A" w:rsidRPr="0071724F" w:rsidRDefault="00934D5A" w:rsidP="00934D5A">
      <w:pPr>
        <w:jc w:val="center"/>
        <w:rPr>
          <w:rFonts w:ascii="Times New Roman" w:hAnsi="Times New Roman"/>
          <w:lang w:val="sr-Cyrl-CS"/>
        </w:rPr>
      </w:pPr>
      <w:r w:rsidRPr="0071724F">
        <w:rPr>
          <w:rFonts w:ascii="Times New Roman" w:hAnsi="Times New Roman"/>
          <w:lang w:val="sr-Cyrl-CS"/>
        </w:rPr>
        <w:t>„Превремено пуштање на основу одлуке судије за извршење</w:t>
      </w:r>
    </w:p>
    <w:p w:rsidR="00934D5A" w:rsidRPr="0071724F" w:rsidRDefault="00934D5A" w:rsidP="00934D5A">
      <w:pPr>
        <w:ind w:firstLine="720"/>
        <w:jc w:val="center"/>
        <w:rPr>
          <w:rFonts w:ascii="Times New Roman" w:hAnsi="Times New Roman"/>
          <w:lang w:val="sr-Cyrl-CS"/>
        </w:rPr>
      </w:pPr>
    </w:p>
    <w:p w:rsidR="00934D5A" w:rsidRPr="0071724F" w:rsidRDefault="00934D5A" w:rsidP="00934D5A">
      <w:pPr>
        <w:jc w:val="center"/>
        <w:rPr>
          <w:rFonts w:ascii="Times New Roman" w:hAnsi="Times New Roman"/>
          <w:lang w:val="sr-Cyrl-CS"/>
        </w:rPr>
      </w:pPr>
      <w:r w:rsidRPr="0071724F">
        <w:rPr>
          <w:rFonts w:ascii="Times New Roman" w:hAnsi="Times New Roman"/>
          <w:lang w:val="sr-Cyrl-CS"/>
        </w:rPr>
        <w:t>Члан 184а</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 xml:space="preserve">Судија за извршење може по предлогу управника завода превремено отпустити осуђеног са издржавања казне затвора највише </w:t>
      </w:r>
      <w:r>
        <w:rPr>
          <w:rFonts w:ascii="Times New Roman" w:hAnsi="Times New Roman"/>
        </w:rPr>
        <w:t>12</w:t>
      </w:r>
      <w:r w:rsidRPr="0071724F">
        <w:rPr>
          <w:rFonts w:ascii="Times New Roman" w:hAnsi="Times New Roman"/>
          <w:lang w:val="sr-Cyrl-CS"/>
        </w:rPr>
        <w:t xml:space="preserve"> месеци до истека казне, ако је осуђени издржао једну половину казне затвора, због тешке болести, тешког инвалидитета или старости, ако би даље извршење </w:t>
      </w:r>
      <w:r>
        <w:rPr>
          <w:rFonts w:ascii="Times New Roman" w:hAnsi="Times New Roman"/>
          <w:lang w:val="sr-Cyrl-CS"/>
        </w:rPr>
        <w:t xml:space="preserve">казне </w:t>
      </w:r>
      <w:r w:rsidRPr="0071724F">
        <w:rPr>
          <w:rFonts w:ascii="Times New Roman" w:hAnsi="Times New Roman"/>
          <w:lang w:val="sr-Cyrl-CS"/>
        </w:rPr>
        <w:t xml:space="preserve">представљало нехумано поступање. </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 xml:space="preserve">Предлог из става 1. овог члана подноси управник завода, на основу претходно прибављеног мишљења стручног тима. </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Уз предлог управника, судији за извршење доставља се здравствена документација осуђеног.</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 xml:space="preserve">У поступку доношења одлуке, судија за извршење може одредити вештачење ради утврђивања здравственог стања осуђеног. </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Осуђени који је превремено отпуштен са издржавања казне затвора због тешке болести или тешког инвалидитета, дужан је да на сваких 60 дана доставља судији за извршење извештај лекара о свом здравственом стању.</w:t>
      </w:r>
    </w:p>
    <w:p w:rsidR="00934D5A" w:rsidRPr="0071724F" w:rsidRDefault="00934D5A" w:rsidP="00934D5A">
      <w:pPr>
        <w:ind w:firstLine="720"/>
        <w:jc w:val="both"/>
        <w:rPr>
          <w:rFonts w:ascii="Times New Roman" w:hAnsi="Times New Roman"/>
          <w:lang w:val="sr-Cyrl-CS"/>
        </w:rPr>
      </w:pPr>
      <w:r w:rsidRPr="0071724F">
        <w:rPr>
          <w:rFonts w:ascii="Times New Roman" w:hAnsi="Times New Roman"/>
          <w:lang w:val="sr-Cyrl-CS"/>
        </w:rPr>
        <w:t>Судија за извршење може опозвати одлуку којом је одобрено превремено отпуштање, ако се накнадно утврди да нису постојали или су престали да постоје разлози за превремено отпуштање.”</w:t>
      </w:r>
    </w:p>
    <w:p w:rsidR="00934D5A" w:rsidRDefault="00934D5A" w:rsidP="00934D5A">
      <w:pPr>
        <w:jc w:val="center"/>
        <w:rPr>
          <w:rFonts w:ascii="Times New Roman" w:hAnsi="Times New Roman"/>
          <w:lang w:val="sr-Cyrl-CS"/>
        </w:rPr>
      </w:pPr>
    </w:p>
    <w:p w:rsidR="00934D5A" w:rsidRPr="005F3E3D" w:rsidRDefault="00934D5A" w:rsidP="00934D5A">
      <w:pPr>
        <w:jc w:val="center"/>
        <w:rPr>
          <w:rFonts w:ascii="Times New Roman" w:hAnsi="Times New Roman"/>
          <w:lang w:val="sr-Cyrl-CS"/>
        </w:rPr>
      </w:pPr>
      <w:r>
        <w:rPr>
          <w:rFonts w:ascii="Times New Roman" w:hAnsi="Times New Roman"/>
          <w:lang w:val="sr-Cyrl-CS"/>
        </w:rPr>
        <w:t>Члан 10.</w:t>
      </w:r>
    </w:p>
    <w:p w:rsidR="00934D5A" w:rsidRDefault="00934D5A" w:rsidP="00934D5A">
      <w:pPr>
        <w:pStyle w:val="BodyText"/>
        <w:ind w:firstLine="708"/>
        <w:jc w:val="both"/>
        <w:rPr>
          <w:lang w:val="sr-Cyrl-CS"/>
        </w:rPr>
      </w:pPr>
      <w:r>
        <w:rPr>
          <w:lang w:val="sr-Cyrl-CS"/>
        </w:rPr>
        <w:t xml:space="preserve">Назив члана 258. и члан 258. мењају се и гласе: </w:t>
      </w:r>
    </w:p>
    <w:p w:rsidR="00934D5A" w:rsidRDefault="00934D5A" w:rsidP="00934D5A">
      <w:pPr>
        <w:pStyle w:val="BodyText"/>
        <w:ind w:firstLine="708"/>
        <w:jc w:val="both"/>
        <w:rPr>
          <w:lang w:val="sr-Cyrl-CS"/>
        </w:rPr>
      </w:pPr>
    </w:p>
    <w:p w:rsidR="00934D5A" w:rsidRDefault="00934D5A" w:rsidP="00934D5A">
      <w:pPr>
        <w:pStyle w:val="NoSpacing"/>
        <w:jc w:val="center"/>
        <w:rPr>
          <w:lang w:val="sr-Cyrl-RS"/>
        </w:rPr>
      </w:pPr>
      <w:r w:rsidRPr="004473CC">
        <w:t>„</w:t>
      </w:r>
      <w:r w:rsidRPr="00217BAB">
        <w:t>Звања запослених у Управи</w:t>
      </w:r>
    </w:p>
    <w:p w:rsidR="00934D5A" w:rsidRDefault="00934D5A" w:rsidP="00934D5A">
      <w:pPr>
        <w:pStyle w:val="NoSpacing"/>
        <w:jc w:val="center"/>
        <w:rPr>
          <w:lang w:val="sr-Cyrl-RS"/>
        </w:rPr>
      </w:pPr>
    </w:p>
    <w:p w:rsidR="00934D5A" w:rsidRPr="005F3E3D" w:rsidRDefault="00934D5A" w:rsidP="00934D5A">
      <w:pPr>
        <w:pStyle w:val="NoSpacing"/>
        <w:jc w:val="center"/>
        <w:rPr>
          <w:lang w:val="sr-Cyrl-RS"/>
        </w:rPr>
      </w:pPr>
      <w:r>
        <w:rPr>
          <w:lang w:val="sr-Cyrl-RS"/>
        </w:rPr>
        <w:t>Члан 258.</w:t>
      </w:r>
    </w:p>
    <w:p w:rsidR="00934D5A" w:rsidRPr="00887166" w:rsidRDefault="00934D5A" w:rsidP="00934D5A">
      <w:pPr>
        <w:pStyle w:val="NoSpacing"/>
        <w:tabs>
          <w:tab w:val="left" w:pos="426"/>
        </w:tabs>
        <w:jc w:val="both"/>
      </w:pPr>
      <w:r w:rsidRPr="00887166">
        <w:rPr>
          <w:color w:val="FF0000"/>
        </w:rPr>
        <w:tab/>
      </w:r>
      <w:r w:rsidRPr="00887166">
        <w:rPr>
          <w:color w:val="FF0000"/>
        </w:rPr>
        <w:tab/>
      </w:r>
      <w:r w:rsidRPr="00887166">
        <w:t xml:space="preserve">Радна места државних службеника у Управи деле се на положаје, кривично извршна радна места, радна места </w:t>
      </w:r>
      <w:r>
        <w:rPr>
          <w:lang w:val="sr-Cyrl-RS"/>
        </w:rPr>
        <w:t>за обављање послова у служби за обезбеђење</w:t>
      </w:r>
      <w:r w:rsidRPr="00887166">
        <w:t xml:space="preserve"> и извршилачка радна места.</w:t>
      </w:r>
    </w:p>
    <w:p w:rsidR="00934D5A" w:rsidRPr="00887166" w:rsidRDefault="00934D5A" w:rsidP="00934D5A">
      <w:pPr>
        <w:pStyle w:val="NoSpacing"/>
        <w:tabs>
          <w:tab w:val="left" w:pos="426"/>
        </w:tabs>
        <w:jc w:val="both"/>
      </w:pPr>
      <w:r w:rsidRPr="00887166">
        <w:rPr>
          <w:sz w:val="12"/>
          <w:szCs w:val="12"/>
        </w:rPr>
        <w:tab/>
      </w:r>
      <w:r w:rsidRPr="00887166">
        <w:rPr>
          <w:sz w:val="12"/>
          <w:szCs w:val="12"/>
        </w:rPr>
        <w:tab/>
      </w:r>
      <w:r w:rsidRPr="00887166">
        <w:t xml:space="preserve">Кривично извршна радна места и радна места </w:t>
      </w:r>
      <w:r>
        <w:rPr>
          <w:lang w:val="sr-Cyrl-RS"/>
        </w:rPr>
        <w:t>за обављање послова у служби за обезбеђење</w:t>
      </w:r>
      <w:r w:rsidRPr="00887166">
        <w:t xml:space="preserve"> су радна места на којима се обављају послови који подразумевају примену прописа који се односе на обављање послова извршења кривичних санкција и која се разврставају у посебна звања у извршењу кривичних санкција (у даљем тексту: посебна звања).</w:t>
      </w:r>
    </w:p>
    <w:p w:rsidR="00934D5A" w:rsidRPr="00887166" w:rsidRDefault="00934D5A" w:rsidP="00934D5A">
      <w:pPr>
        <w:pStyle w:val="NoSpacing"/>
        <w:tabs>
          <w:tab w:val="left" w:pos="426"/>
        </w:tabs>
        <w:jc w:val="both"/>
      </w:pPr>
      <w:r w:rsidRPr="00887166">
        <w:rPr>
          <w:sz w:val="12"/>
          <w:szCs w:val="12"/>
        </w:rPr>
        <w:tab/>
      </w:r>
      <w:r w:rsidRPr="00887166">
        <w:rPr>
          <w:sz w:val="12"/>
          <w:szCs w:val="12"/>
        </w:rPr>
        <w:tab/>
      </w:r>
      <w:r w:rsidRPr="00887166">
        <w:t>Кривично извршна радна места разврставају се у следећа посебна звања:</w:t>
      </w:r>
    </w:p>
    <w:p w:rsidR="00934D5A" w:rsidRPr="00887166" w:rsidRDefault="00934D5A" w:rsidP="00934D5A">
      <w:pPr>
        <w:pStyle w:val="NoSpacing"/>
        <w:tabs>
          <w:tab w:val="left" w:pos="709"/>
        </w:tabs>
        <w:jc w:val="both"/>
      </w:pPr>
      <w:r>
        <w:rPr>
          <w:lang w:val="sr-Cyrl-RS"/>
        </w:rPr>
        <w:tab/>
        <w:t xml:space="preserve">1) </w:t>
      </w:r>
      <w:r w:rsidRPr="00887166">
        <w:t xml:space="preserve">са средњом школом – млађи кривично извршни референт и кривично извршни референт; </w:t>
      </w:r>
    </w:p>
    <w:p w:rsidR="00934D5A" w:rsidRPr="004713C8" w:rsidRDefault="00934D5A" w:rsidP="00934D5A">
      <w:pPr>
        <w:pStyle w:val="NoSpacing"/>
        <w:tabs>
          <w:tab w:val="left" w:pos="709"/>
        </w:tabs>
        <w:jc w:val="both"/>
        <w:rPr>
          <w:lang w:val="sr-Cyrl-RS"/>
        </w:rPr>
      </w:pPr>
      <w:r>
        <w:rPr>
          <w:lang w:val="sr-Cyrl-RS"/>
        </w:rPr>
        <w:tab/>
        <w:t xml:space="preserve">2) </w:t>
      </w:r>
      <w:r w:rsidRPr="00887166">
        <w:t xml:space="preserve">са високим образовањем на основним академским студијама у обиму од најмање 180 </w:t>
      </w:r>
      <w:r>
        <w:rPr>
          <w:lang w:val="sr-Cyrl-RS"/>
        </w:rPr>
        <w:t>ЕСПБ</w:t>
      </w:r>
      <w:r w:rsidRPr="00887166">
        <w:t xml:space="preserve"> бодова, основним струковним студијама, односно на студијама у </w:t>
      </w:r>
      <w:r w:rsidRPr="00887166">
        <w:lastRenderedPageBreak/>
        <w:t>трајању до три године – млађи кривично извршни сарадник и кривично извршни сарадник;</w:t>
      </w:r>
    </w:p>
    <w:p w:rsidR="00934D5A" w:rsidRDefault="00934D5A" w:rsidP="00934D5A">
      <w:pPr>
        <w:pStyle w:val="NoSpacing"/>
        <w:tabs>
          <w:tab w:val="left" w:pos="709"/>
        </w:tabs>
        <w:jc w:val="both"/>
        <w:rPr>
          <w:lang w:val="sr-Cyrl-RS"/>
        </w:rPr>
      </w:pPr>
      <w:r>
        <w:rPr>
          <w:lang w:val="sr-Cyrl-RS"/>
        </w:rPr>
        <w:tab/>
        <w:t xml:space="preserve">3) </w:t>
      </w:r>
      <w:r w:rsidRPr="00887166">
        <w:t xml:space="preserve">са високим образовањем на основним академским студијама у обиму од најмање 240 </w:t>
      </w:r>
      <w:r>
        <w:rPr>
          <w:lang w:val="sr-Cyrl-RS"/>
        </w:rPr>
        <w:t>ЕСПБ</w:t>
      </w:r>
      <w:r w:rsidRPr="00887166">
        <w:t xml:space="preserve"> бодова,</w:t>
      </w:r>
      <w:r w:rsidRPr="00267AFD">
        <w:rPr>
          <w:lang w:val="sr-Cyrl-RS"/>
        </w:rPr>
        <w:t xml:space="preserve"> </w:t>
      </w:r>
      <w:r w:rsidRPr="00C57512">
        <w:t xml:space="preserve">мастер академским студијама, </w:t>
      </w:r>
      <w:r w:rsidRPr="00C57512">
        <w:rPr>
          <w:lang w:val="sr-Cyrl-RS"/>
        </w:rPr>
        <w:t>мастер струковним студијама</w:t>
      </w:r>
      <w:r w:rsidRPr="00C57512">
        <w:t xml:space="preserve">, специјалистичким струковним студијама, </w:t>
      </w:r>
      <w:r w:rsidRPr="00C57512">
        <w:rPr>
          <w:lang w:val="sr-Cyrl-RS"/>
        </w:rPr>
        <w:t>специјалистичким академским студијама</w:t>
      </w:r>
      <w:r w:rsidRPr="00887166">
        <w:t>, односно на основним студијама у трајању од најмање четири године или специјалистичким студијама на факултету – млађи кривично извршни саветник, кривично извршни саветник, самостални кривично извршни саветник, виши кривично извршни саветник трећег ранга, виши кривично извршни саветник другог ранга и виши кривично извршни саветник првог ранга.</w:t>
      </w:r>
    </w:p>
    <w:p w:rsidR="00934D5A" w:rsidRPr="005F3E3D" w:rsidRDefault="00934D5A" w:rsidP="00934D5A">
      <w:pPr>
        <w:jc w:val="both"/>
        <w:rPr>
          <w:rFonts w:ascii="Times New Roman" w:hAnsi="Times New Roman"/>
        </w:rPr>
      </w:pPr>
      <w:r w:rsidRPr="00887166">
        <w:tab/>
      </w:r>
      <w:r w:rsidRPr="005F3E3D">
        <w:rPr>
          <w:rFonts w:ascii="Times New Roman" w:hAnsi="Times New Roman"/>
        </w:rPr>
        <w:t>За потребе премештаја и распоређивања државних службеника, сва радна места која су разврстана у звање вишег кривично извршног саветника сматрају се одговарајућим радним местима, без обзира на начин њиховог рангирања.</w:t>
      </w:r>
    </w:p>
    <w:p w:rsidR="00934D5A" w:rsidRPr="00887166" w:rsidRDefault="00934D5A" w:rsidP="00934D5A">
      <w:pPr>
        <w:pStyle w:val="NoSpacing"/>
        <w:tabs>
          <w:tab w:val="left" w:pos="426"/>
        </w:tabs>
        <w:jc w:val="both"/>
      </w:pPr>
      <w:r w:rsidRPr="00887166">
        <w:tab/>
      </w:r>
      <w:r>
        <w:tab/>
      </w:r>
      <w:r w:rsidRPr="00887166">
        <w:t xml:space="preserve">Радна места </w:t>
      </w:r>
      <w:r>
        <w:rPr>
          <w:lang w:val="sr-Cyrl-RS"/>
        </w:rPr>
        <w:t>за обављање послова у служби за обезбеђење</w:t>
      </w:r>
      <w:r w:rsidRPr="00887166">
        <w:t xml:space="preserve"> разврставају се у следећа посебна звања:</w:t>
      </w:r>
    </w:p>
    <w:p w:rsidR="00934D5A" w:rsidRPr="00887166" w:rsidRDefault="00934D5A" w:rsidP="00934D5A">
      <w:pPr>
        <w:pStyle w:val="NoSpacing"/>
        <w:tabs>
          <w:tab w:val="left" w:pos="426"/>
        </w:tabs>
        <w:jc w:val="both"/>
      </w:pPr>
      <w:r>
        <w:rPr>
          <w:lang w:val="sr-Cyrl-RS"/>
        </w:rPr>
        <w:tab/>
      </w:r>
      <w:r>
        <w:rPr>
          <w:lang w:val="sr-Cyrl-RS"/>
        </w:rPr>
        <w:tab/>
        <w:t xml:space="preserve">1) </w:t>
      </w:r>
      <w:r w:rsidRPr="00887166">
        <w:t>са средњом школом – командир, старији командир и млађи надзорник;</w:t>
      </w:r>
    </w:p>
    <w:p w:rsidR="00934D5A" w:rsidRPr="00887166" w:rsidRDefault="00934D5A" w:rsidP="00934D5A">
      <w:pPr>
        <w:pStyle w:val="NoSpacing"/>
        <w:tabs>
          <w:tab w:val="left" w:pos="426"/>
        </w:tabs>
        <w:jc w:val="both"/>
      </w:pPr>
      <w:r>
        <w:rPr>
          <w:lang w:val="sr-Cyrl-RS"/>
        </w:rPr>
        <w:tab/>
      </w:r>
      <w:r>
        <w:rPr>
          <w:lang w:val="sr-Cyrl-RS"/>
        </w:rPr>
        <w:tab/>
        <w:t xml:space="preserve">2) </w:t>
      </w:r>
      <w:r w:rsidRPr="00887166">
        <w:t>са високим образовањем на основним академским студијама у обиму од најмање 1</w:t>
      </w:r>
      <w:r>
        <w:t xml:space="preserve">80 </w:t>
      </w:r>
      <w:r>
        <w:rPr>
          <w:lang w:val="sr-Cyrl-RS"/>
        </w:rPr>
        <w:t>ЕСПБ</w:t>
      </w:r>
      <w:r w:rsidRPr="00887166">
        <w:t xml:space="preserve"> бодова, основним струковним студијама, односно на студијама у трајању до три године – надзорник;</w:t>
      </w:r>
    </w:p>
    <w:p w:rsidR="00934D5A" w:rsidRPr="00887166" w:rsidRDefault="00934D5A" w:rsidP="00934D5A">
      <w:pPr>
        <w:pStyle w:val="NoSpacing"/>
        <w:tabs>
          <w:tab w:val="left" w:pos="426"/>
        </w:tabs>
        <w:jc w:val="both"/>
      </w:pPr>
      <w:r>
        <w:rPr>
          <w:lang w:val="sr-Cyrl-RS"/>
        </w:rPr>
        <w:tab/>
      </w:r>
      <w:r>
        <w:rPr>
          <w:lang w:val="sr-Cyrl-RS"/>
        </w:rPr>
        <w:tab/>
        <w:t xml:space="preserve">3) </w:t>
      </w:r>
      <w:r w:rsidRPr="00887166">
        <w:t xml:space="preserve">са високим образовањем на основним академским студијама у обиму од најмање 240 ЕСПБ бодова, </w:t>
      </w:r>
      <w:r w:rsidRPr="00C57512">
        <w:t xml:space="preserve">мастер академским студијама, </w:t>
      </w:r>
      <w:r w:rsidRPr="00C57512">
        <w:rPr>
          <w:lang w:val="sr-Cyrl-RS"/>
        </w:rPr>
        <w:t>мастер струковним студијама</w:t>
      </w:r>
      <w:r w:rsidRPr="00C57512">
        <w:t xml:space="preserve">, специјалистичким струковним студијама, </w:t>
      </w:r>
      <w:r w:rsidRPr="00C57512">
        <w:rPr>
          <w:lang w:val="sr-Cyrl-RS"/>
        </w:rPr>
        <w:t>специјалистичким академским студијама</w:t>
      </w:r>
      <w:r w:rsidRPr="00887166">
        <w:t>, односно на основним студијама у трајању од најмање четири године или специјалистичким студијама на факултету – млађи заповедник, заповедник и старији заповедник.</w:t>
      </w:r>
    </w:p>
    <w:p w:rsidR="00934D5A" w:rsidRPr="00887166" w:rsidRDefault="00934D5A" w:rsidP="00934D5A">
      <w:pPr>
        <w:pStyle w:val="NoSpacing"/>
        <w:tabs>
          <w:tab w:val="left" w:pos="426"/>
        </w:tabs>
        <w:jc w:val="both"/>
      </w:pPr>
      <w:r w:rsidRPr="00887166">
        <w:tab/>
      </w:r>
      <w:r w:rsidRPr="00887166">
        <w:tab/>
        <w:t>Да би радно место било разврстано у посебно звање, неопходно је да је посебним прописом утврђено као радно место на којем се стаж осигурања рачуна у увећаном трајању, или да испуњава најмање један од следећих услова:</w:t>
      </w:r>
    </w:p>
    <w:p w:rsidR="00934D5A" w:rsidRPr="00D1513C" w:rsidRDefault="00934D5A" w:rsidP="00934D5A">
      <w:pPr>
        <w:pStyle w:val="NoSpacing"/>
        <w:tabs>
          <w:tab w:val="left" w:pos="426"/>
        </w:tabs>
        <w:jc w:val="both"/>
        <w:rPr>
          <w:lang w:val="sr-Cyrl-RS"/>
        </w:rPr>
      </w:pPr>
      <w:r>
        <w:rPr>
          <w:lang w:val="sr-Cyrl-RS"/>
        </w:rPr>
        <w:tab/>
      </w:r>
      <w:r>
        <w:rPr>
          <w:lang w:val="sr-Cyrl-RS"/>
        </w:rPr>
        <w:tab/>
        <w:t xml:space="preserve">1) </w:t>
      </w:r>
      <w:r w:rsidRPr="00D1513C">
        <w:rPr>
          <w:lang w:val="sr-Cyrl-RS"/>
        </w:rPr>
        <w:t xml:space="preserve">да послове радног места обавља државни службеник који у смислу овог закона има статус овлашћеног службеног лица; </w:t>
      </w:r>
    </w:p>
    <w:p w:rsidR="00934D5A" w:rsidRPr="00887166" w:rsidRDefault="00934D5A" w:rsidP="00934D5A">
      <w:pPr>
        <w:pStyle w:val="NoSpacing"/>
        <w:tabs>
          <w:tab w:val="left" w:pos="426"/>
        </w:tabs>
        <w:jc w:val="both"/>
      </w:pPr>
      <w:r>
        <w:rPr>
          <w:lang w:val="sr-Cyrl-RS"/>
        </w:rPr>
        <w:tab/>
      </w:r>
      <w:r>
        <w:rPr>
          <w:lang w:val="sr-Cyrl-RS"/>
        </w:rPr>
        <w:tab/>
        <w:t xml:space="preserve">2) </w:t>
      </w:r>
      <w:r w:rsidRPr="00887166">
        <w:t>да се радно место састоји од послова који по својој природи, садржини, опису и значају претежно подразумевају рад са лицима лишеним слободе у непосредном контакту;</w:t>
      </w:r>
    </w:p>
    <w:p w:rsidR="00934D5A" w:rsidRPr="00D1513C" w:rsidRDefault="00934D5A" w:rsidP="00934D5A">
      <w:pPr>
        <w:pStyle w:val="NoSpacing"/>
        <w:tabs>
          <w:tab w:val="left" w:pos="426"/>
        </w:tabs>
        <w:jc w:val="both"/>
        <w:rPr>
          <w:lang w:val="sr-Cyrl-RS"/>
        </w:rPr>
      </w:pPr>
      <w:r>
        <w:rPr>
          <w:lang w:val="sr-Cyrl-RS"/>
        </w:rPr>
        <w:tab/>
      </w:r>
      <w:r>
        <w:rPr>
          <w:lang w:val="sr-Cyrl-RS"/>
        </w:rPr>
        <w:tab/>
        <w:t xml:space="preserve">3) </w:t>
      </w:r>
      <w:r w:rsidRPr="00D1513C">
        <w:rPr>
          <w:lang w:val="sr-Cyrl-RS"/>
        </w:rPr>
        <w:t>да се радно место састоји од послова којима се обједињују, координирају, усмеравају или на</w:t>
      </w:r>
      <w:r>
        <w:rPr>
          <w:lang w:val="sr-Cyrl-RS"/>
        </w:rPr>
        <w:t>дзиру поједини радни процеси у У</w:t>
      </w:r>
      <w:r w:rsidRPr="00D1513C">
        <w:rPr>
          <w:lang w:val="sr-Cyrl-RS"/>
        </w:rPr>
        <w:t>прави као це</w:t>
      </w:r>
      <w:r>
        <w:rPr>
          <w:lang w:val="sr-Cyrl-RS"/>
        </w:rPr>
        <w:t>лини и свим заводима у саставу У</w:t>
      </w:r>
      <w:r w:rsidRPr="00D1513C">
        <w:rPr>
          <w:lang w:val="sr-Cyrl-RS"/>
        </w:rPr>
        <w:t>праве.</w:t>
      </w:r>
    </w:p>
    <w:p w:rsidR="00934D5A" w:rsidRPr="00887166" w:rsidRDefault="00934D5A" w:rsidP="00934D5A">
      <w:pPr>
        <w:pStyle w:val="NoSpacing"/>
        <w:tabs>
          <w:tab w:val="left" w:pos="426"/>
        </w:tabs>
        <w:jc w:val="both"/>
      </w:pPr>
      <w:r>
        <w:rPr>
          <w:sz w:val="12"/>
          <w:szCs w:val="12"/>
        </w:rPr>
        <w:tab/>
      </w:r>
      <w:r>
        <w:rPr>
          <w:sz w:val="12"/>
          <w:szCs w:val="12"/>
        </w:rPr>
        <w:tab/>
      </w:r>
      <w:r w:rsidRPr="00887166">
        <w:t xml:space="preserve">Влада ближе уређује разврставање радних места у посебна звања, послове који се раде у сваком од посебних звања, као и мерила </w:t>
      </w:r>
      <w:r>
        <w:t xml:space="preserve">за опис послова радних места у </w:t>
      </w:r>
      <w:r>
        <w:rPr>
          <w:lang w:val="sr-Cyrl-RS"/>
        </w:rPr>
        <w:t xml:space="preserve">акту којим се уређује </w:t>
      </w:r>
      <w:r>
        <w:t xml:space="preserve">унутрашња </w:t>
      </w:r>
      <w:r>
        <w:rPr>
          <w:lang w:val="sr-Cyrl-RS"/>
        </w:rPr>
        <w:t>организација</w:t>
      </w:r>
      <w:r>
        <w:t xml:space="preserve"> и систематизација</w:t>
      </w:r>
      <w:r w:rsidRPr="00887166">
        <w:t xml:space="preserve"> радних места у Управи за извршење кривичних санција која су разврстана у посебна звања.</w:t>
      </w:r>
    </w:p>
    <w:p w:rsidR="00934D5A" w:rsidRDefault="00934D5A" w:rsidP="00934D5A">
      <w:pPr>
        <w:pStyle w:val="NoSpacing"/>
        <w:tabs>
          <w:tab w:val="left" w:pos="426"/>
          <w:tab w:val="left" w:pos="709"/>
        </w:tabs>
        <w:jc w:val="both"/>
        <w:rPr>
          <w:lang w:val="ru-RU"/>
        </w:rPr>
      </w:pPr>
      <w:r w:rsidRPr="00887166">
        <w:rPr>
          <w:sz w:val="12"/>
          <w:szCs w:val="12"/>
        </w:rPr>
        <w:tab/>
      </w:r>
      <w:r w:rsidRPr="00887166">
        <w:rPr>
          <w:sz w:val="12"/>
          <w:szCs w:val="12"/>
        </w:rPr>
        <w:tab/>
      </w:r>
      <w:r w:rsidRPr="00887166">
        <w:t>На разврставање положаја и извршилачких радних места примењују се прописи којима се уређује разврставање радних места и мерила за опис радних места државних службеника</w:t>
      </w:r>
      <w:r>
        <w:rPr>
          <w:lang w:val="ru-RU"/>
        </w:rPr>
        <w:t>.”</w:t>
      </w:r>
    </w:p>
    <w:p w:rsidR="00934D5A" w:rsidRDefault="00934D5A" w:rsidP="00934D5A">
      <w:pPr>
        <w:pStyle w:val="NoSpacing"/>
        <w:tabs>
          <w:tab w:val="left" w:pos="426"/>
          <w:tab w:val="left" w:pos="709"/>
        </w:tabs>
        <w:jc w:val="both"/>
        <w:rPr>
          <w:lang w:val="ru-RU"/>
        </w:rPr>
      </w:pPr>
    </w:p>
    <w:p w:rsidR="00934D5A" w:rsidRDefault="00934D5A" w:rsidP="00934D5A">
      <w:pPr>
        <w:pStyle w:val="NoSpacing"/>
        <w:tabs>
          <w:tab w:val="left" w:pos="426"/>
          <w:tab w:val="left" w:pos="709"/>
        </w:tabs>
        <w:jc w:val="both"/>
        <w:rPr>
          <w:lang w:val="ru-RU"/>
        </w:rPr>
      </w:pPr>
    </w:p>
    <w:p w:rsidR="00934D5A" w:rsidRDefault="00934D5A" w:rsidP="00934D5A">
      <w:pPr>
        <w:pStyle w:val="NoSpacing"/>
        <w:tabs>
          <w:tab w:val="left" w:pos="426"/>
          <w:tab w:val="left" w:pos="709"/>
        </w:tabs>
        <w:jc w:val="both"/>
        <w:rPr>
          <w:lang w:val="ru-RU"/>
        </w:rPr>
      </w:pPr>
    </w:p>
    <w:p w:rsidR="00934D5A" w:rsidRDefault="00934D5A" w:rsidP="00934D5A">
      <w:pPr>
        <w:pStyle w:val="NoSpacing"/>
        <w:tabs>
          <w:tab w:val="left" w:pos="426"/>
          <w:tab w:val="left" w:pos="709"/>
        </w:tabs>
        <w:jc w:val="both"/>
        <w:rPr>
          <w:lang w:val="ru-RU"/>
        </w:rPr>
      </w:pPr>
    </w:p>
    <w:p w:rsidR="00934D5A" w:rsidRDefault="00934D5A" w:rsidP="00934D5A">
      <w:pPr>
        <w:pStyle w:val="NoSpacing"/>
        <w:tabs>
          <w:tab w:val="left" w:pos="426"/>
          <w:tab w:val="left" w:pos="709"/>
        </w:tabs>
        <w:jc w:val="both"/>
        <w:rPr>
          <w:lang w:val="ru-RU"/>
        </w:rPr>
      </w:pPr>
    </w:p>
    <w:p w:rsidR="00934D5A" w:rsidRPr="009A2028" w:rsidRDefault="00934D5A" w:rsidP="00934D5A">
      <w:pPr>
        <w:pStyle w:val="NoSpacing"/>
        <w:tabs>
          <w:tab w:val="left" w:pos="426"/>
          <w:tab w:val="left" w:pos="709"/>
        </w:tabs>
        <w:jc w:val="both"/>
        <w:rPr>
          <w:lang w:val="ru-RU"/>
        </w:rPr>
      </w:pPr>
    </w:p>
    <w:p w:rsidR="00934D5A" w:rsidRPr="00F622C4" w:rsidRDefault="00934D5A" w:rsidP="00934D5A">
      <w:pPr>
        <w:pStyle w:val="NoSpacing"/>
        <w:tabs>
          <w:tab w:val="left" w:pos="426"/>
        </w:tabs>
        <w:jc w:val="both"/>
      </w:pPr>
    </w:p>
    <w:p w:rsidR="00934D5A" w:rsidRDefault="00934D5A" w:rsidP="00934D5A">
      <w:pPr>
        <w:pStyle w:val="BodyText"/>
        <w:ind w:firstLine="556"/>
        <w:jc w:val="center"/>
      </w:pPr>
    </w:p>
    <w:p w:rsidR="00934D5A" w:rsidRPr="00217BAB" w:rsidRDefault="00934D5A" w:rsidP="00934D5A">
      <w:pPr>
        <w:pStyle w:val="BodyText"/>
        <w:jc w:val="center"/>
      </w:pPr>
      <w:r>
        <w:t>Члан 11.</w:t>
      </w:r>
    </w:p>
    <w:p w:rsidR="00934D5A" w:rsidRPr="0071724F" w:rsidRDefault="00934D5A" w:rsidP="00934D5A">
      <w:pPr>
        <w:pStyle w:val="NoSpacing"/>
        <w:tabs>
          <w:tab w:val="left" w:pos="426"/>
          <w:tab w:val="left" w:pos="709"/>
        </w:tabs>
        <w:jc w:val="both"/>
      </w:pPr>
      <w:r>
        <w:tab/>
      </w:r>
      <w:r>
        <w:tab/>
      </w:r>
      <w:r w:rsidRPr="0071724F">
        <w:t>После члана 258. додају се назив члана 258а и члан 258а</w:t>
      </w:r>
      <w:r w:rsidRPr="003C34F7">
        <w:t>, који глас</w:t>
      </w:r>
      <w:r w:rsidRPr="0071724F">
        <w:t>е</w:t>
      </w:r>
      <w:r w:rsidRPr="003C34F7">
        <w:t>:</w:t>
      </w:r>
      <w:r w:rsidRPr="0071724F">
        <w:t xml:space="preserve"> </w:t>
      </w:r>
    </w:p>
    <w:p w:rsidR="00934D5A" w:rsidRDefault="00934D5A" w:rsidP="00934D5A">
      <w:pPr>
        <w:pStyle w:val="wyq120---podnaslov-clana"/>
        <w:spacing w:before="0" w:after="0"/>
        <w:rPr>
          <w:rFonts w:ascii="Times New Roman" w:hAnsi="Times New Roman" w:cs="Times New Roman"/>
          <w:i w:val="0"/>
          <w:lang w:val="sr-Cyrl-CS"/>
        </w:rPr>
      </w:pPr>
    </w:p>
    <w:p w:rsidR="00934D5A" w:rsidRDefault="00934D5A" w:rsidP="00934D5A">
      <w:pPr>
        <w:pStyle w:val="wyq120---podnaslov-clana"/>
        <w:spacing w:before="0" w:after="0"/>
        <w:rPr>
          <w:rFonts w:ascii="Times New Roman" w:hAnsi="Times New Roman" w:cs="Times New Roman"/>
          <w:i w:val="0"/>
          <w:lang w:val="sr-Cyrl-RS"/>
        </w:rPr>
      </w:pPr>
      <w:r w:rsidRPr="003C34F7">
        <w:rPr>
          <w:rFonts w:ascii="Times New Roman" w:hAnsi="Times New Roman" w:cs="Times New Roman"/>
          <w:i w:val="0"/>
          <w:lang w:val="sr-Cyrl-CS"/>
        </w:rPr>
        <w:t>„</w:t>
      </w:r>
      <w:r w:rsidRPr="008957E3">
        <w:rPr>
          <w:rFonts w:ascii="Times New Roman" w:hAnsi="Times New Roman" w:cs="Times New Roman"/>
          <w:i w:val="0"/>
          <w:lang w:val="sr-Cyrl-RS"/>
        </w:rPr>
        <w:t>Посебан стручни испит за обављање послова у служби за обезбеђење</w:t>
      </w:r>
    </w:p>
    <w:p w:rsidR="00934D5A" w:rsidRPr="00987152" w:rsidRDefault="00934D5A" w:rsidP="00934D5A">
      <w:pPr>
        <w:pStyle w:val="wyq120---podnaslov-clana"/>
        <w:spacing w:before="0" w:after="0"/>
        <w:rPr>
          <w:rFonts w:ascii="Times New Roman" w:hAnsi="Times New Roman" w:cs="Times New Roman"/>
          <w:b/>
          <w:i w:val="0"/>
          <w:lang w:val="sr-Cyrl-RS"/>
        </w:rPr>
      </w:pPr>
    </w:p>
    <w:p w:rsidR="00934D5A" w:rsidRPr="008957E3" w:rsidRDefault="00934D5A" w:rsidP="00934D5A">
      <w:pPr>
        <w:pStyle w:val="wyq120---podnaslov-clana"/>
        <w:spacing w:before="0" w:after="0"/>
        <w:rPr>
          <w:rFonts w:ascii="Times New Roman" w:hAnsi="Times New Roman" w:cs="Times New Roman"/>
          <w:i w:val="0"/>
          <w:lang w:val="sr-Cyrl-CS"/>
        </w:rPr>
      </w:pPr>
      <w:r w:rsidRPr="008957E3">
        <w:rPr>
          <w:rFonts w:ascii="Times New Roman" w:hAnsi="Times New Roman" w:cs="Times New Roman"/>
          <w:i w:val="0"/>
          <w:lang w:val="sr-Cyrl-RS"/>
        </w:rPr>
        <w:t>Члан 258а</w:t>
      </w:r>
    </w:p>
    <w:p w:rsidR="00934D5A" w:rsidRPr="007C2D3C" w:rsidRDefault="00934D5A" w:rsidP="00934D5A">
      <w:pPr>
        <w:pStyle w:val="NoSpacing"/>
        <w:tabs>
          <w:tab w:val="left" w:pos="426"/>
          <w:tab w:val="left" w:pos="709"/>
        </w:tabs>
        <w:jc w:val="both"/>
      </w:pPr>
      <w:r>
        <w:tab/>
      </w:r>
      <w:r>
        <w:tab/>
      </w:r>
      <w:r w:rsidRPr="007C2D3C">
        <w:t>За обављање послова у служби за обезбеђење на радним местима разврстаним у звања командира, надзорника и млађег заповедника, обавезна је обука и полагање посебног стручног испита (у даљем тексту: испит).</w:t>
      </w:r>
    </w:p>
    <w:p w:rsidR="00934D5A" w:rsidRPr="007C2D3C" w:rsidRDefault="00934D5A" w:rsidP="00934D5A">
      <w:pPr>
        <w:pStyle w:val="NoSpacing"/>
        <w:tabs>
          <w:tab w:val="left" w:pos="426"/>
          <w:tab w:val="left" w:pos="709"/>
        </w:tabs>
        <w:jc w:val="both"/>
      </w:pPr>
      <w:r>
        <w:tab/>
      </w:r>
      <w:r>
        <w:tab/>
      </w:r>
      <w:r w:rsidRPr="007C2D3C">
        <w:t xml:space="preserve">Запослени у служби за обезбеђење који имају средњу школу прописану законом и положен испит за обављање послова на радним местима разврстаним у звање командира, могу обављати и послове на радним местима разврстаним у звање старијег командира и млађег надзорника. </w:t>
      </w:r>
    </w:p>
    <w:p w:rsidR="00934D5A" w:rsidRPr="007C2D3C" w:rsidRDefault="00934D5A" w:rsidP="00934D5A">
      <w:pPr>
        <w:pStyle w:val="NoSpacing"/>
        <w:tabs>
          <w:tab w:val="left" w:pos="426"/>
          <w:tab w:val="left" w:pos="709"/>
        </w:tabs>
        <w:jc w:val="both"/>
      </w:pPr>
      <w:r>
        <w:tab/>
      </w:r>
      <w:r>
        <w:tab/>
      </w:r>
      <w:r w:rsidRPr="007C2D3C">
        <w:t xml:space="preserve">Запослени у служби за обезбеђење који имају стечено високо образовање које је по закону неопходно за полагање стручног испита за рад на радним местима у звању млађег заповедника, могу са </w:t>
      </w:r>
      <w:r>
        <w:rPr>
          <w:lang w:val="sr-Cyrl-RS"/>
        </w:rPr>
        <w:t>тим</w:t>
      </w:r>
      <w:r w:rsidRPr="007C2D3C">
        <w:t xml:space="preserve"> положеним испитом обављати и послове на радним местима разврстаним у звање заповедника и старијег заповедника. </w:t>
      </w:r>
    </w:p>
    <w:p w:rsidR="00934D5A" w:rsidRPr="007C2D3C" w:rsidRDefault="00934D5A" w:rsidP="00934D5A">
      <w:pPr>
        <w:pStyle w:val="NoSpacing"/>
        <w:tabs>
          <w:tab w:val="left" w:pos="426"/>
          <w:tab w:val="left" w:pos="709"/>
        </w:tabs>
        <w:jc w:val="both"/>
      </w:pPr>
      <w:r>
        <w:tab/>
      </w:r>
      <w:r>
        <w:tab/>
        <w:t>Запослени из ст.</w:t>
      </w:r>
      <w:r w:rsidRPr="007C2D3C">
        <w:t xml:space="preserve"> 2. и 3. овог члана могу обављати наведене послове, ако су испуњени услови </w:t>
      </w:r>
      <w:r>
        <w:rPr>
          <w:lang w:val="sr-Cyrl-RS"/>
        </w:rPr>
        <w:t>утврђени прописима</w:t>
      </w:r>
      <w:r w:rsidRPr="007C2D3C">
        <w:t xml:space="preserve"> којима се уређује напредовање, распоређивање и премештај државних службеника, као и услови прописани актом којим се уређује унутрашња организација и систематизација радних места у Управи.</w:t>
      </w:r>
    </w:p>
    <w:p w:rsidR="00934D5A" w:rsidRDefault="00934D5A" w:rsidP="00934D5A">
      <w:pPr>
        <w:pStyle w:val="NoSpacing"/>
        <w:tabs>
          <w:tab w:val="left" w:pos="426"/>
          <w:tab w:val="left" w:pos="709"/>
        </w:tabs>
        <w:jc w:val="both"/>
      </w:pPr>
      <w:r>
        <w:tab/>
      </w:r>
      <w:r>
        <w:tab/>
      </w:r>
      <w:r w:rsidRPr="0071724F">
        <w:t xml:space="preserve">Испит се полаже пред испитном комисијом коју образује </w:t>
      </w:r>
      <w:r w:rsidRPr="00887166">
        <w:t>директор Управе</w:t>
      </w:r>
      <w:r w:rsidRPr="0071724F">
        <w:t xml:space="preserve">. </w:t>
      </w:r>
    </w:p>
    <w:p w:rsidR="00934D5A" w:rsidRPr="00887166" w:rsidRDefault="00934D5A" w:rsidP="00934D5A">
      <w:pPr>
        <w:pStyle w:val="NoSpacing"/>
        <w:tabs>
          <w:tab w:val="left" w:pos="426"/>
          <w:tab w:val="left" w:pos="709"/>
        </w:tabs>
        <w:jc w:val="both"/>
      </w:pPr>
      <w:r>
        <w:tab/>
      </w:r>
      <w:r>
        <w:tab/>
      </w:r>
      <w:r w:rsidRPr="0071724F">
        <w:t>Основну, континуиран</w:t>
      </w:r>
      <w:r w:rsidRPr="00887166">
        <w:t>у,</w:t>
      </w:r>
      <w:r w:rsidRPr="0071724F">
        <w:t xml:space="preserve"> специјалистичку, допунску и другу обуку, стручно оспособљавање и усавршавање запослених спроводе предавачи, које одређује </w:t>
      </w:r>
      <w:r w:rsidRPr="00887166">
        <w:t>директор Управе</w:t>
      </w:r>
      <w:r w:rsidRPr="0071724F">
        <w:t>.</w:t>
      </w:r>
    </w:p>
    <w:p w:rsidR="00934D5A" w:rsidRPr="0071724F" w:rsidRDefault="00934D5A" w:rsidP="00934D5A">
      <w:pPr>
        <w:pStyle w:val="NoSpacing"/>
        <w:tabs>
          <w:tab w:val="left" w:pos="426"/>
          <w:tab w:val="left" w:pos="709"/>
        </w:tabs>
        <w:jc w:val="both"/>
      </w:pPr>
      <w:r>
        <w:tab/>
      </w:r>
      <w:r>
        <w:tab/>
      </w:r>
      <w:r w:rsidRPr="0071724F">
        <w:t xml:space="preserve">Чланови </w:t>
      </w:r>
      <w:r>
        <w:t xml:space="preserve">испитне </w:t>
      </w:r>
      <w:r w:rsidRPr="0071724F">
        <w:t xml:space="preserve">комисије </w:t>
      </w:r>
      <w:r w:rsidRPr="00887166">
        <w:t>и предавачи</w:t>
      </w:r>
      <w:r>
        <w:t xml:space="preserve"> </w:t>
      </w:r>
      <w:r w:rsidRPr="0071724F">
        <w:t xml:space="preserve">морају имати стечено високо образовање на студијама другог степена (мастер академске студије, мастер струковне студије, специјалистичке академске студије), основним академским студијама у обиму од најмање 240 ЕСПБ бодова, односно на основним студијама у трајању од најмање четири године. </w:t>
      </w:r>
    </w:p>
    <w:p w:rsidR="00934D5A" w:rsidRPr="007C2D3C" w:rsidRDefault="00934D5A" w:rsidP="00934D5A">
      <w:pPr>
        <w:pStyle w:val="NoSpacing"/>
        <w:tabs>
          <w:tab w:val="left" w:pos="426"/>
          <w:tab w:val="left" w:pos="709"/>
        </w:tabs>
        <w:jc w:val="both"/>
      </w:pPr>
      <w:r>
        <w:tab/>
      </w:r>
      <w:r>
        <w:tab/>
      </w:r>
      <w:r w:rsidRPr="0071724F">
        <w:t xml:space="preserve">Члановима </w:t>
      </w:r>
      <w:r>
        <w:t xml:space="preserve">испитне </w:t>
      </w:r>
      <w:r w:rsidRPr="0071724F">
        <w:t xml:space="preserve">комисије </w:t>
      </w:r>
      <w:r w:rsidRPr="00887166">
        <w:t>и предавачима</w:t>
      </w:r>
      <w:r w:rsidRPr="007C2D3C">
        <w:t xml:space="preserve"> </w:t>
      </w:r>
      <w:r w:rsidRPr="0071724F">
        <w:t xml:space="preserve">припада накнада за рад чију висину утврђује министар надлежан за послове правосуђа. </w:t>
      </w:r>
    </w:p>
    <w:p w:rsidR="00934D5A" w:rsidRPr="007C2D3C" w:rsidRDefault="00934D5A" w:rsidP="00934D5A">
      <w:pPr>
        <w:pStyle w:val="NoSpacing"/>
        <w:tabs>
          <w:tab w:val="left" w:pos="426"/>
          <w:tab w:val="left" w:pos="709"/>
        </w:tabs>
        <w:jc w:val="both"/>
      </w:pPr>
      <w:r>
        <w:tab/>
      </w:r>
      <w:r>
        <w:tab/>
      </w:r>
      <w:r w:rsidRPr="007962EF">
        <w:t xml:space="preserve">Кандидат први пут полаже </w:t>
      </w:r>
      <w:r w:rsidRPr="007C2D3C">
        <w:t>испит</w:t>
      </w:r>
      <w:r w:rsidRPr="007962EF">
        <w:t xml:space="preserve"> о трошку завода, а </w:t>
      </w:r>
      <w:r w:rsidRPr="0071724F">
        <w:t>понов</w:t>
      </w:r>
      <w:r w:rsidRPr="007C2D3C">
        <w:t>љени</w:t>
      </w:r>
      <w:r w:rsidRPr="0071724F">
        <w:t xml:space="preserve"> </w:t>
      </w:r>
      <w:r w:rsidRPr="007962EF">
        <w:t>испит о свом трошку.</w:t>
      </w:r>
    </w:p>
    <w:p w:rsidR="00934D5A" w:rsidRPr="007C2D3C" w:rsidRDefault="00934D5A" w:rsidP="00934D5A">
      <w:pPr>
        <w:pStyle w:val="NoSpacing"/>
        <w:tabs>
          <w:tab w:val="left" w:pos="426"/>
          <w:tab w:val="left" w:pos="709"/>
        </w:tabs>
        <w:jc w:val="both"/>
      </w:pPr>
      <w:r>
        <w:tab/>
      </w:r>
      <w:r>
        <w:tab/>
      </w:r>
      <w:r w:rsidRPr="007C2D3C">
        <w:t xml:space="preserve">Пропис којим се ближе уређује обука и стручно оспособљавање и усавршавање, као и услови, начин пријављивања за обуку и полагање испита, програм испита, садржај и вођење евиденција о положеним стручним испитима и обављеној обуци, стручном оспособљавању и усавршавању и  издатим уверењима и потврдама доноси министар надлежан за послове правосуђа. </w:t>
      </w:r>
    </w:p>
    <w:p w:rsidR="00934D5A" w:rsidRPr="0071724F" w:rsidRDefault="00934D5A" w:rsidP="00934D5A">
      <w:pPr>
        <w:pStyle w:val="NoSpacing"/>
        <w:tabs>
          <w:tab w:val="left" w:pos="426"/>
          <w:tab w:val="left" w:pos="709"/>
        </w:tabs>
        <w:jc w:val="both"/>
      </w:pPr>
      <w:r>
        <w:tab/>
      </w:r>
      <w:r>
        <w:tab/>
      </w:r>
      <w:r w:rsidRPr="0071724F">
        <w:t>О положеном испиту издаје се уверење</w:t>
      </w:r>
      <w:r>
        <w:t xml:space="preserve">. О </w:t>
      </w:r>
      <w:r w:rsidRPr="00887166">
        <w:t xml:space="preserve">завршеној </w:t>
      </w:r>
      <w:r>
        <w:t xml:space="preserve">основној, континуираној, специјалистичкој, допунској или другој </w:t>
      </w:r>
      <w:r w:rsidRPr="00887166">
        <w:t>обуци, стручном оспособљавању и усавршавању</w:t>
      </w:r>
      <w:r w:rsidRPr="0071724F">
        <w:t xml:space="preserve">, издаје се </w:t>
      </w:r>
      <w:r>
        <w:t>потврда</w:t>
      </w:r>
      <w:r w:rsidRPr="0071724F">
        <w:t xml:space="preserve">. </w:t>
      </w:r>
    </w:p>
    <w:p w:rsidR="00934D5A" w:rsidRPr="0071724F" w:rsidRDefault="00934D5A" w:rsidP="00934D5A">
      <w:pPr>
        <w:pStyle w:val="NoSpacing"/>
        <w:tabs>
          <w:tab w:val="left" w:pos="426"/>
          <w:tab w:val="left" w:pos="709"/>
        </w:tabs>
        <w:jc w:val="both"/>
      </w:pPr>
      <w:r>
        <w:tab/>
      </w:r>
      <w:r>
        <w:tab/>
      </w:r>
      <w:r w:rsidRPr="0071724F">
        <w:t xml:space="preserve">Изглед и садржину обрасца уверења </w:t>
      </w:r>
      <w:r>
        <w:t xml:space="preserve">и потврде </w:t>
      </w:r>
      <w:r w:rsidRPr="0071724F">
        <w:t xml:space="preserve">прописује министар надлежан за послове правосуђа. </w:t>
      </w:r>
    </w:p>
    <w:p w:rsidR="00934D5A" w:rsidRPr="00332BE6" w:rsidRDefault="00934D5A" w:rsidP="00934D5A">
      <w:pPr>
        <w:pStyle w:val="NoSpacing"/>
        <w:tabs>
          <w:tab w:val="left" w:pos="426"/>
          <w:tab w:val="left" w:pos="709"/>
        </w:tabs>
        <w:jc w:val="both"/>
      </w:pPr>
      <w:r>
        <w:tab/>
      </w:r>
      <w:r>
        <w:tab/>
      </w:r>
      <w:r w:rsidRPr="0071724F">
        <w:t>Запослени у служби за обезбеђење изузети су од обавезе полагања државног стручног испита.”</w:t>
      </w:r>
    </w:p>
    <w:p w:rsidR="00934D5A" w:rsidRDefault="00934D5A" w:rsidP="00934D5A">
      <w:pPr>
        <w:rPr>
          <w:rFonts w:ascii="Times New Roman" w:hAnsi="Times New Roman"/>
          <w:lang w:val="sr-Cyrl-CS"/>
        </w:rPr>
      </w:pPr>
    </w:p>
    <w:p w:rsidR="00934D5A" w:rsidRDefault="00934D5A" w:rsidP="00934D5A">
      <w:pPr>
        <w:rPr>
          <w:rFonts w:ascii="Times New Roman" w:hAnsi="Times New Roman"/>
          <w:lang w:val="sr-Cyrl-CS"/>
        </w:rPr>
      </w:pPr>
    </w:p>
    <w:p w:rsidR="00934D5A" w:rsidRDefault="00934D5A" w:rsidP="00934D5A">
      <w:pPr>
        <w:rPr>
          <w:rFonts w:ascii="Times New Roman" w:hAnsi="Times New Roman"/>
          <w:lang w:val="sr-Cyrl-CS"/>
        </w:rPr>
      </w:pPr>
    </w:p>
    <w:p w:rsidR="00934D5A" w:rsidRDefault="00934D5A" w:rsidP="00934D5A">
      <w:pPr>
        <w:jc w:val="center"/>
        <w:rPr>
          <w:rFonts w:ascii="Times New Roman" w:hAnsi="Times New Roman"/>
        </w:rPr>
      </w:pPr>
      <w:r>
        <w:rPr>
          <w:rFonts w:ascii="Times New Roman" w:hAnsi="Times New Roman"/>
          <w:lang w:val="sr-Cyrl-CS"/>
        </w:rPr>
        <w:lastRenderedPageBreak/>
        <w:t>Члан 12.</w:t>
      </w:r>
    </w:p>
    <w:p w:rsidR="00934D5A" w:rsidRDefault="00934D5A" w:rsidP="00934D5A">
      <w:pPr>
        <w:pStyle w:val="BodyText"/>
        <w:ind w:firstLine="708"/>
        <w:rPr>
          <w:lang w:val="sr-Cyrl-CS"/>
        </w:rPr>
      </w:pPr>
      <w:r>
        <w:rPr>
          <w:lang w:val="sr-Cyrl-CS"/>
        </w:rPr>
        <w:t xml:space="preserve">Назив изнад члана </w:t>
      </w:r>
      <w:r>
        <w:t xml:space="preserve">259. </w:t>
      </w:r>
      <w:r>
        <w:rPr>
          <w:lang w:val="sr-Cyrl-CS"/>
        </w:rPr>
        <w:t>и члан 259. мењају се и гласе:</w:t>
      </w:r>
    </w:p>
    <w:p w:rsidR="00934D5A" w:rsidRDefault="00934D5A" w:rsidP="00934D5A">
      <w:pPr>
        <w:pStyle w:val="BodyText"/>
        <w:ind w:firstLine="708"/>
        <w:rPr>
          <w:lang w:val="sr-Cyrl-CS"/>
        </w:rPr>
      </w:pPr>
    </w:p>
    <w:p w:rsidR="00934D5A" w:rsidRDefault="00934D5A" w:rsidP="00934D5A">
      <w:pPr>
        <w:pStyle w:val="BodyText"/>
        <w:jc w:val="center"/>
        <w:rPr>
          <w:lang w:val="sr-Cyrl-CS"/>
        </w:rPr>
      </w:pPr>
      <w:r>
        <w:rPr>
          <w:lang w:val="sr-Cyrl-CS"/>
        </w:rPr>
        <w:t>„Обука, стручно оспособљавање и усавршавање</w:t>
      </w:r>
    </w:p>
    <w:p w:rsidR="00934D5A" w:rsidRDefault="00934D5A" w:rsidP="00934D5A">
      <w:pPr>
        <w:pStyle w:val="BodyText"/>
        <w:jc w:val="center"/>
        <w:rPr>
          <w:lang w:val="sr-Cyrl-CS"/>
        </w:rPr>
      </w:pPr>
    </w:p>
    <w:p w:rsidR="00934D5A" w:rsidRDefault="00934D5A" w:rsidP="00934D5A">
      <w:pPr>
        <w:pStyle w:val="BodyText"/>
        <w:jc w:val="center"/>
        <w:rPr>
          <w:lang w:val="sr-Cyrl-CS"/>
        </w:rPr>
      </w:pPr>
      <w:r>
        <w:rPr>
          <w:lang w:val="sr-Cyrl-CS"/>
        </w:rPr>
        <w:t>Члан 259.</w:t>
      </w:r>
    </w:p>
    <w:p w:rsidR="00934D5A" w:rsidRPr="0077617E" w:rsidRDefault="00934D5A" w:rsidP="00934D5A">
      <w:pPr>
        <w:pStyle w:val="NoSpacing"/>
        <w:tabs>
          <w:tab w:val="left" w:pos="426"/>
        </w:tabs>
        <w:jc w:val="both"/>
      </w:pPr>
      <w:r>
        <w:tab/>
      </w:r>
      <w:r>
        <w:tab/>
      </w:r>
      <w:r w:rsidRPr="0077617E">
        <w:t xml:space="preserve">Центар за обуку спроводи програме обуке, стручног оспособљавања и усавршавања за: приправнике, запослене у служби за обезбеђење, остале запослене у Управи и запослене у другим државним органима. </w:t>
      </w:r>
    </w:p>
    <w:p w:rsidR="00934D5A" w:rsidRPr="0077617E" w:rsidRDefault="00934D5A" w:rsidP="00934D5A">
      <w:pPr>
        <w:pStyle w:val="NoSpacing"/>
        <w:tabs>
          <w:tab w:val="left" w:pos="426"/>
        </w:tabs>
        <w:jc w:val="both"/>
      </w:pPr>
      <w:r>
        <w:tab/>
      </w:r>
      <w:r>
        <w:tab/>
      </w:r>
      <w:r w:rsidRPr="0077617E">
        <w:t xml:space="preserve">Програме обуке (основне, стручне, континуиране, специјалистичке, допунске и друге), стручног оспособљавања и усавршавања и начин полагања испита запослених у Управи израђује наставно веће Центра за обуку.  </w:t>
      </w:r>
    </w:p>
    <w:p w:rsidR="00934D5A" w:rsidRPr="0077617E" w:rsidRDefault="00934D5A" w:rsidP="00934D5A">
      <w:pPr>
        <w:pStyle w:val="NoSpacing"/>
        <w:tabs>
          <w:tab w:val="left" w:pos="426"/>
        </w:tabs>
        <w:jc w:val="both"/>
      </w:pPr>
      <w:r>
        <w:tab/>
      </w:r>
      <w:r>
        <w:tab/>
      </w:r>
      <w:r w:rsidRPr="0077617E">
        <w:t>Наставно веће Центра за обуку чине управник Центра за обуку, председник и заменик председника испитне комисије, представник Управе за извршење кривичних санкција, секретар испитне комисије, два предавача и три члана испитне комисије.</w:t>
      </w:r>
    </w:p>
    <w:p w:rsidR="00934D5A" w:rsidRPr="00A84E4C" w:rsidRDefault="00934D5A" w:rsidP="00934D5A">
      <w:pPr>
        <w:pStyle w:val="NoSpacing"/>
        <w:tabs>
          <w:tab w:val="left" w:pos="426"/>
        </w:tabs>
        <w:jc w:val="both"/>
      </w:pPr>
      <w:r>
        <w:tab/>
      </w:r>
      <w:r>
        <w:tab/>
        <w:t xml:space="preserve">План спровођења </w:t>
      </w:r>
      <w:r w:rsidRPr="0077617E">
        <w:t>програма основне, континуиране, специјалистичке, допунске и осталих обука, као и стручног оспособљавања и усавршавања доноси директор Управе на предлог управника Центра за обуку</w:t>
      </w:r>
      <w:r>
        <w:t>.</w:t>
      </w:r>
      <w:r w:rsidRPr="0077617E">
        <w:t>”</w:t>
      </w:r>
    </w:p>
    <w:p w:rsidR="00934D5A" w:rsidRPr="006E6426" w:rsidRDefault="00934D5A" w:rsidP="00934D5A">
      <w:pPr>
        <w:jc w:val="both"/>
        <w:rPr>
          <w:rFonts w:ascii="Times New Roman" w:hAnsi="Times New Roman"/>
          <w:lang w:val="sr-Cyrl-CS"/>
        </w:rPr>
      </w:pPr>
    </w:p>
    <w:p w:rsidR="00934D5A" w:rsidRDefault="00934D5A" w:rsidP="00934D5A">
      <w:pPr>
        <w:jc w:val="center"/>
        <w:rPr>
          <w:rFonts w:ascii="Times New Roman" w:hAnsi="Times New Roman"/>
          <w:lang w:val="sr-Cyrl-RS"/>
        </w:rPr>
      </w:pPr>
      <w:r w:rsidRPr="00AC239A">
        <w:rPr>
          <w:rFonts w:ascii="Times New Roman" w:hAnsi="Times New Roman"/>
          <w:lang w:val="sr-Cyrl-CS"/>
        </w:rPr>
        <w:t>Члан 13.</w:t>
      </w:r>
    </w:p>
    <w:p w:rsidR="00934D5A" w:rsidRPr="005F3E3D" w:rsidRDefault="00934D5A" w:rsidP="00934D5A">
      <w:pPr>
        <w:ind w:firstLine="708"/>
        <w:rPr>
          <w:rFonts w:ascii="Times New Roman" w:hAnsi="Times New Roman"/>
        </w:rPr>
      </w:pPr>
      <w:r w:rsidRPr="00AC239A">
        <w:rPr>
          <w:rFonts w:ascii="Times New Roman" w:hAnsi="Times New Roman"/>
        </w:rPr>
        <w:t xml:space="preserve">У члану 262. став 3. брише се. </w:t>
      </w:r>
    </w:p>
    <w:p w:rsidR="00934D5A" w:rsidRPr="005F3E3D" w:rsidRDefault="00934D5A" w:rsidP="00934D5A">
      <w:pPr>
        <w:ind w:firstLine="708"/>
        <w:rPr>
          <w:rFonts w:ascii="Times New Roman" w:hAnsi="Times New Roman"/>
          <w:lang w:val="sr-Cyrl-RS"/>
        </w:rPr>
      </w:pPr>
      <w:r w:rsidRPr="00AC239A">
        <w:rPr>
          <w:rFonts w:ascii="Times New Roman" w:hAnsi="Times New Roman"/>
        </w:rPr>
        <w:t>Досадашњи став 4. постаје став 3.</w:t>
      </w:r>
      <w:r>
        <w:rPr>
          <w:rFonts w:ascii="Times New Roman" w:hAnsi="Times New Roman"/>
          <w:lang w:val="sr-Cyrl-RS"/>
        </w:rPr>
        <w:t xml:space="preserve"> </w:t>
      </w:r>
    </w:p>
    <w:p w:rsidR="00934D5A" w:rsidRDefault="00934D5A" w:rsidP="00934D5A">
      <w:pPr>
        <w:rPr>
          <w:rFonts w:ascii="Times New Roman" w:hAnsi="Times New Roman"/>
          <w:lang w:val="sr-Cyrl-RS"/>
        </w:rPr>
      </w:pPr>
    </w:p>
    <w:p w:rsidR="00934D5A" w:rsidRDefault="00934D5A" w:rsidP="00934D5A">
      <w:pPr>
        <w:jc w:val="center"/>
        <w:rPr>
          <w:rFonts w:ascii="Times New Roman" w:hAnsi="Times New Roman"/>
          <w:lang w:val="sr-Cyrl-CS"/>
        </w:rPr>
      </w:pPr>
      <w:r>
        <w:rPr>
          <w:rFonts w:ascii="Times New Roman" w:hAnsi="Times New Roman"/>
          <w:lang w:val="sr-Cyrl-CS"/>
        </w:rPr>
        <w:t>Члан 14.</w:t>
      </w:r>
    </w:p>
    <w:p w:rsidR="00934D5A" w:rsidRDefault="00934D5A" w:rsidP="00934D5A">
      <w:pPr>
        <w:jc w:val="both"/>
        <w:rPr>
          <w:rFonts w:ascii="Times New Roman" w:hAnsi="Times New Roman"/>
          <w:lang w:val="sr-Cyrl-RS"/>
        </w:rPr>
      </w:pPr>
      <w:r>
        <w:rPr>
          <w:rFonts w:ascii="Times New Roman" w:hAnsi="Times New Roman"/>
          <w:lang w:val="sr-Cyrl-CS"/>
        </w:rPr>
        <w:tab/>
      </w:r>
      <w:r>
        <w:rPr>
          <w:rFonts w:ascii="Times New Roman" w:hAnsi="Times New Roman"/>
          <w:lang w:val="sr-Cyrl-RS"/>
        </w:rPr>
        <w:t xml:space="preserve">Посебни стручни испити за обављање послова у служби за обезбеђење који су до ступања на снагу овог закона пријављени, окончаће се </w:t>
      </w:r>
      <w:r w:rsidRPr="00EA748C">
        <w:rPr>
          <w:rFonts w:ascii="Times New Roman" w:hAnsi="Times New Roman"/>
          <w:lang w:val="sr-Cyrl-RS"/>
        </w:rPr>
        <w:t>најкасније до почетка примене овог закона</w:t>
      </w:r>
      <w:r>
        <w:rPr>
          <w:rFonts w:ascii="Times New Roman" w:hAnsi="Times New Roman"/>
          <w:lang w:val="sr-Cyrl-RS"/>
        </w:rPr>
        <w:t xml:space="preserve"> према прописима који су важили у време подношења пријаве.</w:t>
      </w:r>
    </w:p>
    <w:p w:rsidR="00934D5A" w:rsidRDefault="00934D5A" w:rsidP="00934D5A">
      <w:pPr>
        <w:rPr>
          <w:rFonts w:ascii="Times New Roman" w:hAnsi="Times New Roman"/>
          <w:lang w:val="sr-Cyrl-RS"/>
        </w:rPr>
      </w:pPr>
    </w:p>
    <w:p w:rsidR="00934D5A" w:rsidRDefault="00934D5A" w:rsidP="00934D5A">
      <w:pPr>
        <w:jc w:val="center"/>
        <w:rPr>
          <w:rFonts w:ascii="Times New Roman" w:hAnsi="Times New Roman"/>
          <w:lang w:val="sr-Cyrl-RS"/>
        </w:rPr>
      </w:pPr>
      <w:r>
        <w:rPr>
          <w:rFonts w:ascii="Times New Roman" w:hAnsi="Times New Roman"/>
          <w:lang w:val="sr-Cyrl-RS"/>
        </w:rPr>
        <w:t>Члан 15.</w:t>
      </w:r>
    </w:p>
    <w:p w:rsidR="00934D5A" w:rsidRDefault="00934D5A" w:rsidP="00934D5A">
      <w:pPr>
        <w:jc w:val="both"/>
        <w:rPr>
          <w:rFonts w:ascii="Times New Roman" w:hAnsi="Times New Roman"/>
          <w:lang w:val="sr-Cyrl-RS"/>
        </w:rPr>
      </w:pPr>
      <w:r>
        <w:rPr>
          <w:rFonts w:ascii="Times New Roman" w:hAnsi="Times New Roman"/>
          <w:lang w:val="sr-Cyrl-RS"/>
        </w:rPr>
        <w:tab/>
        <w:t xml:space="preserve">Запослени у служби за обезбеђење </w:t>
      </w:r>
      <w:r w:rsidRPr="00EA748C">
        <w:rPr>
          <w:rFonts w:ascii="Times New Roman" w:hAnsi="Times New Roman"/>
          <w:lang w:val="sr-Cyrl-RS"/>
        </w:rPr>
        <w:t>који су до почетка примене овог закона</w:t>
      </w:r>
      <w:r>
        <w:rPr>
          <w:rFonts w:ascii="Times New Roman" w:hAnsi="Times New Roman"/>
          <w:lang w:val="sr-Cyrl-RS"/>
        </w:rPr>
        <w:t xml:space="preserve"> положили испит за обављање послова на радним местима разврстаним у звање заповедника, нису дужни да полажу испит за обављање послова на радним местима разврстаним у звање млађег заповедника који је прописан овим законом.</w:t>
      </w:r>
    </w:p>
    <w:p w:rsidR="00934D5A" w:rsidRDefault="00934D5A" w:rsidP="00934D5A">
      <w:pPr>
        <w:rPr>
          <w:rFonts w:ascii="Times New Roman" w:hAnsi="Times New Roman"/>
          <w:lang w:val="sr-Cyrl-RS"/>
        </w:rPr>
      </w:pPr>
    </w:p>
    <w:p w:rsidR="00934D5A" w:rsidRPr="009E0DFB" w:rsidRDefault="00934D5A" w:rsidP="00934D5A">
      <w:pPr>
        <w:jc w:val="center"/>
        <w:rPr>
          <w:rFonts w:ascii="Times New Roman" w:hAnsi="Times New Roman"/>
          <w:lang w:val="sr-Cyrl-RS"/>
        </w:rPr>
      </w:pPr>
      <w:r>
        <w:rPr>
          <w:rFonts w:ascii="Times New Roman" w:hAnsi="Times New Roman"/>
          <w:lang w:val="sr-Cyrl-RS"/>
        </w:rPr>
        <w:t>Члан 16.</w:t>
      </w:r>
    </w:p>
    <w:p w:rsidR="00934D5A" w:rsidRPr="00AA6D3B" w:rsidRDefault="00934D5A" w:rsidP="00934D5A">
      <w:pPr>
        <w:ind w:firstLine="708"/>
        <w:jc w:val="both"/>
        <w:rPr>
          <w:rFonts w:ascii="Times New Roman" w:hAnsi="Times New Roman"/>
          <w:lang w:val="sr-Cyrl-RS"/>
        </w:rPr>
      </w:pPr>
      <w:r w:rsidRPr="00AA6D3B">
        <w:rPr>
          <w:rFonts w:ascii="Times New Roman" w:hAnsi="Times New Roman"/>
        </w:rPr>
        <w:t xml:space="preserve">Подзаконски акт </w:t>
      </w:r>
      <w:r w:rsidRPr="00AA6D3B">
        <w:rPr>
          <w:rFonts w:ascii="Times New Roman" w:hAnsi="Times New Roman"/>
          <w:lang w:val="sr-Cyrl-RS"/>
        </w:rPr>
        <w:t xml:space="preserve">из члана 1. </w:t>
      </w:r>
      <w:r w:rsidRPr="00AA6D3B">
        <w:rPr>
          <w:rFonts w:ascii="Times New Roman" w:hAnsi="Times New Roman"/>
        </w:rPr>
        <w:t xml:space="preserve">овог закона донеће се </w:t>
      </w:r>
      <w:r w:rsidRPr="00AA6D3B">
        <w:rPr>
          <w:rFonts w:ascii="Times New Roman" w:hAnsi="Times New Roman"/>
          <w:lang w:val="sr-Cyrl-RS"/>
        </w:rPr>
        <w:t>у року од три месеца од дана ступања на снагу овог закона.</w:t>
      </w:r>
    </w:p>
    <w:p w:rsidR="00934D5A" w:rsidRPr="00D346C4" w:rsidRDefault="00934D5A" w:rsidP="00934D5A">
      <w:pPr>
        <w:ind w:firstLine="708"/>
        <w:jc w:val="both"/>
        <w:rPr>
          <w:rFonts w:ascii="Times New Roman" w:hAnsi="Times New Roman"/>
          <w:lang w:val="sr-Cyrl-RS"/>
        </w:rPr>
      </w:pPr>
      <w:r w:rsidRPr="00AA6D3B">
        <w:rPr>
          <w:rFonts w:ascii="Times New Roman" w:hAnsi="Times New Roman"/>
          <w:lang w:val="sr-Cyrl-RS"/>
        </w:rPr>
        <w:t>Подзаконски акт из члана 11. овог закона донеће се до почетка примене закона који уређује плате државних службеника и намештеника</w:t>
      </w:r>
      <w:r w:rsidRPr="00AA6D3B">
        <w:rPr>
          <w:rFonts w:ascii="Times New Roman" w:hAnsi="Times New Roman"/>
        </w:rPr>
        <w:t>.</w:t>
      </w:r>
    </w:p>
    <w:p w:rsidR="00934D5A" w:rsidRPr="005F3E3D" w:rsidRDefault="00934D5A" w:rsidP="00934D5A">
      <w:pPr>
        <w:jc w:val="center"/>
        <w:rPr>
          <w:rFonts w:ascii="Times New Roman" w:hAnsi="Times New Roman"/>
          <w:lang w:val="sr-Cyrl-RS"/>
        </w:rPr>
      </w:pPr>
    </w:p>
    <w:p w:rsidR="00934D5A" w:rsidRDefault="00934D5A" w:rsidP="00934D5A">
      <w:pPr>
        <w:jc w:val="center"/>
        <w:rPr>
          <w:rFonts w:ascii="Times New Roman" w:hAnsi="Times New Roman"/>
          <w:lang w:val="sr-Cyrl-CS"/>
        </w:rPr>
      </w:pPr>
      <w:r>
        <w:rPr>
          <w:rFonts w:ascii="Times New Roman" w:hAnsi="Times New Roman"/>
          <w:lang w:val="sr-Cyrl-CS"/>
        </w:rPr>
        <w:t>Члан 17.</w:t>
      </w:r>
    </w:p>
    <w:p w:rsidR="00934D5A" w:rsidRDefault="00934D5A" w:rsidP="00934D5A">
      <w:pPr>
        <w:ind w:firstLine="720"/>
        <w:jc w:val="both"/>
        <w:rPr>
          <w:rFonts w:ascii="Times New Roman" w:hAnsi="Times New Roman"/>
          <w:lang w:val="sr-Cyrl-RS"/>
        </w:rPr>
      </w:pPr>
      <w:r w:rsidRPr="009D722D">
        <w:rPr>
          <w:rFonts w:cs="Arial"/>
          <w:lang w:val="sr-Cyrl-RS"/>
        </w:rPr>
        <w:t xml:space="preserve">Одредбе </w:t>
      </w:r>
      <w:r>
        <w:rPr>
          <w:rFonts w:cs="Arial"/>
        </w:rPr>
        <w:t>чл.</w:t>
      </w:r>
      <w:r>
        <w:rPr>
          <w:rFonts w:asciiTheme="minorHAnsi" w:hAnsiTheme="minorHAnsi" w:cs="Arial"/>
          <w:lang w:val="sr-Cyrl-RS"/>
        </w:rPr>
        <w:t xml:space="preserve"> </w:t>
      </w:r>
      <w:r>
        <w:rPr>
          <w:rFonts w:cs="Arial"/>
        </w:rPr>
        <w:t>10</w:t>
      </w:r>
      <w:r>
        <w:rPr>
          <w:rFonts w:cs="Arial"/>
          <w:lang w:val="sr-Cyrl-RS"/>
        </w:rPr>
        <w:t xml:space="preserve">, 11. </w:t>
      </w:r>
      <w:r>
        <w:rPr>
          <w:rFonts w:cs="Arial"/>
        </w:rPr>
        <w:t>и 13</w:t>
      </w:r>
      <w:r w:rsidRPr="009D722D">
        <w:rPr>
          <w:rFonts w:cs="Arial"/>
          <w:lang w:val="sr-Cyrl-RS"/>
        </w:rPr>
        <w:t xml:space="preserve">. овог закона, примењују се </w:t>
      </w:r>
      <w:r w:rsidRPr="0077617E">
        <w:rPr>
          <w:rFonts w:ascii="Times New Roman" w:hAnsi="Times New Roman"/>
          <w:lang w:val="sr-Cyrl-RS"/>
        </w:rPr>
        <w:t>од дана почетка примене закона који уређује плате државних службеника и намештеника.</w:t>
      </w:r>
    </w:p>
    <w:p w:rsidR="00934D5A" w:rsidRDefault="00934D5A" w:rsidP="00934D5A">
      <w:pPr>
        <w:jc w:val="both"/>
        <w:rPr>
          <w:rFonts w:ascii="Times New Roman" w:hAnsi="Times New Roman"/>
          <w:lang w:val="sr-Cyrl-RS"/>
        </w:rPr>
      </w:pPr>
    </w:p>
    <w:p w:rsidR="00934D5A" w:rsidRDefault="00934D5A" w:rsidP="00934D5A">
      <w:pPr>
        <w:jc w:val="center"/>
        <w:rPr>
          <w:rFonts w:ascii="Times New Roman" w:hAnsi="Times New Roman"/>
          <w:szCs w:val="24"/>
          <w:lang w:val="sr-Cyrl-RS"/>
        </w:rPr>
      </w:pPr>
      <w:r>
        <w:rPr>
          <w:rFonts w:ascii="Times New Roman" w:hAnsi="Times New Roman"/>
          <w:lang w:val="sr-Cyrl-RS"/>
        </w:rPr>
        <w:t>Члан 18.</w:t>
      </w:r>
    </w:p>
    <w:p w:rsidR="00934D5A" w:rsidRPr="0077617E" w:rsidRDefault="00934D5A" w:rsidP="00934D5A">
      <w:pPr>
        <w:ind w:firstLine="720"/>
        <w:jc w:val="both"/>
        <w:rPr>
          <w:rFonts w:ascii="Times New Roman" w:hAnsi="Times New Roman"/>
          <w:szCs w:val="24"/>
          <w:lang w:val="sr-Cyrl-RS"/>
        </w:rPr>
      </w:pPr>
      <w:r>
        <w:rPr>
          <w:rFonts w:ascii="Times New Roman" w:hAnsi="Times New Roman"/>
          <w:szCs w:val="24"/>
          <w:lang w:val="sr-Cyrl-RS"/>
        </w:rPr>
        <w:t>О</w:t>
      </w:r>
      <w:r w:rsidRPr="00454EBD">
        <w:rPr>
          <w:rFonts w:ascii="Times New Roman" w:hAnsi="Times New Roman"/>
          <w:szCs w:val="24"/>
        </w:rPr>
        <w:t>вај закон ст</w:t>
      </w:r>
      <w:r>
        <w:rPr>
          <w:rFonts w:hint="eastAsia"/>
          <w:szCs w:val="24"/>
        </w:rPr>
        <w:t>упа</w:t>
      </w:r>
      <w:r>
        <w:rPr>
          <w:szCs w:val="24"/>
        </w:rPr>
        <w:t xml:space="preserve"> </w:t>
      </w:r>
      <w:r>
        <w:rPr>
          <w:rFonts w:hint="eastAsia"/>
          <w:szCs w:val="24"/>
        </w:rPr>
        <w:t>на</w:t>
      </w:r>
      <w:r>
        <w:rPr>
          <w:szCs w:val="24"/>
        </w:rPr>
        <w:t xml:space="preserve"> </w:t>
      </w:r>
      <w:r>
        <w:rPr>
          <w:rFonts w:hint="eastAsia"/>
          <w:szCs w:val="24"/>
        </w:rPr>
        <w:t>снагу</w:t>
      </w:r>
      <w:r>
        <w:rPr>
          <w:szCs w:val="24"/>
        </w:rPr>
        <w:t xml:space="preserve"> </w:t>
      </w:r>
      <w:r>
        <w:rPr>
          <w:rFonts w:hint="eastAsia"/>
          <w:szCs w:val="24"/>
        </w:rPr>
        <w:t>осмог</w:t>
      </w:r>
      <w:r>
        <w:rPr>
          <w:szCs w:val="24"/>
        </w:rPr>
        <w:t xml:space="preserve"> </w:t>
      </w:r>
      <w:r>
        <w:rPr>
          <w:rFonts w:hint="eastAsia"/>
          <w:szCs w:val="24"/>
        </w:rPr>
        <w:t>дана</w:t>
      </w:r>
      <w:r>
        <w:rPr>
          <w:szCs w:val="24"/>
        </w:rPr>
        <w:t xml:space="preserve"> </w:t>
      </w:r>
      <w:r>
        <w:rPr>
          <w:rFonts w:hint="eastAsia"/>
          <w:szCs w:val="24"/>
        </w:rPr>
        <w:t>од</w:t>
      </w:r>
      <w:r>
        <w:rPr>
          <w:szCs w:val="24"/>
        </w:rPr>
        <w:t xml:space="preserve"> </w:t>
      </w:r>
      <w:r>
        <w:rPr>
          <w:rFonts w:hint="eastAsia"/>
          <w:szCs w:val="24"/>
        </w:rPr>
        <w:t>дана</w:t>
      </w:r>
      <w:r>
        <w:rPr>
          <w:szCs w:val="24"/>
          <w:lang w:val="sr-Cyrl-RS"/>
        </w:rPr>
        <w:t xml:space="preserve"> </w:t>
      </w:r>
      <w:r>
        <w:rPr>
          <w:rFonts w:ascii="Times New Roman" w:hAnsi="Times New Roman"/>
          <w:szCs w:val="24"/>
        </w:rPr>
        <w:t>објављивања у „</w:t>
      </w:r>
      <w:r>
        <w:rPr>
          <w:rFonts w:ascii="Times New Roman" w:hAnsi="Times New Roman"/>
          <w:szCs w:val="24"/>
          <w:lang w:val="sr-Cyrl-RS"/>
        </w:rPr>
        <w:t>С</w:t>
      </w:r>
      <w:r w:rsidRPr="00454EBD">
        <w:rPr>
          <w:rFonts w:ascii="Times New Roman" w:hAnsi="Times New Roman"/>
          <w:szCs w:val="24"/>
        </w:rPr>
        <w:t xml:space="preserve">лужбеном гласнику </w:t>
      </w:r>
      <w:r>
        <w:rPr>
          <w:rFonts w:ascii="Times New Roman" w:hAnsi="Times New Roman"/>
          <w:szCs w:val="24"/>
          <w:lang w:val="sr-Cyrl-RS"/>
        </w:rPr>
        <w:t>Р</w:t>
      </w:r>
      <w:r>
        <w:rPr>
          <w:rFonts w:ascii="Times New Roman" w:hAnsi="Times New Roman"/>
          <w:szCs w:val="24"/>
        </w:rPr>
        <w:t xml:space="preserve">епублике </w:t>
      </w:r>
      <w:r>
        <w:rPr>
          <w:rFonts w:ascii="Times New Roman" w:hAnsi="Times New Roman"/>
          <w:szCs w:val="24"/>
          <w:lang w:val="sr-Cyrl-RS"/>
        </w:rPr>
        <w:t>С</w:t>
      </w:r>
      <w:r w:rsidRPr="00454EBD">
        <w:rPr>
          <w:rFonts w:ascii="Times New Roman" w:hAnsi="Times New Roman"/>
          <w:szCs w:val="24"/>
        </w:rPr>
        <w:t>рбије”</w:t>
      </w:r>
      <w:r>
        <w:rPr>
          <w:szCs w:val="24"/>
          <w:lang w:val="sr-Cyrl-RS"/>
        </w:rPr>
        <w:t>.</w:t>
      </w:r>
      <w:r w:rsidRPr="0077617E">
        <w:rPr>
          <w:rFonts w:ascii="Times New Roman" w:hAnsi="Times New Roman"/>
          <w:szCs w:val="24"/>
          <w:lang w:val="sr-Cyrl-RS"/>
        </w:rPr>
        <w:t xml:space="preserve"> </w:t>
      </w:r>
    </w:p>
    <w:p w:rsidR="0077617E" w:rsidRPr="00934D5A" w:rsidRDefault="0077617E" w:rsidP="00934D5A">
      <w:bookmarkStart w:id="0" w:name="_GoBack"/>
      <w:bookmarkEnd w:id="0"/>
    </w:p>
    <w:sectPr w:rsidR="0077617E" w:rsidRPr="00934D5A" w:rsidSect="005F3E3D">
      <w:footerReference w:type="even" r:id="rId8"/>
      <w:footerReference w:type="default" r:id="rId9"/>
      <w:pgSz w:w="12240" w:h="15840"/>
      <w:pgMar w:top="851" w:right="1800" w:bottom="851"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D94" w:rsidRDefault="00D07D94">
      <w:r>
        <w:separator/>
      </w:r>
    </w:p>
  </w:endnote>
  <w:endnote w:type="continuationSeparator" w:id="0">
    <w:p w:rsidR="00D07D94" w:rsidRDefault="00D0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Helv Ciril">
    <w:altName w:val="Courier Ne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4C" w:rsidRDefault="00D70EF3" w:rsidP="007241BD">
    <w:pPr>
      <w:pStyle w:val="Footer"/>
      <w:framePr w:wrap="around" w:vAnchor="text" w:hAnchor="margin" w:xAlign="right" w:y="1"/>
      <w:rPr>
        <w:rStyle w:val="PageNumber"/>
      </w:rPr>
    </w:pPr>
    <w:r>
      <w:rPr>
        <w:rStyle w:val="PageNumber"/>
      </w:rPr>
      <w:fldChar w:fldCharType="begin"/>
    </w:r>
    <w:r w:rsidR="0085744C">
      <w:rPr>
        <w:rStyle w:val="PageNumber"/>
      </w:rPr>
      <w:instrText xml:space="preserve">PAGE  </w:instrText>
    </w:r>
    <w:r>
      <w:rPr>
        <w:rStyle w:val="PageNumber"/>
      </w:rPr>
      <w:fldChar w:fldCharType="end"/>
    </w:r>
  </w:p>
  <w:p w:rsidR="0085744C" w:rsidRDefault="0085744C" w:rsidP="007241B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4C" w:rsidRDefault="00D70EF3" w:rsidP="007241BD">
    <w:pPr>
      <w:pStyle w:val="Footer"/>
      <w:framePr w:wrap="around" w:vAnchor="text" w:hAnchor="margin" w:xAlign="right" w:y="1"/>
      <w:rPr>
        <w:rStyle w:val="PageNumber"/>
      </w:rPr>
    </w:pPr>
    <w:r>
      <w:rPr>
        <w:rStyle w:val="PageNumber"/>
      </w:rPr>
      <w:fldChar w:fldCharType="begin"/>
    </w:r>
    <w:r w:rsidR="0085744C">
      <w:rPr>
        <w:rStyle w:val="PageNumber"/>
      </w:rPr>
      <w:instrText xml:space="preserve">PAGE  </w:instrText>
    </w:r>
    <w:r>
      <w:rPr>
        <w:rStyle w:val="PageNumber"/>
      </w:rPr>
      <w:fldChar w:fldCharType="separate"/>
    </w:r>
    <w:r w:rsidR="00934D5A">
      <w:rPr>
        <w:rStyle w:val="PageNumber"/>
        <w:noProof/>
      </w:rPr>
      <w:t>2</w:t>
    </w:r>
    <w:r>
      <w:rPr>
        <w:rStyle w:val="PageNumber"/>
      </w:rPr>
      <w:fldChar w:fldCharType="end"/>
    </w:r>
  </w:p>
  <w:p w:rsidR="0085744C" w:rsidRDefault="0085744C" w:rsidP="007241B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D94" w:rsidRDefault="00D07D94">
      <w:r>
        <w:separator/>
      </w:r>
    </w:p>
  </w:footnote>
  <w:footnote w:type="continuationSeparator" w:id="0">
    <w:p w:rsidR="00D07D94" w:rsidRDefault="00D07D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687"/>
    <w:multiLevelType w:val="hybridMultilevel"/>
    <w:tmpl w:val="40D222F0"/>
    <w:lvl w:ilvl="0" w:tplc="C27C9868">
      <w:start w:val="1"/>
      <w:numFmt w:val="decimal"/>
      <w:lvlText w:val="%1."/>
      <w:lvlJc w:val="left"/>
      <w:pPr>
        <w:tabs>
          <w:tab w:val="num" w:pos="1845"/>
        </w:tabs>
        <w:ind w:left="1845" w:hanging="1125"/>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15:restartNumberingAfterBreak="0">
    <w:nsid w:val="17804CD8"/>
    <w:multiLevelType w:val="hybridMultilevel"/>
    <w:tmpl w:val="6EF6544A"/>
    <w:lvl w:ilvl="0" w:tplc="26248CD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D418C2"/>
    <w:multiLevelType w:val="hybridMultilevel"/>
    <w:tmpl w:val="45984448"/>
    <w:lvl w:ilvl="0" w:tplc="821841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200E7EE4"/>
    <w:multiLevelType w:val="hybridMultilevel"/>
    <w:tmpl w:val="B61CF21E"/>
    <w:lvl w:ilvl="0" w:tplc="04090011">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 w15:restartNumberingAfterBreak="0">
    <w:nsid w:val="214919DF"/>
    <w:multiLevelType w:val="hybridMultilevel"/>
    <w:tmpl w:val="DB468766"/>
    <w:lvl w:ilvl="0" w:tplc="CE066092">
      <w:start w:val="1"/>
      <w:numFmt w:val="decimal"/>
      <w:lvlText w:val="%1)"/>
      <w:lvlJc w:val="left"/>
      <w:pPr>
        <w:ind w:left="1800" w:hanging="360"/>
      </w:pPr>
      <w:rPr>
        <w:rFonts w:ascii="Times New Roman" w:eastAsia="Times New Roman" w:hAnsi="Times New Roman"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581BC1"/>
    <w:multiLevelType w:val="hybridMultilevel"/>
    <w:tmpl w:val="F7ECB3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F77C27"/>
    <w:multiLevelType w:val="hybridMultilevel"/>
    <w:tmpl w:val="17BCF97E"/>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2933EFF"/>
    <w:multiLevelType w:val="hybridMultilevel"/>
    <w:tmpl w:val="1B7E39A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0DD7505"/>
    <w:multiLevelType w:val="hybridMultilevel"/>
    <w:tmpl w:val="ACB63DD0"/>
    <w:lvl w:ilvl="0" w:tplc="616856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5E315099"/>
    <w:multiLevelType w:val="hybridMultilevel"/>
    <w:tmpl w:val="85C07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3136A"/>
    <w:multiLevelType w:val="hybridMultilevel"/>
    <w:tmpl w:val="CF5A52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F7292D"/>
    <w:multiLevelType w:val="hybridMultilevel"/>
    <w:tmpl w:val="54FEEFBA"/>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77EC60C4"/>
    <w:multiLevelType w:val="hybridMultilevel"/>
    <w:tmpl w:val="2CE240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2"/>
  </w:num>
  <w:num w:numId="9">
    <w:abstractNumId w:val="1"/>
  </w:num>
  <w:num w:numId="10">
    <w:abstractNumId w:val="8"/>
  </w:num>
  <w:num w:numId="11">
    <w:abstractNumId w:val="10"/>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BD"/>
    <w:rsid w:val="00005269"/>
    <w:rsid w:val="00007CD1"/>
    <w:rsid w:val="000126C1"/>
    <w:rsid w:val="00036476"/>
    <w:rsid w:val="000372CD"/>
    <w:rsid w:val="0004532D"/>
    <w:rsid w:val="0005573B"/>
    <w:rsid w:val="00056F0D"/>
    <w:rsid w:val="00057B76"/>
    <w:rsid w:val="00060BAE"/>
    <w:rsid w:val="00071CCF"/>
    <w:rsid w:val="000737CD"/>
    <w:rsid w:val="000A24B8"/>
    <w:rsid w:val="000A6D76"/>
    <w:rsid w:val="000B0F80"/>
    <w:rsid w:val="000C485F"/>
    <w:rsid w:val="000C74ED"/>
    <w:rsid w:val="000D000D"/>
    <w:rsid w:val="000E4547"/>
    <w:rsid w:val="000F7C11"/>
    <w:rsid w:val="00100926"/>
    <w:rsid w:val="00122AA9"/>
    <w:rsid w:val="0012523A"/>
    <w:rsid w:val="00145DE0"/>
    <w:rsid w:val="00161D52"/>
    <w:rsid w:val="00166C93"/>
    <w:rsid w:val="0017085E"/>
    <w:rsid w:val="00185695"/>
    <w:rsid w:val="001869A3"/>
    <w:rsid w:val="001A4EFE"/>
    <w:rsid w:val="001B6FE3"/>
    <w:rsid w:val="001C3C91"/>
    <w:rsid w:val="001D377C"/>
    <w:rsid w:val="001E0619"/>
    <w:rsid w:val="002170B9"/>
    <w:rsid w:val="00217BAB"/>
    <w:rsid w:val="00233654"/>
    <w:rsid w:val="0026074A"/>
    <w:rsid w:val="002C62B8"/>
    <w:rsid w:val="002C739F"/>
    <w:rsid w:val="002E3B0C"/>
    <w:rsid w:val="002E730D"/>
    <w:rsid w:val="002E7678"/>
    <w:rsid w:val="002F0C47"/>
    <w:rsid w:val="002F2555"/>
    <w:rsid w:val="002F3A13"/>
    <w:rsid w:val="00301005"/>
    <w:rsid w:val="0030685B"/>
    <w:rsid w:val="00313672"/>
    <w:rsid w:val="0032286D"/>
    <w:rsid w:val="0032479C"/>
    <w:rsid w:val="00332BE6"/>
    <w:rsid w:val="0033369B"/>
    <w:rsid w:val="0033543D"/>
    <w:rsid w:val="00356899"/>
    <w:rsid w:val="003578C5"/>
    <w:rsid w:val="00374608"/>
    <w:rsid w:val="0038001E"/>
    <w:rsid w:val="00382F8B"/>
    <w:rsid w:val="003A3477"/>
    <w:rsid w:val="003B1A97"/>
    <w:rsid w:val="003B574B"/>
    <w:rsid w:val="003C03AD"/>
    <w:rsid w:val="003C28F1"/>
    <w:rsid w:val="003C34F7"/>
    <w:rsid w:val="003C38FD"/>
    <w:rsid w:val="003E17A2"/>
    <w:rsid w:val="003E2863"/>
    <w:rsid w:val="00400B76"/>
    <w:rsid w:val="00425E94"/>
    <w:rsid w:val="00440A48"/>
    <w:rsid w:val="004473CC"/>
    <w:rsid w:val="00452F59"/>
    <w:rsid w:val="004713C8"/>
    <w:rsid w:val="00474A8B"/>
    <w:rsid w:val="00480B28"/>
    <w:rsid w:val="004855FD"/>
    <w:rsid w:val="004919A5"/>
    <w:rsid w:val="00491AD0"/>
    <w:rsid w:val="004979DB"/>
    <w:rsid w:val="004A0FC9"/>
    <w:rsid w:val="004A5F4C"/>
    <w:rsid w:val="004B0B66"/>
    <w:rsid w:val="004B3455"/>
    <w:rsid w:val="004C0299"/>
    <w:rsid w:val="004C034E"/>
    <w:rsid w:val="004C4FE4"/>
    <w:rsid w:val="004D073A"/>
    <w:rsid w:val="004E00DB"/>
    <w:rsid w:val="004E22C3"/>
    <w:rsid w:val="004F075B"/>
    <w:rsid w:val="004F15DF"/>
    <w:rsid w:val="004F5F6B"/>
    <w:rsid w:val="0050263F"/>
    <w:rsid w:val="0050792A"/>
    <w:rsid w:val="005132B8"/>
    <w:rsid w:val="005164F0"/>
    <w:rsid w:val="00525498"/>
    <w:rsid w:val="00527344"/>
    <w:rsid w:val="00530623"/>
    <w:rsid w:val="00531CCF"/>
    <w:rsid w:val="00541290"/>
    <w:rsid w:val="0054678A"/>
    <w:rsid w:val="00565748"/>
    <w:rsid w:val="0057136B"/>
    <w:rsid w:val="00572090"/>
    <w:rsid w:val="005732C9"/>
    <w:rsid w:val="00577956"/>
    <w:rsid w:val="005C0849"/>
    <w:rsid w:val="005D01EE"/>
    <w:rsid w:val="005D10A0"/>
    <w:rsid w:val="005E031B"/>
    <w:rsid w:val="005E05E0"/>
    <w:rsid w:val="005E1286"/>
    <w:rsid w:val="005E1BCD"/>
    <w:rsid w:val="005E4AE0"/>
    <w:rsid w:val="005F3E3D"/>
    <w:rsid w:val="005F6285"/>
    <w:rsid w:val="00600DEB"/>
    <w:rsid w:val="006113B7"/>
    <w:rsid w:val="0062483C"/>
    <w:rsid w:val="0062494D"/>
    <w:rsid w:val="00641826"/>
    <w:rsid w:val="006456D1"/>
    <w:rsid w:val="00650DBE"/>
    <w:rsid w:val="006529EF"/>
    <w:rsid w:val="006728B2"/>
    <w:rsid w:val="00673D83"/>
    <w:rsid w:val="006810E8"/>
    <w:rsid w:val="00683E22"/>
    <w:rsid w:val="006849BD"/>
    <w:rsid w:val="00690A8B"/>
    <w:rsid w:val="00690ECC"/>
    <w:rsid w:val="00697156"/>
    <w:rsid w:val="006B08C8"/>
    <w:rsid w:val="006B14B1"/>
    <w:rsid w:val="006B686E"/>
    <w:rsid w:val="006C6BAA"/>
    <w:rsid w:val="006D1DAB"/>
    <w:rsid w:val="006D7D94"/>
    <w:rsid w:val="006E3321"/>
    <w:rsid w:val="006E6426"/>
    <w:rsid w:val="006F4F89"/>
    <w:rsid w:val="00701F55"/>
    <w:rsid w:val="0071724F"/>
    <w:rsid w:val="007175B4"/>
    <w:rsid w:val="007241BD"/>
    <w:rsid w:val="007266A2"/>
    <w:rsid w:val="00730858"/>
    <w:rsid w:val="00735625"/>
    <w:rsid w:val="00736B25"/>
    <w:rsid w:val="00743270"/>
    <w:rsid w:val="0077617E"/>
    <w:rsid w:val="00794FB5"/>
    <w:rsid w:val="007A0900"/>
    <w:rsid w:val="007A5B4B"/>
    <w:rsid w:val="007B079B"/>
    <w:rsid w:val="007B58C7"/>
    <w:rsid w:val="007B67BB"/>
    <w:rsid w:val="007B780C"/>
    <w:rsid w:val="007C2D3C"/>
    <w:rsid w:val="007C5717"/>
    <w:rsid w:val="007C6260"/>
    <w:rsid w:val="007E03B0"/>
    <w:rsid w:val="007E7C10"/>
    <w:rsid w:val="00823E9E"/>
    <w:rsid w:val="0084609B"/>
    <w:rsid w:val="00851659"/>
    <w:rsid w:val="0085744C"/>
    <w:rsid w:val="00864FA3"/>
    <w:rsid w:val="008807F0"/>
    <w:rsid w:val="00887166"/>
    <w:rsid w:val="008A1BCC"/>
    <w:rsid w:val="008A6282"/>
    <w:rsid w:val="008C0290"/>
    <w:rsid w:val="008C1A88"/>
    <w:rsid w:val="008E7A0F"/>
    <w:rsid w:val="008E7B74"/>
    <w:rsid w:val="008F0554"/>
    <w:rsid w:val="008F5B6A"/>
    <w:rsid w:val="00911449"/>
    <w:rsid w:val="00912583"/>
    <w:rsid w:val="00926139"/>
    <w:rsid w:val="00934D5A"/>
    <w:rsid w:val="009509A7"/>
    <w:rsid w:val="00954F87"/>
    <w:rsid w:val="00975281"/>
    <w:rsid w:val="00975A62"/>
    <w:rsid w:val="00990963"/>
    <w:rsid w:val="00992499"/>
    <w:rsid w:val="009A2028"/>
    <w:rsid w:val="009C390D"/>
    <w:rsid w:val="009C60FD"/>
    <w:rsid w:val="009C659A"/>
    <w:rsid w:val="009C7D6F"/>
    <w:rsid w:val="009D3DC1"/>
    <w:rsid w:val="009D4B49"/>
    <w:rsid w:val="009D6E74"/>
    <w:rsid w:val="009D7CCF"/>
    <w:rsid w:val="009E0DFB"/>
    <w:rsid w:val="009E3952"/>
    <w:rsid w:val="009E44B5"/>
    <w:rsid w:val="009E49D8"/>
    <w:rsid w:val="009F75F7"/>
    <w:rsid w:val="00A355EF"/>
    <w:rsid w:val="00A36B1C"/>
    <w:rsid w:val="00A62152"/>
    <w:rsid w:val="00A65BAB"/>
    <w:rsid w:val="00A84E4C"/>
    <w:rsid w:val="00AA53BA"/>
    <w:rsid w:val="00AA6D3B"/>
    <w:rsid w:val="00AA7948"/>
    <w:rsid w:val="00AC239A"/>
    <w:rsid w:val="00AE6A0A"/>
    <w:rsid w:val="00AE79F3"/>
    <w:rsid w:val="00AF46BE"/>
    <w:rsid w:val="00B041EA"/>
    <w:rsid w:val="00B1294F"/>
    <w:rsid w:val="00B44074"/>
    <w:rsid w:val="00B7331D"/>
    <w:rsid w:val="00BA515D"/>
    <w:rsid w:val="00BB5F35"/>
    <w:rsid w:val="00BB7233"/>
    <w:rsid w:val="00BD4AAA"/>
    <w:rsid w:val="00BF6D01"/>
    <w:rsid w:val="00C071E1"/>
    <w:rsid w:val="00C076CA"/>
    <w:rsid w:val="00C20756"/>
    <w:rsid w:val="00C25C86"/>
    <w:rsid w:val="00C43A26"/>
    <w:rsid w:val="00C4699C"/>
    <w:rsid w:val="00C5005B"/>
    <w:rsid w:val="00C6114F"/>
    <w:rsid w:val="00C85E59"/>
    <w:rsid w:val="00C86E92"/>
    <w:rsid w:val="00CA6EC9"/>
    <w:rsid w:val="00CA71BC"/>
    <w:rsid w:val="00CB2E14"/>
    <w:rsid w:val="00CB332A"/>
    <w:rsid w:val="00CC00D2"/>
    <w:rsid w:val="00CC5394"/>
    <w:rsid w:val="00CE5D53"/>
    <w:rsid w:val="00CE7EC5"/>
    <w:rsid w:val="00D07D94"/>
    <w:rsid w:val="00D226AD"/>
    <w:rsid w:val="00D346C4"/>
    <w:rsid w:val="00D3761C"/>
    <w:rsid w:val="00D57F6B"/>
    <w:rsid w:val="00D70EF3"/>
    <w:rsid w:val="00D9220D"/>
    <w:rsid w:val="00D93C43"/>
    <w:rsid w:val="00DB4288"/>
    <w:rsid w:val="00DC041C"/>
    <w:rsid w:val="00DC602A"/>
    <w:rsid w:val="00DD6E6F"/>
    <w:rsid w:val="00DD7D8C"/>
    <w:rsid w:val="00E13547"/>
    <w:rsid w:val="00E32C79"/>
    <w:rsid w:val="00E45642"/>
    <w:rsid w:val="00E53F3B"/>
    <w:rsid w:val="00E5616E"/>
    <w:rsid w:val="00E57D7C"/>
    <w:rsid w:val="00E67115"/>
    <w:rsid w:val="00E81ABC"/>
    <w:rsid w:val="00E8584D"/>
    <w:rsid w:val="00E90CB9"/>
    <w:rsid w:val="00E92373"/>
    <w:rsid w:val="00EA225E"/>
    <w:rsid w:val="00EB4032"/>
    <w:rsid w:val="00EE55CD"/>
    <w:rsid w:val="00EE6D2C"/>
    <w:rsid w:val="00EF56A7"/>
    <w:rsid w:val="00EF66D0"/>
    <w:rsid w:val="00F119AB"/>
    <w:rsid w:val="00F16B53"/>
    <w:rsid w:val="00F339F1"/>
    <w:rsid w:val="00F3705A"/>
    <w:rsid w:val="00F37D97"/>
    <w:rsid w:val="00F40F0B"/>
    <w:rsid w:val="00F537A6"/>
    <w:rsid w:val="00F559CD"/>
    <w:rsid w:val="00F622C4"/>
    <w:rsid w:val="00F64357"/>
    <w:rsid w:val="00F6732D"/>
    <w:rsid w:val="00F67C94"/>
    <w:rsid w:val="00F7723A"/>
    <w:rsid w:val="00F83937"/>
    <w:rsid w:val="00F949AC"/>
    <w:rsid w:val="00FA3417"/>
    <w:rsid w:val="00FA5924"/>
    <w:rsid w:val="00FC2144"/>
    <w:rsid w:val="00FC494E"/>
    <w:rsid w:val="00FD4024"/>
    <w:rsid w:val="00FD5912"/>
    <w:rsid w:val="00FE5E59"/>
    <w:rsid w:val="00FF0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4326AB-304D-466B-92B5-F06F82B6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1BD"/>
    <w:rPr>
      <w:rFonts w:ascii="CTimesRoman" w:hAnsi="CTimes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1">
    <w:name w:val="Naslov1"/>
    <w:basedOn w:val="Normal"/>
    <w:rsid w:val="007241BD"/>
    <w:pPr>
      <w:keepNext/>
      <w:tabs>
        <w:tab w:val="left" w:pos="1800"/>
      </w:tabs>
      <w:spacing w:before="240" w:after="360"/>
      <w:ind w:left="720" w:right="720"/>
      <w:jc w:val="center"/>
    </w:pPr>
    <w:rPr>
      <w:rFonts w:ascii="Helv Ciril" w:hAnsi="Helv Ciril"/>
      <w:b/>
      <w:caps/>
      <w:sz w:val="26"/>
    </w:rPr>
  </w:style>
  <w:style w:type="paragraph" w:customStyle="1" w:styleId="Podnaslov1">
    <w:name w:val="Podnaslov1"/>
    <w:basedOn w:val="Naslov1"/>
    <w:rsid w:val="007241BD"/>
    <w:pPr>
      <w:spacing w:before="120" w:after="120"/>
    </w:pPr>
    <w:rPr>
      <w:caps w:val="0"/>
    </w:rPr>
  </w:style>
  <w:style w:type="paragraph" w:styleId="Footer">
    <w:name w:val="footer"/>
    <w:basedOn w:val="Normal"/>
    <w:rsid w:val="007241BD"/>
    <w:pPr>
      <w:tabs>
        <w:tab w:val="center" w:pos="4536"/>
        <w:tab w:val="right" w:pos="9072"/>
      </w:tabs>
    </w:pPr>
  </w:style>
  <w:style w:type="character" w:styleId="PageNumber">
    <w:name w:val="page number"/>
    <w:basedOn w:val="DefaultParagraphFont"/>
    <w:rsid w:val="007241BD"/>
  </w:style>
  <w:style w:type="paragraph" w:styleId="BalloonText">
    <w:name w:val="Balloon Text"/>
    <w:basedOn w:val="Normal"/>
    <w:semiHidden/>
    <w:rsid w:val="004C034E"/>
    <w:rPr>
      <w:rFonts w:ascii="Tahoma" w:hAnsi="Tahoma" w:cs="Tahoma"/>
      <w:sz w:val="16"/>
      <w:szCs w:val="16"/>
    </w:rPr>
  </w:style>
  <w:style w:type="paragraph" w:styleId="Header">
    <w:name w:val="header"/>
    <w:basedOn w:val="Normal"/>
    <w:rsid w:val="0033543D"/>
    <w:pPr>
      <w:tabs>
        <w:tab w:val="center" w:pos="4536"/>
        <w:tab w:val="right" w:pos="9072"/>
      </w:tabs>
    </w:pPr>
  </w:style>
  <w:style w:type="paragraph" w:styleId="BodyText">
    <w:name w:val="Body Text"/>
    <w:basedOn w:val="Normal"/>
    <w:link w:val="BodyTextChar"/>
    <w:unhideWhenUsed/>
    <w:rsid w:val="00E57D7C"/>
    <w:rPr>
      <w:rFonts w:ascii="Times New Roman" w:hAnsi="Times New Roman"/>
      <w:szCs w:val="24"/>
    </w:rPr>
  </w:style>
  <w:style w:type="character" w:customStyle="1" w:styleId="BodyTextChar">
    <w:name w:val="Body Text Char"/>
    <w:basedOn w:val="DefaultParagraphFont"/>
    <w:link w:val="BodyText"/>
    <w:rsid w:val="00E57D7C"/>
    <w:rPr>
      <w:sz w:val="24"/>
      <w:szCs w:val="24"/>
    </w:rPr>
  </w:style>
  <w:style w:type="paragraph" w:customStyle="1" w:styleId="Normal1">
    <w:name w:val="Normal1"/>
    <w:basedOn w:val="Normal"/>
    <w:rsid w:val="00EF66D0"/>
    <w:pPr>
      <w:spacing w:before="100" w:beforeAutospacing="1" w:after="100" w:afterAutospacing="1"/>
    </w:pPr>
    <w:rPr>
      <w:rFonts w:ascii="Times New Roman" w:hAnsi="Times New Roman"/>
      <w:szCs w:val="24"/>
    </w:rPr>
  </w:style>
  <w:style w:type="paragraph" w:customStyle="1" w:styleId="tekst">
    <w:name w:val="tekst"/>
    <w:basedOn w:val="Normal"/>
    <w:rsid w:val="0062483C"/>
    <w:pPr>
      <w:ind w:left="375" w:right="375" w:firstLine="240"/>
      <w:jc w:val="both"/>
    </w:pPr>
    <w:rPr>
      <w:rFonts w:ascii="Arial" w:hAnsi="Arial" w:cs="Arial"/>
      <w:sz w:val="20"/>
    </w:rPr>
  </w:style>
  <w:style w:type="paragraph" w:styleId="NoSpacing">
    <w:name w:val="No Spacing"/>
    <w:uiPriority w:val="1"/>
    <w:qFormat/>
    <w:rsid w:val="00217BAB"/>
    <w:rPr>
      <w:sz w:val="24"/>
      <w:szCs w:val="24"/>
    </w:rPr>
  </w:style>
  <w:style w:type="paragraph" w:customStyle="1" w:styleId="wyq120---podnaslov-clana">
    <w:name w:val="wyq120---podnaslov-clana"/>
    <w:basedOn w:val="Normal"/>
    <w:rsid w:val="003C34F7"/>
    <w:pPr>
      <w:spacing w:before="240" w:after="240"/>
      <w:jc w:val="center"/>
    </w:pPr>
    <w:rPr>
      <w:rFonts w:ascii="Arial" w:hAnsi="Arial" w:cs="Arial"/>
      <w:i/>
      <w:iCs/>
      <w:szCs w:val="24"/>
      <w:lang w:val="en-GB" w:eastAsia="en-GB"/>
    </w:rPr>
  </w:style>
  <w:style w:type="paragraph" w:customStyle="1" w:styleId="clan">
    <w:name w:val="clan"/>
    <w:basedOn w:val="Normal"/>
    <w:rsid w:val="003C34F7"/>
    <w:pPr>
      <w:spacing w:before="240" w:after="120"/>
      <w:jc w:val="center"/>
    </w:pPr>
    <w:rPr>
      <w:rFonts w:ascii="Arial" w:hAnsi="Arial" w:cs="Arial"/>
      <w:b/>
      <w:bCs/>
      <w:szCs w:val="24"/>
      <w:lang w:val="en-GB" w:eastAsia="en-GB"/>
    </w:rPr>
  </w:style>
  <w:style w:type="paragraph" w:customStyle="1" w:styleId="Normal2">
    <w:name w:val="Normal2"/>
    <w:basedOn w:val="Normal"/>
    <w:rsid w:val="007266A2"/>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76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8AB1C0-ADCD-4472-B619-E5D177B0E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2228</Words>
  <Characters>12705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Београд,</vt:lpstr>
    </vt:vector>
  </TitlesOfParts>
  <Company>Ministarstvo pravde</Company>
  <LinksUpToDate>false</LinksUpToDate>
  <CharactersWithSpaces>14904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Београд,</dc:title>
  <dc:creator>MIRA</dc:creator>
  <cp:lastModifiedBy>Vladimir Vinš</cp:lastModifiedBy>
  <cp:revision>3</cp:revision>
  <cp:lastPrinted>2018-09-10T07:01:00Z</cp:lastPrinted>
  <dcterms:created xsi:type="dcterms:W3CDTF">2019-04-12T07:47:00Z</dcterms:created>
  <dcterms:modified xsi:type="dcterms:W3CDTF">2019-04-12T09:47:00Z</dcterms:modified>
</cp:coreProperties>
</file>