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C2D" w:rsidRPr="00FA0C2D" w:rsidRDefault="00FA0C2D" w:rsidP="00EB399F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page2"/>
      <w:bookmarkStart w:id="1" w:name="_GoBack"/>
      <w:bookmarkEnd w:id="0"/>
      <w:bookmarkEnd w:id="1"/>
      <w:r w:rsidRPr="00FA0C2D">
        <w:rPr>
          <w:rFonts w:ascii="Times New Roman" w:eastAsia="Times New Roman" w:hAnsi="Times New Roman" w:cs="Times New Roman"/>
          <w:b/>
          <w:sz w:val="22"/>
          <w:szCs w:val="22"/>
        </w:rPr>
        <w:t>Прилог 7.</w:t>
      </w:r>
    </w:p>
    <w:p w:rsidR="00FA0C2D" w:rsidRPr="00FA0C2D" w:rsidRDefault="00FA0C2D" w:rsidP="00EB399F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FA0C2D" w:rsidRPr="00FA0C2D" w:rsidRDefault="00FA0C2D" w:rsidP="00EB399F">
      <w:pPr>
        <w:spacing w:line="287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FA0C2D" w:rsidRPr="00BD7D8E" w:rsidRDefault="00FA0C2D" w:rsidP="00EB399F">
      <w:pPr>
        <w:spacing w:after="200" w:line="276" w:lineRule="auto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D7D8E">
        <w:rPr>
          <w:rFonts w:ascii="Times New Roman" w:eastAsiaTheme="minorHAnsi" w:hAnsi="Times New Roman" w:cs="Times New Roman"/>
          <w:b/>
          <w:sz w:val="22"/>
          <w:szCs w:val="22"/>
          <w:lang w:val="sr-Cyrl-RS"/>
        </w:rPr>
        <w:t>Табела 1. Висина накнаде за гуме</w:t>
      </w:r>
    </w:p>
    <w:tbl>
      <w:tblPr>
        <w:tblStyle w:val="TableGrid3"/>
        <w:tblW w:w="11052" w:type="dxa"/>
        <w:tblInd w:w="-522" w:type="dxa"/>
        <w:tblLook w:val="04A0" w:firstRow="1" w:lastRow="0" w:firstColumn="1" w:lastColumn="0" w:noHBand="0" w:noVBand="1"/>
      </w:tblPr>
      <w:tblGrid>
        <w:gridCol w:w="828"/>
        <w:gridCol w:w="6822"/>
        <w:gridCol w:w="1170"/>
        <w:gridCol w:w="2232"/>
      </w:tblGrid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Рeдни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број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  <w:tc>
          <w:tcPr>
            <w:tcW w:w="6822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Врста производа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Јединица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мере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Висина накнаде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РСД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/јед. мере)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увезене, произведене или протектиране гуме </w:t>
            </w:r>
            <w:r w:rsidR="009E036E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за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моторн</w:t>
            </w:r>
            <w:r w:rsidR="009E036E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а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возила (аутомобила, аутобуса,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камиона, моторцикала и др.), пољопривредних и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грађевинских машина, приколица, летелица, вучених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машина, других машина и уређаја и осталих сличних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производа од гуме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20,43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гуме које су саставни део увезених или произведених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аутобуса,  теретних  возила,  радних  машина,  радних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возила и трактора, ваздухоплова и других летелица и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комплета точкова (гума и наплатак), и то за: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(1) аутомобилске приколице,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(2) тракторе,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(3) камионе, аутобусе и виљушкаре,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(4) грађевинске радне машине -,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(5) пољопривредне машине -,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(6) теретне приколице и вучене машине у износу од</w:t>
            </w:r>
          </w:p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(7) остала возила, транспортне уређаје, летелице и друго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20,43</w:t>
            </w:r>
          </w:p>
        </w:tc>
      </w:tr>
    </w:tbl>
    <w:p w:rsidR="00FA0C2D" w:rsidRPr="00FA0C2D" w:rsidRDefault="00FA0C2D" w:rsidP="00EB399F">
      <w:pPr>
        <w:spacing w:after="200"/>
        <w:rPr>
          <w:rFonts w:ascii="Times New Roman" w:eastAsiaTheme="minorHAnsi" w:hAnsi="Times New Roman" w:cs="Times New Roman"/>
          <w:sz w:val="22"/>
          <w:szCs w:val="22"/>
          <w:lang w:val="sr-Cyrl-RS"/>
        </w:rPr>
      </w:pPr>
    </w:p>
    <w:p w:rsidR="00FA0C2D" w:rsidRPr="00FA0C2D" w:rsidRDefault="00FA0C2D" w:rsidP="00EB399F">
      <w:pPr>
        <w:spacing w:after="200"/>
        <w:rPr>
          <w:rFonts w:ascii="Times New Roman" w:eastAsiaTheme="minorHAnsi" w:hAnsi="Times New Roman" w:cs="Times New Roman"/>
          <w:sz w:val="22"/>
          <w:szCs w:val="22"/>
          <w:lang w:val="sr-Cyrl-RS"/>
        </w:rPr>
      </w:pPr>
    </w:p>
    <w:p w:rsidR="00FA0C2D" w:rsidRPr="00BD7D8E" w:rsidRDefault="00FA0C2D" w:rsidP="00EB399F">
      <w:pPr>
        <w:spacing w:after="200" w:line="276" w:lineRule="auto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D7D8E">
        <w:rPr>
          <w:rFonts w:ascii="Times New Roman" w:eastAsiaTheme="minorHAnsi" w:hAnsi="Times New Roman" w:cs="Times New Roman"/>
          <w:b/>
          <w:sz w:val="22"/>
          <w:szCs w:val="22"/>
          <w:lang w:val="sr-Cyrl-RS"/>
        </w:rPr>
        <w:t>Табела 2. Висина накнаде за батерије и акумулаторе</w:t>
      </w:r>
    </w:p>
    <w:tbl>
      <w:tblPr>
        <w:tblStyle w:val="TableGrid3"/>
        <w:tblW w:w="11052" w:type="dxa"/>
        <w:tblInd w:w="-522" w:type="dxa"/>
        <w:tblLook w:val="04A0" w:firstRow="1" w:lastRow="0" w:firstColumn="1" w:lastColumn="0" w:noHBand="0" w:noVBand="1"/>
      </w:tblPr>
      <w:tblGrid>
        <w:gridCol w:w="828"/>
        <w:gridCol w:w="6822"/>
        <w:gridCol w:w="1170"/>
        <w:gridCol w:w="2232"/>
      </w:tblGrid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Рeдни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број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  <w:tc>
          <w:tcPr>
            <w:tcW w:w="6822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Врста производа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Јединица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мере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Висина накнаде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РСД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/јед. мере)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стартери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18,00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преносне батерије или акумулатори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180,00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индустријске батерије и акумулатори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18,00</w:t>
            </w:r>
          </w:p>
        </w:tc>
      </w:tr>
    </w:tbl>
    <w:p w:rsidR="00FA0C2D" w:rsidRDefault="00FA0C2D" w:rsidP="00EB399F">
      <w:pPr>
        <w:spacing w:after="200"/>
        <w:rPr>
          <w:rFonts w:ascii="Times New Roman" w:eastAsiaTheme="minorHAnsi" w:hAnsi="Times New Roman" w:cs="Times New Roman"/>
          <w:sz w:val="22"/>
          <w:szCs w:val="22"/>
          <w:lang w:val="sr-Cyrl-RS"/>
        </w:rPr>
      </w:pPr>
    </w:p>
    <w:p w:rsidR="00FA0C2D" w:rsidRPr="00FA0C2D" w:rsidRDefault="00FA0C2D" w:rsidP="00EB399F">
      <w:pPr>
        <w:spacing w:after="200"/>
        <w:rPr>
          <w:rFonts w:ascii="Times New Roman" w:eastAsiaTheme="minorHAnsi" w:hAnsi="Times New Roman" w:cs="Times New Roman"/>
          <w:sz w:val="22"/>
          <w:szCs w:val="22"/>
          <w:lang w:val="sr-Cyrl-RS"/>
        </w:rPr>
      </w:pPr>
    </w:p>
    <w:p w:rsidR="00FA0C2D" w:rsidRPr="00BD7D8E" w:rsidRDefault="00FA0C2D" w:rsidP="00EB399F">
      <w:pPr>
        <w:spacing w:after="200" w:line="276" w:lineRule="auto"/>
        <w:rPr>
          <w:rFonts w:ascii="Times New Roman" w:eastAsiaTheme="minorHAnsi" w:hAnsi="Times New Roman" w:cs="Times New Roman"/>
          <w:b/>
          <w:sz w:val="22"/>
          <w:szCs w:val="22"/>
          <w:lang w:val="sr-Cyrl-RS"/>
        </w:rPr>
      </w:pPr>
      <w:r w:rsidRPr="00BD7D8E">
        <w:rPr>
          <w:rFonts w:ascii="Times New Roman" w:eastAsiaTheme="minorHAnsi" w:hAnsi="Times New Roman" w:cs="Times New Roman"/>
          <w:b/>
          <w:sz w:val="22"/>
          <w:szCs w:val="22"/>
          <w:lang w:val="sr-Cyrl-RS"/>
        </w:rPr>
        <w:t>Табела 3. Висина накнаде за уља</w:t>
      </w:r>
    </w:p>
    <w:tbl>
      <w:tblPr>
        <w:tblStyle w:val="TableGrid3"/>
        <w:tblW w:w="11052" w:type="dxa"/>
        <w:tblInd w:w="-522" w:type="dxa"/>
        <w:tblLook w:val="04A0" w:firstRow="1" w:lastRow="0" w:firstColumn="1" w:lastColumn="0" w:noHBand="0" w:noVBand="1"/>
      </w:tblPr>
      <w:tblGrid>
        <w:gridCol w:w="828"/>
        <w:gridCol w:w="6822"/>
        <w:gridCol w:w="1170"/>
        <w:gridCol w:w="2232"/>
      </w:tblGrid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Рeдни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број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  <w:tc>
          <w:tcPr>
            <w:tcW w:w="6822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Врста производа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Јединица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мере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Висина накнаде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(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РСД</w:t>
            </w: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</w:rPr>
              <w:t>/јед. мере)</w:t>
            </w:r>
          </w:p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мо</w:t>
            </w:r>
            <w:r w:rsidR="0007403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торна  уља,  компресорска  уља </w:t>
            </w:r>
            <w:r w:rsidR="0007403C"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</w:p>
          <w:p w:rsidR="00FA0C2D" w:rsidRPr="00FA0C2D" w:rsidRDefault="0007403C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турбинска уља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течности за хидрауличне намене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уља за мењаче и редукторе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6822" w:type="dxa"/>
          </w:tcPr>
          <w:p w:rsidR="00FA0C2D" w:rsidRPr="00FA0C2D" w:rsidRDefault="0007403C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средства за обраду метала </w:t>
            </w:r>
            <w:r w:rsidR="00FA0C2D"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антикорозивна уља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lastRenderedPageBreak/>
              <w:t>5.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електроизолациона уља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6.</w:t>
            </w:r>
          </w:p>
        </w:tc>
        <w:tc>
          <w:tcPr>
            <w:tcW w:w="6822" w:type="dxa"/>
          </w:tcPr>
          <w:p w:rsidR="00FA0C2D" w:rsidRPr="00FA0C2D" w:rsidRDefault="0007403C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уља тешка </w:t>
            </w:r>
            <w:r w:rsidR="00FA0C2D"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 остала уља 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7.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остали препарати који се не употребљавају за обраду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текстилних   материјала,   коже,   крзна   или   других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материјала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8.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остали препарати који садрже 70 % или више, по маси,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уља  од  нафте  или  уља  добијених  од  битуменозних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минерала, али  не као основни  састојак  и који се  не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употребљавају за обраду текстилних материјала, коже,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крзна или других материјала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FA0C2D" w:rsidRPr="00FA0C2D" w:rsidTr="00EA4A71">
        <w:tc>
          <w:tcPr>
            <w:tcW w:w="828" w:type="dxa"/>
            <w:vAlign w:val="center"/>
          </w:tcPr>
          <w:p w:rsidR="00FA0C2D" w:rsidRPr="00FA0C2D" w:rsidRDefault="00FA0C2D" w:rsidP="00EB399F">
            <w:pPr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  <w:r w:rsidRPr="00FA0C2D"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  <w:t>9.</w:t>
            </w:r>
          </w:p>
        </w:tc>
        <w:tc>
          <w:tcPr>
            <w:tcW w:w="6822" w:type="dxa"/>
          </w:tcPr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течности    за    хидрауличне    кочнице    и    остале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припремљене течности за трансмисију, које не садрже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или садрже мање од 70 % по маси уља од нафте или</w:t>
            </w:r>
          </w:p>
          <w:p w:rsidR="00FA0C2D" w:rsidRPr="00FA0C2D" w:rsidRDefault="00FA0C2D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уља добијена од битуменозних материјала</w:t>
            </w:r>
          </w:p>
        </w:tc>
        <w:tc>
          <w:tcPr>
            <w:tcW w:w="1170" w:type="dxa"/>
            <w:vAlign w:val="center"/>
          </w:tcPr>
          <w:p w:rsidR="00FA0C2D" w:rsidRPr="00FA0C2D" w:rsidRDefault="00FA0C2D" w:rsidP="00EB39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232" w:type="dxa"/>
            <w:vAlign w:val="center"/>
          </w:tcPr>
          <w:p w:rsidR="00FA0C2D" w:rsidRPr="00FA0C2D" w:rsidRDefault="00FA0C2D" w:rsidP="00EB399F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0C2D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</w:tbl>
    <w:p w:rsidR="00E50147" w:rsidRPr="005A5E87" w:rsidRDefault="00E50147" w:rsidP="00EB399F">
      <w:pPr>
        <w:spacing w:line="0" w:lineRule="atLeast"/>
        <w:jc w:val="center"/>
        <w:rPr>
          <w:rFonts w:ascii="Times New Roman" w:hAnsi="Times New Roman" w:cs="Times New Roman"/>
          <w:sz w:val="22"/>
          <w:szCs w:val="22"/>
        </w:rPr>
      </w:pPr>
    </w:p>
    <w:p w:rsidR="00E50147" w:rsidRPr="005A5E87" w:rsidRDefault="00E50147" w:rsidP="00EB399F">
      <w:pPr>
        <w:spacing w:line="234" w:lineRule="auto"/>
        <w:ind w:left="-450" w:right="220"/>
        <w:rPr>
          <w:rFonts w:ascii="Times New Roman" w:eastAsia="Times New Roman" w:hAnsi="Times New Roman" w:cs="Times New Roman"/>
          <w:sz w:val="22"/>
          <w:szCs w:val="22"/>
        </w:rPr>
      </w:pPr>
      <w:r w:rsidRPr="005A5E87">
        <w:rPr>
          <w:rFonts w:ascii="Times New Roman" w:eastAsia="Times New Roman" w:hAnsi="Times New Roman" w:cs="Times New Roman"/>
          <w:sz w:val="22"/>
          <w:szCs w:val="22"/>
        </w:rPr>
        <w:t>*Дa би сe кoличинa у литримa изрaзилa у килограмима пoтрeбнo je кoличину у литрима пoмнoжити сa 0.9.</w:t>
      </w:r>
    </w:p>
    <w:p w:rsidR="00E50147" w:rsidRPr="005A5E87" w:rsidRDefault="00E50147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E50147" w:rsidRPr="005A5E87" w:rsidRDefault="00E50147" w:rsidP="00EB399F">
      <w:pPr>
        <w:rPr>
          <w:rFonts w:ascii="Times New Roman" w:hAnsi="Times New Roman" w:cs="Times New Roman"/>
          <w:sz w:val="22"/>
          <w:szCs w:val="22"/>
          <w:lang w:val="sr-Cyrl-RS"/>
        </w:rPr>
      </w:pPr>
    </w:p>
    <w:p w:rsidR="00E50147" w:rsidRPr="005A5E87" w:rsidRDefault="00E50147" w:rsidP="00EB399F">
      <w:pPr>
        <w:rPr>
          <w:rFonts w:ascii="Times New Roman" w:hAnsi="Times New Roman" w:cs="Times New Roman"/>
          <w:sz w:val="22"/>
          <w:szCs w:val="22"/>
          <w:lang w:val="sr-Cyrl-RS"/>
        </w:rPr>
      </w:pPr>
    </w:p>
    <w:p w:rsidR="00E50147" w:rsidRPr="00BD7D8E" w:rsidRDefault="00BD746B" w:rsidP="00EB399F">
      <w:pPr>
        <w:jc w:val="center"/>
        <w:rPr>
          <w:rFonts w:ascii="Times New Roman" w:hAnsi="Times New Roman" w:cs="Times New Roman"/>
          <w:b/>
          <w:sz w:val="22"/>
          <w:szCs w:val="22"/>
          <w:lang w:val="sr-Cyrl-RS"/>
        </w:rPr>
      </w:pPr>
      <w:r w:rsidRPr="00BD7D8E">
        <w:rPr>
          <w:rFonts w:ascii="Times New Roman" w:hAnsi="Times New Roman" w:cs="Times New Roman"/>
          <w:b/>
          <w:sz w:val="22"/>
          <w:szCs w:val="22"/>
          <w:lang w:val="sr-Cyrl-RS"/>
        </w:rPr>
        <w:t xml:space="preserve">Табела 4. </w:t>
      </w:r>
      <w:r w:rsidRPr="00BD7D8E">
        <w:rPr>
          <w:rFonts w:ascii="Times New Roman" w:eastAsia="Times New Roman" w:hAnsi="Times New Roman" w:cs="Times New Roman"/>
          <w:b/>
          <w:bCs/>
          <w:noProof/>
          <w:sz w:val="22"/>
          <w:szCs w:val="22"/>
          <w:lang w:val="sr-Cyrl-CS"/>
        </w:rPr>
        <w:t>Висина накнаде за управљање отпадним електричним и електронским производима</w:t>
      </w:r>
    </w:p>
    <w:p w:rsidR="00E50147" w:rsidRPr="005A5E87" w:rsidRDefault="00E50147" w:rsidP="00EB399F">
      <w:pPr>
        <w:rPr>
          <w:rFonts w:ascii="Times New Roman" w:hAnsi="Times New Roman" w:cs="Times New Roman"/>
          <w:sz w:val="22"/>
          <w:szCs w:val="22"/>
          <w:lang w:val="sr-Cyrl-RS"/>
        </w:rPr>
      </w:pPr>
    </w:p>
    <w:tbl>
      <w:tblPr>
        <w:tblW w:w="5590" w:type="pct"/>
        <w:tblCellSpacing w:w="0" w:type="dxa"/>
        <w:tblInd w:w="-60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6"/>
        <w:gridCol w:w="8"/>
        <w:gridCol w:w="86"/>
        <w:gridCol w:w="4242"/>
        <w:gridCol w:w="74"/>
        <w:gridCol w:w="6"/>
        <w:gridCol w:w="179"/>
        <w:gridCol w:w="988"/>
        <w:gridCol w:w="13"/>
        <w:gridCol w:w="152"/>
        <w:gridCol w:w="160"/>
        <w:gridCol w:w="42"/>
        <w:gridCol w:w="1506"/>
      </w:tblGrid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Јед.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мере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Накнада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у динарима по јединици мере</w:t>
            </w:r>
          </w:p>
        </w:tc>
      </w:tr>
      <w:tr w:rsidR="00BD746B" w:rsidRPr="005A5E87" w:rsidTr="00EB399F">
        <w:trPr>
          <w:trHeight w:val="663"/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BD746B" w:rsidRPr="005A5E87" w:rsidRDefault="00BD746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РАЗРЕД 1. Велики кућни апарати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фенови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Вентилатори, снаге до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125 W,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 цивилне ваздухоплове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60,10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фенови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Аксијални вентилатори, остали, Центрифугални вентилатори, остали, Вентилатори, центрифугални, остали, за цивилне ваздухоплове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36,10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радијатори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Радијатори напуњени течношћу, Грејачи конвекциони, Апарати за грејање простора са вентилатором, Апарати електрични за грејање простора, остало 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36,10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шпорети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Решои са једном или више грејних плоча, остало, 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96,20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шпорети, Уградне рерне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Штедњаци, Микроталасне пећнице пећнице за уградњу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961.60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шпорети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кување и решои за уградњу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300.50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уређаји за грејање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Грејачи воде, проточни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уређаји за грејање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Грејачи воде, остало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240.40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уређаји за грејање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Грејачи воде, потапајући, Расхладни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торњеви и слична постројења за директно хлађење, Уређаји за вакум испарење за наношење метала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lastRenderedPageBreak/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Фрижидери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 за домаћинство за уградњу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721.20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 за домаћинство преко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Latn-RS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250 l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до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 340 l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1442.40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Фрижидери за домаћинство запремине преко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340 l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1682.80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 за домаћинство стони, Фрижидери за домаћинство, остало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Фрижидери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Фрижидери за домаћинство до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250 l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721.20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Клима уређаји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Раздвојене јединице („сплит - системи”)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1202.10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Клима уређаји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климатизацију за моторна возила, Реверзибилне топлотне пумпе са вентилатором на моторни погон и елементима за мењање температуре: за цивилне ваздухоплове, Уређаји за климатизацију, остало, са уграђеном расхладном јединицом, остало, Уређаји за климатизацију, прозорски или зидни, самостални (компактни), Уређаји за климатизацију, остало, без уграђене расхладне јединице, остало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посуђа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посуђа за домаћинство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1202.10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веша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Машине за прање рубља које се пуне одозго, Машине за прање рубља које се пуне са предње стране, Машине за прање капацитета сувог рубља преко 6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, до 10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 и остало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1202.10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веша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рубља до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10 kg,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са центрифугом, остало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веша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прање рубља преко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10 kg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капацитета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сушење веша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Центрифуге, укључујући машине за центрифугално сушење, остало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сушење веша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Машине за сушење капацитета сувог рубља </w:t>
            </w:r>
            <w:r w:rsidR="00512D0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до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12D0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до</w:t>
            </w:r>
            <w:r w:rsidR="00512D0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10 kg</w:t>
            </w:r>
            <w:r w:rsidR="00512D0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512D0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сушење тканина и предива, остало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961.60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Микроталасне пећи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Пећнице микроталасне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360,60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Остала опрема за климатизацију и вентилацију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Одстрањивачи мириса са страницом до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 cm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240.40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уређаји за хлађење, конзервирање и одлагање хране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Расхладне витрине и пултови за чување замрзнуте хране</w:t>
            </w:r>
            <w:r w:rsidR="002845B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, Уређаји за хлађење или замрзавање, остало, Сандуци, витрине за дубоко замрзавање, Остали сандуци, витрине и слични уређаји за хлађење, Топлотне пумпе осим уређаја за </w:t>
            </w:r>
            <w:r w:rsidR="002845B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 xml:space="preserve">климатизацију, Остале топлотне пумпе осим уређаја за климатизацију  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lastRenderedPageBreak/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Остали уређаји за хлађење, конзервирање и одлагање хране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Расхладне витрине и пултови остали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1.803.00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велики уређаји за кување и осталу припрему хране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Перколатори и остали апарати за припремање кафе и осталих топлих пића, остали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велики уређаји за кување и осталу припрему хране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Остале машине за припрему топлих напитака или за кување или грејање хране за цивилне ваздухоплове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ТА пећи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електрични за грејање простора, акумулациони (ТА пећи)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Замрзивачи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Замрзивачи у облику сандука, запремине до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400 l,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  <w:r w:rsidR="00DC56F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Замрзивачи у облику ормара, запремине до</w:t>
            </w:r>
            <w:r w:rsidR="00DC56F6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C56F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250 l, </w:t>
            </w:r>
            <w:r w:rsidR="00DC56F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1202.00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Замрзивачи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Замрзивачи у облику ормара, запремине од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250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до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900 l,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 цивилне ваздухоплове</w:t>
            </w:r>
            <w:r w:rsidR="00DC56F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Замрзивачи у облику сандука, запремине</w:t>
            </w:r>
            <w:r w:rsidR="00DC56F6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C56F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400 - 800 l, </w:t>
            </w:r>
            <w:r w:rsidR="00DC56F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1442.40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Велики расхладни уређаји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Комбинација фрижидера и замрзивача, са посебним вратима, остали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1442.40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Велики расхладни уређаји</w:t>
            </w:r>
          </w:p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Комбинације фрижидера и замрзивача, запремине преко</w:t>
            </w:r>
          </w:p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340 l, остали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1682.80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велики уређаји</w:t>
            </w:r>
          </w:p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 грејање соба, кревета и намештаја за седење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46B" w:rsidRPr="005A5E87" w:rsidRDefault="00BD746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Велики кућни апарати</w:t>
            </w:r>
          </w:p>
        </w:tc>
        <w:tc>
          <w:tcPr>
            <w:tcW w:w="2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</w:p>
        </w:tc>
        <w:tc>
          <w:tcPr>
            <w:tcW w:w="59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812BAB" w:rsidRPr="005A5E87" w:rsidTr="00EB399F">
        <w:trPr>
          <w:trHeight w:val="753"/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</w:rPr>
            </w:pPr>
          </w:p>
          <w:p w:rsidR="00812BAB" w:rsidRPr="005A5E87" w:rsidRDefault="00812BAB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2. Мали кућни апарати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2BAB" w:rsidRPr="005A5E87" w:rsidRDefault="00812BAB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Накнада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у динарима по јединици мере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Фритезе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електротермички уређаји: за пржење са много масноће (фритезе)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180.30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Пегле и остали уређаји за пеглање и одржавање одеће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Пегле електричне, остало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Сатови, ручни сатови и уређаји за мерење, показивање и записивање времена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Часовници ручни, мех. показивач, електрични </w:t>
            </w:r>
            <w:r w:rsidR="005D60C5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–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златни</w:t>
            </w:r>
            <w:r w:rsidR="005D60C5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Остали часовници ручни, електрични, Часовници, зидни, електрични, Апарати за бележење и регистровање времена,  Апарати за контролу и мерење времена, са механизмом за часовнике или синхроним мотором, остало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Часовници лични, електрични, са кут. од плем. метала, остало, Часовници ручни, оптички показивач, електрични, остало, Будилници електрични</w:t>
            </w:r>
            <w:r w:rsidR="00BD746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Мерачи кратких временских 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периода,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lastRenderedPageBreak/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Тостери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Тостери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шишање, сушење косе, прање зуба, бријање, масирање и остали уређаји за негу тела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Хаубе за сушење косе</w:t>
            </w:r>
            <w:r w:rsidR="005D60C5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, Лежајеви, лампе и опрема за сунчање, остало, 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бријање, Апарати за шишање, Апарати за депилацију, Апарати за уређивање косе, остало, Апарати за сушење руку, Опрема за сунчање, са флуоросцентном цеви са ултравиолетним А зрацима, максималне дужине цеви до</w:t>
            </w:r>
            <w:r w:rsidR="00D424D3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100 cm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D424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Опрема за сунчање, са флуоросцентном цеви са ултравиолетним А зрацима, остало,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4D3" w:rsidRPr="005A5E87" w:rsidRDefault="00D424D3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шишање, сушење косе, прање зуба, бријање, масирање и остали уређаји за негу тела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4D3" w:rsidRPr="005A5E87" w:rsidRDefault="00D424D3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сушење косе, остало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4D3" w:rsidRPr="005A5E87" w:rsidRDefault="00D424D3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4D3" w:rsidRPr="005A5E87" w:rsidRDefault="00D424D3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60.00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Усисивачи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Усисивачи, снаге не преко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1 500 W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 са врећом за прашину или другим прихватачем за прашину капацитета не преко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20 l</w:t>
            </w:r>
            <w:r w:rsidR="005D60C5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5D60C5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Усисивачи, укључујући усисиваче за суве и мокре материје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300.50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Усисивачи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усисивачи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Ваге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Ваге за за домаћинство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Ваге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Ваге за мерење особа, укључујући ваге за бебе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Фритезе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електротермички уређаји: остали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Млинови, апарати за кафу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резачи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и уређаји за отварање и затварање посуда и амбалаже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припремање кафе или чаја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Апарати за домаћинство, електромеханички, остало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Пегле и остали уређаји за пеглање и одржавање одеће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Пегле на пару, електричне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 за варење фолије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вруће прскање метала и металних карбида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Роштиљ електрични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Роштиљи и ражњеви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180.30</w:t>
            </w:r>
          </w:p>
        </w:tc>
      </w:tr>
      <w:tr w:rsidR="00BF04A1" w:rsidRPr="005A5E87" w:rsidTr="00EA4A71">
        <w:trPr>
          <w:trHeight w:val="645"/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Мали кућни апарати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млевење и мешање хране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Latn-RS"/>
              </w:rPr>
              <w:t>,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соковници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96.20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чишћење тепиха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  <w:r w:rsidR="00BD746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уређаји за чишћење тепиха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чишћење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  <w:r w:rsidR="00BD746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уређаји за чишћење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шивење, плетење, ткање и остал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обару тканине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  <w:r w:rsidR="00BD746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уређаји за шивење, плетење, ткање и осталу обару тканине </w:t>
            </w:r>
          </w:p>
          <w:p w:rsidR="00812BAB" w:rsidRPr="005A5E87" w:rsidRDefault="00812BAB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BF04A1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Мали кућни апарати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  <w:r w:rsidR="00BD746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мали кућни апарати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BAB" w:rsidRPr="005A5E87" w:rsidRDefault="00812BAB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72.10</w:t>
            </w:r>
          </w:p>
        </w:tc>
      </w:tr>
      <w:tr w:rsidR="004E4218" w:rsidRPr="005A5E87" w:rsidTr="00EB399F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694"/>
        </w:trPr>
        <w:tc>
          <w:tcPr>
            <w:tcW w:w="5000" w:type="pct"/>
            <w:gridSpan w:val="1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73FB1" w:rsidRPr="00BD7D8E" w:rsidRDefault="00173FB1" w:rsidP="00EB399F">
            <w:pPr>
              <w:spacing w:after="160" w:line="259" w:lineRule="auto"/>
              <w:ind w:left="-26" w:right="1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7D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РАЗРЕД 3. Опрема информатичке технологије (ИТ) и телекомуникација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865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173FB1" w:rsidRPr="00BD7D8E" w:rsidRDefault="00173FB1" w:rsidP="00EB399F">
            <w:pPr>
              <w:spacing w:after="160" w:line="259" w:lineRule="auto"/>
              <w:ind w:left="-26" w:right="2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7D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Назив производа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173FB1" w:rsidRPr="00BD7D8E" w:rsidRDefault="00173FB1" w:rsidP="00EB399F">
            <w:pPr>
              <w:spacing w:after="160" w:line="259" w:lineRule="auto"/>
              <w:ind w:left="-26" w:right="1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7D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 производа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173FB1" w:rsidRPr="00BD7D8E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7D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Јед. мере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BD7D8E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7D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Накнада у динарима по </w:t>
            </w:r>
            <w:r w:rsidRPr="00BD7D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јединици мере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1135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Остали производи или опрема за прикупљање, одлагање, обраду и представљање података или комуницирање подацима електронским путем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Меморијске јединице, остале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Остале јединице за машине за аутоматску обраду података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Јединице за напајање за машине за АОП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Пуњачи акумулатора, за цивилне ваздухоплове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Електричне машине са преводилачким или речничким функцијама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328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00000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Остали производи или опрема за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00000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Машине за АОП и њихове јединице, остало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00000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ind w:left="-2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Опрема за копирање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Машине за умножавање, канцеларијске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596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Процесори, матичне плоче и меморије за ПЦ рачунаре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Делови и прибор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Кућишта за рачунаре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Делови машина за АОП остало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Бежични телефони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Мобилни телефони Телефони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Телефони са безгајтанским ручним сетом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Телефони за мрежу станица или за друге бежичне мреже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Телефонски апарати, укључујући телефоне за мрежу станица или за друге бежичне мреже, остали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Остали апарати за пренос или пријем података, за комуникацију, базне станице, за цивилне ваздухоплове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Машине за пријем, конверзију и пренос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података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Видеофони (видеотелефони)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Јавни телефони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Интерфонски апарати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Носиви пријемници за позивање или тражење особа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Пријемни апарати за радио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телефонију или радио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телеграфију, остали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Остали апарати за пренос слике, гласа или других података, за бежичне мреже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9" w:type="dxa"/>
          </w:tblCellMar>
        </w:tblPrEx>
        <w:trPr>
          <w:trHeight w:val="865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Остали производи или опрема за телекомуникациони пренос звука, слика или других података путем телекомуникације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Микрофони фреквенције од 300 Хз до 3,4 кХз, пречника не преко 10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RS"/>
              </w:rPr>
              <w:t>mm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висине не преко 3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RS"/>
              </w:rPr>
              <w:t>mm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за употребу у телекомуникацијама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Микрофони и њихови стативи, за цивилне </w:t>
            </w:r>
            <w:r w:rsidRPr="008070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ваздухоплове Звучне кутије са једним звучником за цивилне ваздухоплове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Звучници фреквенције од 300 Хз до 3,4 кХз, пречника не преко 50 mm, за употребу у телекомуникацијама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, ,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Звучници и звучне кутије са звучницима, остало, за цивилне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ваздухоплове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Сетови ручни за жичне телефоне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Слушалице, укључујући комбиноване са микрофоном и комплети који се састоје од микрофона и једног или више звучника, за цивилне ваздухоплове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Апарати за снимање или репродукцију слике са траком ширине до 1,3 cm и брзином до 50 mm/s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Апарати за снимање и репродукцију слике, са или без уграђеног видео тјунера (пријемника), са магнетном траком, остали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Видеорекордери, остало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Предајници за радио дифузију или телевизију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Предајници за радио дифузију или телевизију, са уграђеним пријемником, остали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Пројектори, врсте која се користи углавном за системе за аутоматску обраду података из тарифног броја 8471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,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Пројектори који раде помоћу равног дисплеја (нпр. уређај са течним кристалима) способни да прикажу дигиталну информацију генерисану машином за аутоматску обраду података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Пројектори, у боји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Видео пријемници, у облику електронских склопова за уградњу у машине за аутоматску обраду података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Апарати са уређајима на бази микропроцесора који садрже модем за остварење приступа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нтернету, који имају функцију интерактивне размене података и могућност пријема телевизијских сигнала (,,сет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топ”)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0" w:type="dxa"/>
          </w:tblCellMar>
        </w:tblPrEx>
        <w:trPr>
          <w:trHeight w:val="865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Меморијске картице и УСБ меморије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Дискови, траке, постојане полупроводничке меморије независне од електричне енергије, ,,паметне картице” и друге подлоге, неснимљене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0" w:type="dxa"/>
          </w:tblCellMar>
        </w:tblPrEx>
        <w:trPr>
          <w:trHeight w:val="865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Монитори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Монитори са катодном цеви, врсте која се користи углавном за системе за аутоматску обраду података из тарифног броја 8471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црно бели и остали једнобојни (монохроматски)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 боји, са односом ширина/висина екрана, мањим од 1,5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 боји, остали, са параметром скенирања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Остали монитори, врсте која се користи углавном за системе за аутоматску обраду података из тарифног броја 8471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,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Остали монитори, остали, црно бели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,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остали једнобојни (монохроматски) 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, остали у боји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0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Мини рачунари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Остали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0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Рачунари типа НотеПад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Остали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0" w:type="dxa"/>
          </w:tblCellMar>
        </w:tblPrEx>
        <w:trPr>
          <w:trHeight w:val="329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Телекс уређаји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Остали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4E4218" w:rsidRPr="005A5E87" w:rsidTr="00EA4A71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4" w:type="dxa"/>
            <w:left w:w="26" w:type="dxa"/>
            <w:bottom w:w="0" w:type="dxa"/>
            <w:right w:w="0" w:type="dxa"/>
          </w:tblCellMar>
        </w:tblPrEx>
        <w:trPr>
          <w:trHeight w:val="597"/>
        </w:trPr>
        <w:tc>
          <w:tcPr>
            <w:tcW w:w="1505" w:type="pct"/>
            <w:gridSpan w:val="3"/>
            <w:tcBorders>
              <w:top w:val="single" w:sz="6" w:space="0" w:color="A0A0A0"/>
              <w:left w:val="single" w:sz="6" w:space="0" w:color="000000"/>
              <w:bottom w:val="single" w:sz="6" w:space="0" w:color="00000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Опрема информатичке технологије и телекомуникација </w:t>
            </w:r>
          </w:p>
        </w:tc>
        <w:tc>
          <w:tcPr>
            <w:tcW w:w="2137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00000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Остали </w:t>
            </w:r>
          </w:p>
        </w:tc>
        <w:tc>
          <w:tcPr>
            <w:tcW w:w="469" w:type="pct"/>
            <w:tcBorders>
              <w:top w:val="single" w:sz="6" w:space="0" w:color="A0A0A0"/>
              <w:left w:val="single" w:sz="6" w:space="0" w:color="A0A0A0"/>
              <w:bottom w:val="single" w:sz="6" w:space="0" w:color="000000"/>
              <w:right w:val="single" w:sz="6" w:space="0" w:color="A0A0A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КД </w:t>
            </w:r>
          </w:p>
        </w:tc>
        <w:tc>
          <w:tcPr>
            <w:tcW w:w="889" w:type="pct"/>
            <w:gridSpan w:val="5"/>
            <w:tcBorders>
              <w:top w:val="single" w:sz="6" w:space="0" w:color="A0A0A0"/>
              <w:left w:val="single" w:sz="6" w:space="0" w:color="A0A0A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73FB1" w:rsidRPr="005A5E87" w:rsidRDefault="00173FB1" w:rsidP="00EB39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 од ПДВ</w:t>
            </w:r>
            <w:r w:rsidRPr="005A5E87">
              <w:rPr>
                <w:rFonts w:ascii="Cambria Math" w:hAnsi="Cambria Math" w:cs="Cambria Math"/>
                <w:color w:val="000000"/>
                <w:sz w:val="22"/>
                <w:szCs w:val="22"/>
              </w:rPr>
              <w:t>‐</w:t>
            </w:r>
            <w:r w:rsidRPr="005A5E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</w:tr>
      <w:tr w:rsidR="00C72D96" w:rsidRPr="005A5E87" w:rsidTr="00EB399F">
        <w:trPr>
          <w:trHeight w:val="762"/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4. Опрема широке потрошње за разоноду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Накнада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у динарима по јединици мере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Аудио појачала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Аудио - ф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реквентни електрични појачивачи; Електрични комплети за појачавање звука; Појачивачи аудио - фреквентни за телефонију и мерења; Појачивачи фреквентни електрични са само једним каналом; Остали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Музички инструменти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2802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Оргуље електричне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Клавири дигитални; Гитаре електричне; Остали инструменти музички, електрични; Синтисајзери; Инструменти клавијатурни, осим хармоника;</w:t>
            </w:r>
          </w:p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производи или опрема за снимање или репродукцију звука или слика, укључујући сигнале или друге технологије за дистрибуцију звука и слике, осим телекомуникационих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62E" w:rsidRPr="005A5E87" w:rsidRDefault="00C72D96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апарати за репродукцију звука, касетни, са аналогним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дигиталним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ласерским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очитавањем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Апарати за репродукцију звука, ласерски, за моторна возила, који користе диск пречника не преко</w:t>
            </w:r>
            <w:r w:rsidR="00F92802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6,5 cm</w:t>
            </w:r>
            <w:r w:rsidR="00F92802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;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Магнетофони, касетни, са појачивачем и уграђеним звучницима; Остали магнетофони, са уређајем за репродукцију звука, остали Апарати за репродукцију или снимање звука; Остали апарати за репродукцију звука без снимања; Апарати за припремање штампарских плоча и цилиндара; Апарати конструисани за снимања под водом и друго; Апарати за снимање докумената на микрофилму, микрофишу или другим микрооблицима, за филм у ролни ширине</w:t>
            </w:r>
            <w:r w:rsidR="00FD0AFC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35 mm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;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Апарати фотографски; Пројектори дијапозитива; Читачи за микрофилм, микрофиш и други микрооблик; Апарати који се пуштају у рад помоћу новчића, жетона, остали, са ласерским системом очитавања; Грамофони; Диктафони; Рекордери, осим оних из тарифног подброја</w:t>
            </w:r>
            <w:r w:rsidR="00FD0AFC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8519 20</w:t>
            </w:r>
            <w:r w:rsidR="00FD0AFC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;</w:t>
            </w:r>
          </w:p>
          <w:p w:rsidR="00C72D96" w:rsidRPr="005A5E87" w:rsidRDefault="00FD0AFC" w:rsidP="00EB399F">
            <w:pP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Пројектори непокретних слика.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Радио апарати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E65E14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Вокмени - радио касетофони</w:t>
            </w:r>
            <w:r w:rsidR="000F18D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(аналогни и </w:t>
            </w:r>
            <w:r w:rsidR="000F18D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дигитални)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; Радио касетофони, аналогни и дигитални, на батерије; Радио пријемници; Радио рекордери са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CD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-ом за моторна возила; Радио касетофони, аналогни и дигитални, за возила; Радио пријемници, за возила (дифузни и остало); </w:t>
            </w:r>
            <w:r w:rsidR="000F18D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Пријемници за радио - дифузију, остали, касетног типа са аналогним и дигиталним системом очитавања укључујући и пријемнике са апаратом за снимање или репродукцију звука; Радио будилници; Пријемници за радио - дифузију, комбиновани са часовником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lastRenderedPageBreak/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Телевизијски апарати</w:t>
            </w:r>
          </w:p>
          <w:p w:rsidR="00C72D96" w:rsidRPr="005A5E87" w:rsidRDefault="00C72D96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2349EF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Сви телевизијски апарати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4E4218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Видео камере</w:t>
            </w:r>
          </w:p>
        </w:tc>
        <w:tc>
          <w:tcPr>
            <w:tcW w:w="2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2349EF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Све видеокамере; ТВ камере; Дигиталне камере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Видео рекордери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Рекордери, осим оних из тарифног подброја 8519 20</w:t>
            </w:r>
            <w:r w:rsidR="002349EF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; Остали апарати за репродукцију звука без снимања;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ind w:left="-3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HI - FI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HI - FI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Опрема широке потрошње за разоноду остала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Опрема широке потрошње за разоноду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,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остала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B399F">
        <w:trPr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</w:rPr>
            </w:pPr>
          </w:p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5а Опрема за осветљење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Накнада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у динарима по јединици мере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600B33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</w:t>
            </w:r>
            <w:r w:rsidR="00C72D9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асветна опрема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</w:t>
            </w:r>
            <w:r w:rsidR="00C72D9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опрема за ширење или управљање светла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Индукциони калемови са или без прикљученог кондензатора, за цивилне ваздухоплове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Баласти за сијалице са пражњењем, остали, за цивилне ваздухоплове; Електрична светлећа тела, за затворени простор, од осталих материјала, Рефлектори; Цеви флуоросцентне од пластичних маса; Лампе, електричне, од пластичних маса и осталих материјала, остало.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5.00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Расветна тела за флуоресцентне светиљке, осим светиљке за домаћинство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Осветљени знаци, осветљене плочице са именима и слично, од пластичних маса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и од осталих материјала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kd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5.00</w:t>
            </w:r>
          </w:p>
        </w:tc>
      </w:tr>
      <w:tr w:rsidR="00EA4A71" w:rsidRPr="00BD7D8E" w:rsidTr="00BD7D8E">
        <w:trPr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4A71" w:rsidRPr="00BD7D8E" w:rsidRDefault="00EA4A71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BD7D8E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 xml:space="preserve">РАЗРЕД 5б </w:t>
            </w:r>
            <w:r w:rsidR="009E036E" w:rsidRPr="00BD7D8E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О</w:t>
            </w:r>
            <w:r w:rsidRPr="00BD7D8E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светљењ</w:t>
            </w:r>
            <w:r w:rsidR="009E036E" w:rsidRPr="00BD7D8E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а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Остала расветна опрема или опрема за ширење или управљање светла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Сијалице, волфрам - халогене, за напон 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до и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преко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100 V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; 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Сијалице, до</w:t>
            </w:r>
            <w:r w:rsidR="00600B33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200 W 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 преко</w:t>
            </w:r>
            <w:r w:rsidR="00600B33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100 V, 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рефлекторске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 са жарећом нити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Сијалице, до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200 W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 преко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100 V,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остало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84.10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Расветна тела за флуоресцентне светиљке, осим светиљке за домаћинство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Сијалице, са влакнима, за напон преко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100 V,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остало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Равне флуоресцентне светиљке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Сијалице, флуоресцентне, са два подножја на крајевима</w:t>
            </w:r>
            <w:r w:rsidR="00600B3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остало; Сијалице са живином паром</w:t>
            </w:r>
            <w:r w:rsidR="007F5CA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Сијалице, са пражњењем, остало, осим ултраљубичастих; Сијалице лучне и ултраљубичасте;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Високонапонске светиљке укључујући светиљке са натријумским парама и светиљке металхалогеним парама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 са натријумовом паром</w:t>
            </w:r>
            <w:r w:rsidR="007F5CA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; Сијалице са металним халогенидима;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Остала расветна опрема или опрема за ширење или управљање светла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 инфрацрвене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24.00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Сијалице, остале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Сијалице, остале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24.00</w:t>
            </w:r>
          </w:p>
        </w:tc>
      </w:tr>
      <w:tr w:rsidR="00C72D96" w:rsidRPr="005A5E87" w:rsidTr="00EB399F">
        <w:trPr>
          <w:trHeight w:val="582"/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6. Електрични и електронски алати (осим великих непокретних индустријских алата)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Накнада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у динарима по јединици мере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Алати за закивање, спајање ексерима, спајање шрафовима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књиговезачке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, за савијање, </w:t>
            </w:r>
            <w:r w:rsidR="007F5CA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за слагање и скупљање, за шивење, прошивање жицом,  за увезивање без шивења; Датумари, жигови и нумератори и слично, ручне слагаљке;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Алати за кошење или за друге баштенске послове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Травокосачице, са мотором и хоризонтално ротирајућим резним уређајем: електричне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Алати за заваривање, лемљење и сличну употребу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Лемилице и пиштољи за меко лемљење</w:t>
            </w:r>
            <w:r w:rsidR="007F5CA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; Машине и апарати за тврдо и меко лемљење, остало; Машине за електроотпорно заваривање метала, аутомат; Машине и апарати за чеоно заваривање метала; </w:t>
            </w:r>
            <w:r w:rsidR="00ED6D3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Машине за електроотпорно заварив. метала; Машине за заварив. метала електролуком, аутоматске; </w:t>
            </w:r>
            <w:r w:rsidR="007F5CA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Алати за заваривање, лемљење и сличну употребу</w:t>
            </w:r>
          </w:p>
          <w:p w:rsidR="00C72D96" w:rsidRPr="005A5E87" w:rsidRDefault="00C72D96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Машине за ручно заваривање метала, </w:t>
            </w:r>
            <w:r w:rsidR="00ED6D3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са трансформатором  и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остало</w:t>
            </w:r>
            <w:r w:rsidR="007F5CA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Машине и апарати за заваривање метала, остало; Машине за вруће прскање метала и металних карбида</w:t>
            </w:r>
            <w:r w:rsidR="00ED6D3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Машине и апарати за третирање метала; Машине за електроотпорно заваривање пластике.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Опрема за окретање, млевење, брушење, полирање, стругање, резање, сечење, бушење, пробијање, превијање, савијање или за сличну обраду дрвета, метала и других материјала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Ручне алатке, пнеуматске, хидрауличне за брушење брусилице са брусном</w:t>
            </w:r>
            <w:r w:rsidR="00650EB1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; Ручне алатке, пнеуматске, хидрауличне са уграђеним електромотором остало; </w:t>
            </w:r>
            <w:r w:rsidR="00632C0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Ручне алатке врста које се користе за обраду текстилних материјала; Ручне алатке, пнеуматске, хидрауличне остале тестере; угаоне брусилице, рендисаљке, за </w:t>
            </w:r>
            <w:r w:rsidR="00632C0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 xml:space="preserve">подешавање и равно сечење; 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lastRenderedPageBreak/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Опрема за пескарење, наношење, распршивање и осталу обраду течним или гасовитим материјама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Остале центрифугалне пумпе: потапајуће једностепене</w:t>
            </w:r>
            <w:r w:rsidR="00632C0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и вишестепене</w:t>
            </w:r>
            <w:r w:rsidR="00650EB1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Циркулационе пумпе за грејне системе; Радијалне проточне пумпе, преко 15</w:t>
            </w:r>
            <w:r w:rsidR="00650EB1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mm</w:t>
            </w:r>
            <w:r w:rsidR="00650EB1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, једностепене, са више од једног улазног лопатичног кола, остале; Центрифугалне пумпе, једностепене, 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остале центрифугалне пумпе, преко</w:t>
            </w:r>
            <w:r w:rsidR="005960D3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15 mm, 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вишестепене </w:t>
            </w:r>
            <w:r w:rsidR="00650EB1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за цивилне ваздухоплове; </w:t>
            </w:r>
            <w:r w:rsidR="00632C0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Радијалне проточне пумпе, једностепене, у једном блоку</w:t>
            </w:r>
            <w:r w:rsidR="00DE019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</w:t>
            </w:r>
            <w:r w:rsidR="00632C0B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Остале пумпе, за цивилне ваздухоплове; Елеватори течности; Пиштољи за прскање и слични уређаји; Машине за избацивање паре или песка са уређајем за загревање; Машине за избацивање паре или песка преко</w:t>
            </w:r>
            <w:r w:rsidR="005960D3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7,5 KW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; 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Уређаји за наводњавање; За пољопривреду или хортикултуру: преносиви уређаји; Уређаји механички за избацивање млаза, остало;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Шиваће машине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Машине за шивење за домаћинство: остале машине и остале главе за шивење</w:t>
            </w:r>
            <w:r w:rsidR="005960D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Машине за шивење, аутоматске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Тестере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Ручне алатке, пнеуматске, хидрауличне</w:t>
            </w:r>
            <w:r w:rsidR="00DE019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ланчане, циркуларне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тестере</w:t>
            </w:r>
            <w:r w:rsidR="00DE019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</w:t>
            </w:r>
            <w:r w:rsidR="00DE019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стале</w:t>
            </w:r>
            <w:r w:rsidR="00DE0197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тестере.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Бушилице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Ручне алатке, пнеуматске, хидрауличне које могу да раде без спољње</w:t>
            </w:r>
            <w:r w:rsidR="00ED6D38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Ручне алатке, пнеуматске, хидрауличне електропнеуматске; Остале бушилице;</w:t>
            </w: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Алати за скидање закивака, ексера, шрафова или сличне намене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Алати за скидање закивака, ексера, шрафова или сличне намене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5A5E87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и електронски алати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и електронски алати, остали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EB399F">
        <w:trPr>
          <w:trHeight w:val="672"/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tr_11"/>
            <w:bookmarkEnd w:id="2"/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7. Играчке, опрема за рекреацију, разоноду и спорт</w:t>
            </w:r>
          </w:p>
        </w:tc>
      </w:tr>
      <w:tr w:rsidR="00C72D96" w:rsidRPr="005A5E87" w:rsidTr="00EA4A71">
        <w:trPr>
          <w:trHeight w:val="789"/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Накнада</w:t>
            </w:r>
          </w:p>
        </w:tc>
      </w:tr>
      <w:tr w:rsidR="00C72D96" w:rsidRPr="005A5E87" w:rsidTr="00EA4A71">
        <w:trPr>
          <w:trHeight w:val="573"/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Аутомати за играње на метални новац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Флипери</w:t>
            </w:r>
            <w:r w:rsidR="007B432A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Игре, које се пуштају у рад жетоном, остало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Електрични возићи, односно гарнитуре тркаћих аутомобилчића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B2507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Играчке, електрични возови, укључујући колосеке, сигнале и други прибор за њих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Latn-RS"/>
              </w:rPr>
              <w:t>,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комплети за састављање; </w:t>
            </w:r>
            <w:r w:rsidR="00C72D9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Остале играчке и модели са мотором, од пластичних маса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и од осталих материјала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Спортска опрема са електричним или електронским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компонентама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 xml:space="preserve">Опрема за опште физичке вежбе </w:t>
            </w:r>
            <w:r w:rsidR="002B222D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апарати за вежбање са механизмом за под; Опрема за </w:t>
            </w:r>
            <w:r w:rsidR="002B222D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опште физичке вежбе</w:t>
            </w:r>
            <w:r w:rsidR="002B222D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Latn-RS"/>
              </w:rPr>
              <w:t xml:space="preserve">, </w:t>
            </w:r>
            <w:r w:rsidR="002B222D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lastRenderedPageBreak/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Видео игре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Видео игре електронске за употребу са тв пријемником</w:t>
            </w:r>
            <w:r w:rsidR="002B222D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; Сетови електричних тркачких аутомобила за игре; Производи за вашарске, стоне и друштвене игре, остало,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Ручне конзоле за видео игре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Ручне конзоле за видео игре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Компјутери за бициклизам, роњење, трчање, веслање итд.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Компјутери за бициклизам, роњење, трчање, веслање итд.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A4A71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Играчке, опрема за рекреацију и спорт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Играчке, опрема за рекреацију и спорт, остало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8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36.10</w:t>
            </w:r>
          </w:p>
        </w:tc>
      </w:tr>
      <w:tr w:rsidR="00C72D96" w:rsidRPr="005A5E87" w:rsidTr="00EB399F">
        <w:trPr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tr_12"/>
            <w:bookmarkEnd w:id="3"/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8. Медицински помоћни уређаји (осим великих непокретних терапијских и дијагностичких уређаја, имплантираних производа и производа који могу проузроковати инфекцију)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Накнада у динарима по јединици мере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дијализу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Опрема за дијализу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Кардиолошки уређаји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ind w:right="-159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Електрокардиографи</w:t>
            </w:r>
            <w:r w:rsidR="00880DCA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Сцинтилографи, Електродијагностички апарати остали, Апарати са ултраљубичастим или инфрацрвеним зрацима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уређаји за откривање, спречавање, праћење, обраду, ублажавање болести, повреда или немоћи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стерилизацију, медицински, хируршки и сл.</w:t>
            </w:r>
            <w:r w:rsidR="00880DCA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, Мерачи крвног притиска, Апарати за анестезију, Апарати за масажу, електрични, вибрациони, Апарати за механотерапију, психолошка тестирања, Лабораторијске центрифуге, Ендоскопи, Апарати трансфузиони и инфузиони, Инструменти за ултразвучно разбијање камена, Апарати за нервну стимулацију, 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Радиотерапијска опрема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Апарати са алфа, бета, гама зрачењем, за </w:t>
            </w:r>
            <w:r w:rsidR="00880DCA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медицину и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осталу употребу</w:t>
            </w:r>
            <w:r w:rsidR="00880DCA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Цеви рендгенске, Екрани рендгенски; мрежице и штитници за заштиту, Делови, прибор апарата са алфа, бета, гама зрач., остало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Плућни вентилатори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озонотерапију, вештачко дисање и слично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нуклеарне медицине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нуклеарне медицине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Лабораторијска опрема за дијагнозу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in vitro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Лабораторијска опрема за дијагнозу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in vitro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анализу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анализу,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хлађење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хлађење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испитивање оплодње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испитивање оплодње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EB399F">
        <w:trPr>
          <w:trHeight w:val="303"/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Медицински помоћни уређаји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Медицински помоћни уређаји,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60.10</w:t>
            </w:r>
          </w:p>
        </w:tc>
      </w:tr>
      <w:tr w:rsidR="00C72D96" w:rsidRPr="005A5E87" w:rsidTr="00EB399F">
        <w:trPr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C72D96" w:rsidRPr="005A5E87" w:rsidRDefault="00C72D96" w:rsidP="00EB399F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</w:rPr>
            </w:pPr>
            <w:bookmarkStart w:id="4" w:name="str_13"/>
            <w:bookmarkEnd w:id="4"/>
          </w:p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399F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shd w:val="clear" w:color="auto" w:fill="FFFFFF" w:themeFill="background1"/>
                <w:lang w:val="sr-Cyrl-CS"/>
              </w:rPr>
              <w:t>РАЗРЕД 9. Инструменти за праћење и надзор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Назив производа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Јед. мере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Накнада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br/>
              <w:t>у динарима по јединици мере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инструменти за праћење и контролу који се употребљавају у индустријским инсталацијама (нпр. на контролним плочама)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Показне (индикаторске) табле са уграђеним диодама за емитовање светлости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(LED)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>, односно уграђеним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 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активним матричним</w:t>
            </w:r>
            <w:r w:rsidR="00124003" w:rsidRPr="005A5E87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LCD 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уређајем,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за цивилне ваздухоплове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остали; Остали електрични апарати за звучну или визуелну сигнализацију, уређаји са равним дисплејима;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Термостати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Термостати, електронски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остали, са електричним</w:t>
            </w:r>
            <w:r w:rsidR="00124003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24003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уређајем за пуштање у рад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мерење, вагање или баждарење за домаћинство или лабораторије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124003" w:rsidP="00EB399F">
            <w:pP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Контролни мерачи и машине за аутоматску контролу,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Ваге, Термометри, пирометри, Електронски инструменти за мерење и контролу притиска, за цивилне ваздухоплове, Спектрометри, спектрофотометри, спектрографи, </w:t>
            </w:r>
            <w:r w:rsidR="005D6FA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Експозиметри, Гасомери, Мерачи течности, Бројила електрична, </w:t>
            </w:r>
            <w:r w:rsidR="003566BD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Мултиметри, Инструменти или апарати за мерење јачине струје, напона отпора или снаге, без уређаја за регистровање, остало</w:t>
            </w:r>
            <w:r w:rsidR="00592B1F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Вискозиметри, порозиметри и дилатометри, Барометри, Хроматографи и инструменти за електрофорезу</w:t>
            </w:r>
            <w:r w:rsidR="002E78EF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Инструменти са оптичким зрачењем, Апарати за мерење проводљивости</w:t>
            </w:r>
            <w:r w:rsidR="002E78EF"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78EF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 xml:space="preserve">(PH, RH - </w:t>
            </w:r>
            <w:r w:rsidR="002E78EF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метри и сл.), Волтметри,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Детектори дима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Апарати за анализу гаса или дима, електронски</w:t>
            </w:r>
            <w:r w:rsidR="00592B1F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и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инструменти за праћење и контролу који се употребљавају у индустријским инсталацијама (нпр. на контролним плочама)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Остали електрични апарати за звучну или визуелну сигнализацију,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Термостати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Термостати,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мерење, вагање или баждарење за домаћинство или лабораторије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Мерачи протока течности, електронски, за цивилне ваздухоплове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Уређаји за мерење, вагање или баждарење за домаћинство или лабораторије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Инструменти за мерење протока или нивоа течности, електронски, за цивилне ваздухоплове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Регулатори грејања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Регулатори грејања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Инструменти за праћење и надзор</w:t>
            </w:r>
          </w:p>
        </w:tc>
        <w:tc>
          <w:tcPr>
            <w:tcW w:w="209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Инструменти за праћење и надзор, остали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  <w:tr w:rsidR="00C72D96" w:rsidRPr="005A5E87" w:rsidTr="00EB399F">
        <w:trPr>
          <w:trHeight w:val="645"/>
          <w:tblCellSpacing w:w="0" w:type="dxa"/>
        </w:trPr>
        <w:tc>
          <w:tcPr>
            <w:tcW w:w="5000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tr_14"/>
            <w:bookmarkEnd w:id="5"/>
            <w:r w:rsidRPr="005A5E87">
              <w:rPr>
                <w:rFonts w:ascii="Times New Roman" w:eastAsia="Times New Roman" w:hAnsi="Times New Roman" w:cs="Times New Roman"/>
                <w:bCs/>
                <w:noProof/>
                <w:sz w:val="22"/>
                <w:szCs w:val="22"/>
                <w:lang w:val="sr-Cyrl-CS"/>
              </w:rPr>
              <w:t>РАЗРЕД 10. Аутомати</w:t>
            </w:r>
          </w:p>
        </w:tc>
      </w:tr>
      <w:tr w:rsidR="00C72D96" w:rsidRPr="005A5E87" w:rsidTr="00FA0C2D">
        <w:trPr>
          <w:tblCellSpacing w:w="0" w:type="dxa"/>
        </w:trPr>
        <w:tc>
          <w:tcPr>
            <w:tcW w:w="1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Назив производа</w:t>
            </w:r>
          </w:p>
        </w:tc>
        <w:tc>
          <w:tcPr>
            <w:tcW w:w="209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Опис производа</w:t>
            </w:r>
          </w:p>
        </w:tc>
        <w:tc>
          <w:tcPr>
            <w:tcW w:w="71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D96" w:rsidRPr="005A5E87" w:rsidRDefault="00C72D96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Накнада у 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>динарима по јединици мере</w:t>
            </w:r>
          </w:p>
          <w:p w:rsidR="00C72D96" w:rsidRPr="005A5E87" w:rsidRDefault="00C72D96" w:rsidP="00EB399F">
            <w:pPr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C72D96" w:rsidRPr="005A5E87" w:rsidTr="00FA0C2D">
        <w:trPr>
          <w:tblCellSpacing w:w="0" w:type="dxa"/>
        </w:trPr>
        <w:tc>
          <w:tcPr>
            <w:tcW w:w="1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lastRenderedPageBreak/>
              <w:t xml:space="preserve">Аутомати </w:t>
            </w:r>
          </w:p>
        </w:tc>
        <w:tc>
          <w:tcPr>
            <w:tcW w:w="209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AD1FE8" w:rsidP="00EB39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Све </w:t>
            </w:r>
            <w:r w:rsidR="00C72D9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аутоматске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машине</w:t>
            </w:r>
            <w:r w:rsidR="00C72D9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за продају напитака</w:t>
            </w: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>, чврстих производа, грејање или хлађење хране, односно пића,</w:t>
            </w:r>
            <w:r w:rsidR="00C72D96"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Банкомати (за сортирање, бројање, паковање метал. новца, остале канцеларијске машине ) </w:t>
            </w:r>
          </w:p>
        </w:tc>
        <w:tc>
          <w:tcPr>
            <w:tcW w:w="71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kg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D96" w:rsidRPr="005A5E87" w:rsidRDefault="00C72D96" w:rsidP="00EB39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120.20</w:t>
            </w:r>
          </w:p>
        </w:tc>
      </w:tr>
    </w:tbl>
    <w:p w:rsidR="00C72D96" w:rsidRPr="005A5E87" w:rsidRDefault="00C72D96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77570A" w:rsidRPr="005A5E87" w:rsidRDefault="0077570A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77570A" w:rsidRPr="005A5E87" w:rsidRDefault="00C95C49" w:rsidP="00EB399F">
      <w:pPr>
        <w:spacing w:line="239" w:lineRule="exact"/>
        <w:jc w:val="center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  <w:r w:rsidRPr="005A5E87">
        <w:rPr>
          <w:rFonts w:ascii="Times New Roman" w:eastAsia="Times New Roman" w:hAnsi="Times New Roman" w:cs="Times New Roman"/>
          <w:sz w:val="22"/>
          <w:szCs w:val="22"/>
          <w:lang w:val="sr-Cyrl-RS"/>
        </w:rPr>
        <w:t xml:space="preserve">Табела 5. </w:t>
      </w:r>
      <w:r w:rsidRPr="005A5E87">
        <w:rPr>
          <w:rFonts w:ascii="Times New Roman" w:eastAsia="Times New Roman" w:hAnsi="Times New Roman" w:cs="Times New Roman"/>
          <w:w w:val="99"/>
          <w:sz w:val="22"/>
          <w:szCs w:val="22"/>
          <w:lang w:val="sr-Cyrl-RS"/>
        </w:rPr>
        <w:t>В</w:t>
      </w:r>
      <w:r w:rsidRPr="005A5E87">
        <w:rPr>
          <w:rFonts w:ascii="Times New Roman" w:eastAsia="Times New Roman" w:hAnsi="Times New Roman" w:cs="Times New Roman"/>
          <w:w w:val="99"/>
          <w:sz w:val="22"/>
          <w:szCs w:val="22"/>
        </w:rPr>
        <w:t>исина накнаде за возила</w:t>
      </w:r>
    </w:p>
    <w:p w:rsidR="00C95C49" w:rsidRPr="005A5E87" w:rsidRDefault="00C95C49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1080"/>
        <w:gridCol w:w="4500"/>
        <w:gridCol w:w="2340"/>
        <w:gridCol w:w="2610"/>
      </w:tblGrid>
      <w:tr w:rsidR="00FB572F" w:rsidRPr="005A5E87" w:rsidTr="00867B39">
        <w:tc>
          <w:tcPr>
            <w:tcW w:w="1080" w:type="dxa"/>
          </w:tcPr>
          <w:p w:rsidR="00FB572F" w:rsidRPr="005A5E87" w:rsidRDefault="00FB572F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Ред. бр.</w:t>
            </w:r>
          </w:p>
        </w:tc>
        <w:tc>
          <w:tcPr>
            <w:tcW w:w="4500" w:type="dxa"/>
          </w:tcPr>
          <w:p w:rsidR="00FB572F" w:rsidRPr="005A5E87" w:rsidRDefault="00FB572F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Предмет накнаде</w:t>
            </w:r>
          </w:p>
        </w:tc>
        <w:tc>
          <w:tcPr>
            <w:tcW w:w="2340" w:type="dxa"/>
          </w:tcPr>
          <w:p w:rsidR="00FB572F" w:rsidRPr="005A5E87" w:rsidRDefault="00FB572F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Основица</w:t>
            </w:r>
          </w:p>
        </w:tc>
        <w:tc>
          <w:tcPr>
            <w:tcW w:w="2610" w:type="dxa"/>
          </w:tcPr>
          <w:p w:rsidR="00FB572F" w:rsidRPr="005A5E87" w:rsidRDefault="00FB572F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Висина накнаде</w:t>
            </w:r>
          </w:p>
          <w:p w:rsidR="00FB572F" w:rsidRPr="005A5E87" w:rsidRDefault="00FB572F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(динара/јед. мере)</w:t>
            </w:r>
          </w:p>
        </w:tc>
      </w:tr>
      <w:tr w:rsidR="00FB572F" w:rsidRPr="005A5E87" w:rsidTr="00867B39">
        <w:tc>
          <w:tcPr>
            <w:tcW w:w="1080" w:type="dxa"/>
          </w:tcPr>
          <w:p w:rsidR="00FB572F" w:rsidRPr="005A5E87" w:rsidRDefault="00FB572F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00" w:type="dxa"/>
          </w:tcPr>
          <w:p w:rsidR="00FB572F" w:rsidRPr="005A5E87" w:rsidRDefault="00FB572F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Произведена и увезена возила</w:t>
            </w:r>
          </w:p>
        </w:tc>
        <w:tc>
          <w:tcPr>
            <w:tcW w:w="2340" w:type="dxa"/>
          </w:tcPr>
          <w:p w:rsidR="00FB572F" w:rsidRPr="005A5E87" w:rsidRDefault="00FB572F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610" w:type="dxa"/>
            <w:vAlign w:val="center"/>
          </w:tcPr>
          <w:p w:rsidR="00FB572F" w:rsidRPr="005A5E87" w:rsidRDefault="00FB572F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</w:tr>
      <w:tr w:rsidR="00214987" w:rsidRPr="005A5E87" w:rsidTr="00867B39">
        <w:tc>
          <w:tcPr>
            <w:tcW w:w="1080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4500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</w:tcPr>
          <w:p w:rsidR="00214987" w:rsidRPr="005A5E87" w:rsidRDefault="00214987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214987" w:rsidRPr="005A5E87" w:rsidRDefault="00214987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77570A" w:rsidRPr="005A5E87" w:rsidRDefault="0077570A" w:rsidP="00EB399F">
      <w:pPr>
        <w:spacing w:line="239" w:lineRule="exact"/>
        <w:ind w:left="-450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214987" w:rsidRPr="005A5E87" w:rsidRDefault="00214987" w:rsidP="00EB399F">
      <w:pPr>
        <w:spacing w:line="239" w:lineRule="exact"/>
        <w:ind w:left="-450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214987" w:rsidRPr="005A5E87" w:rsidRDefault="00214987" w:rsidP="00EB399F">
      <w:pPr>
        <w:spacing w:line="239" w:lineRule="exact"/>
        <w:jc w:val="center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  <w:r w:rsidRPr="005A5E87">
        <w:rPr>
          <w:rFonts w:ascii="Times New Roman" w:eastAsia="Times New Roman" w:hAnsi="Times New Roman" w:cs="Times New Roman"/>
          <w:sz w:val="22"/>
          <w:szCs w:val="22"/>
          <w:lang w:val="sr-Cyrl-RS"/>
        </w:rPr>
        <w:t>Табела 6. Висина накнаде за сакупљање лекова од грађана</w:t>
      </w:r>
    </w:p>
    <w:p w:rsidR="00214987" w:rsidRPr="005A5E87" w:rsidRDefault="00214987" w:rsidP="00EB399F">
      <w:pPr>
        <w:spacing w:line="239" w:lineRule="exact"/>
        <w:jc w:val="center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1260"/>
        <w:gridCol w:w="4320"/>
        <w:gridCol w:w="2124"/>
        <w:gridCol w:w="2826"/>
      </w:tblGrid>
      <w:tr w:rsidR="00214987" w:rsidRPr="005A5E87" w:rsidTr="00867B39">
        <w:tc>
          <w:tcPr>
            <w:tcW w:w="1260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Ред. бр.</w:t>
            </w:r>
          </w:p>
        </w:tc>
        <w:tc>
          <w:tcPr>
            <w:tcW w:w="4320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Предмет накнаде </w:t>
            </w:r>
          </w:p>
        </w:tc>
        <w:tc>
          <w:tcPr>
            <w:tcW w:w="2124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Основица</w:t>
            </w:r>
          </w:p>
        </w:tc>
        <w:tc>
          <w:tcPr>
            <w:tcW w:w="2826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Висина накнаде</w:t>
            </w:r>
          </w:p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(динара/јед. мере)</w:t>
            </w:r>
          </w:p>
        </w:tc>
      </w:tr>
      <w:tr w:rsidR="00214987" w:rsidRPr="005A5E87" w:rsidTr="00867B39">
        <w:tc>
          <w:tcPr>
            <w:tcW w:w="1260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320" w:type="dxa"/>
          </w:tcPr>
          <w:p w:rsidR="00214987" w:rsidRPr="005A5E87" w:rsidRDefault="00214987" w:rsidP="00EB399F">
            <w:pPr>
              <w:tabs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Количина произведених, односно увезених лекова изражена у </w:t>
            </w: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килограм</w:t>
            </w: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 xml:space="preserve">има </w:t>
            </w:r>
          </w:p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2124" w:type="dxa"/>
          </w:tcPr>
          <w:p w:rsidR="00214987" w:rsidRPr="005A5E87" w:rsidRDefault="00214987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2826" w:type="dxa"/>
          </w:tcPr>
          <w:p w:rsidR="00214987" w:rsidRPr="005A5E87" w:rsidRDefault="00214987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240</w:t>
            </w:r>
          </w:p>
        </w:tc>
      </w:tr>
    </w:tbl>
    <w:p w:rsidR="00214987" w:rsidRPr="005A5E87" w:rsidRDefault="00214987" w:rsidP="00EB399F">
      <w:pPr>
        <w:spacing w:line="239" w:lineRule="exact"/>
        <w:ind w:left="-450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C72D96" w:rsidRPr="005A5E87" w:rsidRDefault="00C72D96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09380B" w:rsidRPr="005A5E87" w:rsidRDefault="00214987" w:rsidP="00EB399F">
      <w:pPr>
        <w:spacing w:line="239" w:lineRule="exact"/>
        <w:jc w:val="center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  <w:r w:rsidRPr="005A5E87">
        <w:rPr>
          <w:rFonts w:ascii="Times New Roman" w:eastAsia="Times New Roman" w:hAnsi="Times New Roman" w:cs="Times New Roman"/>
          <w:sz w:val="22"/>
          <w:szCs w:val="22"/>
          <w:lang w:val="sr-Cyrl-RS"/>
        </w:rPr>
        <w:t>Табела 7</w:t>
      </w:r>
      <w:r w:rsidR="0009380B" w:rsidRPr="005A5E87">
        <w:rPr>
          <w:rFonts w:ascii="Times New Roman" w:eastAsia="Times New Roman" w:hAnsi="Times New Roman" w:cs="Times New Roman"/>
          <w:sz w:val="22"/>
          <w:szCs w:val="22"/>
          <w:lang w:val="sr-Cyrl-RS"/>
        </w:rPr>
        <w:t>. Коефицијенти накнаде за рециклажу по врсти амбалаже</w:t>
      </w:r>
    </w:p>
    <w:p w:rsidR="0009380B" w:rsidRPr="005A5E87" w:rsidRDefault="0009380B" w:rsidP="00EB399F">
      <w:pPr>
        <w:spacing w:line="239" w:lineRule="exact"/>
        <w:jc w:val="center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3714"/>
        <w:gridCol w:w="3192"/>
        <w:gridCol w:w="3624"/>
      </w:tblGrid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Кoeфициjeнт нaкнaдe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Јединица мере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РСД</w:t>
            </w:r>
          </w:p>
        </w:tc>
      </w:tr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50,44</w:t>
            </w:r>
          </w:p>
        </w:tc>
      </w:tr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NRстaклo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12,61</w:t>
            </w:r>
          </w:p>
        </w:tc>
      </w:tr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NRмeтaл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18,91</w:t>
            </w:r>
          </w:p>
        </w:tc>
      </w:tr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NRпaпир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3,98</w:t>
            </w:r>
          </w:p>
        </w:tc>
      </w:tr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NRплaстикa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50,44</w:t>
            </w:r>
          </w:p>
        </w:tc>
      </w:tr>
      <w:tr w:rsidR="0009380B" w:rsidRPr="005A5E87" w:rsidTr="00867B39">
        <w:tc>
          <w:tcPr>
            <w:tcW w:w="3714" w:type="dxa"/>
          </w:tcPr>
          <w:p w:rsidR="0009380B" w:rsidRPr="005A5E87" w:rsidRDefault="0009380B" w:rsidP="00EB399F">
            <w:pPr>
              <w:spacing w:line="239" w:lineRule="exac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NRдрвo</w:t>
            </w:r>
          </w:p>
        </w:tc>
        <w:tc>
          <w:tcPr>
            <w:tcW w:w="3192" w:type="dxa"/>
          </w:tcPr>
          <w:p w:rsidR="0009380B" w:rsidRPr="005A5E87" w:rsidRDefault="0009380B" w:rsidP="00EB399F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3624" w:type="dxa"/>
          </w:tcPr>
          <w:p w:rsidR="0009380B" w:rsidRPr="005A5E87" w:rsidRDefault="0009380B" w:rsidP="00EB399F">
            <w:pPr>
              <w:spacing w:line="239" w:lineRule="exact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eastAsia="Times New Roman" w:hAnsi="Times New Roman" w:cs="Times New Roman"/>
                <w:sz w:val="22"/>
                <w:szCs w:val="22"/>
                <w:lang w:val="sr-Cyrl-RS"/>
              </w:rPr>
              <w:t>9,42</w:t>
            </w:r>
          </w:p>
        </w:tc>
      </w:tr>
    </w:tbl>
    <w:p w:rsidR="0009380B" w:rsidRPr="005A5E87" w:rsidRDefault="0009380B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:rsidR="003343E3" w:rsidRPr="005A5E87" w:rsidRDefault="003E7143" w:rsidP="00EB399F">
      <w:pPr>
        <w:spacing w:line="239" w:lineRule="exact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  <w:r w:rsidRPr="005A5E87">
        <w:rPr>
          <w:rFonts w:ascii="Times New Roman" w:eastAsia="Times New Roman" w:hAnsi="Times New Roman" w:cs="Times New Roman"/>
          <w:sz w:val="22"/>
          <w:szCs w:val="22"/>
          <w:lang w:val="sr-Cyrl-RS"/>
        </w:rPr>
        <w:t xml:space="preserve"> </w:t>
      </w:r>
    </w:p>
    <w:p w:rsidR="005A5E87" w:rsidRDefault="0077570A" w:rsidP="00EB399F">
      <w:pPr>
        <w:spacing w:line="20" w:lineRule="exact"/>
        <w:rPr>
          <w:rFonts w:ascii="Times New Roman" w:hAnsi="Times New Roman" w:cs="Times New Roman"/>
          <w:sz w:val="22"/>
          <w:szCs w:val="22"/>
          <w:lang w:val="sr-Cyrl-RS"/>
        </w:rPr>
      </w:pPr>
      <w:bookmarkStart w:id="6" w:name="page5"/>
      <w:bookmarkEnd w:id="6"/>
      <w:r w:rsidRPr="005A5E87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446EA2" wp14:editId="6F55108B">
                <wp:simplePos x="0" y="0"/>
                <wp:positionH relativeFrom="column">
                  <wp:posOffset>5242560</wp:posOffset>
                </wp:positionH>
                <wp:positionV relativeFrom="paragraph">
                  <wp:posOffset>-3147695</wp:posOffset>
                </wp:positionV>
                <wp:extent cx="8255" cy="8255"/>
                <wp:effectExtent l="0" t="0" r="0" b="0"/>
                <wp:wrapNone/>
                <wp:docPr id="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8699E" id="Rectangle 17" o:spid="_x0000_s1026" style="position:absolute;margin-left:412.8pt;margin-top:-247.85pt;width:.65pt;height: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" fillcolor="black" strokecolor="white"/>
            </w:pict>
          </mc:Fallback>
        </mc:AlternateContent>
      </w:r>
      <w:r w:rsidRPr="005A5E87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68A094" wp14:editId="21E51FD0">
                <wp:simplePos x="0" y="0"/>
                <wp:positionH relativeFrom="column">
                  <wp:posOffset>5242560</wp:posOffset>
                </wp:positionH>
                <wp:positionV relativeFrom="paragraph">
                  <wp:posOffset>-2563495</wp:posOffset>
                </wp:positionV>
                <wp:extent cx="8255" cy="8255"/>
                <wp:effectExtent l="0" t="0" r="0" b="0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AA248" id="Rectangle 18" o:spid="_x0000_s1026" style="position:absolute;margin-left:412.8pt;margin-top:-201.85pt;width:.65pt;height: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" fillcolor="black" strokecolor="white"/>
            </w:pict>
          </mc:Fallback>
        </mc:AlternateContent>
      </w:r>
    </w:p>
    <w:p w:rsidR="005A5E87" w:rsidRDefault="005A5E87" w:rsidP="00EB399F">
      <w:pPr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</w:p>
    <w:p w:rsidR="0077570A" w:rsidRPr="005A5E87" w:rsidRDefault="00214987" w:rsidP="00EB399F">
      <w:pPr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  <w:r w:rsidRPr="005A5E87">
        <w:rPr>
          <w:rFonts w:ascii="Times New Roman" w:hAnsi="Times New Roman" w:cs="Times New Roman"/>
          <w:sz w:val="22"/>
          <w:szCs w:val="22"/>
          <w:lang w:val="sr-Cyrl-RS"/>
        </w:rPr>
        <w:t>8</w:t>
      </w:r>
      <w:r w:rsidR="0077570A" w:rsidRPr="005A5E87">
        <w:rPr>
          <w:rFonts w:ascii="Times New Roman" w:hAnsi="Times New Roman" w:cs="Times New Roman"/>
          <w:sz w:val="22"/>
          <w:szCs w:val="22"/>
          <w:lang w:val="sr-Cyrl-RS"/>
        </w:rPr>
        <w:t>.</w:t>
      </w:r>
      <w:r w:rsidR="008101F6" w:rsidRPr="005A5E87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="0077570A" w:rsidRPr="005A5E87">
        <w:rPr>
          <w:rFonts w:ascii="Times New Roman" w:hAnsi="Times New Roman" w:cs="Times New Roman"/>
          <w:sz w:val="22"/>
          <w:szCs w:val="22"/>
        </w:rPr>
        <w:t xml:space="preserve">ВИСИНА </w:t>
      </w:r>
      <w:r w:rsidR="0077570A" w:rsidRPr="005A5E87">
        <w:rPr>
          <w:rFonts w:ascii="Times New Roman" w:hAnsi="Times New Roman" w:cs="Times New Roman"/>
          <w:sz w:val="22"/>
          <w:szCs w:val="22"/>
          <w:lang w:val="sr-Cyrl-CS"/>
        </w:rPr>
        <w:t>НАКНАДЕ ЗА</w:t>
      </w:r>
      <w:r w:rsidR="0077570A" w:rsidRPr="005A5E87">
        <w:rPr>
          <w:rFonts w:ascii="Times New Roman" w:hAnsi="Times New Roman" w:cs="Times New Roman"/>
          <w:sz w:val="22"/>
          <w:szCs w:val="22"/>
        </w:rPr>
        <w:t xml:space="preserve"> ЗАГАЂЕЊЕ ВОДА</w:t>
      </w:r>
    </w:p>
    <w:p w:rsidR="008101F6" w:rsidRPr="005A5E87" w:rsidRDefault="008101F6" w:rsidP="00EB399F">
      <w:pPr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</w:p>
    <w:p w:rsidR="0077570A" w:rsidRPr="005A5E87" w:rsidRDefault="0077570A" w:rsidP="00EB399F">
      <w:pPr>
        <w:ind w:left="360" w:hanging="360"/>
        <w:jc w:val="center"/>
        <w:rPr>
          <w:rFonts w:ascii="Times New Roman" w:hAnsi="Times New Roman" w:cs="Times New Roman"/>
          <w:b/>
          <w:sz w:val="22"/>
          <w:szCs w:val="22"/>
          <w:lang w:val="sr-Cyrl-CS"/>
        </w:rPr>
      </w:pPr>
    </w:p>
    <w:p w:rsidR="0077570A" w:rsidRPr="005A5E87" w:rsidRDefault="0077570A" w:rsidP="00EB399F">
      <w:pPr>
        <w:jc w:val="center"/>
        <w:rPr>
          <w:rFonts w:ascii="Times New Roman" w:hAnsi="Times New Roman" w:cs="Times New Roman"/>
          <w:sz w:val="22"/>
          <w:szCs w:val="22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Табела </w:t>
      </w:r>
      <w:r w:rsidR="00214987" w:rsidRPr="005A5E87">
        <w:rPr>
          <w:rFonts w:ascii="Times New Roman" w:hAnsi="Times New Roman" w:cs="Times New Roman"/>
          <w:sz w:val="22"/>
          <w:szCs w:val="22"/>
          <w:lang w:val="sr-Cyrl-CS"/>
        </w:rPr>
        <w:t>8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.1. -</w:t>
      </w:r>
      <w:r w:rsidR="008101F6" w:rsidRPr="005A5E87">
        <w:rPr>
          <w:rFonts w:ascii="Times New Roman" w:hAnsi="Times New Roman" w:cs="Times New Roman"/>
          <w:sz w:val="22"/>
          <w:szCs w:val="22"/>
        </w:rPr>
        <w:t xml:space="preserve"> </w:t>
      </w:r>
      <w:r w:rsidR="008101F6" w:rsidRPr="005A5E87">
        <w:rPr>
          <w:rFonts w:ascii="Times New Roman" w:hAnsi="Times New Roman" w:cs="Times New Roman"/>
          <w:sz w:val="22"/>
          <w:szCs w:val="22"/>
          <w:lang w:val="sr-Cyrl-RS"/>
        </w:rPr>
        <w:t>В</w:t>
      </w:r>
      <w:r w:rsidR="008101F6" w:rsidRPr="005A5E87">
        <w:rPr>
          <w:rFonts w:ascii="Times New Roman" w:hAnsi="Times New Roman" w:cs="Times New Roman"/>
          <w:sz w:val="22"/>
          <w:szCs w:val="22"/>
        </w:rPr>
        <w:t xml:space="preserve">исина </w:t>
      </w:r>
      <w:r w:rsidR="008101F6" w:rsidRPr="005A5E87">
        <w:rPr>
          <w:rFonts w:ascii="Times New Roman" w:hAnsi="Times New Roman" w:cs="Times New Roman"/>
          <w:sz w:val="22"/>
          <w:szCs w:val="22"/>
          <w:lang w:val="sr-Cyrl-CS"/>
        </w:rPr>
        <w:t>накнаде за</w:t>
      </w:r>
      <w:r w:rsidR="008101F6" w:rsidRPr="005A5E87">
        <w:rPr>
          <w:rFonts w:ascii="Times New Roman" w:hAnsi="Times New Roman" w:cs="Times New Roman"/>
          <w:sz w:val="22"/>
          <w:szCs w:val="22"/>
        </w:rPr>
        <w:t xml:space="preserve"> непосредно</w:t>
      </w:r>
      <w:r w:rsidR="008101F6" w:rsidRPr="005A5E87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="008101F6" w:rsidRPr="005A5E87">
        <w:rPr>
          <w:rFonts w:ascii="Times New Roman" w:hAnsi="Times New Roman" w:cs="Times New Roman"/>
          <w:sz w:val="22"/>
          <w:szCs w:val="22"/>
        </w:rPr>
        <w:t>загађење вода</w:t>
      </w:r>
      <w:r w:rsidR="008101F6"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(ц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ена испуштене отпадне воде-заједничка за све загађујуће материје</w:t>
      </w:r>
    </w:p>
    <w:p w:rsidR="0077570A" w:rsidRPr="005A5E87" w:rsidRDefault="0077570A" w:rsidP="00EB399F">
      <w:pPr>
        <w:jc w:val="center"/>
        <w:rPr>
          <w:rFonts w:ascii="Times New Roman" w:hAnsi="Times New Roman" w:cs="Times New Roman"/>
          <w:position w:val="-10"/>
          <w:sz w:val="22"/>
          <w:szCs w:val="22"/>
          <w:lang w:val="en-GB"/>
        </w:rPr>
      </w:pPr>
    </w:p>
    <w:tbl>
      <w:tblPr>
        <w:tblStyle w:val="TableGrid1"/>
        <w:tblW w:w="10530" w:type="dxa"/>
        <w:tblInd w:w="-522" w:type="dxa"/>
        <w:tblLook w:val="04A0" w:firstRow="1" w:lastRow="0" w:firstColumn="1" w:lastColumn="0" w:noHBand="0" w:noVBand="1"/>
      </w:tblPr>
      <w:tblGrid>
        <w:gridCol w:w="810"/>
        <w:gridCol w:w="6282"/>
        <w:gridCol w:w="1455"/>
        <w:gridCol w:w="1983"/>
      </w:tblGrid>
      <w:tr w:rsidR="0077570A" w:rsidRPr="005A5E87" w:rsidTr="00C52B72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70A" w:rsidRPr="005A5E87" w:rsidRDefault="0077570A" w:rsidP="00EB399F">
            <w:pPr>
              <w:jc w:val="both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 xml:space="preserve">Редни број 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70A" w:rsidRPr="005A5E87" w:rsidRDefault="0077570A" w:rsidP="00EB399F">
            <w:pPr>
              <w:jc w:val="both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ПРЕДМЕТ НАКНАДЕ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70A" w:rsidRPr="005A5E87" w:rsidRDefault="0077570A" w:rsidP="00EB399F">
            <w:pPr>
              <w:jc w:val="center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RS"/>
              </w:rPr>
              <w:t>основица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70A" w:rsidRPr="005A5E87" w:rsidRDefault="0077570A" w:rsidP="00EB399F">
            <w:pPr>
              <w:jc w:val="center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Висина накнаде (динари) дневно</w:t>
            </w:r>
          </w:p>
        </w:tc>
      </w:tr>
      <w:tr w:rsidR="0077570A" w:rsidRPr="005A5E87" w:rsidTr="00C52B72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70A" w:rsidRPr="005A5E87" w:rsidRDefault="0077570A" w:rsidP="00EB399F">
            <w:pPr>
              <w:jc w:val="center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1</w:t>
            </w:r>
            <w:r w:rsidR="00C52B72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70A" w:rsidRPr="005A5E87" w:rsidRDefault="0077570A" w:rsidP="00EB399F">
            <w:pPr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испуштање пројектоване пречишћене отпадне воде </w:t>
            </w:r>
            <w:r w:rsidRPr="005A5E87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(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 xml:space="preserve">РСДп </w:t>
            </w:r>
            <w:r w:rsidRPr="005A5E87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)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70A" w:rsidRPr="005A5E87" w:rsidRDefault="0077570A" w:rsidP="00EB399F">
            <w:pPr>
              <w:jc w:val="both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Latn-RS"/>
              </w:rPr>
              <w:t>k</w:t>
            </w: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g загађења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70A" w:rsidRPr="005A5E87" w:rsidRDefault="0077570A" w:rsidP="00EB399F">
            <w:pPr>
              <w:jc w:val="right"/>
              <w:rPr>
                <w:rFonts w:ascii="Times New Roman" w:hAnsi="Times New Roman" w:cs="Times New Roman"/>
                <w:position w:val="-10"/>
                <w:sz w:val="22"/>
                <w:szCs w:val="22"/>
                <w:vertAlign w:val="subscript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 xml:space="preserve">10 </w:t>
            </w:r>
          </w:p>
        </w:tc>
      </w:tr>
      <w:tr w:rsidR="0077570A" w:rsidRPr="005A5E87" w:rsidTr="00C52B72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70A" w:rsidRPr="005A5E87" w:rsidRDefault="0077570A" w:rsidP="00EB399F">
            <w:pPr>
              <w:jc w:val="center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2</w:t>
            </w:r>
            <w:r w:rsidR="00C52B72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70A" w:rsidRPr="005A5E87" w:rsidRDefault="0077570A" w:rsidP="00EB399F">
            <w:pPr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испуштање непречишћене или недовољно пречишћене отпадне воде </w:t>
            </w:r>
            <w:r w:rsidRPr="005A5E87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(</w:t>
            </w: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РСДв</w:t>
            </w:r>
            <w:r w:rsidRPr="005A5E87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70A" w:rsidRPr="005A5E87" w:rsidRDefault="0077570A" w:rsidP="00EB399F">
            <w:pPr>
              <w:jc w:val="both"/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kg</w:t>
            </w:r>
            <w:r w:rsidRPr="005A5E87">
              <w:rPr>
                <w:rFonts w:ascii="Times New Roman" w:hAnsi="Times New Roman" w:cs="Times New Roman"/>
                <w:position w:val="-10"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Pr="00C52B72">
              <w:rPr>
                <w:rFonts w:ascii="Times New Roman" w:hAnsi="Times New Roman" w:cs="Times New Roman"/>
                <w:position w:val="-10"/>
                <w:sz w:val="22"/>
                <w:szCs w:val="22"/>
                <w:lang w:val="sr-Cyrl-CS"/>
              </w:rPr>
              <w:t>загађења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70A" w:rsidRPr="005A5E87" w:rsidRDefault="00C52B72" w:rsidP="00EB399F">
            <w:pPr>
              <w:tabs>
                <w:tab w:val="left" w:pos="1200"/>
                <w:tab w:val="left" w:pos="1515"/>
                <w:tab w:val="left" w:pos="1695"/>
                <w:tab w:val="left" w:pos="1767"/>
              </w:tabs>
              <w:spacing w:after="200" w:line="276" w:lineRule="auto"/>
              <w:ind w:left="947"/>
              <w:contextualSpacing/>
              <w:jc w:val="right"/>
              <w:rPr>
                <w:rFonts w:ascii="Times New Roman" w:eastAsia="Times New Roman" w:hAnsi="Times New Roman" w:cs="Times New Roman"/>
                <w:position w:val="-10"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sz w:val="22"/>
                <w:szCs w:val="22"/>
                <w:lang w:val="sr-Cyrl-CS"/>
              </w:rPr>
              <w:t>25</w:t>
            </w:r>
          </w:p>
        </w:tc>
      </w:tr>
    </w:tbl>
    <w:p w:rsidR="0077570A" w:rsidRPr="005A5E87" w:rsidRDefault="0077570A" w:rsidP="00EB399F">
      <w:pPr>
        <w:jc w:val="both"/>
        <w:rPr>
          <w:rFonts w:ascii="Times New Roman" w:hAnsi="Times New Roman" w:cs="Times New Roman"/>
          <w:position w:val="-10"/>
          <w:sz w:val="22"/>
          <w:szCs w:val="22"/>
          <w:lang w:val="sr-Cyrl-CS"/>
        </w:rPr>
      </w:pPr>
    </w:p>
    <w:p w:rsidR="0077570A" w:rsidRPr="005A5E87" w:rsidRDefault="0077570A" w:rsidP="00EB399F">
      <w:pPr>
        <w:ind w:left="360" w:hanging="360"/>
        <w:jc w:val="center"/>
        <w:rPr>
          <w:rFonts w:ascii="Times New Roman" w:hAnsi="Times New Roman" w:cs="Times New Roman"/>
          <w:b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b/>
          <w:sz w:val="22"/>
          <w:szCs w:val="22"/>
          <w:lang w:val="sr-Cyrl-CS"/>
        </w:rPr>
        <w:lastRenderedPageBreak/>
        <w:t xml:space="preserve"> </w:t>
      </w:r>
    </w:p>
    <w:p w:rsidR="0077570A" w:rsidRDefault="0077570A" w:rsidP="00EB399F">
      <w:pPr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  <w:r w:rsidRPr="005A5E87">
        <w:rPr>
          <w:rFonts w:ascii="Times New Roman" w:hAnsi="Times New Roman" w:cs="Times New Roman"/>
          <w:sz w:val="22"/>
          <w:szCs w:val="22"/>
          <w:lang w:val="sr-Cyrl-RS"/>
        </w:rPr>
        <w:t xml:space="preserve">Табела </w:t>
      </w:r>
      <w:r w:rsidR="00214987" w:rsidRPr="005A5E87">
        <w:rPr>
          <w:rFonts w:ascii="Times New Roman" w:hAnsi="Times New Roman" w:cs="Times New Roman"/>
          <w:sz w:val="22"/>
          <w:szCs w:val="22"/>
          <w:lang w:val="sr-Cyrl-RS"/>
        </w:rPr>
        <w:t>8</w:t>
      </w:r>
      <w:r w:rsidRPr="005A5E87">
        <w:rPr>
          <w:rFonts w:ascii="Times New Roman" w:hAnsi="Times New Roman" w:cs="Times New Roman"/>
          <w:sz w:val="22"/>
          <w:szCs w:val="22"/>
          <w:lang w:val="sr-Cyrl-RS"/>
        </w:rPr>
        <w:t xml:space="preserve">.2. - </w:t>
      </w:r>
      <w:r w:rsidR="008101F6" w:rsidRPr="005A5E87">
        <w:rPr>
          <w:rFonts w:ascii="Times New Roman" w:hAnsi="Times New Roman" w:cs="Times New Roman"/>
          <w:sz w:val="22"/>
          <w:szCs w:val="22"/>
          <w:lang w:val="sr-Cyrl-RS"/>
        </w:rPr>
        <w:t>В</w:t>
      </w:r>
      <w:r w:rsidR="008101F6" w:rsidRPr="005A5E87">
        <w:rPr>
          <w:rFonts w:ascii="Times New Roman" w:hAnsi="Times New Roman" w:cs="Times New Roman"/>
          <w:sz w:val="22"/>
          <w:szCs w:val="22"/>
        </w:rPr>
        <w:t>исина накнаде за</w:t>
      </w:r>
      <w:r w:rsidR="008101F6"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="008101F6" w:rsidRPr="005A5E87">
        <w:rPr>
          <w:rFonts w:ascii="Times New Roman" w:hAnsi="Times New Roman" w:cs="Times New Roman"/>
          <w:sz w:val="22"/>
          <w:szCs w:val="22"/>
        </w:rPr>
        <w:t>посредно загађење вода</w:t>
      </w:r>
    </w:p>
    <w:p w:rsidR="00C52B72" w:rsidRDefault="00C52B72" w:rsidP="00EB399F">
      <w:pPr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</w:p>
    <w:p w:rsidR="00C52B72" w:rsidRDefault="00C52B72" w:rsidP="00EB399F">
      <w:pPr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</w:p>
    <w:tbl>
      <w:tblPr>
        <w:tblStyle w:val="TableGrid"/>
        <w:tblW w:w="10440" w:type="dxa"/>
        <w:tblInd w:w="-522" w:type="dxa"/>
        <w:tblLook w:val="04A0" w:firstRow="1" w:lastRow="0" w:firstColumn="1" w:lastColumn="0" w:noHBand="0" w:noVBand="1"/>
      </w:tblPr>
      <w:tblGrid>
        <w:gridCol w:w="720"/>
        <w:gridCol w:w="6390"/>
        <w:gridCol w:w="1440"/>
        <w:gridCol w:w="1890"/>
      </w:tblGrid>
      <w:tr w:rsidR="00C52B72" w:rsidTr="00C52B72">
        <w:tc>
          <w:tcPr>
            <w:tcW w:w="720" w:type="dxa"/>
          </w:tcPr>
          <w:p w:rsidR="00C52B72" w:rsidRPr="00C52B72" w:rsidRDefault="00C52B72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C52B7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Ред. број</w:t>
            </w:r>
          </w:p>
        </w:tc>
        <w:tc>
          <w:tcPr>
            <w:tcW w:w="6390" w:type="dxa"/>
          </w:tcPr>
          <w:p w:rsidR="00C52B72" w:rsidRDefault="00C52B72" w:rsidP="00EB39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Врста загађујуће материје по јединици мере</w:t>
            </w:r>
          </w:p>
        </w:tc>
        <w:tc>
          <w:tcPr>
            <w:tcW w:w="1440" w:type="dxa"/>
          </w:tcPr>
          <w:p w:rsidR="00C52B72" w:rsidRDefault="00C52B72" w:rsidP="00EB39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О</w:t>
            </w:r>
            <w:r w:rsidRPr="005A5E87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сновица</w:t>
            </w:r>
          </w:p>
        </w:tc>
        <w:tc>
          <w:tcPr>
            <w:tcW w:w="1890" w:type="dxa"/>
          </w:tcPr>
          <w:p w:rsidR="00C52B72" w:rsidRPr="00C52B72" w:rsidRDefault="00C52B72" w:rsidP="00EB39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w w:val="99"/>
                <w:sz w:val="22"/>
                <w:szCs w:val="22"/>
              </w:rPr>
              <w:t>Висина накнаде (</w:t>
            </w:r>
            <w:r>
              <w:rPr>
                <w:rFonts w:ascii="Times New Roman" w:hAnsi="Times New Roman" w:cs="Times New Roman"/>
                <w:w w:val="99"/>
                <w:sz w:val="22"/>
                <w:szCs w:val="22"/>
                <w:lang w:val="sr-Cyrl-RS"/>
              </w:rPr>
              <w:t>РСД)</w:t>
            </w:r>
          </w:p>
        </w:tc>
      </w:tr>
      <w:tr w:rsidR="00C52B72" w:rsidTr="00C52B72">
        <w:tc>
          <w:tcPr>
            <w:tcW w:w="720" w:type="dxa"/>
          </w:tcPr>
          <w:p w:rsidR="00C52B72" w:rsidRPr="00C52B72" w:rsidRDefault="00C52B72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C52B7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6390" w:type="dxa"/>
            <w:vAlign w:val="center"/>
          </w:tcPr>
          <w:p w:rsidR="00C52B72" w:rsidRDefault="00C52B72" w:rsidP="00EB399F">
            <w:pPr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  <w:lang w:val="sr-Cyrl-CS"/>
              </w:rPr>
              <w:t>Минерална ђубрива, количина(</w:t>
            </w: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kg </w:t>
            </w: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  <w:lang w:val="sr-Cyrl-CS"/>
              </w:rPr>
              <w:t>азота) која је произведена, односно увезена</w:t>
            </w:r>
          </w:p>
        </w:tc>
        <w:tc>
          <w:tcPr>
            <w:tcW w:w="1440" w:type="dxa"/>
          </w:tcPr>
          <w:p w:rsidR="00C52B72" w:rsidRDefault="00C52B72" w:rsidP="00EB39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1890" w:type="dxa"/>
            <w:vAlign w:val="center"/>
          </w:tcPr>
          <w:p w:rsidR="00C52B72" w:rsidRDefault="00C52B72" w:rsidP="00EB399F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0,3</w:t>
            </w:r>
          </w:p>
        </w:tc>
      </w:tr>
      <w:tr w:rsidR="00C52B72" w:rsidTr="00C52B72">
        <w:tc>
          <w:tcPr>
            <w:tcW w:w="720" w:type="dxa"/>
          </w:tcPr>
          <w:p w:rsidR="00C52B72" w:rsidRPr="00C52B72" w:rsidRDefault="00C52B72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C52B7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6390" w:type="dxa"/>
            <w:vAlign w:val="center"/>
          </w:tcPr>
          <w:p w:rsidR="00C52B72" w:rsidRDefault="00C52B72" w:rsidP="00EB399F">
            <w:pPr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Хемијска средства за заштиту биља (kg активне супстанце) која су произведена, односно увезена</w:t>
            </w:r>
          </w:p>
        </w:tc>
        <w:tc>
          <w:tcPr>
            <w:tcW w:w="1440" w:type="dxa"/>
          </w:tcPr>
          <w:p w:rsidR="00C52B72" w:rsidRDefault="00C52B72" w:rsidP="00EB39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1890" w:type="dxa"/>
            <w:vAlign w:val="center"/>
          </w:tcPr>
          <w:p w:rsidR="00C52B72" w:rsidRDefault="00C52B72" w:rsidP="00EB399F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0,3</w:t>
            </w:r>
          </w:p>
        </w:tc>
      </w:tr>
      <w:tr w:rsidR="00C52B72" w:rsidTr="00C52B72">
        <w:tc>
          <w:tcPr>
            <w:tcW w:w="720" w:type="dxa"/>
          </w:tcPr>
          <w:p w:rsidR="00C52B72" w:rsidRPr="00C52B72" w:rsidRDefault="00C52B72" w:rsidP="00EB399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C52B7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6390" w:type="dxa"/>
            <w:vAlign w:val="center"/>
          </w:tcPr>
          <w:p w:rsidR="00C52B72" w:rsidRDefault="00C52B72" w:rsidP="00EB399F">
            <w:pPr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  <w:lang w:val="sr-Cyrl-CS"/>
              </w:rPr>
              <w:t>Детерџенти, количина  (</w:t>
            </w: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</w:rPr>
              <w:t>kg</w:t>
            </w:r>
            <w:r w:rsidRPr="005A5E87">
              <w:rPr>
                <w:rFonts w:ascii="Times New Roman" w:hAnsi="Times New Roman" w:cs="Times New Roman"/>
                <w:noProof/>
                <w:sz w:val="22"/>
                <w:szCs w:val="22"/>
                <w:lang w:val="sr-Cyrl-CS"/>
              </w:rPr>
              <w:t xml:space="preserve"> фосфата),који је произведена, односно увезена</w:t>
            </w:r>
          </w:p>
        </w:tc>
        <w:tc>
          <w:tcPr>
            <w:tcW w:w="1440" w:type="dxa"/>
          </w:tcPr>
          <w:p w:rsidR="00C52B72" w:rsidRDefault="00C52B72" w:rsidP="00EB39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1890" w:type="dxa"/>
            <w:vAlign w:val="center"/>
          </w:tcPr>
          <w:p w:rsidR="00C52B72" w:rsidRDefault="00C52B72" w:rsidP="00EB399F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r w:rsidRPr="005A5E8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0,3</w:t>
            </w:r>
          </w:p>
        </w:tc>
      </w:tr>
    </w:tbl>
    <w:p w:rsidR="00C52B72" w:rsidRPr="00C52B72" w:rsidRDefault="00C52B72" w:rsidP="00EB399F">
      <w:pPr>
        <w:jc w:val="center"/>
        <w:rPr>
          <w:rFonts w:ascii="Times New Roman" w:hAnsi="Times New Roman" w:cs="Times New Roman"/>
          <w:b/>
          <w:sz w:val="22"/>
          <w:szCs w:val="22"/>
          <w:lang w:val="sr-Cyrl-RS"/>
        </w:rPr>
      </w:pPr>
    </w:p>
    <w:p w:rsidR="0077570A" w:rsidRPr="005A5E87" w:rsidRDefault="0077570A" w:rsidP="00EB399F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2"/>
          <w:szCs w:val="22"/>
        </w:rPr>
      </w:pPr>
    </w:p>
    <w:p w:rsidR="0077570A" w:rsidRPr="005A5E87" w:rsidRDefault="0077570A" w:rsidP="00EB399F">
      <w:pPr>
        <w:ind w:left="360" w:hanging="3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7570A" w:rsidRPr="005A5E87" w:rsidRDefault="0077570A" w:rsidP="00EB399F">
      <w:pPr>
        <w:ind w:left="360" w:hanging="3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7570A" w:rsidRPr="005A5E87" w:rsidRDefault="00214987" w:rsidP="00EB399F">
      <w:pPr>
        <w:ind w:left="851" w:hanging="283"/>
        <w:rPr>
          <w:rFonts w:ascii="Times New Roman" w:hAnsi="Times New Roman" w:cs="Times New Roman"/>
          <w:sz w:val="22"/>
          <w:szCs w:val="22"/>
        </w:rPr>
      </w:pPr>
      <w:r w:rsidRPr="005A5E87">
        <w:rPr>
          <w:rFonts w:ascii="Times New Roman" w:hAnsi="Times New Roman" w:cs="Times New Roman"/>
          <w:sz w:val="22"/>
          <w:szCs w:val="22"/>
          <w:lang w:val="sr-Cyrl-RS"/>
        </w:rPr>
        <w:t>8</w:t>
      </w:r>
      <w:r w:rsidR="0077570A" w:rsidRPr="005A5E87">
        <w:rPr>
          <w:rFonts w:ascii="Times New Roman" w:hAnsi="Times New Roman" w:cs="Times New Roman"/>
          <w:sz w:val="22"/>
          <w:szCs w:val="22"/>
          <w:lang w:val="sr-Cyrl-RS"/>
        </w:rPr>
        <w:t>.</w:t>
      </w:r>
      <w:r w:rsidR="0077570A" w:rsidRPr="005A5E87">
        <w:rPr>
          <w:rFonts w:ascii="Times New Roman" w:hAnsi="Times New Roman" w:cs="Times New Roman"/>
          <w:sz w:val="22"/>
          <w:szCs w:val="22"/>
        </w:rPr>
        <w:t xml:space="preserve">3. </w:t>
      </w:r>
      <w:r w:rsidR="0077570A" w:rsidRPr="005A5E87">
        <w:rPr>
          <w:rFonts w:ascii="Times New Roman" w:hAnsi="Times New Roman" w:cs="Times New Roman"/>
          <w:sz w:val="22"/>
          <w:szCs w:val="22"/>
          <w:lang w:val="sr-Cyrl-RS"/>
        </w:rPr>
        <w:t xml:space="preserve">- </w:t>
      </w:r>
      <w:r w:rsidR="0077570A" w:rsidRPr="005A5E87">
        <w:rPr>
          <w:rFonts w:ascii="Times New Roman" w:hAnsi="Times New Roman" w:cs="Times New Roman"/>
          <w:sz w:val="22"/>
          <w:szCs w:val="22"/>
        </w:rPr>
        <w:t>О</w:t>
      </w:r>
      <w:r w:rsidR="0077570A" w:rsidRPr="005A5E87">
        <w:rPr>
          <w:rFonts w:ascii="Times New Roman" w:hAnsi="Times New Roman" w:cs="Times New Roman"/>
          <w:sz w:val="22"/>
          <w:szCs w:val="22"/>
          <w:lang w:val="sr-Cyrl-CS"/>
        </w:rPr>
        <w:t>БРАЧУН НАКНАДЕ ЗА</w:t>
      </w:r>
      <w:r w:rsidR="0077570A" w:rsidRPr="005A5E87">
        <w:rPr>
          <w:rFonts w:ascii="Times New Roman" w:hAnsi="Times New Roman" w:cs="Times New Roman"/>
          <w:sz w:val="22"/>
          <w:szCs w:val="22"/>
        </w:rPr>
        <w:t xml:space="preserve"> НЕПОСРЕДНО ЗАГАЂЕЊЕ ВОДА</w:t>
      </w:r>
    </w:p>
    <w:p w:rsidR="0077570A" w:rsidRPr="005A5E87" w:rsidRDefault="0077570A" w:rsidP="00EB399F">
      <w:pPr>
        <w:rPr>
          <w:rFonts w:ascii="Times New Roman" w:hAnsi="Times New Roman" w:cs="Times New Roman"/>
          <w:sz w:val="22"/>
          <w:szCs w:val="22"/>
          <w:lang w:val="sr-Latn-CS"/>
        </w:rPr>
      </w:pP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Висина накнаде на годишњем нивоу за пречишћену воду (П) се израчунава према изразу: 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</w:p>
    <w:p w:rsidR="0077570A" w:rsidRPr="005A5E87" w:rsidRDefault="0077570A" w:rsidP="00EB399F">
      <w:pPr>
        <w:jc w:val="both"/>
        <w:rPr>
          <w:rFonts w:ascii="Times New Roman" w:hAnsi="Times New Roman" w:cs="Times New Roman"/>
          <w:position w:val="-12"/>
          <w:sz w:val="22"/>
          <w:szCs w:val="22"/>
          <w:lang w:val="sr-Latn-CS"/>
        </w:rPr>
      </w:pPr>
      <w:r w:rsidRPr="005A5E87">
        <w:rPr>
          <w:rFonts w:ascii="Times New Roman" w:hAnsi="Times New Roman" w:cs="Times New Roman"/>
          <w:position w:val="-10"/>
          <w:sz w:val="22"/>
          <w:szCs w:val="22"/>
          <w:lang w:val="sr-Cyrl-CS"/>
        </w:rPr>
        <w:object w:dxaOrig="282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95pt;height:17.25pt" o:ole="">
            <v:imagedata r:id="rId8" o:title=""/>
          </v:shape>
          <o:OLEObject Type="Embed" ProgID="Equation.3" ShapeID="_x0000_i1025" DrawAspect="Content" ObjectID="_1604466015" r:id="rId9"/>
        </w:objec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  <w:r w:rsidRPr="005A5E87">
        <w:rPr>
          <w:rFonts w:ascii="Times New Roman" w:hAnsi="Times New Roman" w:cs="Times New Roman"/>
          <w:sz w:val="22"/>
          <w:szCs w:val="22"/>
        </w:rPr>
        <w:t>Где је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: 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Q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>A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–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ab/>
        <w:t xml:space="preserve">пројектовани средњи дневни проток на годишњем нивоу, 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/dan;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</w:pPr>
      <w:r w:rsidRPr="005A5E87">
        <w:rPr>
          <w:rFonts w:ascii="Times New Roman" w:hAnsi="Times New Roman" w:cs="Times New Roman"/>
          <w:sz w:val="22"/>
          <w:szCs w:val="22"/>
          <w:lang w:val="sr-Latn-CS"/>
        </w:rPr>
        <w:sym w:font="Symbol" w:char="F053"/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ГВЕ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>и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– збир ГВЕ за параметре од интереса (нпр. ХПК, БПК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>5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, укупни азот, укупни  фосфор, метали), mg/dm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10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Cyrl-CS"/>
        </w:rPr>
        <w:t>-3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–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ab/>
        <w:t>корекциони фактор претварања грама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(g)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у килограме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(kg)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;</w:t>
      </w:r>
    </w:p>
    <w:p w:rsidR="0077570A" w:rsidRPr="005A5E87" w:rsidRDefault="0077570A" w:rsidP="00EB399F">
      <w:pPr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РСД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>П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– цена за испуштање пројектоване пречишћене отпадне воде, РСД/kg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>загађења на дан</w:t>
      </w:r>
    </w:p>
    <w:p w:rsidR="0077570A" w:rsidRPr="005A5E87" w:rsidRDefault="0077570A" w:rsidP="00EB399F">
      <w:pPr>
        <w:tabs>
          <w:tab w:val="left" w:pos="450"/>
        </w:tabs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Накнада на годишњем нивоу за загађивање вода изнад дозвољеног оптерећења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отпадне воде (В) израчунава се према следећем изразу: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vertAlign w:val="subscript"/>
        </w:rPr>
      </w:pPr>
      <w:r w:rsidRPr="005A5E87">
        <w:rPr>
          <w:rFonts w:ascii="Times New Roman" w:hAnsi="Times New Roman" w:cs="Times New Roman"/>
          <w:position w:val="-30"/>
          <w:sz w:val="22"/>
          <w:szCs w:val="22"/>
        </w:rPr>
        <w:object w:dxaOrig="8715" w:dyaOrig="690">
          <v:shape id="_x0000_i1026" type="#_x0000_t75" style="width:436.55pt;height:34.5pt" o:ole="">
            <v:imagedata r:id="rId10" o:title=""/>
          </v:shape>
          <o:OLEObject Type="Embed" ProgID="Equation.3" ShapeID="_x0000_i1026" DrawAspect="Content" ObjectID="_1604466016" r:id="rId11"/>
        </w:objec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где је: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Latn-CS"/>
        </w:rPr>
        <w:t>Q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 xml:space="preserve">S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–</w:t>
      </w:r>
      <w:r w:rsidRPr="005A5E8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5A5E87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измерени средњи дневни проток отпадних вода</w:t>
      </w:r>
      <w:r w:rsidRPr="005A5E87">
        <w:rPr>
          <w:rFonts w:ascii="Times New Roman" w:hAnsi="Times New Roman" w:cs="Times New Roman"/>
          <w:sz w:val="22"/>
          <w:szCs w:val="22"/>
        </w:rPr>
        <w:t xml:space="preserve"> на годишњем нивоу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, 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/dan</w:t>
      </w:r>
      <w:r w:rsidRPr="005A5E87">
        <w:rPr>
          <w:rFonts w:ascii="Times New Roman" w:hAnsi="Times New Roman" w:cs="Times New Roman"/>
          <w:sz w:val="22"/>
          <w:szCs w:val="22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ХПК – средња вредност ХПК на годишњем нивоу, mgO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>2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/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БПК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>5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– средња вредност БПК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>5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на годишњем нивоу,  mgO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>2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/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Latn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N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>U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– 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ab/>
        <w:t xml:space="preserve">средња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вредност укупног азота на годињем нивоу, mg/dm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Latn-CS"/>
        </w:rPr>
        <w:t>P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>U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– 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ab/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средња вредност укупног фосфора на годнишњем нивоу, mg/dm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sym w:font="Symbol" w:char="F053"/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M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Latn-CS"/>
        </w:rPr>
        <w:t>i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– 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ab/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збир 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средњ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их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вредности токсичних метала на годишњем нивоу, mg/dm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10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Cyrl-CS"/>
        </w:rPr>
        <w:t>-3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–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ab/>
        <w:t>корекциони фактор претварања грама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(g)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 у килограме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 xml:space="preserve"> (kg)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;</w:t>
      </w:r>
    </w:p>
    <w:p w:rsidR="0077570A" w:rsidRPr="005A5E87" w:rsidRDefault="0077570A" w:rsidP="00EB399F">
      <w:p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 xml:space="preserve">ГВЕ –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ab/>
        <w:t>граничне вредности емисије за загађујуће материје од интереса, mg/dm</w:t>
      </w:r>
      <w:r w:rsidRPr="005A5E87">
        <w:rPr>
          <w:rFonts w:ascii="Times New Roman" w:hAnsi="Times New Roman" w:cs="Times New Roman"/>
          <w:sz w:val="22"/>
          <w:szCs w:val="22"/>
          <w:vertAlign w:val="superscript"/>
          <w:lang w:val="sr-Latn-CS"/>
        </w:rPr>
        <w:t>3</w:t>
      </w:r>
      <w:r w:rsidRPr="005A5E87">
        <w:rPr>
          <w:rFonts w:ascii="Times New Roman" w:hAnsi="Times New Roman" w:cs="Times New Roman"/>
          <w:sz w:val="22"/>
          <w:szCs w:val="22"/>
          <w:lang w:val="sr-Latn-CS"/>
        </w:rPr>
        <w:t>;</w:t>
      </w:r>
    </w:p>
    <w:p w:rsidR="0077570A" w:rsidRPr="00867B39" w:rsidRDefault="0077570A" w:rsidP="00EB399F">
      <w:pPr>
        <w:tabs>
          <w:tab w:val="left" w:pos="851"/>
        </w:tabs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5A5E87">
        <w:rPr>
          <w:rFonts w:ascii="Times New Roman" w:hAnsi="Times New Roman" w:cs="Times New Roman"/>
          <w:sz w:val="22"/>
          <w:szCs w:val="22"/>
          <w:lang w:val="sr-Cyrl-CS"/>
        </w:rPr>
        <w:t>РСД</w:t>
      </w:r>
      <w:r w:rsidRPr="005A5E87">
        <w:rPr>
          <w:rFonts w:ascii="Times New Roman" w:hAnsi="Times New Roman" w:cs="Times New Roman"/>
          <w:sz w:val="22"/>
          <w:szCs w:val="22"/>
          <w:vertAlign w:val="subscript"/>
          <w:lang w:val="sr-Cyrl-CS"/>
        </w:rPr>
        <w:t xml:space="preserve">В </w:t>
      </w:r>
      <w:r w:rsidRPr="005A5E87">
        <w:rPr>
          <w:rFonts w:ascii="Times New Roman" w:hAnsi="Times New Roman" w:cs="Times New Roman"/>
          <w:sz w:val="22"/>
          <w:szCs w:val="22"/>
          <w:lang w:val="sr-Cyrl-CS"/>
        </w:rPr>
        <w:t>– цена за  испуштање непречишћене или недовољно пречишћене отпадне воде, РСД/kg</w:t>
      </w:r>
      <w:r w:rsidR="00867B39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867B39">
        <w:rPr>
          <w:rFonts w:ascii="Times New Roman" w:hAnsi="Times New Roman" w:cs="Times New Roman"/>
          <w:sz w:val="22"/>
          <w:szCs w:val="22"/>
          <w:lang w:val="sr-Cyrl-CS"/>
        </w:rPr>
        <w:t>загађења на дан</w:t>
      </w:r>
      <w:r w:rsidRPr="00867B39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:rsidR="00C72D96" w:rsidRPr="005A5E87" w:rsidRDefault="0077570A" w:rsidP="00EB399F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>У случајевима када је измерена вредност загађујућ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</w:rPr>
        <w:t>e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 xml:space="preserve"> материј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</w:rPr>
        <w:t>e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 xml:space="preserve"> од интереса мања од ГВЕ, тај члан једаначине се означава као нула (0). На пример, у случају да је N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vertAlign w:val="subscript"/>
          <w:lang w:val="sr-Latn-CS"/>
        </w:rPr>
        <w:t>U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t>&lt; ГВЕ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vertAlign w:val="subscript"/>
          <w:lang w:val="sr-Cyrl-CS"/>
        </w:rPr>
        <w:t>N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>, у једначини ће бити  N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vertAlign w:val="subscript"/>
          <w:lang w:val="sr-Latn-CS"/>
        </w:rPr>
        <w:t>U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t>=0. Ko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</w:rPr>
        <w:t>д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 xml:space="preserve"> суме метала (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sym w:font="Symbol" w:char="F053"/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t>M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>)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t>, рачуна се сваки метал појединачно. Метали који су испод ГВЕ се не узимају у обзир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>,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t xml:space="preserve"> тј. 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>в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Latn-CS"/>
        </w:rPr>
        <w:t xml:space="preserve">редност </w:t>
      </w:r>
      <w:r w:rsidRPr="005A5E87">
        <w:rPr>
          <w:rFonts w:ascii="Times New Roman" w:eastAsia="Times New Roman" w:hAnsi="Times New Roman" w:cs="Times New Roman"/>
          <w:position w:val="-10"/>
          <w:sz w:val="22"/>
          <w:szCs w:val="22"/>
          <w:lang w:val="sr-Cyrl-CS"/>
        </w:rPr>
        <w:t xml:space="preserve">овог члана у суми је 0, а метали који су изнад ГВЕ се узимају у обзир при израчунавању. </w:t>
      </w:r>
    </w:p>
    <w:p w:rsidR="002E6D5D" w:rsidRPr="005A5E87" w:rsidRDefault="002E6D5D" w:rsidP="00EB399F">
      <w:pPr>
        <w:rPr>
          <w:rFonts w:ascii="Times New Roman" w:hAnsi="Times New Roman" w:cs="Times New Roman"/>
          <w:sz w:val="22"/>
          <w:szCs w:val="22"/>
        </w:rPr>
      </w:pPr>
    </w:p>
    <w:sectPr w:rsidR="002E6D5D" w:rsidRPr="005A5E87" w:rsidSect="0066339A">
      <w:headerReference w:type="default" r:id="rId12"/>
      <w:pgSz w:w="12240" w:h="15840"/>
      <w:pgMar w:top="1440" w:right="1440" w:bottom="1440" w:left="1440" w:header="720" w:footer="720" w:gutter="0"/>
      <w:pgNumType w:start="1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CB0" w:rsidRDefault="009D3CB0" w:rsidP="00E50147">
      <w:r>
        <w:separator/>
      </w:r>
    </w:p>
  </w:endnote>
  <w:endnote w:type="continuationSeparator" w:id="0">
    <w:p w:rsidR="009D3CB0" w:rsidRDefault="009D3CB0" w:rsidP="00E50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 Sans">
    <w:altName w:val="Arial"/>
    <w:panose1 w:val="00000000000000000000"/>
    <w:charset w:val="00"/>
    <w:family w:val="modern"/>
    <w:notTrueType/>
    <w:pitch w:val="variable"/>
    <w:sig w:usb0="8000022F" w:usb1="5000004A" w:usb2="00000000" w:usb3="00000000" w:csb0="0000011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CB0" w:rsidRDefault="009D3CB0" w:rsidP="00E50147">
      <w:r>
        <w:separator/>
      </w:r>
    </w:p>
  </w:footnote>
  <w:footnote w:type="continuationSeparator" w:id="0">
    <w:p w:rsidR="009D3CB0" w:rsidRDefault="009D3CB0" w:rsidP="00E50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6264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6339A" w:rsidRDefault="0066339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129</w:t>
        </w:r>
        <w:r>
          <w:rPr>
            <w:noProof/>
          </w:rPr>
          <w:fldChar w:fldCharType="end"/>
        </w:r>
      </w:p>
    </w:sdtContent>
  </w:sdt>
  <w:p w:rsidR="0066339A" w:rsidRDefault="006633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43C9868"/>
    <w:lvl w:ilvl="0" w:tplc="7428A096">
      <w:start w:val="3"/>
      <w:numFmt w:val="decimal"/>
      <w:lvlText w:val="%1."/>
      <w:lvlJc w:val="left"/>
    </w:lvl>
    <w:lvl w:ilvl="1" w:tplc="0172C322">
      <w:start w:val="1"/>
      <w:numFmt w:val="bullet"/>
      <w:lvlText w:val=""/>
      <w:lvlJc w:val="left"/>
    </w:lvl>
    <w:lvl w:ilvl="2" w:tplc="849A8B40">
      <w:start w:val="1"/>
      <w:numFmt w:val="bullet"/>
      <w:lvlText w:val=""/>
      <w:lvlJc w:val="left"/>
    </w:lvl>
    <w:lvl w:ilvl="3" w:tplc="7E22544C">
      <w:start w:val="1"/>
      <w:numFmt w:val="bullet"/>
      <w:lvlText w:val=""/>
      <w:lvlJc w:val="left"/>
    </w:lvl>
    <w:lvl w:ilvl="4" w:tplc="61903792">
      <w:start w:val="1"/>
      <w:numFmt w:val="bullet"/>
      <w:lvlText w:val=""/>
      <w:lvlJc w:val="left"/>
    </w:lvl>
    <w:lvl w:ilvl="5" w:tplc="4C769EF2">
      <w:start w:val="1"/>
      <w:numFmt w:val="bullet"/>
      <w:lvlText w:val=""/>
      <w:lvlJc w:val="left"/>
    </w:lvl>
    <w:lvl w:ilvl="6" w:tplc="109CA05C">
      <w:start w:val="1"/>
      <w:numFmt w:val="bullet"/>
      <w:lvlText w:val=""/>
      <w:lvlJc w:val="left"/>
    </w:lvl>
    <w:lvl w:ilvl="7" w:tplc="4F96A46C">
      <w:start w:val="1"/>
      <w:numFmt w:val="bullet"/>
      <w:lvlText w:val=""/>
      <w:lvlJc w:val="left"/>
    </w:lvl>
    <w:lvl w:ilvl="8" w:tplc="72A47C8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29AAA986">
      <w:start w:val="7"/>
      <w:numFmt w:val="decimal"/>
      <w:lvlText w:val="%1."/>
      <w:lvlJc w:val="left"/>
    </w:lvl>
    <w:lvl w:ilvl="1" w:tplc="ED127C7E">
      <w:start w:val="1"/>
      <w:numFmt w:val="bullet"/>
      <w:lvlText w:val=""/>
      <w:lvlJc w:val="left"/>
    </w:lvl>
    <w:lvl w:ilvl="2" w:tplc="7D521E8A">
      <w:start w:val="1"/>
      <w:numFmt w:val="bullet"/>
      <w:lvlText w:val=""/>
      <w:lvlJc w:val="left"/>
    </w:lvl>
    <w:lvl w:ilvl="3" w:tplc="15D865AE">
      <w:start w:val="1"/>
      <w:numFmt w:val="bullet"/>
      <w:lvlText w:val=""/>
      <w:lvlJc w:val="left"/>
    </w:lvl>
    <w:lvl w:ilvl="4" w:tplc="282EDE68">
      <w:start w:val="1"/>
      <w:numFmt w:val="bullet"/>
      <w:lvlText w:val=""/>
      <w:lvlJc w:val="left"/>
    </w:lvl>
    <w:lvl w:ilvl="5" w:tplc="BB0A2724">
      <w:start w:val="1"/>
      <w:numFmt w:val="bullet"/>
      <w:lvlText w:val=""/>
      <w:lvlJc w:val="left"/>
    </w:lvl>
    <w:lvl w:ilvl="6" w:tplc="D63E99BC">
      <w:start w:val="1"/>
      <w:numFmt w:val="bullet"/>
      <w:lvlText w:val=""/>
      <w:lvlJc w:val="left"/>
    </w:lvl>
    <w:lvl w:ilvl="7" w:tplc="342600C6">
      <w:start w:val="1"/>
      <w:numFmt w:val="bullet"/>
      <w:lvlText w:val=""/>
      <w:lvlJc w:val="left"/>
    </w:lvl>
    <w:lvl w:ilvl="8" w:tplc="0ED457AE">
      <w:start w:val="1"/>
      <w:numFmt w:val="bullet"/>
      <w:lvlText w:val=""/>
      <w:lvlJc w:val="left"/>
    </w:lvl>
  </w:abstractNum>
  <w:abstractNum w:abstractNumId="2" w15:restartNumberingAfterBreak="0">
    <w:nsid w:val="26042C6D"/>
    <w:multiLevelType w:val="hybridMultilevel"/>
    <w:tmpl w:val="E36A0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575E9"/>
    <w:multiLevelType w:val="hybridMultilevel"/>
    <w:tmpl w:val="1C64B17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F4550"/>
    <w:multiLevelType w:val="hybridMultilevel"/>
    <w:tmpl w:val="6A328508"/>
    <w:lvl w:ilvl="0" w:tplc="2ED2B9B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AB"/>
    <w:rsid w:val="0007403C"/>
    <w:rsid w:val="0009380B"/>
    <w:rsid w:val="000A3845"/>
    <w:rsid w:val="000C3CD0"/>
    <w:rsid w:val="000C6AF3"/>
    <w:rsid w:val="000F18D7"/>
    <w:rsid w:val="0012115B"/>
    <w:rsid w:val="00124003"/>
    <w:rsid w:val="00140F3A"/>
    <w:rsid w:val="00173FB1"/>
    <w:rsid w:val="001C36FA"/>
    <w:rsid w:val="00214987"/>
    <w:rsid w:val="00233D29"/>
    <w:rsid w:val="002349EF"/>
    <w:rsid w:val="00257EF1"/>
    <w:rsid w:val="002845BC"/>
    <w:rsid w:val="00290697"/>
    <w:rsid w:val="002B139A"/>
    <w:rsid w:val="002B222D"/>
    <w:rsid w:val="002E6D5D"/>
    <w:rsid w:val="002E78EF"/>
    <w:rsid w:val="003343E3"/>
    <w:rsid w:val="00353FC4"/>
    <w:rsid w:val="003566BD"/>
    <w:rsid w:val="003648DC"/>
    <w:rsid w:val="003E7143"/>
    <w:rsid w:val="0042162E"/>
    <w:rsid w:val="00463758"/>
    <w:rsid w:val="004E4218"/>
    <w:rsid w:val="004F5963"/>
    <w:rsid w:val="00512D08"/>
    <w:rsid w:val="00513AB1"/>
    <w:rsid w:val="0056356D"/>
    <w:rsid w:val="00592B1F"/>
    <w:rsid w:val="005960D3"/>
    <w:rsid w:val="005A5E87"/>
    <w:rsid w:val="005D60C5"/>
    <w:rsid w:val="005D6FA6"/>
    <w:rsid w:val="00600B33"/>
    <w:rsid w:val="00632C0B"/>
    <w:rsid w:val="00650EB1"/>
    <w:rsid w:val="0065277F"/>
    <w:rsid w:val="0066339A"/>
    <w:rsid w:val="00686579"/>
    <w:rsid w:val="00742BC1"/>
    <w:rsid w:val="007727C4"/>
    <w:rsid w:val="0077570A"/>
    <w:rsid w:val="007B432A"/>
    <w:rsid w:val="007F5433"/>
    <w:rsid w:val="007F5CA3"/>
    <w:rsid w:val="0080702E"/>
    <w:rsid w:val="008101F6"/>
    <w:rsid w:val="00812BAB"/>
    <w:rsid w:val="00867B39"/>
    <w:rsid w:val="00880DCA"/>
    <w:rsid w:val="008D1D27"/>
    <w:rsid w:val="008F05A7"/>
    <w:rsid w:val="00930C47"/>
    <w:rsid w:val="009853A9"/>
    <w:rsid w:val="009D3CB0"/>
    <w:rsid w:val="009E036E"/>
    <w:rsid w:val="00A22BB1"/>
    <w:rsid w:val="00A3370D"/>
    <w:rsid w:val="00A617B7"/>
    <w:rsid w:val="00AD1FE8"/>
    <w:rsid w:val="00B25076"/>
    <w:rsid w:val="00B41ACC"/>
    <w:rsid w:val="00B83E35"/>
    <w:rsid w:val="00BD746B"/>
    <w:rsid w:val="00BD7D8E"/>
    <w:rsid w:val="00BF04A1"/>
    <w:rsid w:val="00C52B72"/>
    <w:rsid w:val="00C72D96"/>
    <w:rsid w:val="00C95C49"/>
    <w:rsid w:val="00CA11F2"/>
    <w:rsid w:val="00D053AF"/>
    <w:rsid w:val="00D424D3"/>
    <w:rsid w:val="00D63BA5"/>
    <w:rsid w:val="00D70E37"/>
    <w:rsid w:val="00DC56F6"/>
    <w:rsid w:val="00DE0197"/>
    <w:rsid w:val="00E50147"/>
    <w:rsid w:val="00E54D73"/>
    <w:rsid w:val="00E65E14"/>
    <w:rsid w:val="00E906B8"/>
    <w:rsid w:val="00E91FFE"/>
    <w:rsid w:val="00EA4A71"/>
    <w:rsid w:val="00EA5E0B"/>
    <w:rsid w:val="00EA6046"/>
    <w:rsid w:val="00EB399F"/>
    <w:rsid w:val="00ED6D38"/>
    <w:rsid w:val="00F067A5"/>
    <w:rsid w:val="00F63460"/>
    <w:rsid w:val="00F92802"/>
    <w:rsid w:val="00FA0C2D"/>
    <w:rsid w:val="00FB572F"/>
    <w:rsid w:val="00FD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479DD1-0929-45F9-8707-630B7BA6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BA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Heading4">
    <w:name w:val="heading 4"/>
    <w:basedOn w:val="Normal"/>
    <w:link w:val="Heading4Char"/>
    <w:uiPriority w:val="9"/>
    <w:qFormat/>
    <w:rsid w:val="00C72D9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D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D96"/>
    <w:rPr>
      <w:rFonts w:ascii="Tahoma" w:eastAsia="Calibri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C72D96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D96"/>
  </w:style>
  <w:style w:type="table" w:customStyle="1" w:styleId="TableGrid1">
    <w:name w:val="Table Grid1"/>
    <w:basedOn w:val="TableNormal"/>
    <w:next w:val="TableGrid"/>
    <w:uiPriority w:val="39"/>
    <w:rsid w:val="00C72D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72D96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table" w:styleId="TableGrid">
    <w:name w:val="Table Grid"/>
    <w:basedOn w:val="TableNormal"/>
    <w:uiPriority w:val="59"/>
    <w:rsid w:val="00C72D96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nhideWhenUsed/>
    <w:rsid w:val="00C72D96"/>
    <w:pPr>
      <w:spacing w:after="200" w:line="276" w:lineRule="auto"/>
    </w:pPr>
    <w:rPr>
      <w:rFonts w:eastAsia="Times New Roman" w:cs="Times New Roman"/>
      <w:lang w:bidi="en-US"/>
    </w:rPr>
  </w:style>
  <w:style w:type="character" w:customStyle="1" w:styleId="CommentTextChar">
    <w:name w:val="Comment Text Char"/>
    <w:basedOn w:val="DefaultParagraphFont"/>
    <w:link w:val="CommentText"/>
    <w:rsid w:val="00C72D96"/>
    <w:rPr>
      <w:rFonts w:ascii="Calibri" w:eastAsia="Times New Roman" w:hAnsi="Calibri" w:cs="Times New Roman"/>
      <w:sz w:val="20"/>
      <w:szCs w:val="20"/>
      <w:lang w:bidi="en-US"/>
    </w:rPr>
  </w:style>
  <w:style w:type="character" w:styleId="CommentReference">
    <w:name w:val="annotation reference"/>
    <w:uiPriority w:val="99"/>
    <w:semiHidden/>
    <w:unhideWhenUsed/>
    <w:rsid w:val="00C72D96"/>
    <w:rPr>
      <w:sz w:val="16"/>
      <w:szCs w:val="16"/>
    </w:rPr>
  </w:style>
  <w:style w:type="numbering" w:customStyle="1" w:styleId="NoList11">
    <w:name w:val="No List11"/>
    <w:next w:val="NoList"/>
    <w:uiPriority w:val="99"/>
    <w:semiHidden/>
    <w:unhideWhenUsed/>
    <w:rsid w:val="00C72D96"/>
  </w:style>
  <w:style w:type="character" w:customStyle="1" w:styleId="rvts1">
    <w:name w:val="rvts1"/>
    <w:basedOn w:val="DefaultParagraphFont"/>
    <w:rsid w:val="00C72D96"/>
    <w:rPr>
      <w:b w:val="0"/>
      <w:bCs w:val="0"/>
      <w:i/>
      <w:iCs/>
      <w:color w:val="008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72D96"/>
    <w:pPr>
      <w:tabs>
        <w:tab w:val="center" w:pos="4680"/>
        <w:tab w:val="right" w:pos="9360"/>
      </w:tabs>
    </w:pPr>
    <w:rPr>
      <w:rFonts w:ascii="Resavska BG Sans" w:hAnsi="Resavska BG Sans" w:cs="Times New Roman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72D96"/>
    <w:rPr>
      <w:rFonts w:ascii="Resavska BG Sans" w:eastAsia="Calibri" w:hAnsi="Resavska BG Sans" w:cs="Times New Roman"/>
    </w:rPr>
  </w:style>
  <w:style w:type="table" w:customStyle="1" w:styleId="TableGrid2">
    <w:name w:val="Table Grid2"/>
    <w:basedOn w:val="TableNormal"/>
    <w:next w:val="TableGrid"/>
    <w:uiPriority w:val="59"/>
    <w:rsid w:val="00C7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2D96"/>
    <w:pPr>
      <w:tabs>
        <w:tab w:val="center" w:pos="4680"/>
        <w:tab w:val="right" w:pos="9360"/>
      </w:tabs>
    </w:pPr>
    <w:rPr>
      <w:rFonts w:ascii="Resavska BG Sans" w:hAnsi="Resavska BG Sans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72D96"/>
    <w:rPr>
      <w:rFonts w:ascii="Resavska BG Sans" w:eastAsia="Calibri" w:hAnsi="Resavska BG Sans" w:cs="Times New Roman"/>
    </w:rPr>
  </w:style>
  <w:style w:type="table" w:customStyle="1" w:styleId="TableGrid3">
    <w:name w:val="Table Grid3"/>
    <w:basedOn w:val="TableNormal"/>
    <w:next w:val="TableGrid"/>
    <w:uiPriority w:val="59"/>
    <w:rsid w:val="00FA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92FC2-2F56-481E-9839-A3593BDB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4268</Words>
  <Characters>24333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Tadic</dc:creator>
  <cp:lastModifiedBy>Snezana Marinovic</cp:lastModifiedBy>
  <cp:revision>7</cp:revision>
  <cp:lastPrinted>2018-11-22T18:40:00Z</cp:lastPrinted>
  <dcterms:created xsi:type="dcterms:W3CDTF">2018-10-31T13:18:00Z</dcterms:created>
  <dcterms:modified xsi:type="dcterms:W3CDTF">2018-11-23T07:14:00Z</dcterms:modified>
</cp:coreProperties>
</file>