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CB2" w:rsidRDefault="00EE6CB2" w:rsidP="00EE6CB2">
      <w:pPr>
        <w:shd w:val="clear" w:color="auto" w:fill="FFFFFF"/>
        <w:jc w:val="center"/>
        <w:rPr>
          <w:b/>
          <w:lang w:val="sr-Cyrl-CS"/>
        </w:rPr>
      </w:pPr>
      <w:r>
        <w:rPr>
          <w:b/>
          <w:lang w:val="sr-Cyrl-CS"/>
        </w:rPr>
        <w:t xml:space="preserve">ОБРАЗАЦ </w:t>
      </w:r>
      <w:r>
        <w:rPr>
          <w:b/>
        </w:rPr>
        <w:t>ИЗЈАВ</w:t>
      </w:r>
      <w:r>
        <w:rPr>
          <w:b/>
          <w:lang w:val="sr-Cyrl-CS"/>
        </w:rPr>
        <w:t>Е</w:t>
      </w:r>
      <w:r>
        <w:rPr>
          <w:b/>
        </w:rPr>
        <w:t xml:space="preserve"> О УСКЛАЂЕНОСТИ ПРОПИСА С</w:t>
      </w:r>
      <w:r>
        <w:rPr>
          <w:b/>
          <w:lang w:val="sr-Cyrl-CS"/>
        </w:rPr>
        <w:t>А ПРОПИСИМА ЕВРОПСКЕ УНИЈЕ</w:t>
      </w:r>
    </w:p>
    <w:p w:rsidR="00EE6CB2" w:rsidRDefault="00EE6CB2" w:rsidP="00EE6CB2">
      <w:pPr>
        <w:shd w:val="clear" w:color="auto" w:fill="FFFFFF"/>
        <w:jc w:val="center"/>
        <w:rPr>
          <w:b/>
          <w:lang w:val="sr-Cyrl-CS"/>
        </w:rPr>
      </w:pPr>
    </w:p>
    <w:p w:rsidR="00EE6CB2" w:rsidRDefault="00EE6CB2" w:rsidP="00EE6CB2">
      <w:pPr>
        <w:shd w:val="clear" w:color="auto" w:fill="FFFFFF"/>
        <w:rPr>
          <w:lang w:val="sr-Cyrl-CS"/>
        </w:rPr>
      </w:pPr>
    </w:p>
    <w:p w:rsidR="00EE6CB2" w:rsidRDefault="00EE6CB2" w:rsidP="00EE6CB2">
      <w:pPr>
        <w:numPr>
          <w:ilvl w:val="0"/>
          <w:numId w:val="1"/>
        </w:numPr>
        <w:ind w:left="630" w:hanging="630"/>
        <w:jc w:val="both"/>
        <w:rPr>
          <w:lang w:val="sr-Cyrl-CS"/>
        </w:rPr>
      </w:pPr>
      <w:r>
        <w:rPr>
          <w:lang w:val="sr-Cyrl-CS"/>
        </w:rPr>
        <w:t xml:space="preserve">Орган државне управе, односно други овлашћени предлагач прописа </w:t>
      </w:r>
    </w:p>
    <w:p w:rsidR="00EE6CB2" w:rsidRDefault="00EE6CB2" w:rsidP="00EE6CB2">
      <w:pPr>
        <w:ind w:left="630"/>
        <w:jc w:val="both"/>
        <w:rPr>
          <w:lang w:val="sr-Cyrl-CS"/>
        </w:rPr>
      </w:pPr>
    </w:p>
    <w:p w:rsidR="00EE6CB2" w:rsidRDefault="00EE6CB2" w:rsidP="00EE6CB2">
      <w:pPr>
        <w:ind w:left="720"/>
        <w:jc w:val="both"/>
        <w:rPr>
          <w:lang w:val="sr-Cyrl-RS"/>
        </w:rPr>
      </w:pPr>
      <w:r>
        <w:rPr>
          <w:lang w:val="sr-Cyrl-RS"/>
        </w:rPr>
        <w:t xml:space="preserve">Овлашћени предлагач – Влада </w:t>
      </w:r>
    </w:p>
    <w:p w:rsidR="00EE6CB2" w:rsidRDefault="00EE6CB2" w:rsidP="00EE6CB2">
      <w:pPr>
        <w:ind w:left="720"/>
        <w:jc w:val="both"/>
        <w:rPr>
          <w:lang w:val="sr-Cyrl-RS"/>
        </w:rPr>
      </w:pPr>
      <w:r>
        <w:rPr>
          <w:lang w:val="sr-Cyrl-RS"/>
        </w:rPr>
        <w:t>Обрађивач -</w:t>
      </w:r>
      <w:r>
        <w:rPr>
          <w:lang w:val="ru-RU"/>
        </w:rPr>
        <w:t xml:space="preserve"> Министарство финансија</w:t>
      </w:r>
    </w:p>
    <w:p w:rsidR="00EE6CB2" w:rsidRDefault="00EE6CB2" w:rsidP="00EE6CB2">
      <w:pPr>
        <w:jc w:val="both"/>
      </w:pPr>
    </w:p>
    <w:p w:rsidR="00EE6CB2" w:rsidRDefault="00EE6CB2" w:rsidP="00EE6CB2">
      <w:pPr>
        <w:jc w:val="both"/>
        <w:rPr>
          <w:lang w:val="sr-Cyrl-CS"/>
        </w:rPr>
      </w:pPr>
      <w:r>
        <w:t xml:space="preserve">2. Назив </w:t>
      </w:r>
      <w:r>
        <w:rPr>
          <w:lang w:val="sr-Cyrl-CS"/>
        </w:rPr>
        <w:t>прописа</w:t>
      </w:r>
    </w:p>
    <w:p w:rsidR="00EE6CB2" w:rsidRDefault="00EE6CB2" w:rsidP="00EE6CB2">
      <w:pPr>
        <w:jc w:val="both"/>
        <w:rPr>
          <w:lang w:val="en-US" w:eastAsia="sr-Latn-CS"/>
        </w:rPr>
      </w:pPr>
      <w:r>
        <w:rPr>
          <w:lang w:val="sr-Cyrl-RS"/>
        </w:rPr>
        <w:t xml:space="preserve">     </w:t>
      </w:r>
    </w:p>
    <w:p w:rsidR="00EE6CB2" w:rsidRDefault="00751C00" w:rsidP="00EE6CB2">
      <w:pPr>
        <w:widowControl w:val="0"/>
        <w:autoSpaceDE w:val="0"/>
        <w:autoSpaceDN w:val="0"/>
        <w:adjustRightInd w:val="0"/>
        <w:jc w:val="both"/>
        <w:rPr>
          <w:lang w:val="sr-Cyrl-RS" w:eastAsia="sr-Latn-CS"/>
        </w:rPr>
      </w:pPr>
      <w:r>
        <w:rPr>
          <w:lang w:val="sr-Cyrl-CS" w:eastAsia="sr-Latn-CS"/>
        </w:rPr>
        <w:t>ПРЕДЛОГ</w:t>
      </w:r>
      <w:r w:rsidR="00EE6CB2">
        <w:rPr>
          <w:lang w:val="sr-Cyrl-CS" w:eastAsia="sr-Latn-CS"/>
        </w:rPr>
        <w:t xml:space="preserve"> ЗАКОНА О ИЗМЕНАМА И ДОПУНАМА ЗАКОНА О ИГРАМА НА СРЕЋУ</w:t>
      </w:r>
    </w:p>
    <w:p w:rsidR="00EE6CB2" w:rsidRDefault="00EE6CB2" w:rsidP="00EE6CB2">
      <w:pPr>
        <w:widowControl w:val="0"/>
        <w:autoSpaceDE w:val="0"/>
        <w:autoSpaceDN w:val="0"/>
        <w:adjustRightInd w:val="0"/>
        <w:outlineLvl w:val="0"/>
        <w:rPr>
          <w:lang w:val="sr-Cyrl-RS" w:eastAsia="sr-Latn-CS"/>
        </w:rPr>
      </w:pPr>
    </w:p>
    <w:p w:rsidR="00EE6CB2" w:rsidRDefault="00EE6CB2" w:rsidP="00EE6CB2">
      <w:pPr>
        <w:jc w:val="both"/>
        <w:rPr>
          <w:lang w:val="sr-Cyrl-CS"/>
        </w:rPr>
      </w:pP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 xml:space="preserve"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</w:p>
    <w:p w:rsidR="00EE6CB2" w:rsidRDefault="00EE6CB2" w:rsidP="00EE6CB2">
      <w:pPr>
        <w:jc w:val="both"/>
        <w:rPr>
          <w:lang w:val="sr-Cyrl-CS"/>
        </w:rPr>
      </w:pP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>а) О</w:t>
      </w:r>
      <w:r w:rsidR="001124A3">
        <w:rPr>
          <w:lang w:val="sr-Cyrl-CS"/>
        </w:rPr>
        <w:t>дредба</w:t>
      </w:r>
      <w:r>
        <w:rPr>
          <w:lang w:val="sr-Cyrl-CS"/>
        </w:rPr>
        <w:t xml:space="preserve"> Спор</w:t>
      </w:r>
      <w:r w:rsidR="001124A3">
        <w:rPr>
          <w:lang w:val="sr-Cyrl-CS"/>
        </w:rPr>
        <w:t>азума разума која се односи</w:t>
      </w:r>
      <w:r>
        <w:rPr>
          <w:lang w:val="sr-Cyrl-CS"/>
        </w:rPr>
        <w:t xml:space="preserve"> на нормативну са</w:t>
      </w:r>
      <w:r w:rsidR="00751C00">
        <w:rPr>
          <w:lang w:val="sr-Cyrl-CS"/>
        </w:rPr>
        <w:t>д</w:t>
      </w:r>
      <w:r>
        <w:rPr>
          <w:lang w:val="sr-Cyrl-CS"/>
        </w:rPr>
        <w:t>ржину прописа</w:t>
      </w: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 xml:space="preserve">б) Прелазни рок за усклађивање законодавства према одредбама </w:t>
      </w:r>
      <w:r w:rsidR="001124A3">
        <w:rPr>
          <w:lang w:val="sr-Cyrl-CS"/>
        </w:rPr>
        <w:t xml:space="preserve">Споразума </w:t>
      </w:r>
    </w:p>
    <w:p w:rsidR="00EE6CB2" w:rsidRPr="009E174B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 xml:space="preserve">в) Оцена испуњености обавезе које произлазе из наведене одредбе Споразума </w:t>
      </w: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EE6CB2" w:rsidRDefault="00EE6CB2" w:rsidP="001D4F8B">
      <w:pPr>
        <w:rPr>
          <w:lang w:val="sr-Latn-RS"/>
        </w:rPr>
      </w:pPr>
      <w:r>
        <w:rPr>
          <w:lang w:val="sr-Latn-RS"/>
        </w:rPr>
        <w:t>/</w:t>
      </w: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>д) Веза са Националним програмом за усвајање правних тековина Европске уније</w:t>
      </w: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751C00" w:rsidRDefault="00751C00" w:rsidP="00EE6CB2">
      <w:pPr>
        <w:jc w:val="both"/>
        <w:rPr>
          <w:lang w:val="sr-Cyrl-CS"/>
        </w:rPr>
      </w:pP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 xml:space="preserve">4. </w:t>
      </w:r>
      <w:r>
        <w:t>Усклађеност</w:t>
      </w:r>
      <w:r>
        <w:rPr>
          <w:lang w:val="sr-Cyrl-CS"/>
        </w:rPr>
        <w:t xml:space="preserve"> прописа </w:t>
      </w:r>
      <w:r>
        <w:t>с</w:t>
      </w:r>
      <w:r>
        <w:rPr>
          <w:lang w:val="sr-Cyrl-CS"/>
        </w:rPr>
        <w:t>а прописима Европске уније:</w:t>
      </w:r>
    </w:p>
    <w:p w:rsidR="00EE6CB2" w:rsidRDefault="00EE6CB2" w:rsidP="00EE6CB2">
      <w:pPr>
        <w:jc w:val="both"/>
      </w:pPr>
    </w:p>
    <w:p w:rsidR="00EE6CB2" w:rsidRDefault="00EE6CB2" w:rsidP="00EE6CB2">
      <w:pPr>
        <w:jc w:val="both"/>
        <w:rPr>
          <w:lang w:val="sr-Cyrl-RS"/>
        </w:rPr>
      </w:pPr>
      <w:r>
        <w:t xml:space="preserve">а) </w:t>
      </w:r>
      <w:r>
        <w:rPr>
          <w:lang w:val="sr-Cyrl-CS"/>
        </w:rPr>
        <w:t>Навођење</w:t>
      </w:r>
      <w:r>
        <w:rPr>
          <w:lang w:val="sr-Latn-CS"/>
        </w:rPr>
        <w:t xml:space="preserve"> </w:t>
      </w:r>
      <w:r>
        <w:rPr>
          <w:lang w:val="sr-Cyrl-CS"/>
        </w:rPr>
        <w:t>одредби</w:t>
      </w:r>
      <w:r>
        <w:t xml:space="preserve"> примарних извора права Е</w:t>
      </w:r>
      <w:r>
        <w:rPr>
          <w:lang w:val="sr-Cyrl-RS"/>
        </w:rPr>
        <w:t>вропске уније</w:t>
      </w:r>
      <w:r>
        <w:rPr>
          <w:lang w:val="sr-Cyrl-CS"/>
        </w:rPr>
        <w:t xml:space="preserve"> и оцене усклађености са њима</w:t>
      </w:r>
    </w:p>
    <w:p w:rsidR="00EE6CB2" w:rsidRDefault="00EE6CB2" w:rsidP="00EE6CB2">
      <w:pPr>
        <w:widowControl w:val="0"/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</w:t>
      </w:r>
      <w:r w:rsidR="009E174B">
        <w:rPr>
          <w:lang w:val="sr-Cyrl-CS" w:eastAsia="sr-Latn-CS"/>
        </w:rPr>
        <w:t>/</w:t>
      </w:r>
    </w:p>
    <w:p w:rsidR="00EE6CB2" w:rsidRDefault="00EE6CB2" w:rsidP="00EE6CB2">
      <w:pPr>
        <w:jc w:val="both"/>
        <w:rPr>
          <w:lang w:val="sr-Cyrl-CS"/>
        </w:rPr>
      </w:pPr>
      <w:r>
        <w:t xml:space="preserve">б) </w:t>
      </w:r>
      <w:r>
        <w:rPr>
          <w:lang w:val="sr-Cyrl-CS"/>
        </w:rPr>
        <w:t>Навођење</w:t>
      </w:r>
      <w:r>
        <w:t xml:space="preserve"> секундарних извора права Е</w:t>
      </w:r>
      <w:r>
        <w:rPr>
          <w:lang w:val="sr-Cyrl-RS"/>
        </w:rPr>
        <w:t xml:space="preserve">вропске уније </w:t>
      </w:r>
      <w:r>
        <w:rPr>
          <w:lang w:val="sr-Cyrl-CS"/>
        </w:rPr>
        <w:t>и оцене усклађености са њима</w:t>
      </w:r>
    </w:p>
    <w:p w:rsidR="001124A3" w:rsidRDefault="001124A3" w:rsidP="00EE6CB2">
      <w:pPr>
        <w:jc w:val="both"/>
        <w:rPr>
          <w:lang w:val="sr-Cyrl-CS"/>
        </w:rPr>
      </w:pPr>
    </w:p>
    <w:p w:rsidR="00EE6CB2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>в</w:t>
      </w:r>
      <w:r>
        <w:t xml:space="preserve">) </w:t>
      </w:r>
      <w:r>
        <w:rPr>
          <w:lang w:val="sr-Cyrl-CS"/>
        </w:rPr>
        <w:t>Навођење осталих извора права Европске уније и усклађенст са њима</w:t>
      </w:r>
    </w:p>
    <w:p w:rsidR="00EE6CB2" w:rsidRDefault="001124A3" w:rsidP="001124A3">
      <w:pPr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</w:pPr>
      <w:r>
        <w:rPr>
          <w:lang w:val="sr-Cyrl-CS"/>
        </w:rPr>
        <w:t>г</w:t>
      </w:r>
      <w:r>
        <w:t xml:space="preserve">) </w:t>
      </w:r>
      <w:r>
        <w:rPr>
          <w:lang w:val="sr-Cyrl-CS"/>
        </w:rPr>
        <w:t>Р</w:t>
      </w:r>
      <w:r>
        <w:t>азлози за дел</w:t>
      </w:r>
      <w:r>
        <w:rPr>
          <w:lang w:val="sr-Cyrl-CS"/>
        </w:rPr>
        <w:t>и</w:t>
      </w:r>
      <w:r>
        <w:t>мичну усклађеност</w:t>
      </w:r>
      <w:r>
        <w:rPr>
          <w:lang w:val="sr-Cyrl-CS"/>
        </w:rPr>
        <w:t>,</w:t>
      </w:r>
      <w:r>
        <w:t xml:space="preserve"> односно неусклађеност</w:t>
      </w:r>
    </w:p>
    <w:p w:rsidR="00EE6CB2" w:rsidRDefault="00EE6CB2" w:rsidP="00EE6CB2">
      <w:pPr>
        <w:jc w:val="both"/>
        <w:rPr>
          <w:color w:val="000000"/>
          <w:sz w:val="20"/>
          <w:szCs w:val="20"/>
          <w:lang w:val="ru-RU"/>
        </w:rPr>
      </w:pPr>
    </w:p>
    <w:p w:rsidR="00EE6CB2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>д</w:t>
      </w:r>
      <w:r>
        <w:t>)</w:t>
      </w:r>
      <w:r>
        <w:rPr>
          <w:lang w:val="sr-Cyrl-CS"/>
        </w:rPr>
        <w:t xml:space="preserve"> Р</w:t>
      </w:r>
      <w:r>
        <w:t xml:space="preserve">ок у којем је предвиђено постизање потпуне усклађености </w:t>
      </w:r>
      <w:r>
        <w:rPr>
          <w:lang w:val="sr-Cyrl-CS"/>
        </w:rPr>
        <w:t>прописа</w:t>
      </w:r>
      <w:r>
        <w:t xml:space="preserve"> с</w:t>
      </w:r>
      <w:r>
        <w:rPr>
          <w:lang w:val="sr-Cyrl-CS"/>
        </w:rPr>
        <w:t>а прописима Европске уније</w:t>
      </w: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  <w:rPr>
          <w:color w:val="000000"/>
          <w:lang w:val="ru-RU"/>
        </w:rPr>
      </w:pPr>
      <w:r>
        <w:rPr>
          <w:lang w:val="sr-Cyrl-CS"/>
        </w:rPr>
        <w:lastRenderedPageBreak/>
        <w:t>5</w:t>
      </w:r>
      <w:r>
        <w:rPr>
          <w:lang w:val="ru-RU"/>
        </w:rPr>
        <w:t>.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</w:t>
      </w:r>
    </w:p>
    <w:p w:rsidR="00EE6CB2" w:rsidRDefault="00EE6CB2" w:rsidP="00EE6CB2">
      <w:pPr>
        <w:jc w:val="both"/>
        <w:rPr>
          <w:color w:val="000000"/>
          <w:lang w:val="ru-RU"/>
        </w:rPr>
      </w:pPr>
    </w:p>
    <w:p w:rsidR="00EE6CB2" w:rsidRDefault="00751C00" w:rsidP="00EE6CB2">
      <w:pPr>
        <w:jc w:val="both"/>
        <w:rPr>
          <w:lang w:val="sr-Cyrl-RS" w:eastAsia="sr-Latn-CS"/>
        </w:rPr>
      </w:pPr>
      <w:r>
        <w:rPr>
          <w:lang w:val="sr-Cyrl-RS" w:eastAsia="sr-Latn-CS"/>
        </w:rPr>
        <w:t>Предлог</w:t>
      </w:r>
      <w:r w:rsidR="00EE6CB2">
        <w:rPr>
          <w:lang w:val="sr-Cyrl-RS" w:eastAsia="sr-Latn-CS"/>
        </w:rPr>
        <w:t xml:space="preserve"> </w:t>
      </w:r>
      <w:r>
        <w:rPr>
          <w:lang w:val="sr-Cyrl-RS" w:eastAsia="sr-Latn-CS"/>
        </w:rPr>
        <w:t xml:space="preserve">закона </w:t>
      </w:r>
      <w:r w:rsidR="00EE6CB2">
        <w:rPr>
          <w:lang w:val="sr-Cyrl-RS" w:eastAsia="sr-Latn-CS"/>
        </w:rPr>
        <w:t>није предмет усаглашавања са прописима Европске уније.</w:t>
      </w:r>
    </w:p>
    <w:p w:rsidR="00EE6CB2" w:rsidRDefault="00EE6CB2" w:rsidP="00EE6CB2">
      <w:pPr>
        <w:jc w:val="both"/>
        <w:rPr>
          <w:lang w:val="sr-Cyrl-CS"/>
        </w:rPr>
      </w:pPr>
    </w:p>
    <w:p w:rsidR="00EE6CB2" w:rsidRDefault="00EE6CB2" w:rsidP="00EE6CB2">
      <w:pPr>
        <w:jc w:val="both"/>
      </w:pPr>
      <w:r>
        <w:rPr>
          <w:lang w:val="sr-Cyrl-CS"/>
        </w:rPr>
        <w:t>6</w:t>
      </w:r>
      <w:r>
        <w:t xml:space="preserve">. </w:t>
      </w:r>
      <w:r>
        <w:rPr>
          <w:lang w:val="sr-Cyrl-CS"/>
        </w:rPr>
        <w:t xml:space="preserve">Да </w:t>
      </w:r>
      <w:r>
        <w:t>ли</w:t>
      </w:r>
      <w:r>
        <w:rPr>
          <w:lang w:val="sr-Cyrl-CS"/>
        </w:rPr>
        <w:t xml:space="preserve"> су претходно</w:t>
      </w:r>
      <w:r>
        <w:t xml:space="preserve"> наведени извори права Е</w:t>
      </w:r>
      <w:r>
        <w:rPr>
          <w:lang w:val="sr-Cyrl-RS"/>
        </w:rPr>
        <w:t xml:space="preserve">вропске уније </w:t>
      </w:r>
      <w:r>
        <w:t xml:space="preserve">преведени на </w:t>
      </w:r>
      <w:r>
        <w:rPr>
          <w:lang w:val="sr-Cyrl-CS"/>
        </w:rPr>
        <w:t>срп</w:t>
      </w:r>
      <w:r>
        <w:t>ски језик?</w:t>
      </w:r>
    </w:p>
    <w:p w:rsidR="00EE6CB2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751C00" w:rsidRPr="009E174B" w:rsidRDefault="00751C00" w:rsidP="00EE6CB2">
      <w:pPr>
        <w:jc w:val="both"/>
        <w:rPr>
          <w:lang w:val="sr-Cyrl-RS"/>
        </w:rPr>
      </w:pPr>
    </w:p>
    <w:p w:rsidR="00EE6CB2" w:rsidRDefault="00EE6CB2" w:rsidP="00EE6CB2">
      <w:pPr>
        <w:jc w:val="both"/>
      </w:pPr>
      <w:r>
        <w:rPr>
          <w:lang w:val="sr-Cyrl-CS"/>
        </w:rPr>
        <w:t>7</w:t>
      </w:r>
      <w:r>
        <w:t xml:space="preserve">. </w:t>
      </w:r>
      <w:r>
        <w:rPr>
          <w:lang w:val="sr-Cyrl-CS"/>
        </w:rPr>
        <w:t>Да ли је</w:t>
      </w:r>
      <w:r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>
        <w:t>?</w:t>
      </w:r>
    </w:p>
    <w:p w:rsidR="00EE6CB2" w:rsidRDefault="009E174B" w:rsidP="00EE6CB2">
      <w:pPr>
        <w:rPr>
          <w:lang w:val="sr-Cyrl-RS"/>
        </w:rPr>
      </w:pPr>
      <w:r>
        <w:rPr>
          <w:lang w:val="sr-Cyrl-RS"/>
        </w:rPr>
        <w:t>/</w:t>
      </w:r>
    </w:p>
    <w:p w:rsidR="00751C00" w:rsidRDefault="00751C00" w:rsidP="00EE6CB2">
      <w:pPr>
        <w:rPr>
          <w:lang w:val="sr-Cyrl-RS"/>
        </w:rPr>
      </w:pPr>
    </w:p>
    <w:p w:rsidR="00EE6CB2" w:rsidRDefault="00EE6CB2" w:rsidP="00EE6CB2">
      <w:pPr>
        <w:jc w:val="both"/>
        <w:rPr>
          <w:lang w:val="sr-Cyrl-RS"/>
        </w:rPr>
      </w:pPr>
      <w:r>
        <w:rPr>
          <w:lang w:val="sr-Cyrl-CS"/>
        </w:rPr>
        <w:t>8</w:t>
      </w:r>
      <w:r>
        <w:t xml:space="preserve">. </w:t>
      </w:r>
      <w:r>
        <w:rPr>
          <w:lang w:val="sr-Cyrl-CS"/>
        </w:rPr>
        <w:t>Учешће</w:t>
      </w:r>
      <w:r>
        <w:t xml:space="preserve"> кон</w:t>
      </w:r>
      <w:r>
        <w:rPr>
          <w:lang w:val="sr-Cyrl-CS"/>
        </w:rPr>
        <w:t>с</w:t>
      </w:r>
      <w:r>
        <w:t>ултаната у изради прописа</w:t>
      </w:r>
      <w:r>
        <w:rPr>
          <w:lang w:val="sr-Cyrl-CS"/>
        </w:rPr>
        <w:t xml:space="preserve"> </w:t>
      </w:r>
      <w:r>
        <w:t>и њихово мишљење о усклађености</w:t>
      </w:r>
    </w:p>
    <w:p w:rsidR="00EE6CB2" w:rsidRPr="009E174B" w:rsidRDefault="001124A3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1124A3" w:rsidRDefault="001124A3" w:rsidP="00EE6CB2">
      <w:pPr>
        <w:jc w:val="both"/>
        <w:rPr>
          <w:sz w:val="22"/>
          <w:szCs w:val="22"/>
          <w:lang w:val="sr-Cyrl-CS"/>
        </w:rPr>
      </w:pPr>
      <w:bookmarkStart w:id="0" w:name="_GoBack"/>
      <w:bookmarkEnd w:id="0"/>
    </w:p>
    <w:sectPr w:rsidR="001124A3" w:rsidSect="00751C00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AEF" w:rsidRDefault="00227AEF" w:rsidP="00751C00">
      <w:r>
        <w:separator/>
      </w:r>
    </w:p>
  </w:endnote>
  <w:endnote w:type="continuationSeparator" w:id="0">
    <w:p w:rsidR="00227AEF" w:rsidRDefault="00227AEF" w:rsidP="0075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44736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1C00" w:rsidRDefault="00751C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1C00" w:rsidRDefault="00751C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AEF" w:rsidRDefault="00227AEF" w:rsidP="00751C00">
      <w:r>
        <w:separator/>
      </w:r>
    </w:p>
  </w:footnote>
  <w:footnote w:type="continuationSeparator" w:id="0">
    <w:p w:rsidR="00227AEF" w:rsidRDefault="00227AEF" w:rsidP="00751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C88"/>
    <w:multiLevelType w:val="hybridMultilevel"/>
    <w:tmpl w:val="BB9CD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B2"/>
    <w:rsid w:val="001124A3"/>
    <w:rsid w:val="001D4F8B"/>
    <w:rsid w:val="00227AEF"/>
    <w:rsid w:val="00307CD8"/>
    <w:rsid w:val="00592624"/>
    <w:rsid w:val="006C4580"/>
    <w:rsid w:val="00751C00"/>
    <w:rsid w:val="009E174B"/>
    <w:rsid w:val="00BF0C58"/>
    <w:rsid w:val="00C120A1"/>
    <w:rsid w:val="00EE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8D00B"/>
  <w15:docId w15:val="{23AB2796-D8D0-46FF-A8CA-97011D2D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C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1C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C00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751C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C00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9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Miric</dc:creator>
  <cp:lastModifiedBy>Snezana Marinovic</cp:lastModifiedBy>
  <cp:revision>4</cp:revision>
  <cp:lastPrinted>2018-11-08T11:44:00Z</cp:lastPrinted>
  <dcterms:created xsi:type="dcterms:W3CDTF">2018-11-08T11:45:00Z</dcterms:created>
  <dcterms:modified xsi:type="dcterms:W3CDTF">2018-11-20T10:53:00Z</dcterms:modified>
</cp:coreProperties>
</file>