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42" w:rsidRPr="006D502E" w:rsidRDefault="00337B42" w:rsidP="00332B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ОПИС ГРАНИЦА </w:t>
      </w:r>
      <w:r w:rsidR="006D502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И ГРАФИЧКИ ПРИКАЗ</w:t>
      </w:r>
      <w:r w:rsidR="006D502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СПЕЦИЈАЛНОГ РЕЗЕРВАТА ПРИРОДЕ</w:t>
      </w:r>
    </w:p>
    <w:p w:rsidR="00337B42" w:rsidRPr="006D502E" w:rsidRDefault="00337B42" w:rsidP="00332B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„ПАШЊАЦИ ВЕЛИКЕ ДРОПЉЕˮ</w:t>
      </w:r>
      <w:r w:rsidR="0075743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</w:p>
    <w:p w:rsidR="00332B7F" w:rsidRPr="006D502E" w:rsidRDefault="00332B7F" w:rsidP="00332B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3C1CCE" w:rsidRPr="006D502E" w:rsidRDefault="003C1CCE" w:rsidP="00332B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1. Границе </w:t>
      </w:r>
      <w:r w:rsidR="002A52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С</w:t>
      </w:r>
      <w:r w:rsidR="007953F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пецијалног резервата природе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„Паш</w:t>
      </w:r>
      <w:r w:rsidR="007953F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њ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аци велике дропље”</w:t>
      </w:r>
    </w:p>
    <w:p w:rsidR="00332B7F" w:rsidRPr="006D502E" w:rsidRDefault="00332B7F" w:rsidP="00332B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9543DD" w:rsidRPr="006D502E" w:rsidRDefault="009543DD" w:rsidP="00332B7F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Специјални резерват природе „Паш</w:t>
      </w:r>
      <w:r w:rsidR="007953F9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њ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аци велике дропље” састоји се од три међусобно раздвојен</w:t>
      </w:r>
      <w:r w:rsidR="002A524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a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</w:t>
      </w:r>
      <w:r w:rsidR="002A524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локалитет</w:t>
      </w:r>
      <w:r w:rsidR="002A524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a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: „Јарош”, „Сигет” и „Кочоват”.</w:t>
      </w:r>
    </w:p>
    <w:p w:rsidR="007953F9" w:rsidRPr="006D502E" w:rsidRDefault="007953F9" w:rsidP="00332B7F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</w:p>
    <w:p w:rsidR="00337B42" w:rsidRPr="006D502E" w:rsidRDefault="003C1CCE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</w:t>
      </w:r>
      <w:r w:rsidR="007953F9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.1.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1E11A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Локалитет</w:t>
      </w:r>
      <w:r w:rsidR="00337B4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„Јарошˮ</w:t>
      </w:r>
    </w:p>
    <w:p w:rsidR="00337B42" w:rsidRPr="006D502E" w:rsidRDefault="00337B42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Почетна тач</w:t>
      </w:r>
      <w:r w:rsidRPr="006D502E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к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а описа </w:t>
      </w:r>
      <w:r w:rsidR="0056636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границе локалитета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је међна тачка КО Мокрин и КО Сајан, односно јужна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22496 КО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Мокрин. Граница иде на север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22497.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и иде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22497 до наспрам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22396.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22497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22396 до 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 22515 (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пут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276A5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22515 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(пут)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22001</w:t>
      </w:r>
      <w:r w:rsidR="003276A5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21977, 21979 и 22001. У истом правцу иде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21977 и 21979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22790. Скреће на север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22790 и 21977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22790 и 21971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276A5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22514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FB773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22514 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(пут)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и иде ње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н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ом северном међном линијом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21969. Граница иде на 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21968 и 21969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22785.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22785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22559 (пут Мокрин</w:t>
      </w:r>
      <w:r w:rsidR="00DD01A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-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Падеј). Наставља на север и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22559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22645.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22645,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22510 и наставља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22646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22484/2. Граница се ломи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и иде источном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22484/2 до наспрам међне тачке  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22637. Пресеца 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22484/2 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(пут)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 наставља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22637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22630 и ломи се на запад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22630 до наспрам међне тачке 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15608/26. Скреће на север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15608/26,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22628 којом иде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до наспрам јужне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15923. Граница се ломи на север,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22628 и иде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15924 и 15923,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15925 и 15926, </w:t>
      </w:r>
      <w:r w:rsidR="00C44626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као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15926 и 15927 до пута. Пресеца пут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1591 и 15913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15910 и 15911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22616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путем до наспрам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15904.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22616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15904 и 15903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22485. Иде на запад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22485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22455. Граница наставља на запад, обухвата у целости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22455 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д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о међне линије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Банатски Моноштор и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Мокрин. Наставља међном линијом катастарских општина до тромеђе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 xml:space="preserve"> KO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Јазово,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Банатски Моноштор и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Мокрин. Граница скреће на запад, па на југ, пр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тећи међну линију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Јазово и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KO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Банатски Моноштор, до тромеђе КО Јазово, КО Банатски Моноштор и КО Остојићево. Ломи се на југ међном линијом КО Јазово и КО Остојићево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5759 КО Остојићево.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путем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5666. Даље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путем до међне тачке разграничења КО Јазово и КО Остојићево наспрам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5621 КО Остојићево. Граница се ломи на југ па на исток, пратећи међну линију разграничења двеју КО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5663 КО Остојићево. Граница иде на сев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р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2705 и 2640,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2531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наставља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2529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2639 КО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lastRenderedPageBreak/>
        <w:t xml:space="preserve">Јазово (река Златица). Наставља на запад и југ реком Златицом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2638,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2638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6D502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1990, 2222 и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2236.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Скреће на исток и прати јужну и западну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2236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1926, 2236 и 1925. Скреће на запад,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1926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="00B838B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до јужне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1907.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1907 до 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1990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КО Јазово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(река Златица)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. Ломи се на југ реком Златицом (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1990, КО Јазово и 1321 КО Остојићево) до Фекетерске пумпе. Граница скреће на 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1320, 1317 и 1318 и наставља на 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1310 и 1311. Затим се ломи на југ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1312 и 1313 до линије разграничења КО Остојићево и КО Сајан. Граница иде на исток,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3603КО Сајан до наспрам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1842. Ломи се на југ, па на 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3603 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(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канал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, иде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1842 и 1875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1875 и 1891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1874 и 1891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1873 и 1891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1868 и 1891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1869 и 1891,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1902 и 1891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1902 и 1898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1899 и 1898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1902 и 3596, као и </w:t>
      </w:r>
      <w:r w:rsidR="00FB72D7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1902 и 1901. Граница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исток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1902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3608 (канал). У правцу истока сече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2608 и иде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3694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3610 (канал). Пресеца канал и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3695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1965 (канал). У правцу севера сече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1965 и наставља на север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3598 до почетне тачке описа границе.</w:t>
      </w:r>
    </w:p>
    <w:p w:rsidR="007953F9" w:rsidRPr="006D502E" w:rsidRDefault="007953F9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</w:p>
    <w:p w:rsidR="00337B42" w:rsidRPr="006D502E" w:rsidRDefault="007953F9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1.</w:t>
      </w:r>
      <w:r w:rsidR="00287614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2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.</w:t>
      </w:r>
      <w:r w:rsidR="00287614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</w:t>
      </w:r>
      <w:r w:rsidR="001E11A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Локалитет</w:t>
      </w:r>
      <w:r w:rsidR="00337B4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„Сигетˮ</w:t>
      </w:r>
    </w:p>
    <w:p w:rsidR="00337B42" w:rsidRPr="006D502E" w:rsidRDefault="00337B42" w:rsidP="00332B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Почетна тачка описа границе локалитета је међна тачка КО Нови Кнежевац и КО Банатско Аранђелово, односно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4506 КО Банатско Аранђелово. Граница иде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4506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4509.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4509 до пута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4640. Иде даље једним делом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4640, затим скреће на север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4642 до канала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4507. Ломи се на запад, идући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4507, затим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4508 до међне тачке КО Банатско Аранђелово и КО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Српски Крстур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Граница наставља на запад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3039 КО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Српски Крстур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3067</w:t>
      </w:r>
      <w:r w:rsidR="00B9059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3067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3209.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3209,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3041 и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3208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3210</w:t>
      </w:r>
      <w:r w:rsidR="0036665B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3210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3049 којом иде на југ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3051, наставља према југу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3051 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до међне тачке са </w:t>
      </w:r>
      <w:r w:rsidR="0009303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 3220, ломи се на </w:t>
      </w:r>
      <w:r w:rsidR="0009303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северо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запад том </w:t>
      </w:r>
      <w:r w:rsidR="009F70A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парцелом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. Потом иде према северу ивицом </w:t>
      </w:r>
      <w:r w:rsidR="0009303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 2966, обухватајући </w:t>
      </w:r>
      <w:r w:rsidR="009F70A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је 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и наставља на </w:t>
      </w:r>
      <w:r w:rsidR="0009303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северо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запад </w:t>
      </w:r>
      <w:r w:rsidR="0009303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 3220. Ломи се на југ уз </w:t>
      </w:r>
      <w:r w:rsidR="00093030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 2967 и обухвата је, прати јужну ивицу </w:t>
      </w:r>
      <w:r w:rsidR="00DD01AD" w:rsidRPr="006D502E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парцеле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Граница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КО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Српски Крстур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 КО Нови Кнежевац, а затим границом КО Банатско Аранђелово и КО Нови Кнежевац до почетне тачке описа границе.</w:t>
      </w:r>
    </w:p>
    <w:p w:rsidR="007953F9" w:rsidRPr="006D502E" w:rsidRDefault="007953F9" w:rsidP="00332B7F">
      <w:pPr>
        <w:keepNext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</w:p>
    <w:p w:rsidR="00337B42" w:rsidRPr="006D502E" w:rsidRDefault="007953F9" w:rsidP="00332B7F">
      <w:pPr>
        <w:keepNext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1.</w:t>
      </w:r>
      <w:r w:rsidR="00287614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3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.</w:t>
      </w:r>
      <w:r w:rsidR="00287614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</w:t>
      </w:r>
      <w:r w:rsidR="001E11A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Локалитет</w:t>
      </w:r>
      <w:r w:rsidR="00337B4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„Кочоватˮ</w:t>
      </w:r>
    </w:p>
    <w:p w:rsidR="00337B42" w:rsidRPr="006D502E" w:rsidRDefault="00337B42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Почетна тачка описа границе локалитета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„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Кочоватˮ је међна тачка КО Врбица и КО Банатско Аранђелово, односно јужна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4574 КО Банатско Аранђелово. Граница иде на север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4574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4570.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4570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4569 којом иде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3019. 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3019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4758.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4758 и иде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2923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9F70A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4752</w:t>
      </w:r>
      <w:r w:rsidR="0080663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Пресеца пут и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2926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lastRenderedPageBreak/>
        <w:t xml:space="preserve">4567. Граница иде даље у истом правцу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4567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4560. Наставља у истом правцу пресецајући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4560 и 4746 до државне границе са Румунијом.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и прати државну границу све до тромеђе Румуније, КО Врбица и КО Банатско Аранђелово. Даље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запад, пратећи међну линију КО Врбица и КО Банатско Аранђелово до почетне тачке описа границе.</w:t>
      </w:r>
    </w:p>
    <w:p w:rsidR="00332B7F" w:rsidRPr="006D502E" w:rsidRDefault="00332B7F" w:rsidP="00332B7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332B7F" w:rsidRPr="006D502E" w:rsidRDefault="003C1CCE" w:rsidP="00332B7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2. Границе површина у режиму заштите </w:t>
      </w:r>
      <w:r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>II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28761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и </w:t>
      </w:r>
      <w:r w:rsidR="00287614"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>III</w:t>
      </w:r>
      <w:r w:rsidR="0028761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степена</w:t>
      </w:r>
    </w:p>
    <w:p w:rsidR="00332B7F" w:rsidRPr="006D502E" w:rsidRDefault="00332B7F" w:rsidP="00332B7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337B42" w:rsidRPr="006D502E" w:rsidRDefault="00332B7F" w:rsidP="00332B7F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ab/>
      </w:r>
      <w:r w:rsidR="00E270C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2.1. </w:t>
      </w:r>
      <w:r w:rsidR="0079161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Границе режима заштите</w:t>
      </w:r>
      <w:r w:rsidR="003C1CCE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1543D1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на </w:t>
      </w:r>
      <w:r w:rsidR="00E270C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л</w:t>
      </w:r>
      <w:r w:rsidR="001E11A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окалитет</w:t>
      </w:r>
      <w:r w:rsidR="001543D1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у</w:t>
      </w:r>
      <w:r w:rsidR="00337B4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„Јарошˮ</w:t>
      </w:r>
    </w:p>
    <w:p w:rsidR="00332B7F" w:rsidRPr="006D502E" w:rsidRDefault="00332B7F" w:rsidP="00332B7F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332B7F" w:rsidRPr="006D502E" w:rsidRDefault="00332B7F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2.1.1.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Границе режима </w:t>
      </w:r>
      <w:r w:rsidR="0081430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заштите</w:t>
      </w:r>
      <w:r w:rsidR="0081430D"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>II</w:t>
      </w:r>
      <w:r w:rsidRPr="006D502E">
        <w:t xml:space="preserve"> </w:t>
      </w:r>
      <w:r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>степена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</w:p>
    <w:p w:rsidR="00337B42" w:rsidRPr="006D502E" w:rsidRDefault="00337B42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Почетна тачка опис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E270C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границе </w:t>
      </w:r>
      <w:r w:rsidR="00E270C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II</w:t>
      </w:r>
      <w:r w:rsidR="00E270C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степена заштите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запад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1777 КО Сајан.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Граница иде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исток, источном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1777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. Наставља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источном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1782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3599. Ломи се на запад,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3599 до наспрам канала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464DB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3603.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3599 и иде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3603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1797. Одатле наставља на запад,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1797,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3602 и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па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</w:t>
      </w:r>
      <w:r w:rsidR="00464DB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–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1819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3600.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3600 и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3600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2252 КО Јазово, Општина Чока. Граница наставља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464DB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2252 до границе КО Сајан и Јазово, односно ивице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2251 и иде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2253 КО Јазово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2261. У даљем току граница прати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западне, односно северне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2261, 2260, 2259, 2258, 2257, 2256, 2255 и 2254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источн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међн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тачк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2254 КО Јазово. Граница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иде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на север, 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3499 КО Јазово, до међне тачке КО Јазово и КО Остојићево. Граница се ломи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потом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запад и прати међну линију КО Јазово и КО Остојићево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5760 </w:t>
      </w:r>
      <w:r w:rsidR="00464DB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(пут)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у КО Остојићево. У истом правцу наставља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ивицом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5665 и 5666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5666.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пратећи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источну ивицу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5758 </w:t>
      </w:r>
      <w:r w:rsidR="00464DB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(пут)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до северне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5716. Граница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пратећи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источну ивицу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5716 до међне тачке са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5760. Граница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5760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ивицом исте </w:t>
      </w:r>
      <w:r w:rsidR="00DD01A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парцеле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до северне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5780.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5774/1 до северне ивице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5845</w:t>
      </w:r>
      <w:r w:rsidR="00464DB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(пут)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Граница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до међне линије са КО Јазово, односно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2950.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Граница скреће на север пратећи правац међне линије КО Јазово и КО Остојићево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2853 КО Јазово.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и исток, идући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2853, потом се ломи на север – западном ивицом пута 3030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3031.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ивицом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3031 до међне линије КО Јазово и КО Мокрин, односно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2263/1. У КО Мокрин граница прати западну ивицу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22623/1 до међне тачке са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22624. Скреће на исток,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22624,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22487 и наставља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22625; потом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22489 и иде на исток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15661;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22495</w:t>
      </w:r>
      <w:r w:rsidR="003B29F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наставља јужном ивицом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22628. На северној међној тачци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15611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lastRenderedPageBreak/>
        <w:t xml:space="preserve">граница се ломи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пратећи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источну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15611. Граница обухвата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22490 њеном северном ивицом до источне међне тач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е, а потом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15616 до преломне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22484/2.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22484/2 до 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15616.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пратећи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15616 и 15638, обухвата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22493, затим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15639 и 15638 и наставља источном </w:t>
      </w:r>
      <w:r w:rsidR="003B29F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па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јужном ивицом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15639. Граница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од источне међне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6D502E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22492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 у</w:t>
      </w:r>
      <w:r w:rsidR="00D86524" w:rsidRPr="006D50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/>
        </w:rPr>
        <w:t xml:space="preserve"> 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истом правц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у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15645, 22563 и 22440 до северне ивице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22500. Граница скреће на исток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22500 до наспрам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22501. Ломи се оштро на запад, идући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22501 и 22444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22487.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и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22487 и 22443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1739 КО Сајан (међна тачка код међн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линиј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КО Сајан и КО Мокрин). Скреће на запад,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1719 и 1718,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1739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1716.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1716,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1739 и наставља у истом правцу, пратећи северну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1714 до њене крајне међне тачке са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1771. Граница иде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1771 и 1774, затим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1714 и 1750, пресеца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јући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1757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до почетне тачке описа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ове целине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81430D" w:rsidRPr="006D502E" w:rsidRDefault="0081430D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</w:p>
    <w:p w:rsidR="00332B7F" w:rsidRPr="006D502E" w:rsidRDefault="00332B7F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2.1.2.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Границе режима </w:t>
      </w:r>
      <w:r w:rsidR="0081430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заштите</w:t>
      </w:r>
      <w:r w:rsidR="0081430D"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>III</w:t>
      </w:r>
      <w:r w:rsidRPr="006D502E">
        <w:t xml:space="preserve"> </w:t>
      </w:r>
      <w:r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>степена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</w:p>
    <w:p w:rsidR="00337B42" w:rsidRPr="006D502E" w:rsidRDefault="00337B42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Граница </w:t>
      </w:r>
      <w:r w:rsidR="0081430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режима заштите III степена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одређена је границо</w:t>
      </w:r>
      <w:r w:rsidR="00E270C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м локалитета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E270C2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„Јарошˮ</w:t>
      </w:r>
      <w:r w:rsidR="00E270C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и границ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м </w:t>
      </w:r>
      <w:r w:rsidR="0081430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режима заштите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II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степена.</w:t>
      </w:r>
    </w:p>
    <w:p w:rsidR="00332B7F" w:rsidRPr="006D502E" w:rsidRDefault="00332B7F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</w:p>
    <w:p w:rsidR="00337B42" w:rsidRPr="006D502E" w:rsidRDefault="001543D1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2.2. </w:t>
      </w:r>
      <w:r w:rsidR="00791619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Границе режима заштите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 на локалитету </w:t>
      </w:r>
      <w:r w:rsidR="00287614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„Сигетˮ</w:t>
      </w:r>
    </w:p>
    <w:p w:rsidR="0081430D" w:rsidRPr="006D502E" w:rsidRDefault="0081430D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</w:p>
    <w:p w:rsidR="0081430D" w:rsidRPr="006D502E" w:rsidRDefault="0081430D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2.2.1. Границе режима заштите II степена </w:t>
      </w:r>
    </w:p>
    <w:p w:rsidR="00337B42" w:rsidRPr="006D502E" w:rsidRDefault="00332B7F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1)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Почетна тачка описа границе прве целине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II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степена заштите 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2374 КО Банатско Аранђелово. Граница иде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2374 и 4519, </w:t>
      </w:r>
      <w:r w:rsidR="003B29F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2236 и 4519, као и </w:t>
      </w:r>
      <w:r w:rsidR="003B29F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2232 и 4519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2232.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4519 до међне линије КО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Српски Крстур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 КО Банатско Аранђелово. У истом правцу иде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3069 КО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Српски Крстур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2938. Ломи се на север, прати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2938 и 2940,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2938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2937. Наставља у правцу севера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2937 и 2938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3217. У правцу север 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–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3217 и 2932 до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3199. Ломи се на исток пратећи јужну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3199 до међне линије КО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Српски Крстур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 КО Банатско Аранђелово.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међном линијом КО до наспрам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2135 КО Банатско Аранђелово.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4636 и иде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4639 и 2135 до наспрам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2136/1. У истом правцу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2135 и иде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2135 и 2136/1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4637 (пут). У истом правцу сече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4637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2220 и 2221, </w:t>
      </w:r>
      <w:r w:rsidR="00C44626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као и кат. парц. бр.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2220 и 2223,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2223. Наставља у истом правцу,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2220 до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4634.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4634 до наспрам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2239. Скреће на југ,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lastRenderedPageBreak/>
        <w:t>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4634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2238 и 2239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2239. У истом правцу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2238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2238 и 2242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2238.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4674 до наспрам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2368.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4674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2368 и 4695, </w:t>
      </w:r>
      <w:r w:rsidR="003B29F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2368 и 2354, као и </w:t>
      </w:r>
      <w:r w:rsidR="003B29F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2363 и 2353. Сече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4514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2368 и 2351,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4696,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па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и прати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2370 и 2369</w:t>
      </w:r>
      <w:r w:rsidR="008D1783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 </w:t>
      </w:r>
      <w:r w:rsidR="003B29FC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2371 и 2369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4520. У правцу запада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4520 и наставља на запад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2373 и 2372,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2372, 2373 и 4697.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северном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4697 до почетне тачке описа границе.</w:t>
      </w:r>
    </w:p>
    <w:p w:rsidR="00337B42" w:rsidRPr="006D502E" w:rsidRDefault="00332B7F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2)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Почетна тачка описа границе друге целине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II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степена заштите је западна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2976. Граница иде на север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2976 и 3221.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2975 и 3222,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2974 и 3222,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2974 и 2971,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2973 и 2971, као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2972 и 2971. Пресеца у истом правцу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3222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2952 и 2954,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2946 и 2954,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D86524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2946 и 2957,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2955 и 2957,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2946 и 2957, као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2956 и 2957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2956, 2957 и 3213.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2956 и 3213, као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2946 и 3213. У истом правцу обухвата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3068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2909. Скреће на исток, прати јужну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3049. Наставља на југ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,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па на 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3056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2980.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2980 и 3053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2980, 3053 и 3225.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пратећи источну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3225 до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3224.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3224 до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3222.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3222 и 3224, као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2976 и 3223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2976, 3223 и 3221.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2976 и 3221 до почетне тачке описа границе.</w:t>
      </w:r>
    </w:p>
    <w:p w:rsidR="00337B42" w:rsidRPr="006D502E" w:rsidRDefault="00332B7F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3)</w:t>
      </w:r>
      <w:r w:rsidR="0081430D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Почетна тачка описа треће целине</w:t>
      </w:r>
      <w:r w:rsidR="00A975A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II</w:t>
      </w:r>
      <w:r w:rsidR="00A975A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степена заштите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је јужна међна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2967 КО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Српски Крстур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, Општина Нови Кнежевац. Граница иде јужном ивицом 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парцеле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, западно, пратећи ивицу 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парцеле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. Граница се ломи северно код међне тачке са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3206 и наставља ивицом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2967. Граница обухвата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3220, идући њеном северном ивицом. Код међне тачке са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2966, граница се ломи оштро на север и иде рубом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2966, обухватајући је. Пратећи руб 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парцеле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, граница долази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3226 и њеном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источном ивицом наставља у правцу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истока. Граница долази до међне тачке са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3051, ломи се оштро на југ и спушта се ивицом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2967. Граница иде источним рубом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2969, потом се враћа на руб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2697 до почетне тачке описа ове целине.</w:t>
      </w:r>
    </w:p>
    <w:p w:rsidR="006A62E9" w:rsidRPr="006D502E" w:rsidRDefault="006A62E9" w:rsidP="00814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</w:p>
    <w:p w:rsidR="000C1F63" w:rsidRPr="006D502E" w:rsidRDefault="000C1F63" w:rsidP="00814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</w:p>
    <w:p w:rsidR="006A62E9" w:rsidRPr="006D502E" w:rsidRDefault="0081430D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2.2.2.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Границе режима заштите</w:t>
      </w:r>
      <w:r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 xml:space="preserve"> III</w:t>
      </w:r>
      <w:r w:rsidRPr="006D502E">
        <w:t xml:space="preserve"> </w:t>
      </w:r>
      <w:r w:rsidRPr="006D502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Latn-CS"/>
        </w:rPr>
        <w:t>степена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 </w:t>
      </w:r>
    </w:p>
    <w:p w:rsidR="00337B42" w:rsidRPr="006D502E" w:rsidRDefault="0081430D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Граница режима заштите III степена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одређена је </w:t>
      </w:r>
      <w:r w:rsidR="009B1D2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границом локалитета </w:t>
      </w:r>
      <w:r w:rsidR="009B1D2F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„Сигетˮ</w:t>
      </w:r>
      <w:r w:rsidR="009B1D2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границом режима заштите II степена</w:t>
      </w:r>
      <w:r w:rsidR="009B1D2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.</w:t>
      </w:r>
    </w:p>
    <w:p w:rsidR="0081430D" w:rsidRDefault="0081430D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D133BC" w:rsidRPr="006D502E" w:rsidRDefault="00D133BC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:rsidR="00287614" w:rsidRPr="006D502E" w:rsidRDefault="001543D1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lastRenderedPageBreak/>
        <w:t xml:space="preserve">2.3. </w:t>
      </w:r>
      <w:r w:rsidR="0079161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Границе режима заштите</w:t>
      </w:r>
      <w:r w:rsidR="00791619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 xml:space="preserve">на локалитету </w:t>
      </w:r>
      <w:r w:rsidR="00287614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„Кочоватˮ</w:t>
      </w:r>
    </w:p>
    <w:p w:rsidR="0081430D" w:rsidRPr="006D502E" w:rsidRDefault="0081430D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</w:p>
    <w:p w:rsidR="0081430D" w:rsidRPr="006D502E" w:rsidRDefault="0081430D" w:rsidP="00332B7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</w:pPr>
      <w:r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2.3.1. Границе режима заштите II степена</w:t>
      </w:r>
    </w:p>
    <w:p w:rsidR="00337B42" w:rsidRPr="006D502E" w:rsidRDefault="0081430D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1)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Почетна тачка описа границе прве целине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II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степена заштите 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3016 КО Банатско Аранђелово. Граница иде на север па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3016 и 3020,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4567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2927 и 2928, </w:t>
      </w:r>
      <w:r w:rsidR="008D1783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кат. парц. бр.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2928 и 2926 до наспрам 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2929.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2928 и иде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2929 и 2928,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4567 и 4759. У истом правцу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2950 и 2951 у дужини од 210 метара, где се ломи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2951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2952. Наставља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2952 и 2951.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4753 и наставља у истом правцу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3015 и 3016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3015.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4762 и 2956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2953. У истом правцу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2953 и 2956, поново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2956, до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4569 (канал).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4569 и 2956 до границе локалитета.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пратећи границу локалитета 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„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Кочоват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”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до почетне тачке описа границе.</w:t>
      </w:r>
    </w:p>
    <w:p w:rsidR="00337B42" w:rsidRDefault="0081430D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2)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Почетна тачка описа границе друге целине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II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степена заштите 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источна међна тачка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2982/2. Граница иде на север 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–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2982/2 и 2982/1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4769.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јужном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4769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4769 и 2976.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2976 и 2975,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2975 и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2975 и 2977,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2975 и 2976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2975, 2976 и 4769.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4769 до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2962 и 2967. Скреће на запад па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2962 и 2967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2962 и 4762. У истом правцу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4762 и 4568 до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2945 и 2946.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па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2945 и 2942 до преломне тачке ових 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парцела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Скреће на север 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–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пресецајући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2962 до 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2944.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2942 и 2944, поново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2942 до међне линије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2943 и 2942.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2943 и 2942,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4760 и 2942, као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5C7DE9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4760 и 2968 до 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2968.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4760 и у истом правцу наставља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2933 и 2938, као и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4365C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2933 и 2932.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пратећи међну линију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2933 и 2932 до тромеђе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2933, 2932 и 4560.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4560 и 2931, у истом правцу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4746 до државне границе односно границе локалитета </w:t>
      </w:r>
      <w:r w:rsidR="004365C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„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Кочоват</w:t>
      </w:r>
      <w:r w:rsidR="004365C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”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. Даље иде границом локалитета </w:t>
      </w:r>
      <w:r w:rsidR="004365C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„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Кочоват</w:t>
      </w:r>
      <w:r w:rsidR="004365C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”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до наспрам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2975. Ломи се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исток,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4771, иде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4770 и 2975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2981. Скреће на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северо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запад,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4770 и 2982/1 до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југо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источне међне тачке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2982/3. Наставља у истом правцу међном линијом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2982/3 и 2982/1, поново пресеца </w:t>
      </w:r>
      <w:r w:rsidR="00093030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кат. парц. бр.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2982/1 и иде до почетне тачке описа границе.</w:t>
      </w:r>
    </w:p>
    <w:p w:rsidR="00D133BC" w:rsidRDefault="00D133BC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</w:p>
    <w:p w:rsidR="00D133BC" w:rsidRPr="006D502E" w:rsidRDefault="00D133BC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bookmarkStart w:id="0" w:name="_GoBack"/>
      <w:bookmarkEnd w:id="0"/>
    </w:p>
    <w:p w:rsidR="0081430D" w:rsidRPr="006D502E" w:rsidRDefault="0081430D" w:rsidP="00332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</w:p>
    <w:p w:rsidR="0081430D" w:rsidRPr="006D502E" w:rsidRDefault="0081430D" w:rsidP="00814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lastRenderedPageBreak/>
        <w:t xml:space="preserve">2.2.2. Границе режима заштите III степена </w:t>
      </w:r>
    </w:p>
    <w:p w:rsidR="00337B42" w:rsidRPr="006D502E" w:rsidRDefault="0081430D" w:rsidP="00814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</w:pP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Граница режима заштите III степена </w:t>
      </w:r>
      <w:r w:rsidR="009B1D2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одређена је границом локалитета </w:t>
      </w:r>
      <w:r w:rsidR="009B1D2F" w:rsidRPr="006D50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RS"/>
        </w:rPr>
        <w:t>„Кочоватˮ</w:t>
      </w:r>
      <w:r w:rsidR="009B1D2F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 xml:space="preserve"> и </w:t>
      </w:r>
      <w:r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границом режима заштите II степена</w:t>
      </w:r>
      <w:r w:rsidR="00337B42" w:rsidRPr="006D502E"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t>.</w:t>
      </w:r>
    </w:p>
    <w:p w:rsidR="00F6560A" w:rsidRPr="006D502E" w:rsidRDefault="00F6560A" w:rsidP="00332B7F">
      <w:pPr>
        <w:spacing w:after="0" w:line="240" w:lineRule="auto"/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</w:rPr>
      </w:pPr>
    </w:p>
    <w:p w:rsidR="00F6560A" w:rsidRPr="006D502E" w:rsidRDefault="00F6560A" w:rsidP="00332B7F">
      <w:pPr>
        <w:spacing w:after="0" w:line="240" w:lineRule="auto"/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</w:rPr>
      </w:pPr>
      <w:r w:rsidRPr="006D502E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</w:rPr>
        <w:br w:type="page"/>
      </w:r>
    </w:p>
    <w:p w:rsidR="00404CA6" w:rsidRPr="006D502E" w:rsidRDefault="003C1CCE" w:rsidP="00332B7F">
      <w:pPr>
        <w:spacing w:after="0" w:line="240" w:lineRule="auto"/>
      </w:pPr>
      <w:r w:rsidRPr="006D502E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2E93A881" wp14:editId="71B43820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5612400" cy="8092800"/>
            <wp:effectExtent l="0" t="0" r="7620" b="3810"/>
            <wp:wrapNone/>
            <wp:docPr id="1" name="Picture 1" descr="D:\SNEZA\000 ELABORATI\SRP  PASNJACI VELIKE DROPLJE NIJE PREBACENO 2011\00000000000 nova studija 02 09 2016\PVD20 9 2016\SRP Pasnjaci velike dropl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NEZA\000 ELABORATI\SRP  PASNJACI VELIKE DROPLJE NIJE PREBACENO 2011\00000000000 nova studija 02 09 2016\PVD20 9 2016\SRP Pasnjaci velike droplj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3" t="1732" r="2589" b="1857"/>
                    <a:stretch/>
                  </pic:blipFill>
                  <pic:spPr bwMode="auto">
                    <a:xfrm>
                      <a:off x="0" y="0"/>
                      <a:ext cx="5612400" cy="809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04CA6" w:rsidRPr="006D502E" w:rsidSect="003923C1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556" w:rsidRDefault="00646556" w:rsidP="00F6560A">
      <w:pPr>
        <w:spacing w:after="0" w:line="240" w:lineRule="auto"/>
      </w:pPr>
      <w:r>
        <w:separator/>
      </w:r>
    </w:p>
  </w:endnote>
  <w:endnote w:type="continuationSeparator" w:id="0">
    <w:p w:rsidR="00646556" w:rsidRDefault="00646556" w:rsidP="00F65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1216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093030" w:rsidRPr="003C1CCE" w:rsidRDefault="00093030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3C1CCE">
          <w:rPr>
            <w:rFonts w:ascii="Times New Roman" w:hAnsi="Times New Roman" w:cs="Times New Roman"/>
            <w:sz w:val="24"/>
          </w:rPr>
          <w:fldChar w:fldCharType="begin"/>
        </w:r>
        <w:r w:rsidRPr="003C1CC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C1CCE">
          <w:rPr>
            <w:rFonts w:ascii="Times New Roman" w:hAnsi="Times New Roman" w:cs="Times New Roman"/>
            <w:sz w:val="24"/>
          </w:rPr>
          <w:fldChar w:fldCharType="separate"/>
        </w:r>
        <w:r w:rsidR="00D133BC">
          <w:rPr>
            <w:rFonts w:ascii="Times New Roman" w:hAnsi="Times New Roman" w:cs="Times New Roman"/>
            <w:noProof/>
            <w:sz w:val="24"/>
          </w:rPr>
          <w:t>8</w:t>
        </w:r>
        <w:r w:rsidRPr="003C1CC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093030" w:rsidRDefault="00093030" w:rsidP="003C1CC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030" w:rsidRDefault="00093030">
    <w:pPr>
      <w:pStyle w:val="Footer"/>
      <w:jc w:val="center"/>
    </w:pPr>
  </w:p>
  <w:p w:rsidR="00093030" w:rsidRDefault="00093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556" w:rsidRDefault="00646556" w:rsidP="00F6560A">
      <w:pPr>
        <w:spacing w:after="0" w:line="240" w:lineRule="auto"/>
      </w:pPr>
      <w:r>
        <w:separator/>
      </w:r>
    </w:p>
  </w:footnote>
  <w:footnote w:type="continuationSeparator" w:id="0">
    <w:p w:rsidR="00646556" w:rsidRDefault="00646556" w:rsidP="00F65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030" w:rsidRPr="00F6560A" w:rsidRDefault="00093030" w:rsidP="00F6560A">
    <w:pPr>
      <w:pStyle w:val="Header"/>
      <w:tabs>
        <w:tab w:val="clear" w:pos="4680"/>
        <w:tab w:val="clear" w:pos="9360"/>
        <w:tab w:val="left" w:pos="8255"/>
      </w:tabs>
      <w:rPr>
        <w:rFonts w:ascii="Times New Roman" w:hAnsi="Times New Roman" w:cs="Times New Roman"/>
        <w:noProof/>
        <w:sz w:val="24"/>
        <w:szCs w:val="24"/>
        <w:lang w:val="sr-Cyrl-RS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030" w:rsidRDefault="00093030" w:rsidP="00F6560A">
    <w:pPr>
      <w:pStyle w:val="Header"/>
      <w:jc w:val="right"/>
    </w:pPr>
    <w:r w:rsidRPr="00F6560A">
      <w:rPr>
        <w:rFonts w:ascii="Times New Roman" w:hAnsi="Times New Roman" w:cs="Times New Roman"/>
        <w:noProof/>
        <w:sz w:val="24"/>
        <w:szCs w:val="24"/>
        <w:lang w:val="sr-Cyrl-RS"/>
      </w:rPr>
      <w:t>Прилог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B42"/>
    <w:rsid w:val="00093030"/>
    <w:rsid w:val="000965E3"/>
    <w:rsid w:val="000C1F63"/>
    <w:rsid w:val="000C24CA"/>
    <w:rsid w:val="001543D1"/>
    <w:rsid w:val="0017381E"/>
    <w:rsid w:val="00197BB8"/>
    <w:rsid w:val="001E11A2"/>
    <w:rsid w:val="00287614"/>
    <w:rsid w:val="002A5242"/>
    <w:rsid w:val="003055A0"/>
    <w:rsid w:val="003276A5"/>
    <w:rsid w:val="003303B6"/>
    <w:rsid w:val="00332B7F"/>
    <w:rsid w:val="00337B42"/>
    <w:rsid w:val="0036665B"/>
    <w:rsid w:val="003833FD"/>
    <w:rsid w:val="003923C1"/>
    <w:rsid w:val="003B29FC"/>
    <w:rsid w:val="003C1CCE"/>
    <w:rsid w:val="003D54DF"/>
    <w:rsid w:val="003D6292"/>
    <w:rsid w:val="00404CA6"/>
    <w:rsid w:val="004365C0"/>
    <w:rsid w:val="00443EF6"/>
    <w:rsid w:val="00464DBE"/>
    <w:rsid w:val="00555E1F"/>
    <w:rsid w:val="0056636F"/>
    <w:rsid w:val="005C7DE9"/>
    <w:rsid w:val="00646556"/>
    <w:rsid w:val="006A62E9"/>
    <w:rsid w:val="006D502E"/>
    <w:rsid w:val="007156C1"/>
    <w:rsid w:val="0075743C"/>
    <w:rsid w:val="00791619"/>
    <w:rsid w:val="007953F9"/>
    <w:rsid w:val="00806639"/>
    <w:rsid w:val="0081430D"/>
    <w:rsid w:val="008B2829"/>
    <w:rsid w:val="008D1783"/>
    <w:rsid w:val="009543DD"/>
    <w:rsid w:val="00956740"/>
    <w:rsid w:val="009B1D2F"/>
    <w:rsid w:val="009F70A0"/>
    <w:rsid w:val="00A975AF"/>
    <w:rsid w:val="00AD2AE2"/>
    <w:rsid w:val="00B838BD"/>
    <w:rsid w:val="00B9059B"/>
    <w:rsid w:val="00BB7081"/>
    <w:rsid w:val="00BE7213"/>
    <w:rsid w:val="00C44626"/>
    <w:rsid w:val="00D133BC"/>
    <w:rsid w:val="00D86524"/>
    <w:rsid w:val="00DD01AD"/>
    <w:rsid w:val="00E270C2"/>
    <w:rsid w:val="00E72E82"/>
    <w:rsid w:val="00EA225C"/>
    <w:rsid w:val="00EC78E4"/>
    <w:rsid w:val="00F6560A"/>
    <w:rsid w:val="00FB72D7"/>
    <w:rsid w:val="00FB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E4174"/>
  <w15:docId w15:val="{652D4CCA-5AF6-4F32-8A10-A88002A0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60A"/>
  </w:style>
  <w:style w:type="paragraph" w:styleId="Footer">
    <w:name w:val="footer"/>
    <w:basedOn w:val="Normal"/>
    <w:link w:val="FooterChar"/>
    <w:uiPriority w:val="99"/>
    <w:unhideWhenUsed/>
    <w:rsid w:val="00F65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Jovic</dc:creator>
  <cp:lastModifiedBy>Slavica Avramovic</cp:lastModifiedBy>
  <cp:revision>5</cp:revision>
  <dcterms:created xsi:type="dcterms:W3CDTF">2018-11-09T08:07:00Z</dcterms:created>
  <dcterms:modified xsi:type="dcterms:W3CDTF">2018-11-09T09:33:00Z</dcterms:modified>
</cp:coreProperties>
</file>