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806" w:rsidRPr="003B0B36" w:rsidRDefault="00235806" w:rsidP="00235806">
      <w:pPr>
        <w:rPr>
          <w:lang w:val="sr-Cyrl-RS"/>
        </w:rPr>
      </w:pPr>
    </w:p>
    <w:p w:rsidR="003B0B36" w:rsidRPr="003B0B36" w:rsidRDefault="003B0B36" w:rsidP="00235806">
      <w:pPr>
        <w:rPr>
          <w:lang w:val="sr-Cyrl-RS"/>
        </w:rPr>
      </w:pPr>
    </w:p>
    <w:p w:rsidR="00235806" w:rsidRPr="003B0B36" w:rsidRDefault="00235806" w:rsidP="00235806">
      <w:pPr>
        <w:ind w:right="-34"/>
        <w:jc w:val="center"/>
        <w:rPr>
          <w:lang w:val="sr-Cyrl-CS"/>
        </w:rPr>
      </w:pPr>
      <w:r w:rsidRPr="003B0B36">
        <w:rPr>
          <w:lang w:val="sr-Cyrl-CS"/>
        </w:rPr>
        <w:t>О Б Р А З Л О Ж Е Њ Е</w:t>
      </w:r>
    </w:p>
    <w:p w:rsidR="00235806" w:rsidRPr="003B0B36" w:rsidRDefault="00235806" w:rsidP="00235806">
      <w:pPr>
        <w:jc w:val="both"/>
        <w:rPr>
          <w:lang w:val="sr-Cyrl-CS"/>
        </w:rPr>
      </w:pPr>
    </w:p>
    <w:p w:rsidR="00235806" w:rsidRPr="003B0B36" w:rsidRDefault="00235806" w:rsidP="00235806">
      <w:pPr>
        <w:numPr>
          <w:ilvl w:val="0"/>
          <w:numId w:val="1"/>
        </w:numPr>
        <w:jc w:val="both"/>
        <w:rPr>
          <w:lang w:val="sr-Cyrl-CS"/>
        </w:rPr>
      </w:pPr>
      <w:r w:rsidRPr="003B0B36">
        <w:rPr>
          <w:lang w:val="sr-Cyrl-CS"/>
        </w:rPr>
        <w:t>УСТАВНИ ОСНОВ ЗА ДОНОШЕЊЕ ЗАКОНА</w:t>
      </w:r>
    </w:p>
    <w:p w:rsidR="003B0B36" w:rsidRDefault="003B0B36" w:rsidP="00235806">
      <w:pPr>
        <w:ind w:right="-720" w:firstLine="720"/>
        <w:jc w:val="both"/>
        <w:rPr>
          <w:lang w:val="sr-Cyrl-CS"/>
        </w:rPr>
      </w:pPr>
    </w:p>
    <w:p w:rsidR="00235806" w:rsidRPr="003B0B36" w:rsidRDefault="00F42DA8" w:rsidP="003B0B36">
      <w:pPr>
        <w:ind w:right="-46" w:firstLine="720"/>
        <w:jc w:val="both"/>
      </w:pPr>
      <w:r>
        <w:t xml:space="preserve">Уставни основ за доношење овог </w:t>
      </w:r>
      <w:r>
        <w:rPr>
          <w:lang w:val="sr-Cyrl-RS"/>
        </w:rPr>
        <w:t>з</w:t>
      </w:r>
      <w:r w:rsidR="00235806" w:rsidRPr="003B0B36">
        <w:t>акона је одредба члана 97. став 1. тачка 17) Устава Републике Србије по коме Републ</w:t>
      </w:r>
      <w:r>
        <w:t>ика Србија уређује и обезбеђује</w:t>
      </w:r>
      <w:r w:rsidR="00235806" w:rsidRPr="003B0B36">
        <w:t xml:space="preserve"> друге односе од интереса за Републику Србију, у складу сa Уставом.</w:t>
      </w:r>
    </w:p>
    <w:p w:rsidR="00235806" w:rsidRPr="003B0B36" w:rsidRDefault="00235806" w:rsidP="00235806">
      <w:pPr>
        <w:jc w:val="both"/>
        <w:rPr>
          <w:lang w:val="sr-Cyrl-CS"/>
        </w:rPr>
      </w:pPr>
    </w:p>
    <w:p w:rsidR="00235806" w:rsidRPr="003B0B36" w:rsidRDefault="00235806" w:rsidP="00235806">
      <w:pPr>
        <w:jc w:val="both"/>
        <w:rPr>
          <w:lang w:val="sr-Cyrl-CS"/>
        </w:rPr>
      </w:pPr>
    </w:p>
    <w:p w:rsidR="00235806" w:rsidRDefault="00235806" w:rsidP="00235806">
      <w:pPr>
        <w:ind w:firstLine="720"/>
        <w:jc w:val="both"/>
        <w:rPr>
          <w:bCs/>
          <w:lang w:val="ru-RU"/>
        </w:rPr>
      </w:pPr>
      <w:r w:rsidRPr="003B0B36">
        <w:rPr>
          <w:bCs/>
          <w:lang w:val="sr-Latn-CS"/>
        </w:rPr>
        <w:t>II</w:t>
      </w:r>
      <w:r w:rsidRPr="003B0B36">
        <w:rPr>
          <w:bCs/>
          <w:lang w:val="ru-RU"/>
        </w:rPr>
        <w:t xml:space="preserve">. </w:t>
      </w:r>
      <w:r w:rsidRPr="003B0B36">
        <w:rPr>
          <w:bCs/>
          <w:lang w:val="sr-Latn-CS"/>
        </w:rPr>
        <w:t xml:space="preserve">     </w:t>
      </w:r>
      <w:r w:rsidRPr="003B0B36">
        <w:rPr>
          <w:bCs/>
          <w:lang w:val="ru-RU"/>
        </w:rPr>
        <w:t xml:space="preserve">  РАЗЛОЗИ ЗА ДОНОШЕЊЕ ЗАКОНА</w:t>
      </w:r>
    </w:p>
    <w:p w:rsidR="00F42DA8" w:rsidRPr="003B0B36" w:rsidRDefault="00F42DA8" w:rsidP="00235806">
      <w:pPr>
        <w:ind w:firstLine="720"/>
        <w:jc w:val="both"/>
        <w:rPr>
          <w:bCs/>
          <w:lang w:val="ru-RU"/>
        </w:rPr>
      </w:pPr>
    </w:p>
    <w:p w:rsidR="00235806" w:rsidRPr="003B0B36" w:rsidRDefault="00235806" w:rsidP="00235806">
      <w:pPr>
        <w:kinsoku w:val="0"/>
        <w:overflowPunct w:val="0"/>
        <w:ind w:firstLine="720"/>
        <w:jc w:val="both"/>
        <w:textAlignment w:val="baseline"/>
      </w:pPr>
      <w:r w:rsidRPr="003B0B36">
        <w:rPr>
          <w:rFonts w:eastAsiaTheme="minorEastAsia"/>
          <w:bCs/>
          <w:kern w:val="24"/>
          <w:lang w:val="sr-Cyrl-CS"/>
        </w:rPr>
        <w:t xml:space="preserve">Закон о играма на срећу </w:t>
      </w:r>
      <w:r w:rsidR="00F42DA8">
        <w:rPr>
          <w:rFonts w:eastAsiaTheme="minorEastAsia"/>
          <w:kern w:val="24"/>
          <w:lang w:val="sr-Cyrl-CS"/>
        </w:rPr>
        <w:t>усвојила</w:t>
      </w:r>
      <w:r w:rsidRPr="003B0B36">
        <w:rPr>
          <w:rFonts w:eastAsiaTheme="minorEastAsia"/>
          <w:kern w:val="24"/>
          <w:lang w:val="sr-Cyrl-CS"/>
        </w:rPr>
        <w:t xml:space="preserve"> је</w:t>
      </w:r>
      <w:r w:rsidR="00F42DA8">
        <w:rPr>
          <w:rFonts w:eastAsiaTheme="minorEastAsia"/>
          <w:kern w:val="24"/>
          <w:lang w:val="sr-Latn-RS"/>
        </w:rPr>
        <w:t xml:space="preserve"> 24.</w:t>
      </w:r>
      <w:r w:rsidR="00F42DA8">
        <w:rPr>
          <w:rFonts w:eastAsiaTheme="minorEastAsia"/>
          <w:kern w:val="24"/>
          <w:lang w:val="sr-Cyrl-RS"/>
        </w:rPr>
        <w:t xml:space="preserve"> новембра </w:t>
      </w:r>
      <w:r w:rsidRPr="003B0B36">
        <w:rPr>
          <w:rFonts w:eastAsiaTheme="minorEastAsia"/>
          <w:kern w:val="24"/>
          <w:lang w:val="sr-Cyrl-CS"/>
        </w:rPr>
        <w:t>2011</w:t>
      </w:r>
      <w:r w:rsidR="00F42DA8">
        <w:rPr>
          <w:rFonts w:eastAsiaTheme="minorEastAsia"/>
          <w:kern w:val="24"/>
          <w:lang w:val="sr-Cyrl-CS"/>
        </w:rPr>
        <w:t>. године</w:t>
      </w:r>
      <w:r w:rsidRPr="003B0B36">
        <w:rPr>
          <w:rFonts w:eastAsiaTheme="minorEastAsia"/>
          <w:kern w:val="24"/>
          <w:lang w:val="sr-Cyrl-CS"/>
        </w:rPr>
        <w:t xml:space="preserve"> На</w:t>
      </w:r>
      <w:r w:rsidR="00F42DA8">
        <w:rPr>
          <w:rFonts w:eastAsiaTheme="minorEastAsia"/>
          <w:kern w:val="24"/>
          <w:lang w:val="sr-Cyrl-CS"/>
        </w:rPr>
        <w:t>родна скупштина</w:t>
      </w:r>
      <w:r w:rsidRPr="003B0B36">
        <w:rPr>
          <w:rFonts w:eastAsiaTheme="minorEastAsia"/>
          <w:kern w:val="24"/>
          <w:lang w:val="sr-Cyrl-CS"/>
        </w:rPr>
        <w:t xml:space="preserve"> и објављен у „Службеном гласнику РС</w:t>
      </w:r>
      <w:r w:rsidRPr="003B0B36">
        <w:rPr>
          <w:lang w:val="ru-RU"/>
        </w:rPr>
        <w:t>”</w:t>
      </w:r>
      <w:r w:rsidRPr="003B0B36">
        <w:rPr>
          <w:rFonts w:eastAsiaTheme="minorEastAsia"/>
          <w:kern w:val="24"/>
          <w:lang w:val="sr-Cyrl-CS"/>
        </w:rPr>
        <w:t xml:space="preserve">, број 88/11. Закон је ступио на снагу </w:t>
      </w:r>
      <w:r w:rsidR="00F42DA8">
        <w:rPr>
          <w:rFonts w:eastAsiaTheme="minorEastAsia"/>
          <w:kern w:val="24"/>
          <w:lang w:val="sr-Latn-RS"/>
        </w:rPr>
        <w:t>2.</w:t>
      </w:r>
      <w:r w:rsidR="00F42DA8">
        <w:rPr>
          <w:rFonts w:eastAsiaTheme="minorEastAsia"/>
          <w:kern w:val="24"/>
          <w:lang w:val="sr-Cyrl-RS"/>
        </w:rPr>
        <w:t xml:space="preserve"> децембра </w:t>
      </w:r>
      <w:r w:rsidRPr="003B0B36">
        <w:rPr>
          <w:rFonts w:eastAsiaTheme="minorEastAsia"/>
          <w:kern w:val="24"/>
          <w:lang w:val="sr-Cyrl-CS"/>
        </w:rPr>
        <w:t>2011. године.</w:t>
      </w:r>
    </w:p>
    <w:p w:rsidR="00235806" w:rsidRPr="003B0B36" w:rsidRDefault="00235806" w:rsidP="00235806">
      <w:pPr>
        <w:kinsoku w:val="0"/>
        <w:overflowPunct w:val="0"/>
        <w:ind w:firstLine="547"/>
        <w:jc w:val="both"/>
        <w:textAlignment w:val="baseline"/>
        <w:rPr>
          <w:rFonts w:eastAsiaTheme="minorEastAsia"/>
          <w:kern w:val="24"/>
          <w:lang w:val="sr-Cyrl-CS"/>
        </w:rPr>
      </w:pPr>
      <w:r w:rsidRPr="003B0B36">
        <w:rPr>
          <w:rFonts w:eastAsiaTheme="minorEastAsia"/>
          <w:kern w:val="24"/>
          <w:lang w:val="sr-Cyrl-CS"/>
        </w:rPr>
        <w:t>Законом о играма на срећу</w:t>
      </w:r>
      <w:r w:rsidR="00E829E4">
        <w:rPr>
          <w:rFonts w:eastAsiaTheme="minorEastAsia"/>
          <w:kern w:val="24"/>
          <w:lang w:val="sr-Cyrl-CS"/>
        </w:rPr>
        <w:t xml:space="preserve"> уређују се</w:t>
      </w:r>
      <w:r w:rsidRPr="003B0B36">
        <w:rPr>
          <w:rFonts w:eastAsiaTheme="minorEastAsia"/>
          <w:kern w:val="24"/>
          <w:lang w:val="sr-Cyrl-CS"/>
        </w:rPr>
        <w:t xml:space="preserve"> право на приређивање игара на срећу,</w:t>
      </w:r>
      <w:r w:rsidRPr="003B0B36">
        <w:rPr>
          <w:lang w:val="sr-Cyrl-RS"/>
        </w:rPr>
        <w:t xml:space="preserve"> врсте игара на срећу, услови приређивања, права и обавезе приређивача игара на срећу, остваривање и припадност прихода остварених приређивањем игара на срећу, као и надзор над приређивањем игара на срећу</w:t>
      </w:r>
      <w:r w:rsidRPr="003B0B36">
        <w:rPr>
          <w:rFonts w:eastAsiaTheme="minorEastAsia"/>
          <w:kern w:val="24"/>
          <w:lang w:val="sr-Cyrl-CS"/>
        </w:rPr>
        <w:t>.</w:t>
      </w:r>
    </w:p>
    <w:p w:rsidR="00235806" w:rsidRPr="003B0B36" w:rsidRDefault="00E829E4" w:rsidP="00235806">
      <w:pPr>
        <w:ind w:firstLine="720"/>
        <w:jc w:val="both"/>
        <w:rPr>
          <w:shd w:val="clear" w:color="auto" w:fill="FFFFFF"/>
          <w:lang w:val="sr-Latn-RS"/>
        </w:rPr>
      </w:pPr>
      <w:r>
        <w:rPr>
          <w:rFonts w:eastAsia="Calibri"/>
          <w:lang w:val="sr-Latn-RS"/>
        </w:rPr>
        <w:t xml:space="preserve">Разлози за усвајање </w:t>
      </w:r>
      <w:r>
        <w:rPr>
          <w:rFonts w:eastAsia="Calibri"/>
          <w:lang w:val="sr-Cyrl-RS"/>
        </w:rPr>
        <w:t>Предлога</w:t>
      </w:r>
      <w:r w:rsidR="00235806" w:rsidRPr="003B0B36">
        <w:rPr>
          <w:rFonts w:eastAsia="Calibri"/>
          <w:lang w:val="sr-Latn-RS"/>
        </w:rPr>
        <w:t xml:space="preserve"> закона о</w:t>
      </w:r>
      <w:r>
        <w:rPr>
          <w:rFonts w:eastAsia="Calibri"/>
          <w:lang w:val="sr-Cyrl-RS"/>
        </w:rPr>
        <w:t xml:space="preserve"> изменама и</w:t>
      </w:r>
      <w:r w:rsidR="00235806" w:rsidRPr="003B0B36">
        <w:rPr>
          <w:rFonts w:eastAsia="Calibri"/>
          <w:lang w:val="sr-Latn-RS"/>
        </w:rPr>
        <w:t xml:space="preserve"> допунама Закона о </w:t>
      </w:r>
      <w:r w:rsidR="00235806" w:rsidRPr="003B0B36">
        <w:rPr>
          <w:rFonts w:eastAsia="Calibri"/>
          <w:lang w:val="sr-Cyrl-RS"/>
        </w:rPr>
        <w:t>играма на срећу</w:t>
      </w:r>
      <w:r>
        <w:rPr>
          <w:rFonts w:eastAsia="Calibri"/>
          <w:lang w:val="sr-Latn-RS"/>
        </w:rPr>
        <w:t xml:space="preserve"> (у даљем тексту: </w:t>
      </w:r>
      <w:r>
        <w:rPr>
          <w:rFonts w:eastAsia="Calibri"/>
          <w:lang w:val="sr-Cyrl-RS"/>
        </w:rPr>
        <w:t>Предлог</w:t>
      </w:r>
      <w:r w:rsidR="00235806" w:rsidRPr="003B0B36">
        <w:rPr>
          <w:rFonts w:eastAsia="Calibri"/>
          <w:lang w:val="sr-Latn-RS"/>
        </w:rPr>
        <w:t xml:space="preserve"> закона) садржани су у обавези Републике Србије да усагласи своју законску регулативу са новим међународним стандардима у области спречавања и откривања прања новца и финансирања тероризма (Међународни стандарди у борби против прања новца и финансирања тероризма и шир</w:t>
      </w:r>
      <w:r>
        <w:rPr>
          <w:rFonts w:eastAsia="Calibri"/>
          <w:lang w:val="sr-Latn-RS"/>
        </w:rPr>
        <w:t xml:space="preserve">ења оружја за масовно уништење </w:t>
      </w:r>
      <w:r>
        <w:rPr>
          <w:rFonts w:eastAsia="Calibri"/>
          <w:lang w:val="sr-Cyrl-RS"/>
        </w:rPr>
        <w:t>-</w:t>
      </w:r>
      <w:r w:rsidR="00235806" w:rsidRPr="003B0B36">
        <w:rPr>
          <w:rFonts w:eastAsia="Calibri"/>
          <w:lang w:val="sr-Latn-RS"/>
        </w:rPr>
        <w:t xml:space="preserve"> ФАТФ Препоруке) које су донете 2012. године од стране </w:t>
      </w:r>
      <w:r w:rsidR="00235806" w:rsidRPr="003B0B36">
        <w:rPr>
          <w:shd w:val="clear" w:color="auto" w:fill="FFFFFF"/>
          <w:lang w:val="sr-Latn-RS"/>
        </w:rPr>
        <w:t>Организације за контролу и спречавање прања новца (</w:t>
      </w:r>
      <w:r w:rsidR="00235806" w:rsidRPr="003B0B36">
        <w:rPr>
          <w:rFonts w:eastAsia="Calibri"/>
          <w:lang w:val="sr-Latn-RS"/>
        </w:rPr>
        <w:t xml:space="preserve">у даљем тексту: </w:t>
      </w:r>
      <w:r w:rsidR="00235806" w:rsidRPr="003B0B36">
        <w:rPr>
          <w:shd w:val="clear" w:color="auto" w:fill="FFFFFF"/>
          <w:lang w:val="sr-Latn-RS"/>
        </w:rPr>
        <w:t>ФАТФ).</w:t>
      </w:r>
    </w:p>
    <w:p w:rsidR="00235806" w:rsidRPr="003B0B36" w:rsidRDefault="00235806" w:rsidP="00235806">
      <w:pPr>
        <w:ind w:firstLine="720"/>
        <w:jc w:val="both"/>
        <w:rPr>
          <w:rFonts w:eastAsia="Calibri"/>
          <w:lang w:val="sr-Cyrl-RS"/>
        </w:rPr>
      </w:pPr>
      <w:r w:rsidRPr="003B0B36">
        <w:rPr>
          <w:rFonts w:eastAsia="Calibri"/>
          <w:lang w:val="sr-Latn-RS"/>
        </w:rPr>
        <w:t>Наведени документ представља основ на коме почива рад МАНИВАЛ-а, тела Савета Европе које се бави проценом усаглашености националних система за спречавање прања новца и финансирања тероризма држава чланица Савета Европе са међународним стандардима. Република Срби</w:t>
      </w:r>
      <w:r w:rsidR="00E829E4">
        <w:rPr>
          <w:rFonts w:eastAsia="Calibri"/>
          <w:lang w:val="sr-Latn-RS"/>
        </w:rPr>
        <w:t>ја је у периоду децембар 2014.</w:t>
      </w:r>
      <w:r w:rsidR="00E829E4">
        <w:rPr>
          <w:rFonts w:eastAsia="Calibri"/>
          <w:lang w:val="sr-Cyrl-RS"/>
        </w:rPr>
        <w:t xml:space="preserve"> -</w:t>
      </w:r>
      <w:r w:rsidRPr="003B0B36">
        <w:rPr>
          <w:rFonts w:eastAsia="Calibri"/>
          <w:lang w:val="sr-Latn-RS"/>
        </w:rPr>
        <w:t xml:space="preserve"> април 2016. године била</w:t>
      </w:r>
      <w:r w:rsidR="00E829E4">
        <w:rPr>
          <w:rFonts w:eastAsia="Calibri"/>
          <w:lang w:val="sr-Latn-RS"/>
        </w:rPr>
        <w:t xml:space="preserve"> предмет петог круга евалуације</w:t>
      </w:r>
      <w:r w:rsidRPr="003B0B36">
        <w:rPr>
          <w:rFonts w:eastAsia="Calibri"/>
          <w:lang w:val="sr-Latn-RS"/>
        </w:rPr>
        <w:t xml:space="preserve"> од стране Комитета МАНИВАЛ (у даљем тексту: Комитет), у погледу радњи и мера које предузима у циљу борбе против прања новца и финансирања тероризма. У свом Извештају, Комитет је констатовао да нису у потпуности испуњене препоруке </w:t>
      </w:r>
      <w:r w:rsidRPr="003B0B36">
        <w:rPr>
          <w:shd w:val="clear" w:color="auto" w:fill="FFFFFF"/>
          <w:lang w:val="sr-Latn-RS"/>
        </w:rPr>
        <w:t xml:space="preserve">ФАТФ-а </w:t>
      </w:r>
      <w:r w:rsidRPr="003B0B36">
        <w:rPr>
          <w:rFonts w:eastAsia="Calibri"/>
          <w:lang w:val="sr-Latn-RS"/>
        </w:rPr>
        <w:t>из 2012. године</w:t>
      </w:r>
      <w:r w:rsidRPr="003B0B36">
        <w:rPr>
          <w:shd w:val="clear" w:color="auto" w:fill="FFFFFF"/>
          <w:lang w:val="sr-Latn-RS"/>
        </w:rPr>
        <w:t>.</w:t>
      </w:r>
      <w:r w:rsidRPr="003B0B36">
        <w:rPr>
          <w:rFonts w:eastAsia="Calibri"/>
          <w:lang w:val="sr-Latn-RS"/>
        </w:rPr>
        <w:t xml:space="preserve"> Поменути Извештај, између осталог, садржи Препоруку 28. која се односи на регулисање и надзор над радом </w:t>
      </w:r>
      <w:r w:rsidR="00E829E4">
        <w:rPr>
          <w:rFonts w:eastAsia="Calibri"/>
          <w:lang w:val="sr-Latn-RS"/>
        </w:rPr>
        <w:t>нефинансијског сектора, а којом</w:t>
      </w:r>
      <w:r w:rsidRPr="003B0B36">
        <w:rPr>
          <w:rFonts w:eastAsia="Calibri"/>
          <w:lang w:val="sr-Latn-RS"/>
        </w:rPr>
        <w:t xml:space="preserve"> се предлаже и измена прописа који регулишу пословање субјеката у нефинансијском сектору у смислу забране кривично осуђиваним правним лицима </w:t>
      </w:r>
      <w:r w:rsidRPr="003B0B36">
        <w:rPr>
          <w:rFonts w:eastAsia="Calibri"/>
          <w:lang w:val="sr-Cyrl-RS"/>
        </w:rPr>
        <w:t xml:space="preserve">и физичким лицима </w:t>
      </w:r>
      <w:r w:rsidRPr="003B0B36">
        <w:rPr>
          <w:rFonts w:eastAsia="Calibri"/>
          <w:lang w:val="sr-Latn-RS"/>
        </w:rPr>
        <w:t xml:space="preserve">да буду оснивачи и власници </w:t>
      </w:r>
      <w:r w:rsidRPr="003B0B36">
        <w:rPr>
          <w:rFonts w:eastAsia="Calibri"/>
          <w:lang w:val="sr-Cyrl-RS"/>
        </w:rPr>
        <w:t xml:space="preserve">привредних друштава </w:t>
      </w:r>
      <w:r w:rsidRPr="003B0B36">
        <w:rPr>
          <w:lang w:val="ru-RU" w:eastAsia="sr-Latn-CS"/>
        </w:rPr>
        <w:t>на</w:t>
      </w:r>
      <w:r w:rsidRPr="003B0B36">
        <w:rPr>
          <w:lang w:val="sr-Cyrl-CS" w:eastAsia="sr-Latn-CS"/>
        </w:rPr>
        <w:t xml:space="preserve"> </w:t>
      </w:r>
      <w:r w:rsidRPr="003B0B36">
        <w:rPr>
          <w:lang w:val="ru-RU" w:eastAsia="sr-Latn-CS"/>
        </w:rPr>
        <w:t>којe Република Србија може пренети право на приређивање игара на срећу</w:t>
      </w:r>
      <w:r w:rsidRPr="003B0B36">
        <w:rPr>
          <w:rFonts w:eastAsia="Calibri"/>
          <w:lang w:val="sr-Cyrl-RS"/>
        </w:rPr>
        <w:t xml:space="preserve">, односно </w:t>
      </w:r>
      <w:r w:rsidRPr="003B0B36">
        <w:rPr>
          <w:rFonts w:eastAsia="Calibri"/>
          <w:lang w:val="sr-Latn-RS"/>
        </w:rPr>
        <w:t xml:space="preserve">забране кривично осуђиваним </w:t>
      </w:r>
      <w:r w:rsidRPr="003B0B36">
        <w:rPr>
          <w:rFonts w:eastAsia="Calibri"/>
          <w:lang w:val="sr-Cyrl-RS"/>
        </w:rPr>
        <w:t xml:space="preserve">физичким лицима да се као предузетници баве овом делатношћу. </w:t>
      </w:r>
    </w:p>
    <w:p w:rsidR="00235806" w:rsidRPr="003B0B36" w:rsidRDefault="00235806" w:rsidP="00235806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CS"/>
        </w:rPr>
      </w:pPr>
      <w:r w:rsidRPr="003B0B36">
        <w:rPr>
          <w:lang w:val="sr-Latn-RS"/>
        </w:rPr>
        <w:t>Имајући у виду све наведено, а посебно обавезу Републике Србије да</w:t>
      </w:r>
      <w:r w:rsidRPr="003B0B36">
        <w:rPr>
          <w:rFonts w:eastAsia="Calibri"/>
          <w:lang w:val="sr-Latn-RS"/>
        </w:rPr>
        <w:t xml:space="preserve"> докаже конкретне напретке у свакој од кључних области, </w:t>
      </w:r>
      <w:r w:rsidRPr="003B0B36">
        <w:rPr>
          <w:lang w:val="sr-Latn-RS"/>
        </w:rPr>
        <w:t>као и спремност да кроз измену прописа заштити финансијски систем од потенцијалних злоупотреба, те избегне стављање Републике Србије на листу држава које не примењују међународне стандарде у области борбе против прања новца и финанси</w:t>
      </w:r>
      <w:r w:rsidR="00EA27C5">
        <w:rPr>
          <w:lang w:val="sr-Latn-RS"/>
        </w:rPr>
        <w:t>рања тероризма, израђен је</w:t>
      </w:r>
      <w:r w:rsidR="00EA27C5">
        <w:rPr>
          <w:lang w:val="sr-Cyrl-RS"/>
        </w:rPr>
        <w:t xml:space="preserve"> Предлог</w:t>
      </w:r>
      <w:r w:rsidRPr="003B0B36">
        <w:rPr>
          <w:lang w:val="sr-Latn-RS"/>
        </w:rPr>
        <w:t xml:space="preserve"> закона</w:t>
      </w:r>
      <w:r w:rsidR="00EA27C5">
        <w:rPr>
          <w:lang w:val="sr-Cyrl-RS"/>
        </w:rPr>
        <w:t>.</w:t>
      </w:r>
      <w:r w:rsidRPr="003B0B36">
        <w:rPr>
          <w:lang w:val="sr-Latn-RS"/>
        </w:rPr>
        <w:t xml:space="preserve"> </w:t>
      </w:r>
    </w:p>
    <w:p w:rsidR="00235806" w:rsidRPr="003B0B36" w:rsidRDefault="00EA27C5" w:rsidP="00235806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CS"/>
        </w:rPr>
      </w:pPr>
      <w:r>
        <w:rPr>
          <w:rFonts w:eastAsiaTheme="minorEastAsia"/>
          <w:kern w:val="24"/>
          <w:lang w:val="sr-Cyrl-CS"/>
        </w:rPr>
        <w:lastRenderedPageBreak/>
        <w:t>Одредбе Предлога</w:t>
      </w:r>
      <w:r w:rsidR="00235806" w:rsidRPr="003B0B36">
        <w:rPr>
          <w:rFonts w:eastAsiaTheme="minorEastAsia"/>
          <w:kern w:val="24"/>
          <w:lang w:val="sr-Cyrl-CS"/>
        </w:rPr>
        <w:t xml:space="preserve"> закона односиће се на сва правна лица </w:t>
      </w:r>
      <w:r>
        <w:rPr>
          <w:rFonts w:eastAsiaTheme="minorEastAsia"/>
          <w:kern w:val="24"/>
          <w:lang w:val="sr-Cyrl-CS"/>
        </w:rPr>
        <w:t>из</w:t>
      </w:r>
      <w:r w:rsidR="004F6DB9" w:rsidRPr="003B0B36">
        <w:rPr>
          <w:rFonts w:eastAsiaTheme="minorEastAsia"/>
          <w:kern w:val="24"/>
          <w:lang w:val="sr-Cyrl-RS"/>
        </w:rPr>
        <w:t xml:space="preserve"> чл. 19-22. Закона о играма на срећу</w:t>
      </w:r>
      <w:r w:rsidR="002F7B15">
        <w:rPr>
          <w:rFonts w:eastAsiaTheme="minorEastAsia"/>
          <w:kern w:val="24"/>
          <w:lang w:val="sr-Cyrl-RS"/>
        </w:rPr>
        <w:t xml:space="preserve"> </w:t>
      </w:r>
      <w:r w:rsidR="002F7B15">
        <w:rPr>
          <w:lang w:val="sr-Latn-CS"/>
        </w:rPr>
        <w:t>(„</w:t>
      </w:r>
      <w:r w:rsidR="002F7B15">
        <w:rPr>
          <w:lang w:val="ru-RU"/>
        </w:rPr>
        <w:t>Службени гласник РС</w:t>
      </w:r>
      <w:r w:rsidR="002F7B15">
        <w:rPr>
          <w:lang w:val="sr-Latn-CS"/>
        </w:rPr>
        <w:t>”,</w:t>
      </w:r>
      <w:r w:rsidR="002F7B15">
        <w:rPr>
          <w:lang w:val="sr-Cyrl-CS"/>
        </w:rPr>
        <w:t xml:space="preserve"> бр</w:t>
      </w:r>
      <w:r w:rsidR="002F7B15">
        <w:rPr>
          <w:lang w:val="sr-Latn-RS"/>
        </w:rPr>
        <w:t>.</w:t>
      </w:r>
      <w:r w:rsidR="002F7B15">
        <w:rPr>
          <w:lang w:val="sr-Cyrl-CS"/>
        </w:rPr>
        <w:t xml:space="preserve"> </w:t>
      </w:r>
      <w:r w:rsidR="002F7B15">
        <w:t>88</w:t>
      </w:r>
      <w:r w:rsidR="002F7B15">
        <w:rPr>
          <w:lang w:val="sr-Cyrl-CS"/>
        </w:rPr>
        <w:t xml:space="preserve">/11 и 93/12-др.закон), </w:t>
      </w:r>
      <w:r w:rsidR="00235806" w:rsidRPr="003B0B36">
        <w:rPr>
          <w:rFonts w:eastAsiaTheme="minorEastAsia"/>
          <w:kern w:val="24"/>
          <w:lang w:val="sr-Cyrl-CS"/>
        </w:rPr>
        <w:t xml:space="preserve">у смислу прибављања одговарајућих уверења о неосуђиваности за прописана кривична дела. </w:t>
      </w:r>
    </w:p>
    <w:p w:rsidR="00235806" w:rsidRPr="003B0B36" w:rsidRDefault="00235806" w:rsidP="00235806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CS"/>
        </w:rPr>
      </w:pPr>
    </w:p>
    <w:p w:rsidR="00235806" w:rsidRPr="003B0B36" w:rsidRDefault="00235806" w:rsidP="00235806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CS"/>
        </w:rPr>
      </w:pPr>
    </w:p>
    <w:p w:rsidR="00235806" w:rsidRPr="003B0B36" w:rsidRDefault="00235806" w:rsidP="00235806">
      <w:pPr>
        <w:pStyle w:val="BodyText2"/>
        <w:ind w:firstLine="720"/>
        <w:rPr>
          <w:b w:val="0"/>
        </w:rPr>
      </w:pPr>
      <w:r w:rsidRPr="003B0B36">
        <w:rPr>
          <w:b w:val="0"/>
          <w:lang w:val="sr-Latn-RS"/>
        </w:rPr>
        <w:t xml:space="preserve">III. </w:t>
      </w:r>
      <w:r w:rsidRPr="003B0B36">
        <w:rPr>
          <w:b w:val="0"/>
        </w:rPr>
        <w:t>САДРЖИНА ЗАКОНА - ОБЈАШЊЕЊЕ ОСНОВНИХ ПРАВНИХ ИНСТИТУТА И ПОЈЕДИНАЧНИХ РЕШЕЊА</w:t>
      </w:r>
    </w:p>
    <w:p w:rsidR="00235806" w:rsidRPr="003B0B36" w:rsidRDefault="00235806" w:rsidP="00235806">
      <w:pPr>
        <w:jc w:val="both"/>
        <w:rPr>
          <w:lang w:val="sr-Cyrl-RS"/>
        </w:rPr>
      </w:pPr>
      <w:r w:rsidRPr="003B0B36">
        <w:rPr>
          <w:lang w:val="sr-Cyrl-RS"/>
        </w:rPr>
        <w:tab/>
      </w:r>
    </w:p>
    <w:p w:rsidR="00235806" w:rsidRPr="003B0B36" w:rsidRDefault="00235806" w:rsidP="00235806">
      <w:pPr>
        <w:jc w:val="both"/>
        <w:rPr>
          <w:rFonts w:eastAsia="TimesNewRoman"/>
          <w:lang w:val="ru-RU"/>
        </w:rPr>
      </w:pPr>
      <w:r w:rsidRPr="003B0B36">
        <w:rPr>
          <w:lang w:val="sr-Cyrl-RS"/>
        </w:rPr>
        <w:tab/>
      </w:r>
      <w:r w:rsidR="00EA27C5">
        <w:rPr>
          <w:lang w:val="sr-Cyrl-RS"/>
        </w:rPr>
        <w:t>Одредбом члана 1. Предлога</w:t>
      </w:r>
      <w:r w:rsidRPr="003B0B36">
        <w:rPr>
          <w:lang w:val="sr-Cyrl-RS"/>
        </w:rPr>
        <w:t xml:space="preserve"> закона предложено</w:t>
      </w:r>
      <w:r w:rsidR="005C5B8E" w:rsidRPr="003B0B36">
        <w:rPr>
          <w:lang w:val="sr-Cyrl-RS"/>
        </w:rPr>
        <w:t xml:space="preserve"> је да се додаје</w:t>
      </w:r>
      <w:r w:rsidRPr="003B0B36">
        <w:rPr>
          <w:lang w:val="sr-Cyrl-RS"/>
        </w:rPr>
        <w:t xml:space="preserve"> став</w:t>
      </w:r>
      <w:r w:rsidR="00EA27C5">
        <w:rPr>
          <w:lang w:val="sr-Cyrl-RS"/>
        </w:rPr>
        <w:t xml:space="preserve"> 2.</w:t>
      </w:r>
      <w:r w:rsidRPr="003B0B36">
        <w:rPr>
          <w:lang w:val="sr-Cyrl-RS"/>
        </w:rPr>
        <w:t xml:space="preserve"> у члану 117.</w:t>
      </w:r>
      <w:r w:rsidR="005C5B8E" w:rsidRPr="003B0B36">
        <w:rPr>
          <w:lang w:val="sr-Cyrl-RS"/>
        </w:rPr>
        <w:t xml:space="preserve"> </w:t>
      </w:r>
      <w:r w:rsidRPr="003B0B36">
        <w:rPr>
          <w:lang w:val="sr-Cyrl-RS"/>
        </w:rPr>
        <w:t>Закона о играма на срећу</w:t>
      </w:r>
      <w:r w:rsidR="002F7B15">
        <w:rPr>
          <w:lang w:val="sr-Cyrl-RS"/>
        </w:rPr>
        <w:t xml:space="preserve"> </w:t>
      </w:r>
      <w:r w:rsidR="002F7B15">
        <w:rPr>
          <w:lang w:val="sr-Latn-CS"/>
        </w:rPr>
        <w:t>(„</w:t>
      </w:r>
      <w:r w:rsidR="002F7B15">
        <w:rPr>
          <w:lang w:val="ru-RU"/>
        </w:rPr>
        <w:t>Службени гласник РС</w:t>
      </w:r>
      <w:r w:rsidR="002F7B15">
        <w:rPr>
          <w:lang w:val="sr-Latn-CS"/>
        </w:rPr>
        <w:t>”,</w:t>
      </w:r>
      <w:r w:rsidR="002F7B15">
        <w:rPr>
          <w:lang w:val="sr-Cyrl-CS"/>
        </w:rPr>
        <w:t xml:space="preserve"> бр</w:t>
      </w:r>
      <w:r w:rsidR="002F7B15">
        <w:rPr>
          <w:lang w:val="sr-Latn-RS"/>
        </w:rPr>
        <w:t>.</w:t>
      </w:r>
      <w:r w:rsidR="002F7B15">
        <w:rPr>
          <w:lang w:val="sr-Cyrl-CS"/>
        </w:rPr>
        <w:t xml:space="preserve"> </w:t>
      </w:r>
      <w:r w:rsidR="002F7B15">
        <w:t>88</w:t>
      </w:r>
      <w:r w:rsidR="002F7B15">
        <w:rPr>
          <w:lang w:val="sr-Cyrl-CS"/>
        </w:rPr>
        <w:t>/11 и 93/12-др.закон)</w:t>
      </w:r>
      <w:r w:rsidRPr="003B0B36">
        <w:rPr>
          <w:lang w:val="sr-Cyrl-RS"/>
        </w:rPr>
        <w:t xml:space="preserve"> у смислу да </w:t>
      </w:r>
      <w:r w:rsidRPr="003B0B36">
        <w:rPr>
          <w:lang w:val="ru-RU" w:eastAsia="sr-Latn-CS"/>
        </w:rPr>
        <w:t xml:space="preserve">оснивач, </w:t>
      </w:r>
      <w:r w:rsidRPr="003B0B36">
        <w:rPr>
          <w:lang w:val="sr-Cyrl-RS"/>
        </w:rPr>
        <w:t>односно власник,</w:t>
      </w:r>
      <w:r w:rsidRPr="003B0B36">
        <w:rPr>
          <w:lang w:val="ru-RU" w:eastAsia="sr-Latn-CS"/>
        </w:rPr>
        <w:t xml:space="preserve"> као и члан органа управљања правног лица</w:t>
      </w:r>
      <w:r w:rsidR="004F6DB9" w:rsidRPr="003B0B36">
        <w:rPr>
          <w:lang w:val="ru-RU" w:eastAsia="sr-Latn-CS"/>
        </w:rPr>
        <w:t>,</w:t>
      </w:r>
      <w:r w:rsidRPr="003B0B36">
        <w:rPr>
          <w:lang w:val="sr-Cyrl-CS" w:eastAsia="sr-Latn-CS"/>
        </w:rPr>
        <w:t xml:space="preserve"> </w:t>
      </w:r>
      <w:r w:rsidRPr="003B0B36">
        <w:rPr>
          <w:lang w:val="ru-RU" w:eastAsia="sr-Latn-CS"/>
        </w:rPr>
        <w:t xml:space="preserve">не може бити правно лице које је </w:t>
      </w:r>
      <w:r w:rsidRPr="003B0B36">
        <w:rPr>
          <w:lang w:val="sr-Cyrl-RS"/>
        </w:rPr>
        <w:t>осуђено правоснажном пресудом за кривично дело у смислу закона којим се уређује одговорност правних лица за кривична дела</w:t>
      </w:r>
      <w:r w:rsidRPr="003B0B36">
        <w:rPr>
          <w:lang w:val="ru-RU" w:eastAsia="sr-Latn-CS"/>
        </w:rPr>
        <w:t xml:space="preserve">, односно физичко лице које је правоснажно осуђено за кривична дела </w:t>
      </w:r>
      <w:r w:rsidRPr="003B0B36">
        <w:rPr>
          <w:rFonts w:eastAsia="TimesNewRoman"/>
          <w:lang w:val="ru-RU"/>
        </w:rPr>
        <w:t>против права</w:t>
      </w:r>
      <w:r w:rsidR="004F6DB9" w:rsidRPr="003B0B36">
        <w:rPr>
          <w:rFonts w:eastAsia="TimesNewRoman"/>
          <w:lang w:val="ru-RU"/>
        </w:rPr>
        <w:t>,</w:t>
      </w:r>
      <w:r w:rsidRPr="003B0B36">
        <w:rPr>
          <w:rFonts w:eastAsia="TimesNewRoman"/>
          <w:lang w:val="ru-RU"/>
        </w:rPr>
        <w:t xml:space="preserve"> по основу рада, привреде, имовине, правосуђа, прања новца, финансирања тероризма, јавног реда и мира, правног саобраћаја и службене дужности.</w:t>
      </w:r>
    </w:p>
    <w:p w:rsidR="00235806" w:rsidRPr="003B0B36" w:rsidRDefault="00235806" w:rsidP="00235806">
      <w:pPr>
        <w:jc w:val="both"/>
        <w:rPr>
          <w:lang w:val="sr-Cyrl-RS"/>
        </w:rPr>
      </w:pPr>
      <w:r w:rsidRPr="003B0B36">
        <w:rPr>
          <w:lang w:val="ru-RU" w:eastAsia="sr-Latn-CS"/>
        </w:rPr>
        <w:tab/>
      </w:r>
      <w:r w:rsidRPr="003B0B36">
        <w:rPr>
          <w:lang w:val="sr-Cyrl-RS"/>
        </w:rPr>
        <w:t>Одредбама члана 2</w:t>
      </w:r>
      <w:r w:rsidR="002F7B15">
        <w:rPr>
          <w:lang w:val="sr-Cyrl-RS"/>
        </w:rPr>
        <w:t>. Предлога</w:t>
      </w:r>
      <w:r w:rsidRPr="003B0B36">
        <w:rPr>
          <w:lang w:val="sr-Cyrl-RS"/>
        </w:rPr>
        <w:t xml:space="preserve"> закона одређено је да се бриш</w:t>
      </w:r>
      <w:r w:rsidR="004B5697">
        <w:rPr>
          <w:lang w:val="sr-Cyrl-RS"/>
        </w:rPr>
        <w:t>у назив члана и</w:t>
      </w:r>
      <w:r w:rsidRPr="003B0B36">
        <w:rPr>
          <w:lang w:val="sr-Cyrl-RS"/>
        </w:rPr>
        <w:t xml:space="preserve"> члан 124. Закона о играма на срећу</w:t>
      </w:r>
      <w:r w:rsidR="002F7B15">
        <w:rPr>
          <w:lang w:val="sr-Cyrl-RS"/>
        </w:rPr>
        <w:t xml:space="preserve"> </w:t>
      </w:r>
      <w:r w:rsidR="002F7B15">
        <w:rPr>
          <w:lang w:val="sr-Latn-CS"/>
        </w:rPr>
        <w:t>(„</w:t>
      </w:r>
      <w:r w:rsidR="002F7B15">
        <w:rPr>
          <w:lang w:val="ru-RU"/>
        </w:rPr>
        <w:t>Службени гласник РС</w:t>
      </w:r>
      <w:r w:rsidR="002F7B15">
        <w:rPr>
          <w:lang w:val="sr-Latn-CS"/>
        </w:rPr>
        <w:t>”,</w:t>
      </w:r>
      <w:r w:rsidR="002F7B15">
        <w:rPr>
          <w:lang w:val="sr-Cyrl-CS"/>
        </w:rPr>
        <w:t xml:space="preserve"> бр</w:t>
      </w:r>
      <w:r w:rsidR="002F7B15">
        <w:rPr>
          <w:lang w:val="sr-Latn-RS"/>
        </w:rPr>
        <w:t>.</w:t>
      </w:r>
      <w:r w:rsidR="002F7B15">
        <w:rPr>
          <w:lang w:val="sr-Cyrl-CS"/>
        </w:rPr>
        <w:t xml:space="preserve"> </w:t>
      </w:r>
      <w:r w:rsidR="002F7B15">
        <w:t>88</w:t>
      </w:r>
      <w:r w:rsidR="002F7B15">
        <w:rPr>
          <w:lang w:val="sr-Cyrl-CS"/>
        </w:rPr>
        <w:t>/11 и 93/12-др.закон),</w:t>
      </w:r>
      <w:r w:rsidRPr="003B0B36">
        <w:rPr>
          <w:lang w:val="sr-Cyrl-RS"/>
        </w:rPr>
        <w:t xml:space="preserve"> имајући у виду да је неопходно одредити један ор</w:t>
      </w:r>
      <w:r w:rsidR="004F6DB9" w:rsidRPr="003B0B36">
        <w:rPr>
          <w:lang w:val="sr-Cyrl-RS"/>
        </w:rPr>
        <w:t>г</w:t>
      </w:r>
      <w:r w:rsidRPr="003B0B36">
        <w:rPr>
          <w:lang w:val="sr-Cyrl-RS"/>
        </w:rPr>
        <w:t>ан за врш</w:t>
      </w:r>
      <w:r w:rsidR="002F7B15">
        <w:rPr>
          <w:lang w:val="sr-Cyrl-RS"/>
        </w:rPr>
        <w:t>ење надзора над спровођењем</w:t>
      </w:r>
      <w:r w:rsidRPr="003B0B36">
        <w:rPr>
          <w:lang w:val="sr-Cyrl-RS"/>
        </w:rPr>
        <w:t xml:space="preserve"> Закона</w:t>
      </w:r>
      <w:r w:rsidR="002F7B15">
        <w:rPr>
          <w:lang w:val="sr-Cyrl-RS"/>
        </w:rPr>
        <w:t xml:space="preserve"> о играма на срећу</w:t>
      </w:r>
      <w:r w:rsidRPr="003B0B36">
        <w:rPr>
          <w:lang w:val="sr-Cyrl-RS"/>
        </w:rPr>
        <w:t>. Наиме, у Закону о играма на срећу предвиђено је целокупно поступање по одредбама овог закона Управе за игре на срећу, тако да се Управа за спречавањ</w:t>
      </w:r>
      <w:r w:rsidR="002F7B15">
        <w:rPr>
          <w:lang w:val="sr-Cyrl-RS"/>
        </w:rPr>
        <w:t xml:space="preserve">е прања новца </w:t>
      </w:r>
      <w:r w:rsidRPr="003B0B36">
        <w:rPr>
          <w:lang w:val="sr-Cyrl-RS"/>
        </w:rPr>
        <w:t>брише у делу спр</w:t>
      </w:r>
      <w:r w:rsidR="00965B46">
        <w:rPr>
          <w:lang w:val="sr-Cyrl-RS"/>
        </w:rPr>
        <w:t>овођења</w:t>
      </w:r>
      <w:r w:rsidRPr="003B0B36">
        <w:rPr>
          <w:lang w:val="sr-Cyrl-RS"/>
        </w:rPr>
        <w:t xml:space="preserve"> надзора јер иста не издаје дозволе, одобрења и сагласности приређивачима игара на срећу.</w:t>
      </w:r>
    </w:p>
    <w:p w:rsidR="00235806" w:rsidRPr="003B0B36" w:rsidRDefault="00235806" w:rsidP="00235806">
      <w:pPr>
        <w:jc w:val="both"/>
        <w:rPr>
          <w:lang w:val="sr-Cyrl-RS"/>
        </w:rPr>
      </w:pPr>
      <w:r w:rsidRPr="003B0B36">
        <w:rPr>
          <w:lang w:val="sr-Cyrl-RS"/>
        </w:rPr>
        <w:t xml:space="preserve">            Одредбама члана 3. </w:t>
      </w:r>
      <w:r w:rsidR="00965B46">
        <w:rPr>
          <w:lang w:val="sr-Cyrl-RS"/>
        </w:rPr>
        <w:t>Предлога</w:t>
      </w:r>
      <w:r w:rsidRPr="003B0B36">
        <w:rPr>
          <w:lang w:val="sr-Cyrl-RS"/>
        </w:rPr>
        <w:t xml:space="preserve"> закона одређен је прелазни период у којем су </w:t>
      </w:r>
      <w:r w:rsidRPr="003B0B36">
        <w:rPr>
          <w:lang w:val="ru-RU" w:eastAsia="sr-Latn-CS"/>
        </w:rPr>
        <w:t>правна лица</w:t>
      </w:r>
      <w:r w:rsidR="004F6DB9" w:rsidRPr="003B0B36">
        <w:rPr>
          <w:lang w:val="sr-Cyrl-RS"/>
        </w:rPr>
        <w:t xml:space="preserve"> дужна</w:t>
      </w:r>
      <w:r w:rsidRPr="003B0B36">
        <w:rPr>
          <w:lang w:val="sr-Cyrl-RS"/>
        </w:rPr>
        <w:t xml:space="preserve"> да ускладе сво</w:t>
      </w:r>
      <w:r w:rsidR="00965B46">
        <w:rPr>
          <w:lang w:val="sr-Cyrl-RS"/>
        </w:rPr>
        <w:t>је пословање са одредбама Предлога</w:t>
      </w:r>
      <w:r w:rsidRPr="003B0B36">
        <w:rPr>
          <w:lang w:val="sr-Cyrl-RS"/>
        </w:rPr>
        <w:t xml:space="preserve"> закона (шест месеци од ступања на снагу овог закона).</w:t>
      </w:r>
    </w:p>
    <w:p w:rsidR="00235806" w:rsidRPr="003B0B36" w:rsidRDefault="00235806" w:rsidP="00235806">
      <w:pPr>
        <w:jc w:val="both"/>
        <w:rPr>
          <w:lang w:val="sr-Cyrl-RS"/>
        </w:rPr>
      </w:pPr>
      <w:r w:rsidRPr="003B0B36">
        <w:rPr>
          <w:lang w:val="sr-Cyrl-RS"/>
        </w:rPr>
        <w:tab/>
        <w:t>Одредбом члана 4</w:t>
      </w:r>
      <w:r w:rsidR="00965B46">
        <w:rPr>
          <w:lang w:val="sr-Cyrl-RS"/>
        </w:rPr>
        <w:t>. Предлога</w:t>
      </w:r>
      <w:r w:rsidRPr="003B0B36">
        <w:rPr>
          <w:lang w:val="sr-Cyrl-RS"/>
        </w:rPr>
        <w:t xml:space="preserve"> закона прописано је да закон ступа на снагу </w:t>
      </w:r>
      <w:r w:rsidRPr="003B0B36">
        <w:rPr>
          <w:lang w:val="sr-Cyrl-CS"/>
        </w:rPr>
        <w:t>осмог дана од дана објављивања у „Службеном гласнику Републике Србије</w:t>
      </w:r>
      <w:r w:rsidRPr="003B0B36">
        <w:rPr>
          <w:lang w:val="ru-RU"/>
        </w:rPr>
        <w:t>”.</w:t>
      </w:r>
    </w:p>
    <w:p w:rsidR="00235806" w:rsidRPr="003B0B36" w:rsidRDefault="00235806" w:rsidP="00235806">
      <w:pPr>
        <w:jc w:val="both"/>
        <w:rPr>
          <w:lang w:val="sr-Cyrl-RS"/>
        </w:rPr>
      </w:pPr>
    </w:p>
    <w:p w:rsidR="00235806" w:rsidRPr="003B0B36" w:rsidRDefault="00235806" w:rsidP="00235806">
      <w:pPr>
        <w:jc w:val="both"/>
        <w:rPr>
          <w:lang w:val="sr-Cyrl-RS"/>
        </w:rPr>
      </w:pPr>
    </w:p>
    <w:p w:rsidR="00235806" w:rsidRPr="003B0B36" w:rsidRDefault="00235806" w:rsidP="00235806">
      <w:pPr>
        <w:ind w:firstLine="720"/>
        <w:jc w:val="both"/>
        <w:rPr>
          <w:lang w:val="sr-Latn-RS"/>
        </w:rPr>
      </w:pPr>
      <w:r w:rsidRPr="003B0B36">
        <w:rPr>
          <w:lang w:val="sr-Latn-RS"/>
        </w:rPr>
        <w:t>IV. ПРОЦЕНА ФИНАНСИЈСКИХ СРЕДСТАВА ПОТРЕБНИХ ЗА СПРОВОЂЕЊЕ ЗАКОНА</w:t>
      </w:r>
    </w:p>
    <w:p w:rsidR="00235806" w:rsidRPr="003B0B36" w:rsidRDefault="00235806" w:rsidP="00235806">
      <w:pPr>
        <w:ind w:firstLine="720"/>
        <w:jc w:val="both"/>
        <w:rPr>
          <w:lang w:val="sr-Latn-RS"/>
        </w:rPr>
      </w:pPr>
      <w:r w:rsidRPr="003B0B36">
        <w:rPr>
          <w:lang w:val="sr-Latn-RS"/>
        </w:rPr>
        <w:t>За спровођење овог закона није потребно обезбедити средства у буџету Републике Србије.</w:t>
      </w:r>
    </w:p>
    <w:p w:rsidR="00235806" w:rsidRPr="003B0B36" w:rsidRDefault="00235806" w:rsidP="00235806">
      <w:pPr>
        <w:jc w:val="both"/>
        <w:rPr>
          <w:lang w:val="sr-Latn-RS"/>
        </w:rPr>
      </w:pPr>
    </w:p>
    <w:p w:rsidR="00235806" w:rsidRPr="003B0B36" w:rsidRDefault="00235806" w:rsidP="00235806">
      <w:pPr>
        <w:ind w:firstLine="720"/>
        <w:jc w:val="both"/>
        <w:rPr>
          <w:lang w:val="sr-Latn-RS"/>
        </w:rPr>
      </w:pPr>
      <w:r w:rsidRPr="003B0B36">
        <w:rPr>
          <w:lang w:val="sr-Latn-RS"/>
        </w:rPr>
        <w:t>V. РАЗЛОЗИ ЗА ДОНОШЕЊЕ ЗАКОНА ПО ХИТНОМ ПОСТУПКУ</w:t>
      </w:r>
    </w:p>
    <w:p w:rsidR="00235806" w:rsidRPr="003B0B36" w:rsidRDefault="00235806" w:rsidP="00235806">
      <w:pPr>
        <w:ind w:firstLine="720"/>
        <w:jc w:val="both"/>
        <w:rPr>
          <w:shd w:val="clear" w:color="auto" w:fill="FFFFFF"/>
          <w:lang w:val="sr-Latn-RS"/>
        </w:rPr>
      </w:pPr>
      <w:r w:rsidRPr="003B0B36">
        <w:rPr>
          <w:lang w:val="sr-Latn-RS"/>
        </w:rPr>
        <w:t xml:space="preserve">Доношење овог закона по хитном поступку предлаже се, у складу са одредбом члана 167. Пословника Народне скупштине („Службени гласник РС”, број 20/12 </w:t>
      </w:r>
      <w:r w:rsidR="00965B46">
        <w:rPr>
          <w:rFonts w:eastAsia="Calibri"/>
          <w:lang w:val="sr-Cyrl-RS"/>
        </w:rPr>
        <w:t>-</w:t>
      </w:r>
      <w:r w:rsidRPr="003B0B36">
        <w:rPr>
          <w:lang w:val="sr-Latn-RS"/>
        </w:rPr>
        <w:t xml:space="preserve"> пречишћен текст), ради усклађивања прописа Републике Србије са препорукама </w:t>
      </w:r>
      <w:r w:rsidRPr="003B0B36">
        <w:rPr>
          <w:shd w:val="clear" w:color="auto" w:fill="FFFFFF"/>
          <w:lang w:val="sr-Latn-RS"/>
        </w:rPr>
        <w:t xml:space="preserve">Организације за контролу и спречавање прања новца (ФАТФ). Недоношење овог закона по хитном поступку могло би оставити несагледиве последице и </w:t>
      </w:r>
      <w:r w:rsidRPr="003B0B36">
        <w:rPr>
          <w:lang w:val="sr-Latn-RS"/>
        </w:rPr>
        <w:t>стављање Републике Србије на листу држава које не примењују међународне стандарде у области борбе против прања новца и финансирања тероризма.</w:t>
      </w:r>
    </w:p>
    <w:p w:rsidR="00235806" w:rsidRPr="003B0B36" w:rsidRDefault="00235806" w:rsidP="00235806">
      <w:pPr>
        <w:ind w:firstLine="720"/>
        <w:jc w:val="both"/>
        <w:rPr>
          <w:lang w:val="sr-Cyrl-RS"/>
        </w:rPr>
      </w:pPr>
      <w:r w:rsidRPr="003B0B36">
        <w:rPr>
          <w:lang w:val="sr-Latn-RS"/>
        </w:rPr>
        <w:t>Имајући у виду наведено стекли су с</w:t>
      </w:r>
      <w:r w:rsidR="00965B46">
        <w:rPr>
          <w:lang w:val="sr-Latn-RS"/>
        </w:rPr>
        <w:t xml:space="preserve">е услови за доношење </w:t>
      </w:r>
      <w:r w:rsidR="00433F1B">
        <w:rPr>
          <w:lang w:val="sr-Cyrl-RS"/>
        </w:rPr>
        <w:t>овог</w:t>
      </w:r>
      <w:r w:rsidRPr="003B0B36">
        <w:rPr>
          <w:lang w:val="sr-Latn-RS"/>
        </w:rPr>
        <w:t xml:space="preserve"> закона по хитном поступку.</w:t>
      </w:r>
    </w:p>
    <w:p w:rsidR="00235806" w:rsidRPr="003B0B36" w:rsidRDefault="00235806" w:rsidP="00235806">
      <w:pPr>
        <w:jc w:val="both"/>
        <w:rPr>
          <w:lang w:val="sr-Cyrl-RS"/>
        </w:rPr>
      </w:pPr>
    </w:p>
    <w:p w:rsidR="004B5697" w:rsidRDefault="004B5697" w:rsidP="004B5697">
      <w:pPr>
        <w:pStyle w:val="wyq110---naslov-clana"/>
        <w:jc w:val="both"/>
        <w:rPr>
          <w:rFonts w:ascii="Times New Roman" w:hAnsi="Times New Roman" w:cs="Times New Roman"/>
          <w:lang w:val="sr-Latn-RS"/>
        </w:rPr>
      </w:pPr>
    </w:p>
    <w:p w:rsidR="004B5697" w:rsidRDefault="004B5697" w:rsidP="004B5697">
      <w:pPr>
        <w:pStyle w:val="wyq110---naslov-clana"/>
        <w:jc w:val="both"/>
        <w:rPr>
          <w:rFonts w:ascii="Times New Roman" w:hAnsi="Times New Roman" w:cs="Times New Roman"/>
          <w:lang w:val="sr-Latn-RS"/>
        </w:rPr>
      </w:pPr>
    </w:p>
    <w:p w:rsidR="004B5697" w:rsidRPr="004B5697" w:rsidRDefault="004B5697" w:rsidP="004B5697">
      <w:pPr>
        <w:pStyle w:val="wyq110---naslov-clana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Latn-RS"/>
        </w:rPr>
        <w:lastRenderedPageBreak/>
        <w:tab/>
      </w:r>
      <w:r w:rsidRPr="004B5697">
        <w:rPr>
          <w:rFonts w:ascii="Times New Roman" w:hAnsi="Times New Roman" w:cs="Times New Roman"/>
          <w:b w:val="0"/>
          <w:lang w:val="sr-Latn-RS"/>
        </w:rPr>
        <w:t xml:space="preserve">VI. </w:t>
      </w:r>
      <w:r w:rsidRPr="004B5697">
        <w:rPr>
          <w:rFonts w:ascii="Times New Roman" w:hAnsi="Times New Roman" w:cs="Times New Roman"/>
          <w:b w:val="0"/>
          <w:lang w:val="sr-Cyrl-RS"/>
        </w:rPr>
        <w:t>ПРЕГЛЕД ОДРЕДАБА ЗАКОНА КОЈЕ СЕ МЕЊАЈУ, ОДНОСНО ДОПУЊУЈУ</w:t>
      </w:r>
    </w:p>
    <w:p w:rsidR="004B5697" w:rsidRPr="004B5697" w:rsidRDefault="004B5697" w:rsidP="004B5697">
      <w:pPr>
        <w:pStyle w:val="wyq110---naslov-clana"/>
        <w:rPr>
          <w:rFonts w:ascii="Times New Roman" w:hAnsi="Times New Roman" w:cs="Times New Roman"/>
          <w:b w:val="0"/>
          <w:lang w:val="sr-Cyrl-RS"/>
        </w:rPr>
      </w:pPr>
      <w:r w:rsidRPr="004B5697">
        <w:rPr>
          <w:rFonts w:ascii="Times New Roman" w:hAnsi="Times New Roman" w:cs="Times New Roman"/>
          <w:b w:val="0"/>
          <w:lang w:val="sr-Cyrl-RS"/>
        </w:rPr>
        <w:t>Закон о играма на срећу („Службени гласник РС”, бр. 88/11 и 93/12)</w:t>
      </w:r>
    </w:p>
    <w:p w:rsidR="004B5697" w:rsidRPr="004B5697" w:rsidRDefault="004B5697" w:rsidP="004B5697">
      <w:pPr>
        <w:pStyle w:val="wyq110---naslov-clana"/>
        <w:rPr>
          <w:rFonts w:ascii="Times New Roman" w:hAnsi="Times New Roman" w:cs="Times New Roman"/>
          <w:b w:val="0"/>
        </w:rPr>
      </w:pPr>
      <w:r w:rsidRPr="004B5697">
        <w:rPr>
          <w:rFonts w:ascii="Times New Roman" w:hAnsi="Times New Roman" w:cs="Times New Roman"/>
          <w:b w:val="0"/>
        </w:rPr>
        <w:t>Спречавања прања новца и финансирања тероризма</w:t>
      </w:r>
    </w:p>
    <w:p w:rsidR="004B5697" w:rsidRPr="004B5697" w:rsidRDefault="004B5697" w:rsidP="004B5697">
      <w:pPr>
        <w:pStyle w:val="clan"/>
        <w:rPr>
          <w:rFonts w:ascii="Times New Roman" w:hAnsi="Times New Roman" w:cs="Times New Roman"/>
          <w:b w:val="0"/>
        </w:rPr>
      </w:pPr>
      <w:bookmarkStart w:id="0" w:name="clan_117"/>
      <w:bookmarkEnd w:id="0"/>
      <w:r w:rsidRPr="004B5697">
        <w:rPr>
          <w:rFonts w:ascii="Times New Roman" w:hAnsi="Times New Roman" w:cs="Times New Roman"/>
          <w:b w:val="0"/>
        </w:rPr>
        <w:t>Члан 117</w:t>
      </w:r>
    </w:p>
    <w:p w:rsidR="004B5697" w:rsidRPr="009104BF" w:rsidRDefault="004B5697" w:rsidP="004B5697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9104BF">
        <w:rPr>
          <w:rFonts w:ascii="Times New Roman" w:hAnsi="Times New Roman" w:cs="Times New Roman"/>
          <w:sz w:val="24"/>
          <w:szCs w:val="24"/>
        </w:rPr>
        <w:t>Правна лица из чл. 19 - 22. овог закона дужна су да у свом пословању поступају у складу са прописима којима се уређује спречавање прања новца и финансирање тероризма.</w:t>
      </w:r>
    </w:p>
    <w:p w:rsidR="004B5697" w:rsidRPr="009104BF" w:rsidRDefault="004B5697" w:rsidP="004B5697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9104BF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ОСНИВАЧ, </w:t>
      </w:r>
      <w:r w:rsidRPr="009104BF">
        <w:rPr>
          <w:rFonts w:ascii="Times New Roman" w:hAnsi="Times New Roman" w:cs="Times New Roman"/>
          <w:sz w:val="24"/>
          <w:szCs w:val="24"/>
          <w:lang w:val="sr-Cyrl-RS"/>
        </w:rPr>
        <w:t>ОДНОСНО ВЛАСНИК,</w:t>
      </w:r>
      <w:r w:rsidRPr="009104BF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 КАО И ЧЛАН ОРГАНА УПРАВЉАЊА ПРАВНОГ ЛИЦА</w:t>
      </w:r>
      <w:r w:rsidRPr="009104BF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 И</w:t>
      </w:r>
      <w:bookmarkStart w:id="1" w:name="_GoBack"/>
      <w:bookmarkEnd w:id="1"/>
      <w:r w:rsidRPr="009104BF">
        <w:rPr>
          <w:rFonts w:ascii="Times New Roman" w:hAnsi="Times New Roman" w:cs="Times New Roman"/>
          <w:sz w:val="24"/>
          <w:szCs w:val="24"/>
          <w:lang w:val="sr-Cyrl-RS" w:eastAsia="sr-Latn-CS"/>
        </w:rPr>
        <w:t>З СТАВА 1. ОВОГ ЧЛАНА</w:t>
      </w:r>
      <w:r w:rsidRPr="009104BF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, НЕ МОЖЕ БИТИ ПРАВНО ЛИЦЕ КОЈЕ ЈЕ </w:t>
      </w:r>
      <w:r w:rsidRPr="009104BF">
        <w:rPr>
          <w:rFonts w:ascii="Times New Roman" w:hAnsi="Times New Roman" w:cs="Times New Roman"/>
          <w:sz w:val="24"/>
          <w:szCs w:val="24"/>
          <w:lang w:val="sr-Cyrl-RS"/>
        </w:rPr>
        <w:t>ОСУЂЕНО ПРАВОСНАЖНОМ ПРЕСУДОМ ЗА КРИВИЧНО ДЕЛО У СМИСЛУ ЗАКОНА КОЈИМ СЕ УРЕЂУЈЕ ОДГОВОРНОСТ ПРАВНИХ ЛИЦА ЗА КРИВИЧНА ДЕЛА</w:t>
      </w:r>
      <w:r w:rsidRPr="009104BF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, ОДНОСНО ФИЗИЧКО ЛИЦЕ КОЈЕ ЈЕ ПРАВОСНАЖНО ОСУЂЕНО ЗА КРИВИЧНА ДЕЛА </w:t>
      </w:r>
      <w:r w:rsidRPr="009104BF">
        <w:rPr>
          <w:rFonts w:ascii="Times New Roman" w:eastAsia="TimesNewRoman" w:hAnsi="Times New Roman" w:cs="Times New Roman"/>
          <w:sz w:val="24"/>
          <w:szCs w:val="24"/>
          <w:lang w:val="ru-RU"/>
        </w:rPr>
        <w:t>ПРОТИВ ПРАВА ПО ОСНОВУ РАДА, ПРИВРЕДЕ, ИМОВИНЕ, ПРАВОСУЂА, ПРАЊА НОВЦА, ФИНАНСИРАЊА ТЕРОРИЗМА, ЈАВНОГ РЕДА И МИРА, ПРАВНОГ САОБРАЋАЈА И СЛУЖБЕНЕ ДУЖНОСТИ.</w:t>
      </w:r>
    </w:p>
    <w:p w:rsidR="004B5697" w:rsidRPr="009104BF" w:rsidRDefault="004B5697" w:rsidP="004B5697">
      <w:pPr>
        <w:pStyle w:val="wyq110---naslov-clana"/>
        <w:rPr>
          <w:rFonts w:ascii="Times New Roman" w:hAnsi="Times New Roman" w:cs="Times New Roman"/>
          <w:b w:val="0"/>
          <w:strike/>
        </w:rPr>
      </w:pPr>
      <w:r w:rsidRPr="009104BF">
        <w:rPr>
          <w:rFonts w:ascii="Times New Roman" w:hAnsi="Times New Roman" w:cs="Times New Roman"/>
          <w:b w:val="0"/>
          <w:strike/>
        </w:rPr>
        <w:t>Надлежност Управе за спречавање прања новца</w:t>
      </w:r>
    </w:p>
    <w:p w:rsidR="004B5697" w:rsidRPr="009104BF" w:rsidRDefault="004B5697" w:rsidP="004B5697">
      <w:pPr>
        <w:pStyle w:val="clan"/>
        <w:rPr>
          <w:rFonts w:ascii="Times New Roman" w:hAnsi="Times New Roman" w:cs="Times New Roman"/>
          <w:b w:val="0"/>
          <w:strike/>
        </w:rPr>
      </w:pPr>
      <w:bookmarkStart w:id="2" w:name="clan_124"/>
      <w:bookmarkEnd w:id="2"/>
      <w:r w:rsidRPr="009104BF">
        <w:rPr>
          <w:rFonts w:ascii="Times New Roman" w:hAnsi="Times New Roman" w:cs="Times New Roman"/>
          <w:b w:val="0"/>
          <w:strike/>
        </w:rPr>
        <w:t>Члан 124</w:t>
      </w:r>
    </w:p>
    <w:p w:rsidR="004B5697" w:rsidRPr="009104BF" w:rsidRDefault="004B5697" w:rsidP="004B5697">
      <w:pPr>
        <w:pStyle w:val="Normal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104BF">
        <w:rPr>
          <w:rFonts w:ascii="Times New Roman" w:hAnsi="Times New Roman" w:cs="Times New Roman"/>
          <w:strike/>
          <w:sz w:val="24"/>
          <w:szCs w:val="24"/>
        </w:rPr>
        <w:t>Управа за спречавање прања новца врши надзор над применом одредаба овог закона у складу са законом којим се уређује спречавање прања новца и финансирање тероризма.</w:t>
      </w:r>
    </w:p>
    <w:p w:rsidR="004B5697" w:rsidRPr="009104BF" w:rsidRDefault="004B5697" w:rsidP="004B5697"/>
    <w:p w:rsidR="00433F1B" w:rsidRPr="009104BF" w:rsidRDefault="00433F1B" w:rsidP="00433F1B">
      <w:pPr>
        <w:jc w:val="center"/>
        <w:rPr>
          <w:lang w:val="sr-Cyrl-CS"/>
        </w:rPr>
      </w:pPr>
      <w:r w:rsidRPr="009104BF">
        <w:rPr>
          <w:lang w:val="sr-Cyrl-CS"/>
        </w:rPr>
        <w:t>ЧЛАН 3.</w:t>
      </w:r>
    </w:p>
    <w:p w:rsidR="00433F1B" w:rsidRPr="009104BF" w:rsidRDefault="00433F1B" w:rsidP="00433F1B">
      <w:pPr>
        <w:jc w:val="both"/>
        <w:rPr>
          <w:lang w:val="sr-Cyrl-CS"/>
        </w:rPr>
      </w:pPr>
      <w:r w:rsidRPr="009104BF">
        <w:tab/>
      </w:r>
      <w:r w:rsidRPr="009104BF">
        <w:rPr>
          <w:lang w:val="ru-RU" w:eastAsia="sr-Latn-CS"/>
        </w:rPr>
        <w:t>ПРАВН</w:t>
      </w:r>
      <w:r w:rsidRPr="009104BF">
        <w:rPr>
          <w:lang w:val="sr-Latn-RS" w:eastAsia="sr-Latn-CS"/>
        </w:rPr>
        <w:t>A</w:t>
      </w:r>
      <w:r w:rsidRPr="009104BF">
        <w:rPr>
          <w:lang w:val="ru-RU" w:eastAsia="sr-Latn-CS"/>
        </w:rPr>
        <w:t xml:space="preserve"> ЛИЦ</w:t>
      </w:r>
      <w:r w:rsidRPr="009104BF">
        <w:rPr>
          <w:lang w:val="sr-Latn-RS" w:eastAsia="sr-Latn-CS"/>
        </w:rPr>
        <w:t xml:space="preserve">A </w:t>
      </w:r>
      <w:r w:rsidRPr="009104BF">
        <w:rPr>
          <w:lang w:val="sr-Cyrl-RS" w:eastAsia="sr-Latn-CS"/>
        </w:rPr>
        <w:t>ИЗ ЧЛАНА 1. ОВОГ ЗАКОНА</w:t>
      </w:r>
      <w:r w:rsidRPr="009104BF">
        <w:rPr>
          <w:lang w:val="ru-RU" w:eastAsia="sr-Latn-CS"/>
        </w:rPr>
        <w:t xml:space="preserve"> ДУЖН</w:t>
      </w:r>
      <w:r w:rsidRPr="009104BF">
        <w:rPr>
          <w:lang w:val="sr-Latn-RS" w:eastAsia="sr-Latn-CS"/>
        </w:rPr>
        <w:t>A</w:t>
      </w:r>
      <w:r w:rsidRPr="009104BF">
        <w:rPr>
          <w:lang w:val="ru-RU" w:eastAsia="sr-Latn-CS"/>
        </w:rPr>
        <w:t xml:space="preserve"> СУ ДА СВОЈЕ ПОСЛОВАЊЕ УСКЛАДЕ СА ТИМ ЧЛАНОМ НАЈКАСНИЈЕ У РОКУ ОД ШЕСТ МЕСЕЦИ ОД ДАНА СТУПАЊА НА СНАГУ ОВОГ </w:t>
      </w:r>
      <w:r w:rsidRPr="009104BF">
        <w:rPr>
          <w:lang w:val="sr-Cyrl-RS" w:eastAsia="sr-Latn-CS"/>
        </w:rPr>
        <w:t>ЗАКОНА</w:t>
      </w:r>
      <w:r w:rsidRPr="009104BF">
        <w:rPr>
          <w:lang w:val="sr-Cyrl-CS"/>
        </w:rPr>
        <w:t>.</w:t>
      </w:r>
    </w:p>
    <w:p w:rsidR="00433F1B" w:rsidRPr="009104BF" w:rsidRDefault="00433F1B" w:rsidP="00433F1B">
      <w:pPr>
        <w:jc w:val="both"/>
        <w:rPr>
          <w:lang w:val="sr-Cyrl-CS"/>
        </w:rPr>
      </w:pPr>
    </w:p>
    <w:p w:rsidR="00433F1B" w:rsidRPr="009104BF" w:rsidRDefault="00433F1B" w:rsidP="00433F1B">
      <w:pPr>
        <w:jc w:val="center"/>
        <w:rPr>
          <w:lang w:val="sr-Cyrl-CS"/>
        </w:rPr>
      </w:pPr>
      <w:r w:rsidRPr="009104BF">
        <w:rPr>
          <w:lang w:val="sr-Cyrl-CS"/>
        </w:rPr>
        <w:t>ЧЛАН 4.</w:t>
      </w:r>
    </w:p>
    <w:p w:rsidR="00433F1B" w:rsidRPr="009104BF" w:rsidRDefault="00433F1B" w:rsidP="00433F1B">
      <w:pPr>
        <w:ind w:firstLine="720"/>
        <w:jc w:val="both"/>
        <w:rPr>
          <w:lang w:val="sr-Cyrl-CS"/>
        </w:rPr>
      </w:pPr>
      <w:r w:rsidRPr="009104BF">
        <w:rPr>
          <w:lang w:val="sr-Cyrl-CS"/>
        </w:rPr>
        <w:t>ОВАЈ ЗАКОН СТУПА НА СНАГУ ОСМОГ ДАНА ОД ДАНА ОБЈАВЉИВАЊА У „СЛУЖБЕНОМ ГЛАСНИКУ РЕПУБЛИКЕ СРБИЈЕ</w:t>
      </w:r>
      <w:r w:rsidRPr="009104BF">
        <w:rPr>
          <w:lang w:val="ru-RU"/>
        </w:rPr>
        <w:t>”</w:t>
      </w:r>
      <w:r w:rsidRPr="009104BF">
        <w:rPr>
          <w:lang w:val="sr-Cyrl-CS"/>
        </w:rPr>
        <w:t>.</w:t>
      </w:r>
    </w:p>
    <w:p w:rsidR="00433F1B" w:rsidRDefault="00433F1B" w:rsidP="00433F1B">
      <w:pPr>
        <w:rPr>
          <w:lang w:val="sr-Cyrl-CS"/>
        </w:rPr>
      </w:pPr>
    </w:p>
    <w:p w:rsidR="004A7805" w:rsidRPr="003B0B36" w:rsidRDefault="004A7805"/>
    <w:sectPr w:rsidR="004A7805" w:rsidRPr="003B0B36" w:rsidSect="004B5697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DCC" w:rsidRDefault="00695DCC" w:rsidP="004B5697">
      <w:r>
        <w:separator/>
      </w:r>
    </w:p>
  </w:endnote>
  <w:endnote w:type="continuationSeparator" w:id="0">
    <w:p w:rsidR="00695DCC" w:rsidRDefault="00695DCC" w:rsidP="004B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58100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5697" w:rsidRDefault="004B569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04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5697" w:rsidRDefault="004B56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DCC" w:rsidRDefault="00695DCC" w:rsidP="004B5697">
      <w:r>
        <w:separator/>
      </w:r>
    </w:p>
  </w:footnote>
  <w:footnote w:type="continuationSeparator" w:id="0">
    <w:p w:rsidR="00695DCC" w:rsidRDefault="00695DCC" w:rsidP="004B5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A60BE"/>
    <w:multiLevelType w:val="hybridMultilevel"/>
    <w:tmpl w:val="5726B8DE"/>
    <w:lvl w:ilvl="0" w:tplc="5552A1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806"/>
    <w:rsid w:val="00235806"/>
    <w:rsid w:val="00275AE8"/>
    <w:rsid w:val="002F7B15"/>
    <w:rsid w:val="003B0B36"/>
    <w:rsid w:val="00433F1B"/>
    <w:rsid w:val="004A7805"/>
    <w:rsid w:val="004B5697"/>
    <w:rsid w:val="004F6DB9"/>
    <w:rsid w:val="00542A5A"/>
    <w:rsid w:val="005C5B8E"/>
    <w:rsid w:val="00695DCC"/>
    <w:rsid w:val="006E729B"/>
    <w:rsid w:val="0076382B"/>
    <w:rsid w:val="00840390"/>
    <w:rsid w:val="009104BF"/>
    <w:rsid w:val="00965B46"/>
    <w:rsid w:val="00E829E4"/>
    <w:rsid w:val="00EA27C5"/>
    <w:rsid w:val="00F4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507E84-A561-453A-BB98-05072176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806"/>
    <w:pPr>
      <w:ind w:left="720"/>
      <w:contextualSpacing/>
    </w:pPr>
  </w:style>
  <w:style w:type="paragraph" w:styleId="BodyText2">
    <w:name w:val="Body Text 2"/>
    <w:basedOn w:val="Normal"/>
    <w:link w:val="BodyText2Char"/>
    <w:rsid w:val="00235806"/>
    <w:pPr>
      <w:jc w:val="both"/>
    </w:pPr>
    <w:rPr>
      <w:b/>
      <w:bCs/>
      <w:lang w:val="sr-Cyrl-CS"/>
    </w:rPr>
  </w:style>
  <w:style w:type="character" w:customStyle="1" w:styleId="BodyText2Char">
    <w:name w:val="Body Text 2 Char"/>
    <w:basedOn w:val="DefaultParagraphFont"/>
    <w:link w:val="BodyText2"/>
    <w:rsid w:val="0023580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customStyle="1" w:styleId="clan">
    <w:name w:val="clan"/>
    <w:basedOn w:val="Normal"/>
    <w:rsid w:val="004B5697"/>
    <w:pPr>
      <w:spacing w:before="240" w:after="120"/>
      <w:jc w:val="center"/>
    </w:pPr>
    <w:rPr>
      <w:rFonts w:ascii="Arial" w:hAnsi="Arial" w:cs="Arial"/>
      <w:b/>
      <w:bCs/>
    </w:rPr>
  </w:style>
  <w:style w:type="paragraph" w:customStyle="1" w:styleId="Normal1">
    <w:name w:val="Normal1"/>
    <w:basedOn w:val="Normal"/>
    <w:rsid w:val="004B569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wyq110---naslov-clana">
    <w:name w:val="wyq110---naslov-clana"/>
    <w:basedOn w:val="Normal"/>
    <w:rsid w:val="004B5697"/>
    <w:pPr>
      <w:spacing w:before="240" w:after="240"/>
      <w:jc w:val="center"/>
    </w:pPr>
    <w:rPr>
      <w:rFonts w:ascii="Arial" w:hAnsi="Arial" w:cs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4B56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6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56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6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4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4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Snezana Marinovic</cp:lastModifiedBy>
  <cp:revision>6</cp:revision>
  <cp:lastPrinted>2018-04-05T12:40:00Z</cp:lastPrinted>
  <dcterms:created xsi:type="dcterms:W3CDTF">2018-04-05T09:01:00Z</dcterms:created>
  <dcterms:modified xsi:type="dcterms:W3CDTF">2018-04-05T12:40:00Z</dcterms:modified>
</cp:coreProperties>
</file>