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863" w:rsidRPr="001139B8" w:rsidRDefault="002D4863" w:rsidP="001139B8">
      <w:pPr>
        <w:spacing w:after="150"/>
        <w:jc w:val="center"/>
        <w:rPr>
          <w:rFonts w:ascii="Times New Roman" w:hAnsi="Times New Roman"/>
          <w:b/>
          <w:color w:val="000000"/>
          <w:sz w:val="24"/>
          <w:szCs w:val="24"/>
          <w:lang/>
        </w:rPr>
      </w:pPr>
      <w:r w:rsidRPr="001139B8">
        <w:rPr>
          <w:rFonts w:ascii="Times New Roman" w:hAnsi="Times New Roman"/>
          <w:b/>
          <w:color w:val="000000"/>
          <w:sz w:val="24"/>
          <w:szCs w:val="24"/>
          <w:lang/>
        </w:rPr>
        <w:t>''Службени гласник Републике Србије''</w:t>
      </w:r>
    </w:p>
    <w:p w:rsidR="002D4863" w:rsidRPr="001139B8" w:rsidRDefault="002D4863" w:rsidP="001139B8">
      <w:pPr>
        <w:spacing w:after="150"/>
        <w:jc w:val="center"/>
        <w:rPr>
          <w:rFonts w:ascii="Times New Roman" w:hAnsi="Times New Roman"/>
          <w:b/>
          <w:sz w:val="24"/>
          <w:szCs w:val="24"/>
          <w:lang/>
        </w:rPr>
      </w:pPr>
      <w:r w:rsidRPr="001139B8">
        <w:rPr>
          <w:rFonts w:ascii="Times New Roman" w:hAnsi="Times New Roman"/>
          <w:b/>
          <w:color w:val="000000"/>
          <w:sz w:val="24"/>
          <w:szCs w:val="24"/>
          <w:lang/>
        </w:rPr>
        <w:t>број 79/17 од 25. августа 2017. године</w:t>
      </w:r>
    </w:p>
    <w:p w:rsidR="002D4863" w:rsidRDefault="002D4863">
      <w:pPr>
        <w:spacing w:after="150"/>
        <w:jc w:val="center"/>
        <w:rPr>
          <w:rFonts w:ascii="Times New Roman" w:hAnsi="Times New Roman" w:cs="Times New Roman"/>
          <w:b/>
          <w:color w:val="000000"/>
          <w:sz w:val="24"/>
          <w:szCs w:val="24"/>
        </w:rPr>
      </w:pPr>
      <w:bookmarkStart w:id="0" w:name="_GoBack"/>
      <w:bookmarkEnd w:id="0"/>
    </w:p>
    <w:p w:rsidR="002D4863" w:rsidRDefault="002D4863">
      <w:pPr>
        <w:spacing w:after="150"/>
        <w:jc w:val="center"/>
        <w:rPr>
          <w:rFonts w:ascii="Times New Roman" w:hAnsi="Times New Roman" w:cs="Times New Roman"/>
          <w:b/>
          <w:color w:val="000000"/>
          <w:sz w:val="24"/>
          <w:szCs w:val="24"/>
        </w:rPr>
      </w:pPr>
    </w:p>
    <w:p w:rsidR="002C6FE4" w:rsidRPr="002D4863" w:rsidRDefault="0028453A">
      <w:pPr>
        <w:spacing w:after="150"/>
        <w:jc w:val="center"/>
        <w:rPr>
          <w:rFonts w:ascii="Times New Roman" w:hAnsi="Times New Roman" w:cs="Times New Roman"/>
          <w:sz w:val="24"/>
          <w:szCs w:val="24"/>
        </w:rPr>
      </w:pPr>
      <w:r w:rsidRPr="002D4863">
        <w:rPr>
          <w:rFonts w:ascii="Times New Roman" w:hAnsi="Times New Roman" w:cs="Times New Roman"/>
          <w:b/>
          <w:color w:val="000000"/>
          <w:sz w:val="24"/>
          <w:szCs w:val="24"/>
        </w:rPr>
        <w:t>3058</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На основу члана 47. став 1. и члана 135. став 2. Закона о културним добрима („Службени гласник РС”, бр. 71/94, 52/11 – др. закон и 99/11 – др. закон) и члана 43. став 1. Закона о Влади („Службени гласник РС”, бр. 55/05, 71/05 – исправка, 101/07, 65/08, 16/11, 68/12 – УС, 72/12, 7/14 – УС и 44/14),</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Влада доноси</w:t>
      </w:r>
    </w:p>
    <w:p w:rsidR="002C6FE4" w:rsidRPr="002D4863" w:rsidRDefault="0028453A">
      <w:pPr>
        <w:spacing w:after="225"/>
        <w:jc w:val="center"/>
        <w:rPr>
          <w:rFonts w:ascii="Times New Roman" w:hAnsi="Times New Roman" w:cs="Times New Roman"/>
          <w:sz w:val="24"/>
          <w:szCs w:val="24"/>
        </w:rPr>
      </w:pPr>
      <w:r w:rsidRPr="002D4863">
        <w:rPr>
          <w:rFonts w:ascii="Times New Roman" w:hAnsi="Times New Roman" w:cs="Times New Roman"/>
          <w:b/>
          <w:color w:val="000000"/>
          <w:sz w:val="24"/>
          <w:szCs w:val="24"/>
        </w:rPr>
        <w:t>ОДЛУКУ</w:t>
      </w:r>
    </w:p>
    <w:p w:rsidR="002C6FE4" w:rsidRPr="002D4863" w:rsidRDefault="0028453A">
      <w:pPr>
        <w:spacing w:after="150"/>
        <w:jc w:val="center"/>
        <w:rPr>
          <w:rFonts w:ascii="Times New Roman" w:hAnsi="Times New Roman" w:cs="Times New Roman"/>
          <w:sz w:val="24"/>
          <w:szCs w:val="24"/>
        </w:rPr>
      </w:pPr>
      <w:r w:rsidRPr="002D4863">
        <w:rPr>
          <w:rFonts w:ascii="Times New Roman" w:hAnsi="Times New Roman" w:cs="Times New Roman"/>
          <w:b/>
          <w:color w:val="000000"/>
          <w:sz w:val="24"/>
          <w:szCs w:val="24"/>
        </w:rPr>
        <w:t>о утврђивању мера заштите, граница заштићене</w:t>
      </w:r>
      <w:r w:rsidRPr="002D4863">
        <w:rPr>
          <w:rFonts w:ascii="Times New Roman" w:hAnsi="Times New Roman" w:cs="Times New Roman"/>
          <w:sz w:val="24"/>
          <w:szCs w:val="24"/>
        </w:rPr>
        <w:br/>
      </w:r>
      <w:r w:rsidRPr="002D4863">
        <w:rPr>
          <w:rFonts w:ascii="Times New Roman" w:hAnsi="Times New Roman" w:cs="Times New Roman"/>
          <w:b/>
          <w:color w:val="000000"/>
          <w:sz w:val="24"/>
          <w:szCs w:val="24"/>
        </w:rPr>
        <w:t>околине и мера заштите заштићене околине</w:t>
      </w:r>
      <w:r w:rsidRPr="002D4863">
        <w:rPr>
          <w:rFonts w:ascii="Times New Roman" w:hAnsi="Times New Roman" w:cs="Times New Roman"/>
          <w:sz w:val="24"/>
          <w:szCs w:val="24"/>
        </w:rPr>
        <w:br/>
      </w:r>
      <w:r w:rsidRPr="002D4863">
        <w:rPr>
          <w:rFonts w:ascii="Times New Roman" w:hAnsi="Times New Roman" w:cs="Times New Roman"/>
          <w:b/>
          <w:color w:val="000000"/>
          <w:sz w:val="24"/>
          <w:szCs w:val="24"/>
        </w:rPr>
        <w:t>манастира Градац, непокретног културног добра</w:t>
      </w:r>
      <w:r w:rsidRPr="002D4863">
        <w:rPr>
          <w:rFonts w:ascii="Times New Roman" w:hAnsi="Times New Roman" w:cs="Times New Roman"/>
          <w:sz w:val="24"/>
          <w:szCs w:val="24"/>
        </w:rPr>
        <w:br/>
      </w:r>
      <w:r w:rsidRPr="002D4863">
        <w:rPr>
          <w:rFonts w:ascii="Times New Roman" w:hAnsi="Times New Roman" w:cs="Times New Roman"/>
          <w:b/>
          <w:color w:val="000000"/>
          <w:sz w:val="24"/>
          <w:szCs w:val="24"/>
        </w:rPr>
        <w:t>од изузетног значаја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1. Утврђују се мере заштите, границе заштићене околине и мере заштите заштићене околине споменика културе манастир Градац (у даљем тексту: споменик културе), који је Решењем Завода за заштиту и научно проучавање споменика културе и природних реткости НР Србије, број 423/47 од 25. октобра 1947. године, утврђен за споменик културе и Одлуком Скупштине СРС бр. 29 од 29. марта 1979. године („Службени гласник СРС”, број 14/79) утврђен за непокретно културно добро од изузетног значаја.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2. Споменик културе са покретним стварима, које су од посебног културног и историјског значаја налази се у селу Градац, на територији општине Рашка, на катастарским парцелама бр. 2140, 2141/1, 2141/2, 2142, 2144, 2145 и 2172 КО Градац, у приватној својини.</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Споменик културе лежи у подножју шумовитих падина Голије, на уздигнутој заравни изнад Градачке реке, у селу Градац, 22 km удаљен од Рашке. Манастирска целина је изграђена током осме деценије 13. века ктиторством краљице Јелене и обухвата цркву Благовести у средишту и црквицу Светог Николе на југоисточној страни уз оградни зид, остатке трпезарије и кухиње уз главни улаз у манастир на југозападу и скромне остатке конака са северне стране. Из обнове с краја 16. века потичу остаци спољне припрате уз католикон и остаци мањих конака западно и јужно од цркве. О дугом трајању овог сакралног простора сведоче археолошки остаци једнобродне рановизантијске цркве западно од Благовештењске цркве, која вероватно чини део веће целине са још непроученим утврђењем Петров крш. Крајем 20. века остаци првобитних конака јужно од цркве надграђени су новим конаком, а са јужне стране манастирског обзиђа развила се манастирска економија, која је затворила стари главни прилаз манастиру.</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lastRenderedPageBreak/>
        <w:t>Све грађевине из времена заснивања српског средњовековног манастира, изузев главне цркве, наслањају се на обимни зид. У порти се са три стране око цркве развијала манастирска некропола, са надгробним споменицима који потичу из периода од последње четвртине 13. до средине 15. века.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Једнобродна, засведена црква Светог Николе има особену, споља и изнутра правоугаону апсиду и остатке фресака, које су вероватно насликане почетком 14. века.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Најзначајнији део манастира представља једнобродна црква са троделним олтарским простором, поткуполним простором са бочним певницама над којим се диже купола осмостраног тамбура и припратом са бочним капелама. Општим изгледом она одудара од токова српске архитектуре друге половине 13. века и асоцира на Богородичину цркву у Студеници, док с друге стране представља споменик најизразитијих особености готичке архитектуре у српском средњовековном градитељству, са декоративним контрафорима прислоњеним уз фасаду у источном делу, преломљеним слепим аркадицама које прате поткровне венце и слично обликованим порталима и прозорима, као и са ребрастим сводом у припрати. Грађена је тесаном сигом, са порталима и прозорима од белог мермера, а у завршној обради фасаде су биле покривене малтером.</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Живопис, настао убрзо по завршетку градње, страдао је у великој мери, док је преостали део знатно избледео. Упркос таквом стању, запажа се да се сликани програм делом ослања на Богородичину цркву у Студеници, али и да доноси одређена занимљива и ретка програмска и иконографска решења, поготово када су фунерарне и историјске композиције у питању. Стилски, фреске показују два усмерења: ка традиционалнијем сликарству, са Сопоћанима као узором на који се део градачких сликара угледао, и ка новим токовима уметности Палеолога, са израженијом тежњом ка наративности.</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Овај споменик културе представља једину женску владарску задужбину припаднице династије Немањића из 13. века у данашњој Србији, са јединственим готичким елементима у конструкцији и украсу. Уметнички и стилски приближава се највишим вредностима српског и византијског сликарства 13. века, у које уноси дух новог времена. Отуда својим архитектонским и сликарским особеностима спада међу највредније српске споменике тога доба и нашег средњовековног наслеђа у целини, а остаци манастирског комплекса из различитих историјских периода, почев од рановизантијске епохе, приказују старије слојеве, као и његов оригинални урбанистички план и промене настајале током векова његовог трајања.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Аутентични амбијент манастира чине: плато на коме лежи манастир, који се на северној страни стрмо спушта ка Градачкој реци, пошумљена непосредна околина манастира и оближња сеоска домаћинства источно од манастира. На катастарској парцели бр. 1994 југоисточно од манастирског обзиђа, Кућа Радомира Вујанаца заштићена је као споменик културе.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 xml:space="preserve">3. Заштићена околина споменика културе обухвата катастарске парцеле бр. 319, 330, 332, 333, 334, 336, 337, 338, 339, 340, 507, 509, 511, 537, 1287, 1288, 1302, 1362, 1363, </w:t>
      </w:r>
      <w:r w:rsidRPr="002D4863">
        <w:rPr>
          <w:rFonts w:ascii="Times New Roman" w:hAnsi="Times New Roman" w:cs="Times New Roman"/>
          <w:color w:val="000000"/>
          <w:sz w:val="24"/>
          <w:szCs w:val="24"/>
        </w:rPr>
        <w:lastRenderedPageBreak/>
        <w:t>1378, 1379, 1380, 1960, 3164, 3166, 3175/1 и 3175/2 КО Градац, у јавној својини и бр. 318, 320, 321, 322, 323, 324, 325/1, 325/2, 326, 327, 328, 329, 335, 341, 342, 343, 344, 345, 346, 347, 348, 349, 350, 351, 352, 353, 354, 355, 356, 357, 506, 508, 510, 512, 513, 514, 515, 516, 517, 520, 521, 522/1, 522/2, 523, 524, 525, 526, 527, 538, 539, 540, 1224, 1225, 1226, 1227, 1228, 1238, 1239, 1258, 1281/1, 1281/2, 1282, 1283, 1284, 1289, 1290, 1291, 1292, 1293, 1294, 1295, 1296, 1297, 1298, 1299, 1300/1, 1300/2, 1301, 1303, 1304, 1305, 1306, 1307, 1308, 1309, 1310, 1311, 1312, 1313, 1314, 1315, 1316, 1317, 1318, 1319, 1320, 1321, 1322, 1323, 1324, 1325, 1326, 1327, 1328, 1329, 1330, 1331, 1332, 1333, 1334, 1335, 1336, 1337, 1338, 1339, 1340, 1341, 1342, 1343, 1344, 1345, 1346, 1347, 1348, 1349, 1350, 1351, 1352, 1353, 1354, 1355, 1356, 1357, 1358, 1359, 1360, 1361, 1364/1, 1364/2, 1365, 1366, 1367/1, 1367/2, 1368/1, 1368/2, 1369, 1370, 1371, 1372, 1373, 1374, 1375, 1376, 1377, 1381, 1382, 1383, 1384, 1385, 1388/2, 1389, 1390, 1391, 1392, 1393, 1394, 1395, 1396, 1413, 1414/1, 1414/2, 1415/1, 1415/2, 1416, 1417, 1418, 1419, 1420, 1421, 1422, 1423/1, 1423/2, 1424, 1425, 1426, 1427, 1428, 1429, 1430, 1431, 1432/1, 1432/2, 1432/3, 1434, 1435, 1436, 1437, 1438, 1439, 1440, 1441, 1442, 1443, 1444, 1445, 1456, 1459, 1961, 1962, 1963, 1964, 1965, 1967, 1966, 1968, 1969, 1970, 1971, 1991/1, 1991/2, 1992, 1993, 1994, 1995, 1996, 1997, 1998, 1999, 2094, 2095, 2096, 2097, 2098, 2099, 2100, 2101, 2102, 2103, 2104, 2105, 2106, 2107, 2108, 2109, 2110, 2111, 2112, 2113, 2114, 2115, 2116, 2117, 2118, 2119, 2120, 2121, 2122, 2123, 2124, 2125, 2126, 2127, 2128, 2129, 2130, 2131, 2132, 2133, 2134, 2135, 2137, 2138, 2139, 2143, 2146, 2147, 2148, 2149, 2150, 2151, 2152, 2153, 2154, 2155, 2156, 2157, 2158, 2159, 2160, 2161, 2162, 2163, 2164, 2165/1, 2165/2, 2166, 2167, 2168, 2169, 2170 и 2171 КО Градац, у приватној својини.</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4. Утврђују се следеће мере заштите споменика културе: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1) очување изворне просторне структуре манастирског комплекса;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2) очување екстеријера и ентеријера, оригиналног изгледа, хоризонталног и вертикалног габарита, облика и нагиба кровова, стилских и функционалних карактеристика, аутентичних градитељских елемената, материјала и колорита цркава Благовести и Светог Николе, као и археолошких остатака у комплексу;</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3) редовно праћење стања споменика културе, свих објеката, инфраструктуре, слободног простора, стања материјала и конструкција, надземних и подземних токова воде, противпожарне сигурности, угрожености од влаге и других потенцијалних опасности које могу да угрозе споменик културе;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4) уређење манастирске економије на основу услова надлежне службе заштите;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5) забрана свих интервенција и радњи које могу, непосредно или посредно, проузроковати промену облика, изгледа или особености споменика културе;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6) забрана изградње нових објеката, као и доградње, реконструкције и адаптације постојећих објеката који нису у складу са наменом и начином коришћења споменика културе.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5. Утврђују се следеће мере заштите заштићене околине споменика културе: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lastRenderedPageBreak/>
        <w:t>1) очување аутентичног амбијента у коме је манастир настао, са свим природним карактеристикама и специфичностима;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2) забрана промене конфигурације терена;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3) забрана изградње и постављања објеката трајног или привременог карактера који својом наменом, габаритом, волуменом или обликом могу угрозити или деградирати споменик културе и његове визуре;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4) забрана свих повремених и сталних активности које битно нарушавају природно окружење манастира и онемогућавају несметано одвијање његових основних активности;</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5) забрана постављања далековода, стубова мобилне телефоније, ваздушних електро, оптичких и ТТ водова;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6) забрана експлоатације руда, минерала и шума у оквиру заштићеног подручја;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7) забрана индустријске експлоатације подземних и површинских вода у оквиру заштићеног подручја;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8) забрана изградње вештачких водених тела;</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9) забрана просипања, одлагања, привременог и трајног депоновања смећа, отпадних и опасних материја, изливања отпадних вода, као и других облика загађења животне средине;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10) реконструкција, доградња, адаптaција, санација стамбених и помоћних објеката у оквиру постојећих сеоских домаћинстава и радови на њиховом одржавању могу се вршити према условима које утврђује Републички завод за заштиту споменика културе;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11) изградња помоћних објеката у оквиру постојећих сеоских домаћинстава, изградња инфраструктурних објеката, уређење слободних простора и зеленила могу се вршити према условима које утврђује Републички завод за заштиту споменика културе.</w:t>
      </w:r>
    </w:p>
    <w:p w:rsidR="002C6FE4" w:rsidRPr="002D4863" w:rsidRDefault="0028453A">
      <w:pPr>
        <w:spacing w:after="150"/>
        <w:rPr>
          <w:rFonts w:ascii="Times New Roman" w:hAnsi="Times New Roman" w:cs="Times New Roman"/>
          <w:sz w:val="24"/>
          <w:szCs w:val="24"/>
        </w:rPr>
      </w:pPr>
      <w:r w:rsidRPr="002D4863">
        <w:rPr>
          <w:rFonts w:ascii="Times New Roman" w:hAnsi="Times New Roman" w:cs="Times New Roman"/>
          <w:color w:val="000000"/>
          <w:sz w:val="24"/>
          <w:szCs w:val="24"/>
        </w:rPr>
        <w:t>6. Ова oдлука ступа на снагу осмог дана од дана објављивања у „Службеном гласнику Републике Србије”.</w:t>
      </w:r>
    </w:p>
    <w:p w:rsidR="002C6FE4" w:rsidRPr="002D4863" w:rsidRDefault="0028453A">
      <w:pPr>
        <w:spacing w:after="150"/>
        <w:jc w:val="right"/>
        <w:rPr>
          <w:rFonts w:ascii="Times New Roman" w:hAnsi="Times New Roman" w:cs="Times New Roman"/>
          <w:sz w:val="24"/>
          <w:szCs w:val="24"/>
        </w:rPr>
      </w:pPr>
      <w:r w:rsidRPr="002D4863">
        <w:rPr>
          <w:rFonts w:ascii="Times New Roman" w:hAnsi="Times New Roman" w:cs="Times New Roman"/>
          <w:color w:val="000000"/>
          <w:sz w:val="24"/>
          <w:szCs w:val="24"/>
        </w:rPr>
        <w:t>05 број 633-7872/2017</w:t>
      </w:r>
    </w:p>
    <w:p w:rsidR="002C6FE4" w:rsidRPr="002D4863" w:rsidRDefault="0028453A">
      <w:pPr>
        <w:spacing w:after="150"/>
        <w:jc w:val="right"/>
        <w:rPr>
          <w:rFonts w:ascii="Times New Roman" w:hAnsi="Times New Roman" w:cs="Times New Roman"/>
          <w:sz w:val="24"/>
          <w:szCs w:val="24"/>
        </w:rPr>
      </w:pPr>
      <w:r w:rsidRPr="002D4863">
        <w:rPr>
          <w:rFonts w:ascii="Times New Roman" w:hAnsi="Times New Roman" w:cs="Times New Roman"/>
          <w:color w:val="000000"/>
          <w:sz w:val="24"/>
          <w:szCs w:val="24"/>
        </w:rPr>
        <w:t>У Београду, 22. августа 2017. године</w:t>
      </w:r>
    </w:p>
    <w:p w:rsidR="002C6FE4" w:rsidRPr="002D4863" w:rsidRDefault="0028453A">
      <w:pPr>
        <w:spacing w:after="150"/>
        <w:jc w:val="right"/>
        <w:rPr>
          <w:rFonts w:ascii="Times New Roman" w:hAnsi="Times New Roman" w:cs="Times New Roman"/>
          <w:sz w:val="24"/>
          <w:szCs w:val="24"/>
        </w:rPr>
      </w:pPr>
      <w:r w:rsidRPr="002D4863">
        <w:rPr>
          <w:rFonts w:ascii="Times New Roman" w:hAnsi="Times New Roman" w:cs="Times New Roman"/>
          <w:b/>
          <w:color w:val="000000"/>
          <w:sz w:val="24"/>
          <w:szCs w:val="24"/>
        </w:rPr>
        <w:t>Влада</w:t>
      </w:r>
    </w:p>
    <w:p w:rsidR="002C6FE4" w:rsidRPr="002D4863" w:rsidRDefault="0028453A">
      <w:pPr>
        <w:spacing w:after="150"/>
        <w:jc w:val="right"/>
        <w:rPr>
          <w:rFonts w:ascii="Times New Roman" w:hAnsi="Times New Roman" w:cs="Times New Roman"/>
          <w:sz w:val="24"/>
          <w:szCs w:val="24"/>
        </w:rPr>
      </w:pPr>
      <w:r w:rsidRPr="002D4863">
        <w:rPr>
          <w:rFonts w:ascii="Times New Roman" w:hAnsi="Times New Roman" w:cs="Times New Roman"/>
          <w:color w:val="000000"/>
          <w:sz w:val="24"/>
          <w:szCs w:val="24"/>
        </w:rPr>
        <w:t>Председник,</w:t>
      </w:r>
    </w:p>
    <w:p w:rsidR="002C6FE4" w:rsidRPr="002D4863" w:rsidRDefault="0028453A">
      <w:pPr>
        <w:spacing w:after="150"/>
        <w:jc w:val="right"/>
        <w:rPr>
          <w:rFonts w:ascii="Times New Roman" w:hAnsi="Times New Roman" w:cs="Times New Roman"/>
          <w:sz w:val="24"/>
          <w:szCs w:val="24"/>
        </w:rPr>
      </w:pPr>
      <w:r w:rsidRPr="002D4863">
        <w:rPr>
          <w:rFonts w:ascii="Times New Roman" w:hAnsi="Times New Roman" w:cs="Times New Roman"/>
          <w:b/>
          <w:color w:val="000000"/>
          <w:sz w:val="24"/>
          <w:szCs w:val="24"/>
        </w:rPr>
        <w:t>Ана Брнабић,</w:t>
      </w:r>
      <w:r w:rsidRPr="002D4863">
        <w:rPr>
          <w:rFonts w:ascii="Times New Roman" w:hAnsi="Times New Roman" w:cs="Times New Roman"/>
          <w:color w:val="000000"/>
          <w:sz w:val="24"/>
          <w:szCs w:val="24"/>
        </w:rPr>
        <w:t xml:space="preserve"> с.р.</w:t>
      </w:r>
    </w:p>
    <w:sectPr w:rsidR="002C6FE4" w:rsidRPr="002D4863" w:rsidSect="00B9592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C6FE4"/>
    <w:rsid w:val="0028453A"/>
    <w:rsid w:val="002C6FE4"/>
    <w:rsid w:val="002D4863"/>
    <w:rsid w:val="008B543F"/>
    <w:rsid w:val="00B959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sid w:val="00B9592B"/>
    <w:rPr>
      <w:color w:val="0000FF" w:themeColor="hyperlink"/>
      <w:u w:val="single"/>
    </w:rPr>
  </w:style>
  <w:style w:type="table" w:styleId="TableGrid">
    <w:name w:val="Table Grid"/>
    <w:basedOn w:val="TableNormal"/>
    <w:uiPriority w:val="59"/>
    <w:rsid w:val="00B959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rsid w:val="00B959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1496</Words>
  <Characters>8532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Stojcevic</dc:creator>
  <cp:lastModifiedBy>jovan</cp:lastModifiedBy>
  <cp:revision>2</cp:revision>
  <dcterms:created xsi:type="dcterms:W3CDTF">2017-08-29T12:45:00Z</dcterms:created>
  <dcterms:modified xsi:type="dcterms:W3CDTF">2017-08-29T12:45:00Z</dcterms:modified>
</cp:coreProperties>
</file>