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6E" w:rsidRDefault="00E33B6E" w:rsidP="00E33B6E">
      <w:pPr>
        <w:pStyle w:val="NormalWeb"/>
        <w:spacing w:before="0" w:beforeAutospacing="0" w:after="0" w:afterAutospacing="0"/>
        <w:ind w:firstLine="708"/>
        <w:jc w:val="right"/>
      </w:pPr>
    </w:p>
    <w:p w:rsidR="00E33B6E" w:rsidRDefault="00E33B6E" w:rsidP="00E33B6E">
      <w:pPr>
        <w:pStyle w:val="NormalWeb"/>
        <w:spacing w:before="0" w:beforeAutospacing="0" w:after="0" w:afterAutospacing="0"/>
        <w:ind w:firstLine="708"/>
        <w:jc w:val="right"/>
      </w:pPr>
    </w:p>
    <w:p w:rsidR="00E33B6E" w:rsidRDefault="00E33B6E" w:rsidP="00E33B6E">
      <w:pPr>
        <w:pStyle w:val="NormalWeb"/>
        <w:spacing w:before="0" w:beforeAutospacing="0" w:after="0" w:afterAutospacing="0"/>
        <w:ind w:firstLine="708"/>
        <w:jc w:val="right"/>
      </w:pPr>
    </w:p>
    <w:p w:rsidR="00E33B6E" w:rsidRPr="00E33B6E" w:rsidRDefault="00E33B6E" w:rsidP="00E33B6E">
      <w:pPr>
        <w:pStyle w:val="NormalWeb"/>
        <w:spacing w:before="0" w:beforeAutospacing="0" w:after="0" w:afterAutospacing="0"/>
        <w:ind w:firstLine="708"/>
        <w:jc w:val="right"/>
      </w:pPr>
    </w:p>
    <w:p w:rsidR="00E33B6E" w:rsidRPr="00E94396" w:rsidRDefault="00E33B6E" w:rsidP="00E33B6E">
      <w:pPr>
        <w:pStyle w:val="NormalWeb"/>
        <w:spacing w:before="0" w:beforeAutospacing="0" w:after="0" w:afterAutospacing="0"/>
        <w:ind w:firstLine="708"/>
        <w:jc w:val="both"/>
        <w:rPr>
          <w:lang w:val="sr-Cyrl-CS"/>
        </w:rPr>
      </w:pPr>
    </w:p>
    <w:p w:rsidR="00E33B6E" w:rsidRPr="00E94396" w:rsidRDefault="00E33B6E" w:rsidP="00E33B6E">
      <w:pPr>
        <w:pStyle w:val="NormalWeb"/>
        <w:spacing w:before="0" w:beforeAutospacing="0" w:after="0" w:afterAutospacing="0"/>
        <w:ind w:firstLine="708"/>
        <w:jc w:val="both"/>
        <w:rPr>
          <w:lang w:val="sr-Cyrl-CS"/>
        </w:rPr>
      </w:pPr>
      <w:r w:rsidRPr="00E94396">
        <w:rPr>
          <w:lang w:val="sr-Cyrl-CS"/>
        </w:rPr>
        <w:t xml:space="preserve">На основу члана 43. став 3. Закона о Влади („Службени гласник РС”, бр. 55/05, 71/05 - исправка, 101/07, 65/08, 16/11, 68/12 – УС, 72/12, 7/14 – УС и 44/14), на предлог Министарства трговине, туризма и телекомуникација, </w:t>
      </w:r>
    </w:p>
    <w:p w:rsidR="00E33B6E" w:rsidRPr="00E94396" w:rsidRDefault="00E33B6E" w:rsidP="00E33B6E">
      <w:pPr>
        <w:pStyle w:val="NormalWeb"/>
        <w:spacing w:before="0" w:beforeAutospacing="0" w:after="0" w:afterAutospacing="0"/>
        <w:rPr>
          <w:lang w:val="sr-Cyrl-CS"/>
        </w:rPr>
      </w:pPr>
      <w:r w:rsidRPr="00E94396">
        <w:rPr>
          <w:lang w:val="sr-Cyrl-CS"/>
        </w:rPr>
        <w:tab/>
      </w:r>
    </w:p>
    <w:p w:rsidR="00E33B6E" w:rsidRPr="00E94396" w:rsidRDefault="00E33B6E" w:rsidP="00E33B6E">
      <w:pPr>
        <w:pStyle w:val="NormalWeb"/>
        <w:spacing w:before="0" w:beforeAutospacing="0" w:after="0" w:afterAutospacing="0"/>
        <w:ind w:firstLine="708"/>
        <w:rPr>
          <w:lang w:val="sr-Cyrl-CS"/>
        </w:rPr>
      </w:pPr>
      <w:r w:rsidRPr="00E94396">
        <w:rPr>
          <w:lang w:val="sr-Cyrl-CS"/>
        </w:rPr>
        <w:t>Влада доноси</w:t>
      </w:r>
    </w:p>
    <w:p w:rsidR="00E33B6E" w:rsidRPr="00E94396" w:rsidRDefault="00E33B6E" w:rsidP="00E33B6E">
      <w:pPr>
        <w:pStyle w:val="izmenanaslov"/>
        <w:spacing w:before="0" w:beforeAutospacing="0" w:after="0" w:afterAutospacing="0"/>
        <w:rPr>
          <w:b w:val="0"/>
          <w:lang w:val="sr-Cyrl-CS"/>
        </w:rPr>
      </w:pPr>
    </w:p>
    <w:p w:rsidR="00E33B6E" w:rsidRPr="00E94396" w:rsidRDefault="00E33B6E" w:rsidP="00E33B6E">
      <w:pPr>
        <w:pStyle w:val="izmenanaslov"/>
        <w:spacing w:before="0" w:beforeAutospacing="0" w:after="0" w:afterAutospacing="0"/>
        <w:rPr>
          <w:b w:val="0"/>
          <w:lang w:val="sr-Cyrl-CS"/>
        </w:rPr>
      </w:pPr>
    </w:p>
    <w:p w:rsidR="00E33B6E" w:rsidRPr="00E94396" w:rsidRDefault="00E33B6E" w:rsidP="00E33B6E">
      <w:pPr>
        <w:pStyle w:val="izmenanaslov"/>
        <w:spacing w:before="0" w:beforeAutospacing="0" w:after="0" w:afterAutospacing="0"/>
        <w:rPr>
          <w:b w:val="0"/>
          <w:lang w:val="sr-Cyrl-CS"/>
        </w:rPr>
      </w:pPr>
      <w:r w:rsidRPr="00E94396">
        <w:rPr>
          <w:b w:val="0"/>
          <w:lang w:val="sr-Cyrl-CS"/>
        </w:rPr>
        <w:t>З</w:t>
      </w:r>
      <w:r>
        <w:rPr>
          <w:b w:val="0"/>
          <w:lang w:val="sr-Cyrl-CS"/>
        </w:rPr>
        <w:t xml:space="preserve"> </w:t>
      </w:r>
      <w:r w:rsidRPr="00E94396">
        <w:rPr>
          <w:b w:val="0"/>
          <w:lang w:val="sr-Cyrl-CS"/>
        </w:rPr>
        <w:t>А</w:t>
      </w:r>
      <w:r>
        <w:rPr>
          <w:b w:val="0"/>
          <w:lang w:val="sr-Cyrl-CS"/>
        </w:rPr>
        <w:t xml:space="preserve"> </w:t>
      </w:r>
      <w:r w:rsidRPr="00E94396">
        <w:rPr>
          <w:b w:val="0"/>
          <w:lang w:val="sr-Cyrl-CS"/>
        </w:rPr>
        <w:t>К</w:t>
      </w:r>
      <w:r>
        <w:rPr>
          <w:b w:val="0"/>
          <w:lang w:val="sr-Cyrl-CS"/>
        </w:rPr>
        <w:t xml:space="preserve"> </w:t>
      </w:r>
      <w:r w:rsidRPr="00E94396">
        <w:rPr>
          <w:b w:val="0"/>
          <w:lang w:val="sr-Cyrl-CS"/>
        </w:rPr>
        <w:t>Љ</w:t>
      </w:r>
      <w:r>
        <w:rPr>
          <w:b w:val="0"/>
          <w:lang w:val="sr-Cyrl-CS"/>
        </w:rPr>
        <w:t xml:space="preserve"> </w:t>
      </w:r>
      <w:r w:rsidRPr="00E94396">
        <w:rPr>
          <w:b w:val="0"/>
          <w:lang w:val="sr-Cyrl-CS"/>
        </w:rPr>
        <w:t>У</w:t>
      </w:r>
      <w:r>
        <w:rPr>
          <w:b w:val="0"/>
          <w:lang w:val="sr-Cyrl-CS"/>
        </w:rPr>
        <w:t xml:space="preserve"> </w:t>
      </w:r>
      <w:r w:rsidRPr="00E94396">
        <w:rPr>
          <w:b w:val="0"/>
          <w:lang w:val="sr-Cyrl-CS"/>
        </w:rPr>
        <w:t>Ч</w:t>
      </w:r>
      <w:r>
        <w:rPr>
          <w:b w:val="0"/>
          <w:lang w:val="sr-Cyrl-CS"/>
        </w:rPr>
        <w:t xml:space="preserve"> </w:t>
      </w:r>
      <w:r w:rsidRPr="00E94396">
        <w:rPr>
          <w:b w:val="0"/>
          <w:lang w:val="sr-Cyrl-CS"/>
        </w:rPr>
        <w:t>А</w:t>
      </w:r>
      <w:r>
        <w:rPr>
          <w:b w:val="0"/>
          <w:lang w:val="sr-Cyrl-CS"/>
        </w:rPr>
        <w:t xml:space="preserve"> </w:t>
      </w:r>
      <w:r w:rsidRPr="00E94396">
        <w:rPr>
          <w:b w:val="0"/>
          <w:lang w:val="sr-Cyrl-CS"/>
        </w:rPr>
        <w:t>К</w:t>
      </w:r>
    </w:p>
    <w:p w:rsidR="00E33B6E" w:rsidRPr="00E94396" w:rsidRDefault="00E33B6E" w:rsidP="00E33B6E">
      <w:pPr>
        <w:pStyle w:val="izmenapodnaslov"/>
        <w:spacing w:before="0" w:beforeAutospacing="0" w:after="0" w:afterAutospacing="0"/>
        <w:rPr>
          <w:lang w:val="sr-Cyrl-CS"/>
        </w:rPr>
      </w:pPr>
    </w:p>
    <w:p w:rsidR="00E33B6E" w:rsidRPr="00E94396" w:rsidRDefault="00E33B6E" w:rsidP="00E33B6E">
      <w:pPr>
        <w:pStyle w:val="izmenapodnaslov"/>
        <w:spacing w:before="0" w:beforeAutospacing="0" w:after="0" w:afterAutospacing="0"/>
        <w:rPr>
          <w:lang w:val="sr-Cyrl-CS"/>
        </w:rPr>
      </w:pPr>
    </w:p>
    <w:p w:rsidR="00E33B6E" w:rsidRPr="00E94396" w:rsidRDefault="00E33B6E" w:rsidP="00E33B6E">
      <w:pPr>
        <w:pStyle w:val="NormalWeb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E94396">
        <w:rPr>
          <w:lang w:val="sr-Cyrl-CS"/>
        </w:rPr>
        <w:t>Усваја се Акциони план за ефикасно коришћење телекомуникационе инфраструктуре, који је саставни део овог закључка.</w:t>
      </w:r>
    </w:p>
    <w:p w:rsidR="00E33B6E" w:rsidRPr="00E94396" w:rsidRDefault="00E33B6E" w:rsidP="00E33B6E">
      <w:pPr>
        <w:pStyle w:val="NormalWeb"/>
        <w:tabs>
          <w:tab w:val="left" w:pos="993"/>
        </w:tabs>
        <w:spacing w:before="0" w:beforeAutospacing="0" w:after="0" w:afterAutospacing="0"/>
        <w:ind w:left="709"/>
        <w:jc w:val="both"/>
        <w:rPr>
          <w:lang w:val="sr-Cyrl-CS"/>
        </w:rPr>
      </w:pPr>
    </w:p>
    <w:p w:rsidR="00E33B6E" w:rsidRPr="00E94396" w:rsidRDefault="00E33B6E" w:rsidP="00E33B6E">
      <w:pPr>
        <w:pStyle w:val="NormalWeb"/>
        <w:tabs>
          <w:tab w:val="left" w:pos="993"/>
        </w:tabs>
        <w:spacing w:before="0" w:beforeAutospacing="0" w:after="0" w:afterAutospacing="0"/>
        <w:ind w:left="709"/>
        <w:jc w:val="both"/>
        <w:rPr>
          <w:lang w:val="sr-Cyrl-CS"/>
        </w:rPr>
      </w:pPr>
    </w:p>
    <w:p w:rsidR="00E33B6E" w:rsidRPr="00E94396" w:rsidRDefault="00E33B6E" w:rsidP="00E33B6E">
      <w:pPr>
        <w:pStyle w:val="NormalWeb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E94396">
        <w:rPr>
          <w:lang w:val="sr-Cyrl-CS"/>
        </w:rPr>
        <w:t>Овај закључак објавити у „Службеном гласнику Републике Србије</w:t>
      </w:r>
      <w:r>
        <w:rPr>
          <w:lang w:val="sr-Cyrl-CS"/>
        </w:rPr>
        <w:t>”</w:t>
      </w:r>
      <w:r w:rsidRPr="00E94396">
        <w:rPr>
          <w:lang w:val="sr-Cyrl-CS"/>
        </w:rPr>
        <w:t>.</w:t>
      </w:r>
    </w:p>
    <w:p w:rsidR="00E33B6E" w:rsidRPr="00E94396" w:rsidRDefault="00E33B6E" w:rsidP="00E33B6E">
      <w:pPr>
        <w:pStyle w:val="NormalWeb"/>
        <w:tabs>
          <w:tab w:val="left" w:pos="993"/>
        </w:tabs>
        <w:spacing w:before="0" w:beforeAutospacing="0" w:after="0" w:afterAutospacing="0"/>
        <w:jc w:val="both"/>
        <w:rPr>
          <w:lang w:val="sr-Cyrl-CS"/>
        </w:rPr>
      </w:pPr>
    </w:p>
    <w:p w:rsidR="00E33B6E" w:rsidRPr="00E94396" w:rsidRDefault="00E33B6E" w:rsidP="00E33B6E">
      <w:pPr>
        <w:pStyle w:val="NormalWeb"/>
        <w:tabs>
          <w:tab w:val="left" w:pos="993"/>
        </w:tabs>
        <w:spacing w:before="0" w:beforeAutospacing="0" w:after="0" w:afterAutospacing="0"/>
        <w:ind w:left="709"/>
        <w:jc w:val="both"/>
        <w:rPr>
          <w:lang w:val="sr-Cyrl-CS"/>
        </w:rPr>
      </w:pPr>
    </w:p>
    <w:p w:rsidR="00E33B6E" w:rsidRPr="00E94396" w:rsidRDefault="00E33B6E" w:rsidP="00E33B6E">
      <w:pPr>
        <w:pStyle w:val="izmenapodnaslov"/>
        <w:spacing w:before="0" w:beforeAutospacing="0" w:after="0" w:afterAutospacing="0"/>
        <w:ind w:firstLine="708"/>
        <w:jc w:val="both"/>
        <w:rPr>
          <w:lang w:val="sr-Cyrl-CS"/>
        </w:rPr>
      </w:pPr>
    </w:p>
    <w:p w:rsidR="00E33B6E" w:rsidRPr="00E94396" w:rsidRDefault="00E33B6E" w:rsidP="00E33B6E">
      <w:pPr>
        <w:pStyle w:val="izmenatekst"/>
        <w:spacing w:before="0" w:beforeAutospacing="0" w:after="0" w:afterAutospacing="0"/>
        <w:jc w:val="both"/>
        <w:rPr>
          <w:lang w:val="en-US"/>
        </w:rPr>
      </w:pPr>
      <w:r w:rsidRPr="00E94396">
        <w:rPr>
          <w:lang w:val="sr-Cyrl-CS"/>
        </w:rPr>
        <w:t>05 Број:</w:t>
      </w:r>
      <w:r>
        <w:rPr>
          <w:lang w:val="sr-Cyrl-CS"/>
        </w:rPr>
        <w:t xml:space="preserve"> </w:t>
      </w:r>
      <w:r>
        <w:rPr>
          <w:lang w:val="en-US"/>
        </w:rPr>
        <w:t>345-3335/2017-1</w:t>
      </w:r>
    </w:p>
    <w:p w:rsidR="00E33B6E" w:rsidRPr="00E94396" w:rsidRDefault="00E33B6E" w:rsidP="00E33B6E">
      <w:pPr>
        <w:pStyle w:val="izmenatekst"/>
        <w:spacing w:before="0" w:beforeAutospacing="0" w:after="0" w:afterAutospacing="0"/>
        <w:jc w:val="both"/>
        <w:rPr>
          <w:lang/>
        </w:rPr>
      </w:pPr>
      <w:r w:rsidRPr="00E94396">
        <w:rPr>
          <w:lang w:val="sr-Cyrl-CS"/>
        </w:rPr>
        <w:t>У Београду,</w:t>
      </w:r>
      <w:r>
        <w:rPr>
          <w:lang w:val="en-US"/>
        </w:rPr>
        <w:t xml:space="preserve"> 13. </w:t>
      </w:r>
      <w:r>
        <w:rPr>
          <w:lang/>
        </w:rPr>
        <w:t>априла 2017. године</w:t>
      </w:r>
    </w:p>
    <w:p w:rsidR="00E33B6E" w:rsidRPr="00E94396" w:rsidRDefault="00E33B6E" w:rsidP="00E33B6E">
      <w:pPr>
        <w:pStyle w:val="izmenatekst"/>
        <w:spacing w:before="0" w:beforeAutospacing="0" w:after="0" w:afterAutospacing="0"/>
        <w:jc w:val="both"/>
        <w:rPr>
          <w:lang w:val="sr-Cyrl-CS"/>
        </w:rPr>
      </w:pPr>
    </w:p>
    <w:p w:rsidR="00E33B6E" w:rsidRDefault="00E33B6E" w:rsidP="00E33B6E">
      <w:pPr>
        <w:pStyle w:val="izmenatekst"/>
        <w:spacing w:before="0" w:beforeAutospacing="0" w:after="0" w:afterAutospacing="0"/>
        <w:jc w:val="both"/>
        <w:rPr>
          <w:lang w:val="sr-Cyrl-CS"/>
        </w:rPr>
      </w:pPr>
    </w:p>
    <w:p w:rsidR="00E33B6E" w:rsidRPr="00E94396" w:rsidRDefault="00E33B6E" w:rsidP="00E33B6E">
      <w:pPr>
        <w:pStyle w:val="izmenatekst"/>
        <w:spacing w:before="0" w:beforeAutospacing="0" w:after="0" w:afterAutospacing="0"/>
        <w:jc w:val="both"/>
        <w:rPr>
          <w:lang w:val="sr-Cyrl-CS"/>
        </w:rPr>
      </w:pPr>
    </w:p>
    <w:tbl>
      <w:tblPr>
        <w:tblStyle w:val="TableGrid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3"/>
        <w:gridCol w:w="2843"/>
        <w:gridCol w:w="3245"/>
      </w:tblGrid>
      <w:tr w:rsidR="00E33B6E" w:rsidRPr="00E94396" w:rsidTr="00D7388F">
        <w:tc>
          <w:tcPr>
            <w:tcW w:w="2843" w:type="dxa"/>
          </w:tcPr>
          <w:p w:rsidR="00E33B6E" w:rsidRPr="00E94396" w:rsidRDefault="00E33B6E" w:rsidP="00D7388F">
            <w:pPr>
              <w:pStyle w:val="izmenatekst"/>
              <w:spacing w:before="0" w:beforeAutospacing="0" w:after="0" w:afterAutospacing="0"/>
              <w:jc w:val="both"/>
              <w:rPr>
                <w:lang w:val="sr-Cyrl-CS"/>
              </w:rPr>
            </w:pPr>
          </w:p>
        </w:tc>
        <w:tc>
          <w:tcPr>
            <w:tcW w:w="2843" w:type="dxa"/>
            <w:hideMark/>
          </w:tcPr>
          <w:p w:rsidR="00E33B6E" w:rsidRPr="00E94396" w:rsidRDefault="00E33B6E" w:rsidP="00D7388F">
            <w:pPr>
              <w:pStyle w:val="izmenatekst"/>
              <w:spacing w:before="0" w:beforeAutospacing="0" w:after="0" w:afterAutospacing="0"/>
              <w:jc w:val="center"/>
              <w:rPr>
                <w:lang w:val="sr-Cyrl-CS"/>
              </w:rPr>
            </w:pPr>
            <w:r w:rsidRPr="00E94396">
              <w:rPr>
                <w:lang w:val="sr-Cyrl-CS"/>
              </w:rPr>
              <w:t>В</w:t>
            </w:r>
            <w:r>
              <w:rPr>
                <w:lang w:val="sr-Cyrl-CS"/>
              </w:rPr>
              <w:t xml:space="preserve"> </w:t>
            </w:r>
            <w:r w:rsidRPr="00E94396">
              <w:rPr>
                <w:lang w:val="sr-Cyrl-CS"/>
              </w:rPr>
              <w:t>Л</w:t>
            </w:r>
            <w:r>
              <w:rPr>
                <w:lang w:val="sr-Cyrl-CS"/>
              </w:rPr>
              <w:t xml:space="preserve"> </w:t>
            </w:r>
            <w:r w:rsidRPr="00E94396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</w:t>
            </w:r>
            <w:r w:rsidRPr="00E94396">
              <w:rPr>
                <w:lang w:val="sr-Cyrl-CS"/>
              </w:rPr>
              <w:t>Д</w:t>
            </w:r>
            <w:r>
              <w:rPr>
                <w:lang w:val="sr-Cyrl-CS"/>
              </w:rPr>
              <w:t xml:space="preserve"> </w:t>
            </w:r>
            <w:r w:rsidRPr="00E94396">
              <w:rPr>
                <w:lang w:val="sr-Cyrl-CS"/>
              </w:rPr>
              <w:t>А</w:t>
            </w:r>
          </w:p>
        </w:tc>
        <w:tc>
          <w:tcPr>
            <w:tcW w:w="3245" w:type="dxa"/>
          </w:tcPr>
          <w:p w:rsidR="00E33B6E" w:rsidRPr="00E94396" w:rsidRDefault="00E33B6E" w:rsidP="00D7388F">
            <w:pPr>
              <w:pStyle w:val="izmenatekst"/>
              <w:spacing w:before="0" w:beforeAutospacing="0" w:after="0" w:afterAutospacing="0"/>
              <w:jc w:val="center"/>
              <w:rPr>
                <w:lang w:val="sr-Cyrl-CS"/>
              </w:rPr>
            </w:pPr>
          </w:p>
          <w:p w:rsidR="00E33B6E" w:rsidRPr="00E94396" w:rsidRDefault="00E33B6E" w:rsidP="00D7388F">
            <w:pPr>
              <w:pStyle w:val="izmenatekst"/>
              <w:spacing w:before="0" w:beforeAutospacing="0" w:after="0" w:afterAutospacing="0"/>
              <w:jc w:val="center"/>
              <w:rPr>
                <w:lang w:val="sr-Cyrl-CS"/>
              </w:rPr>
            </w:pPr>
          </w:p>
          <w:p w:rsidR="00E33B6E" w:rsidRPr="00E94396" w:rsidRDefault="00E33B6E" w:rsidP="00D7388F">
            <w:pPr>
              <w:pStyle w:val="izmenatekst"/>
              <w:spacing w:before="0" w:beforeAutospacing="0" w:after="0" w:afterAutospacing="0"/>
              <w:jc w:val="center"/>
              <w:rPr>
                <w:lang w:val="sr-Cyrl-CS"/>
              </w:rPr>
            </w:pPr>
            <w:r w:rsidRPr="00E94396">
              <w:rPr>
                <w:lang w:val="sr-Cyrl-CS"/>
              </w:rPr>
              <w:t>ПРЕДСЕДНИК</w:t>
            </w:r>
          </w:p>
          <w:p w:rsidR="00E33B6E" w:rsidRPr="00E94396" w:rsidRDefault="00E33B6E" w:rsidP="00D7388F">
            <w:pPr>
              <w:pStyle w:val="izmenatekst"/>
              <w:spacing w:before="0" w:beforeAutospacing="0" w:after="0" w:afterAutospacing="0"/>
              <w:jc w:val="center"/>
              <w:rPr>
                <w:lang w:val="sr-Cyrl-CS"/>
              </w:rPr>
            </w:pPr>
          </w:p>
          <w:p w:rsidR="00E33B6E" w:rsidRPr="00E94396" w:rsidRDefault="00E33B6E" w:rsidP="00D7388F">
            <w:pPr>
              <w:pStyle w:val="izmenatekst"/>
              <w:spacing w:before="0" w:beforeAutospacing="0" w:after="0" w:afterAutospacing="0"/>
              <w:jc w:val="center"/>
              <w:rPr>
                <w:lang w:val="sr-Cyrl-CS"/>
              </w:rPr>
            </w:pPr>
          </w:p>
          <w:p w:rsidR="00E33B6E" w:rsidRPr="00E94396" w:rsidRDefault="00E33B6E" w:rsidP="00D7388F">
            <w:pPr>
              <w:pStyle w:val="izmenatekst"/>
              <w:spacing w:before="0" w:beforeAutospacing="0" w:after="0" w:afterAutospacing="0"/>
              <w:jc w:val="center"/>
              <w:rPr>
                <w:lang w:val="sr-Cyrl-CS"/>
              </w:rPr>
            </w:pPr>
            <w:r w:rsidRPr="00E94396">
              <w:rPr>
                <w:lang w:val="sr-Cyrl-CS"/>
              </w:rPr>
              <w:t>Александар Вучић, с.р.</w:t>
            </w:r>
          </w:p>
        </w:tc>
      </w:tr>
    </w:tbl>
    <w:p w:rsidR="00E33B6E" w:rsidRPr="00E94396" w:rsidRDefault="00E33B6E" w:rsidP="00E33B6E">
      <w:pPr>
        <w:rPr>
          <w:lang w:val="sr-Cyrl-CS"/>
        </w:rPr>
      </w:pPr>
    </w:p>
    <w:p w:rsidR="00E33B6E" w:rsidRDefault="00E33B6E">
      <w:pPr>
        <w:spacing w:after="200" w:line="276" w:lineRule="auto"/>
      </w:pPr>
    </w:p>
    <w:p w:rsidR="00E33B6E" w:rsidRDefault="00E33B6E">
      <w:pPr>
        <w:spacing w:after="200" w:line="276" w:lineRule="auto"/>
      </w:pPr>
      <w:r>
        <w:br w:type="page"/>
      </w:r>
    </w:p>
    <w:p w:rsidR="00E33B6E" w:rsidRDefault="00E33B6E" w:rsidP="00627DA2">
      <w:pPr>
        <w:spacing w:after="100" w:afterAutospacing="1"/>
        <w:jc w:val="center"/>
      </w:pPr>
    </w:p>
    <w:p w:rsidR="00627DA2" w:rsidRPr="00665361" w:rsidRDefault="00627DA2" w:rsidP="00627DA2">
      <w:pPr>
        <w:spacing w:after="100" w:afterAutospacing="1"/>
        <w:jc w:val="center"/>
        <w:rPr>
          <w:lang w:val="sr-Cyrl-CS"/>
        </w:rPr>
      </w:pPr>
      <w:r w:rsidRPr="00665361">
        <w:rPr>
          <w:lang w:val="sr-Cyrl-CS"/>
        </w:rPr>
        <w:t>АКЦИОНИ ПЛАН ЗА ЕФИКАСНО КОРИШЋЕЊЕ ТЕЛЕКОМУНИКАЦИОНЕ ИНФРАСТРУКТУРЕ</w:t>
      </w:r>
    </w:p>
    <w:p w:rsidR="00627DA2" w:rsidRPr="00665361" w:rsidRDefault="00627DA2" w:rsidP="00627DA2">
      <w:pPr>
        <w:spacing w:before="100" w:beforeAutospacing="1" w:after="100" w:afterAutospacing="1"/>
        <w:jc w:val="center"/>
        <w:rPr>
          <w:lang w:val="sr-Cyrl-CS"/>
        </w:rPr>
      </w:pPr>
      <w:r w:rsidRPr="00665361">
        <w:rPr>
          <w:lang w:val="sr-Cyrl-CS"/>
        </w:rPr>
        <w:t>I. УВОД</w:t>
      </w:r>
    </w:p>
    <w:p w:rsidR="00627DA2" w:rsidRPr="00665361" w:rsidRDefault="00665361" w:rsidP="00665361">
      <w:pPr>
        <w:tabs>
          <w:tab w:val="left" w:pos="1418"/>
        </w:tabs>
        <w:spacing w:after="120"/>
        <w:jc w:val="both"/>
        <w:rPr>
          <w:lang w:val="sr-Cyrl-CS"/>
        </w:rPr>
      </w:pPr>
      <w:r>
        <w:rPr>
          <w:lang w:val="sr-Cyrl-CS"/>
        </w:rPr>
        <w:tab/>
      </w:r>
      <w:r w:rsidR="00FD3201">
        <w:rPr>
          <w:lang w:val="sr-Cyrl-CS"/>
        </w:rPr>
        <w:t>Република Србија</w:t>
      </w:r>
      <w:r w:rsidR="00627DA2" w:rsidRPr="00665361">
        <w:rPr>
          <w:lang w:val="sr-Cyrl-CS"/>
        </w:rPr>
        <w:t xml:space="preserve"> у свojим jaвним прeдузeћимa, aкциoнaрским друштвимa и oргaнизaциjaмa рaспoлaжe вeликим и квaлитeтним тeлeкoмуникaциoним систeмимa зa oбaвљaњe сeрвисa и пружaњe услугa нeoпхoдних</w:t>
      </w:r>
      <w:r w:rsidR="00FD3201">
        <w:rPr>
          <w:lang w:val="sr-Cyrl-CS"/>
        </w:rPr>
        <w:t>,</w:t>
      </w:r>
      <w:r w:rsidR="00627DA2" w:rsidRPr="00665361">
        <w:rPr>
          <w:lang w:val="sr-Cyrl-CS"/>
        </w:rPr>
        <w:t xml:space="preserve"> прe свeгa</w:t>
      </w:r>
      <w:r w:rsidR="00563AE4">
        <w:t>,</w:t>
      </w:r>
      <w:r w:rsidR="00627DA2" w:rsidRPr="00665361">
        <w:rPr>
          <w:lang w:val="sr-Cyrl-CS"/>
        </w:rPr>
        <w:t xml:space="preserve"> </w:t>
      </w:r>
      <w:r w:rsidR="00FD3201">
        <w:rPr>
          <w:lang w:val="sr-Cyrl-CS"/>
        </w:rPr>
        <w:t>тим субјектима</w:t>
      </w:r>
      <w:r w:rsidR="00627DA2" w:rsidRPr="00665361">
        <w:rPr>
          <w:lang w:val="sr-Cyrl-CS"/>
        </w:rPr>
        <w:t xml:space="preserve">. Наведени кaпaцитeти нису oбjeдињeни, рaзвиjaни су свaки зa сeбe, сa нaмeрoм дa сe зaдoвoљe пoтрeбe </w:t>
      </w:r>
      <w:r w:rsidR="00FD3201">
        <w:rPr>
          <w:lang w:val="sr-Cyrl-CS"/>
        </w:rPr>
        <w:t>субјеката</w:t>
      </w:r>
      <w:r w:rsidR="00627DA2" w:rsidRPr="00665361">
        <w:rPr>
          <w:lang w:val="sr-Cyrl-CS"/>
        </w:rPr>
        <w:t xml:space="preserve"> кoje су их грaдилe, па је неопходна њихова консолидација. Неискоришћени део ових кaпaцитeтa мoже бити употребљен  зa пружaњe услугa и држaвним oргaнимa.</w:t>
      </w:r>
    </w:p>
    <w:p w:rsidR="00627DA2" w:rsidRPr="00665361" w:rsidRDefault="00665361" w:rsidP="00665361">
      <w:pPr>
        <w:tabs>
          <w:tab w:val="left" w:pos="1418"/>
        </w:tabs>
        <w:spacing w:after="120"/>
        <w:jc w:val="both"/>
        <w:rPr>
          <w:lang w:val="sr-Cyrl-CS"/>
        </w:rPr>
      </w:pPr>
      <w:r>
        <w:rPr>
          <w:lang w:val="sr-Cyrl-CS"/>
        </w:rPr>
        <w:tab/>
      </w:r>
      <w:r w:rsidR="00627DA2" w:rsidRPr="00665361">
        <w:rPr>
          <w:lang w:val="sr-Cyrl-CS"/>
        </w:rPr>
        <w:t>Један од циљева Стратегије развоја електронских комуникација у Републици Србији од 2010. до 2020. године</w:t>
      </w:r>
      <w:r w:rsidR="00FD3201">
        <w:rPr>
          <w:lang w:val="sr-Cyrl-CS"/>
        </w:rPr>
        <w:t xml:space="preserve"> („Службени гласник РС”, број 68/10)</w:t>
      </w:r>
      <w:r w:rsidR="00627DA2" w:rsidRPr="00665361">
        <w:rPr>
          <w:lang w:val="sr-Cyrl-CS"/>
        </w:rPr>
        <w:t xml:space="preserve"> је искоришћење ресурса државне телекомуникационе инфраструктуре и успостављање јединствене националне широкопојасне мреже. Корист од успостављања такве мреже огледа се у уштеди која се постиже обједињавањем државних капацитета, оптимизацији пословања државних </w:t>
      </w:r>
      <w:r w:rsidR="00FD3201">
        <w:rPr>
          <w:lang w:val="sr-Cyrl-CS"/>
        </w:rPr>
        <w:t>органа</w:t>
      </w:r>
      <w:r w:rsidR="00627DA2" w:rsidRPr="00665361">
        <w:rPr>
          <w:lang w:val="sr-Cyrl-CS"/>
        </w:rPr>
        <w:t xml:space="preserve"> и предузећа, ефикаснијем пословању и бољим перформансама рада, као и ефикасном повезивању свих државних </w:t>
      </w:r>
      <w:r w:rsidR="00FD3201">
        <w:rPr>
          <w:lang w:val="sr-Cyrl-CS"/>
        </w:rPr>
        <w:t>органа</w:t>
      </w:r>
      <w:r w:rsidR="00627DA2" w:rsidRPr="00665361">
        <w:rPr>
          <w:lang w:val="sr-Cyrl-CS"/>
        </w:rPr>
        <w:t xml:space="preserve"> са осталим секторима индустрије, производње, банкарства и трговине.</w:t>
      </w:r>
    </w:p>
    <w:p w:rsidR="00627DA2" w:rsidRPr="00665361" w:rsidRDefault="00665361" w:rsidP="00665361">
      <w:pPr>
        <w:tabs>
          <w:tab w:val="left" w:pos="1418"/>
        </w:tabs>
        <w:spacing w:after="120"/>
        <w:jc w:val="both"/>
        <w:rPr>
          <w:lang w:val="sr-Cyrl-CS"/>
        </w:rPr>
      </w:pPr>
      <w:r>
        <w:rPr>
          <w:lang w:val="sr-Cyrl-CS"/>
        </w:rPr>
        <w:tab/>
      </w:r>
      <w:r w:rsidR="00627DA2" w:rsidRPr="00665361">
        <w:rPr>
          <w:lang w:val="sr-Cyrl-CS"/>
        </w:rPr>
        <w:t>Поред тога, Програм економских реформи за период</w:t>
      </w:r>
      <w:r w:rsidR="00287BED">
        <w:rPr>
          <w:lang w:val="sr-Cyrl-CS"/>
        </w:rPr>
        <w:t xml:space="preserve"> од</w:t>
      </w:r>
      <w:r w:rsidR="00627DA2" w:rsidRPr="00665361">
        <w:rPr>
          <w:lang w:val="sr-Cyrl-CS"/>
        </w:rPr>
        <w:t xml:space="preserve"> 2017. до 2019. године дефинише</w:t>
      </w:r>
      <w:r w:rsidR="00FD3201">
        <w:rPr>
          <w:lang w:val="sr-Cyrl-CS"/>
        </w:rPr>
        <w:t>,</w:t>
      </w:r>
      <w:r w:rsidR="00627DA2" w:rsidRPr="00665361">
        <w:rPr>
          <w:lang w:val="sr-Cyrl-CS"/>
        </w:rPr>
        <w:t xml:space="preserve"> као приоритетну</w:t>
      </w:r>
      <w:r w:rsidR="00FD3201">
        <w:rPr>
          <w:lang w:val="sr-Cyrl-CS"/>
        </w:rPr>
        <w:t>,</w:t>
      </w:r>
      <w:r w:rsidR="00627DA2" w:rsidRPr="00665361">
        <w:rPr>
          <w:lang w:val="sr-Cyrl-CS"/>
        </w:rPr>
        <w:t xml:space="preserve"> структурну реформу</w:t>
      </w:r>
      <w:r w:rsidR="00FD3201">
        <w:rPr>
          <w:lang w:val="sr-Cyrl-CS"/>
        </w:rPr>
        <w:t xml:space="preserve"> која се односи на</w:t>
      </w:r>
      <w:r w:rsidR="00627DA2" w:rsidRPr="00665361">
        <w:rPr>
          <w:lang w:val="sr-Cyrl-CS"/>
        </w:rPr>
        <w:t xml:space="preserve"> </w:t>
      </w:r>
      <w:r w:rsidR="00FD3201">
        <w:rPr>
          <w:lang w:val="sr-Cyrl-CS"/>
        </w:rPr>
        <w:t>р</w:t>
      </w:r>
      <w:r w:rsidR="00627DA2" w:rsidRPr="00665361">
        <w:rPr>
          <w:lang w:val="sr-Cyrl-CS"/>
        </w:rPr>
        <w:t xml:space="preserve">азвој и унапређење националне широкопојасне комуникационе инфраструктуре. </w:t>
      </w:r>
      <w:r w:rsidR="00627DA2" w:rsidRPr="00665361">
        <w:rPr>
          <w:rFonts w:eastAsia="Calibri"/>
          <w:lang w:val="sr-Cyrl-CS"/>
        </w:rPr>
        <w:t>Спровођење ове структурне реформе, између осталог, обухвата и консолидацију широкопојасне мреже у власништву јавног сектора, као и повезивање јавних установа на националну мрежу.</w:t>
      </w:r>
    </w:p>
    <w:p w:rsidR="00627DA2" w:rsidRPr="00665361" w:rsidRDefault="00665361" w:rsidP="00665361">
      <w:pPr>
        <w:tabs>
          <w:tab w:val="left" w:pos="1418"/>
        </w:tabs>
        <w:spacing w:after="120"/>
        <w:jc w:val="both"/>
        <w:rPr>
          <w:lang w:val="sr-Cyrl-CS"/>
        </w:rPr>
      </w:pPr>
      <w:r>
        <w:rPr>
          <w:lang w:val="sr-Cyrl-CS"/>
        </w:rPr>
        <w:tab/>
      </w:r>
      <w:r w:rsidR="00627DA2" w:rsidRPr="00665361">
        <w:rPr>
          <w:lang w:val="sr-Cyrl-CS"/>
        </w:rPr>
        <w:t>Акционим планом за ефикасно коришћење телекомуникационе инфраструктуре биће дефинисане активности које се односе на искоришћење ресурса државне телекомуникационе инфраструктуре у циљу успостављања јединствене националне широкопојасне мреже. Такође, Акциони план ће дефинисати и активности које ће обезбедити одрживост и даљи развој националне широкопојасне мреже.</w:t>
      </w:r>
    </w:p>
    <w:p w:rsidR="00627DA2" w:rsidRPr="00665361" w:rsidRDefault="00627DA2" w:rsidP="00665361">
      <w:pPr>
        <w:tabs>
          <w:tab w:val="left" w:pos="1418"/>
        </w:tabs>
        <w:spacing w:before="100" w:beforeAutospacing="1" w:after="100" w:afterAutospacing="1"/>
        <w:jc w:val="center"/>
        <w:rPr>
          <w:lang w:val="sr-Cyrl-CS"/>
        </w:rPr>
      </w:pPr>
      <w:r w:rsidRPr="00665361">
        <w:rPr>
          <w:lang w:val="sr-Cyrl-CS"/>
        </w:rPr>
        <w:t>I I. ЦИЉ АКЦИОНОГ ПЛАНА</w:t>
      </w:r>
    </w:p>
    <w:p w:rsidR="00627DA2" w:rsidRPr="00665361" w:rsidRDefault="00665361" w:rsidP="00665361">
      <w:pPr>
        <w:tabs>
          <w:tab w:val="left" w:pos="1418"/>
        </w:tabs>
        <w:spacing w:after="120"/>
        <w:jc w:val="both"/>
        <w:rPr>
          <w:lang w:val="sr-Cyrl-CS"/>
        </w:rPr>
      </w:pPr>
      <w:r>
        <w:rPr>
          <w:lang w:val="sr-Cyrl-CS"/>
        </w:rPr>
        <w:tab/>
      </w:r>
      <w:r w:rsidR="00627DA2" w:rsidRPr="00665361">
        <w:rPr>
          <w:lang w:val="sr-Cyrl-CS"/>
        </w:rPr>
        <w:t xml:space="preserve">Циљ Акционог плана је реализовање Стратегије </w:t>
      </w:r>
      <w:r w:rsidR="00FD3201" w:rsidRPr="00FD3201">
        <w:rPr>
          <w:lang w:val="sr-Cyrl-CS"/>
        </w:rPr>
        <w:t xml:space="preserve">развоја електронских комуникација у Републици Србији од 2010. до 2020. године </w:t>
      </w:r>
      <w:r w:rsidR="00627DA2" w:rsidRPr="00665361">
        <w:rPr>
          <w:lang w:val="sr-Cyrl-CS"/>
        </w:rPr>
        <w:t>спровођењем планираних  активности у роковима одређеним овим акционим планом.</w:t>
      </w:r>
    </w:p>
    <w:p w:rsidR="00627DA2" w:rsidRPr="00665361" w:rsidRDefault="00627DA2" w:rsidP="00665361">
      <w:pPr>
        <w:tabs>
          <w:tab w:val="left" w:pos="1418"/>
        </w:tabs>
        <w:spacing w:before="100" w:beforeAutospacing="1" w:after="100" w:afterAutospacing="1"/>
        <w:jc w:val="center"/>
        <w:rPr>
          <w:lang w:val="sr-Cyrl-CS"/>
        </w:rPr>
      </w:pPr>
      <w:r w:rsidRPr="00665361">
        <w:rPr>
          <w:lang w:val="sr-Cyrl-CS"/>
        </w:rPr>
        <w:t>I I I. ФИНАНСИРАЊЕ</w:t>
      </w:r>
    </w:p>
    <w:p w:rsidR="00627DA2" w:rsidRPr="00665361" w:rsidRDefault="00665361" w:rsidP="00665361">
      <w:pPr>
        <w:tabs>
          <w:tab w:val="left" w:pos="1418"/>
        </w:tabs>
        <w:spacing w:after="120"/>
        <w:jc w:val="both"/>
        <w:rPr>
          <w:lang w:val="sr-Cyrl-CS"/>
        </w:rPr>
      </w:pPr>
      <w:r>
        <w:rPr>
          <w:lang w:val="sr-Cyrl-CS"/>
        </w:rPr>
        <w:tab/>
      </w:r>
      <w:r w:rsidR="00627DA2" w:rsidRPr="00665361">
        <w:rPr>
          <w:lang w:val="sr-Cyrl-CS"/>
        </w:rPr>
        <w:t>Активности обухваћене Акционим планом биће финансиране из буџета Републике Србије, као и из донација.</w:t>
      </w:r>
    </w:p>
    <w:p w:rsidR="00627DA2" w:rsidRPr="00665361" w:rsidRDefault="00627DA2" w:rsidP="00627DA2">
      <w:pPr>
        <w:spacing w:after="120"/>
        <w:jc w:val="both"/>
        <w:rPr>
          <w:lang w:val="sr-Cyrl-CS"/>
        </w:rPr>
      </w:pPr>
    </w:p>
    <w:p w:rsidR="00627DA2" w:rsidRPr="00665361" w:rsidRDefault="00627DA2" w:rsidP="00897BA3">
      <w:pPr>
        <w:jc w:val="center"/>
        <w:rPr>
          <w:sz w:val="36"/>
          <w:szCs w:val="36"/>
          <w:lang w:val="sr-Cyrl-CS"/>
        </w:rPr>
        <w:sectPr w:rsidR="00627DA2" w:rsidRPr="00665361" w:rsidSect="00665361">
          <w:headerReference w:type="default" r:id="rId8"/>
          <w:footerReference w:type="default" r:id="rId9"/>
          <w:pgSz w:w="11907" w:h="16839" w:code="9"/>
          <w:pgMar w:top="1418" w:right="1418" w:bottom="1418" w:left="990" w:header="720" w:footer="720" w:gutter="0"/>
          <w:cols w:space="720"/>
          <w:titlePg/>
          <w:docGrid w:linePitch="360"/>
        </w:sectPr>
      </w:pPr>
    </w:p>
    <w:p w:rsidR="00897BA3" w:rsidRPr="00665361" w:rsidRDefault="00897BA3" w:rsidP="00897BA3">
      <w:pPr>
        <w:jc w:val="center"/>
        <w:rPr>
          <w:sz w:val="36"/>
          <w:szCs w:val="36"/>
          <w:lang w:val="sr-Cyrl-CS"/>
        </w:rPr>
      </w:pPr>
    </w:p>
    <w:p w:rsidR="00897BA3" w:rsidRPr="00665361" w:rsidRDefault="00897BA3" w:rsidP="00897BA3">
      <w:pPr>
        <w:rPr>
          <w:sz w:val="36"/>
          <w:szCs w:val="36"/>
          <w:lang w:val="sr-Cyrl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24"/>
        <w:gridCol w:w="2435"/>
        <w:gridCol w:w="1003"/>
        <w:gridCol w:w="1001"/>
        <w:gridCol w:w="1718"/>
        <w:gridCol w:w="1434"/>
        <w:gridCol w:w="1585"/>
        <w:gridCol w:w="2285"/>
        <w:gridCol w:w="2288"/>
      </w:tblGrid>
      <w:tr w:rsidR="00B96C8D" w:rsidRPr="00665361" w:rsidTr="00E6630E">
        <w:trPr>
          <w:cantSplit/>
          <w:trHeight w:val="255"/>
          <w:tblHeader/>
          <w:jc w:val="center"/>
        </w:trPr>
        <w:tc>
          <w:tcPr>
            <w:tcW w:w="1009" w:type="pct"/>
            <w:gridSpan w:val="2"/>
            <w:vMerge w:val="restart"/>
            <w:shd w:val="clear" w:color="000000" w:fill="99CCFF"/>
            <w:vAlign w:val="center"/>
          </w:tcPr>
          <w:p w:rsidR="00832022" w:rsidRPr="00665361" w:rsidRDefault="00832022" w:rsidP="00F308B1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65361">
              <w:rPr>
                <w:b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707" w:type="pct"/>
            <w:gridSpan w:val="2"/>
            <w:shd w:val="clear" w:color="000000" w:fill="99CCFF"/>
            <w:vAlign w:val="center"/>
          </w:tcPr>
          <w:p w:rsidR="00832022" w:rsidRPr="00665361" w:rsidRDefault="00832022" w:rsidP="002F64F0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6536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Рок за</w:t>
            </w:r>
          </w:p>
          <w:p w:rsidR="00832022" w:rsidRPr="00665361" w:rsidRDefault="00832022" w:rsidP="002F64F0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6536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реализацију</w:t>
            </w:r>
          </w:p>
        </w:tc>
        <w:tc>
          <w:tcPr>
            <w:tcW w:w="606" w:type="pct"/>
            <w:vMerge w:val="restart"/>
            <w:shd w:val="clear" w:color="000000" w:fill="99CCFF"/>
            <w:vAlign w:val="center"/>
          </w:tcPr>
          <w:p w:rsidR="00832022" w:rsidRPr="00665361" w:rsidRDefault="00832022" w:rsidP="0032356E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6536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Показатељ</w:t>
            </w:r>
          </w:p>
        </w:tc>
        <w:tc>
          <w:tcPr>
            <w:tcW w:w="1065" w:type="pct"/>
            <w:gridSpan w:val="2"/>
            <w:shd w:val="clear" w:color="000000" w:fill="99CCFF"/>
            <w:vAlign w:val="center"/>
          </w:tcPr>
          <w:p w:rsidR="00832022" w:rsidRPr="00665361" w:rsidRDefault="00832022" w:rsidP="002F64F0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6536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Финансијска средства</w:t>
            </w:r>
          </w:p>
        </w:tc>
        <w:tc>
          <w:tcPr>
            <w:tcW w:w="806" w:type="pct"/>
            <w:vMerge w:val="restart"/>
            <w:shd w:val="clear" w:color="000000" w:fill="99CCFF"/>
            <w:vAlign w:val="center"/>
          </w:tcPr>
          <w:p w:rsidR="00832022" w:rsidRPr="00665361" w:rsidRDefault="00832022" w:rsidP="002F64F0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6536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Носилац активности</w:t>
            </w:r>
          </w:p>
        </w:tc>
        <w:tc>
          <w:tcPr>
            <w:tcW w:w="807" w:type="pct"/>
            <w:vMerge w:val="restart"/>
            <w:shd w:val="clear" w:color="000000" w:fill="99CCFF"/>
            <w:vAlign w:val="center"/>
          </w:tcPr>
          <w:p w:rsidR="00832022" w:rsidRPr="00665361" w:rsidRDefault="00832022" w:rsidP="002F64F0">
            <w:pPr>
              <w:jc w:val="center"/>
              <w:rPr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6536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Партнери</w:t>
            </w:r>
          </w:p>
        </w:tc>
      </w:tr>
      <w:tr w:rsidR="00B96C8D" w:rsidRPr="00665361" w:rsidTr="00BA0F61">
        <w:trPr>
          <w:cantSplit/>
          <w:trHeight w:val="315"/>
          <w:tblHeader/>
          <w:jc w:val="center"/>
        </w:trPr>
        <w:tc>
          <w:tcPr>
            <w:tcW w:w="1009" w:type="pct"/>
            <w:gridSpan w:val="2"/>
            <w:vMerge/>
            <w:vAlign w:val="center"/>
          </w:tcPr>
          <w:p w:rsidR="00832022" w:rsidRPr="00665361" w:rsidRDefault="00832022" w:rsidP="002F64F0">
            <w:pPr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354" w:type="pct"/>
            <w:shd w:val="clear" w:color="auto" w:fill="B8CCE4"/>
            <w:vAlign w:val="bottom"/>
          </w:tcPr>
          <w:p w:rsidR="00832022" w:rsidRPr="00665361" w:rsidRDefault="00832022" w:rsidP="002F64F0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6536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2017</w:t>
            </w:r>
          </w:p>
        </w:tc>
        <w:tc>
          <w:tcPr>
            <w:tcW w:w="353" w:type="pct"/>
            <w:shd w:val="clear" w:color="auto" w:fill="B8CCE4"/>
            <w:vAlign w:val="bottom"/>
          </w:tcPr>
          <w:p w:rsidR="00832022" w:rsidRPr="00665361" w:rsidRDefault="00832022" w:rsidP="002F64F0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6536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2018</w:t>
            </w:r>
          </w:p>
        </w:tc>
        <w:tc>
          <w:tcPr>
            <w:tcW w:w="606" w:type="pct"/>
            <w:vMerge/>
            <w:vAlign w:val="center"/>
          </w:tcPr>
          <w:p w:rsidR="00832022" w:rsidRPr="00665361" w:rsidRDefault="00832022" w:rsidP="002F64F0">
            <w:pPr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506" w:type="pct"/>
            <w:shd w:val="clear" w:color="000000" w:fill="99CCFF"/>
            <w:vAlign w:val="center"/>
          </w:tcPr>
          <w:p w:rsidR="00832022" w:rsidRPr="00665361" w:rsidRDefault="00832022" w:rsidP="002F64F0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6536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Буџет Р</w:t>
            </w:r>
            <w:r w:rsidR="00FD320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 xml:space="preserve">епублике </w:t>
            </w:r>
            <w:r w:rsidRPr="0066536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С</w:t>
            </w:r>
            <w:r w:rsidR="00FD320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рбије</w:t>
            </w:r>
          </w:p>
        </w:tc>
        <w:tc>
          <w:tcPr>
            <w:tcW w:w="559" w:type="pct"/>
            <w:shd w:val="clear" w:color="000000" w:fill="99CCFF"/>
            <w:vAlign w:val="center"/>
          </w:tcPr>
          <w:p w:rsidR="00832022" w:rsidRPr="00665361" w:rsidRDefault="00832022" w:rsidP="002F64F0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65361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Донације</w:t>
            </w:r>
          </w:p>
        </w:tc>
        <w:tc>
          <w:tcPr>
            <w:tcW w:w="806" w:type="pct"/>
            <w:vMerge/>
            <w:vAlign w:val="center"/>
          </w:tcPr>
          <w:p w:rsidR="00832022" w:rsidRPr="00665361" w:rsidRDefault="00832022" w:rsidP="002F64F0">
            <w:pPr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807" w:type="pct"/>
            <w:vMerge/>
            <w:vAlign w:val="center"/>
          </w:tcPr>
          <w:p w:rsidR="00832022" w:rsidRPr="00665361" w:rsidRDefault="00832022" w:rsidP="002F64F0">
            <w:pPr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</w:p>
        </w:tc>
      </w:tr>
      <w:tr w:rsidR="001B0AEB" w:rsidRPr="00665361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65361" w:rsidRDefault="00832022" w:rsidP="002F64F0">
            <w:pPr>
              <w:rPr>
                <w:rFonts w:asciiTheme="majorHAnsi" w:hAnsiTheme="majorHAnsi" w:cstheme="majorHAnsi"/>
                <w:lang w:val="sr-Cyrl-CS"/>
              </w:rPr>
            </w:pPr>
          </w:p>
          <w:p w:rsidR="00832022" w:rsidRPr="00665361" w:rsidRDefault="00832022" w:rsidP="002F64F0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859" w:type="pct"/>
            <w:shd w:val="clear" w:color="auto" w:fill="auto"/>
          </w:tcPr>
          <w:p w:rsidR="00832022" w:rsidRPr="00665361" w:rsidRDefault="00832022" w:rsidP="002F64F0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Израда прегледа телекомуникационих капацитета у јавној својини и својини јавних  предузећа, укључујући дугорочно закупљене капацитете</w:t>
            </w:r>
          </w:p>
        </w:tc>
        <w:tc>
          <w:tcPr>
            <w:tcW w:w="354" w:type="pct"/>
          </w:tcPr>
          <w:p w:rsidR="00832022" w:rsidRPr="00665361" w:rsidRDefault="00751D06" w:rsidP="002F64F0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2</w:t>
            </w:r>
            <w:r w:rsidR="00832022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. квартал</w:t>
            </w:r>
          </w:p>
        </w:tc>
        <w:tc>
          <w:tcPr>
            <w:tcW w:w="353" w:type="pct"/>
            <w:shd w:val="clear" w:color="auto" w:fill="auto"/>
          </w:tcPr>
          <w:p w:rsidR="00832022" w:rsidRPr="00665361" w:rsidRDefault="00832022" w:rsidP="002F64F0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65361" w:rsidRDefault="00832022" w:rsidP="002F64F0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Израђен преглед</w:t>
            </w:r>
          </w:p>
          <w:p w:rsidR="00832022" w:rsidRPr="00665361" w:rsidRDefault="00832022" w:rsidP="002F64F0">
            <w:pPr>
              <w:rPr>
                <w:rFonts w:asciiTheme="majorHAnsi" w:hAnsiTheme="majorHAnsi" w:cstheme="majorHAnsi"/>
                <w:lang w:val="sr-Cyrl-CS"/>
              </w:rPr>
            </w:pPr>
          </w:p>
          <w:p w:rsidR="00832022" w:rsidRPr="00665361" w:rsidRDefault="00832022" w:rsidP="002F64F0">
            <w:pPr>
              <w:rPr>
                <w:rFonts w:asciiTheme="majorHAnsi" w:hAnsiTheme="majorHAnsi" w:cstheme="majorHAnsi"/>
                <w:lang w:val="sr-Cyrl-CS"/>
              </w:rPr>
            </w:pPr>
          </w:p>
          <w:p w:rsidR="00832022" w:rsidRPr="00665361" w:rsidRDefault="00832022" w:rsidP="002F64F0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06" w:type="pct"/>
            <w:shd w:val="clear" w:color="auto" w:fill="auto"/>
          </w:tcPr>
          <w:p w:rsidR="00832022" w:rsidRPr="00665361" w:rsidRDefault="00D8627B" w:rsidP="002F64F0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65361" w:rsidRDefault="00015D21" w:rsidP="002F64F0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/</w:t>
            </w:r>
          </w:p>
        </w:tc>
        <w:tc>
          <w:tcPr>
            <w:tcW w:w="806" w:type="pct"/>
            <w:shd w:val="clear" w:color="auto" w:fill="auto"/>
          </w:tcPr>
          <w:p w:rsidR="00832022" w:rsidRPr="00665361" w:rsidRDefault="00832022" w:rsidP="002F64F0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807" w:type="pct"/>
            <w:shd w:val="clear" w:color="auto" w:fill="auto"/>
          </w:tcPr>
          <w:p w:rsidR="00832022" w:rsidRPr="00665361" w:rsidRDefault="00D8627B" w:rsidP="002F64F0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Регулаторна агенција за електронске комуникације и поштанске услуге, </w:t>
            </w:r>
            <w:r w:rsidR="00832022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имаоци инфраструктуре</w:t>
            </w:r>
          </w:p>
        </w:tc>
      </w:tr>
      <w:tr w:rsidR="001B0AEB" w:rsidRPr="00665361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859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Анализа потреба телекомуникационог повезивања објеката односно просторија које користе  државни органи, органи територијалне аутономије, органи јединица локалне самоуправе као и јавна предузећа и уста</w:t>
            </w:r>
            <w:r w:rsidR="00401BD0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нове чији су оснивачи ти органи</w:t>
            </w:r>
          </w:p>
        </w:tc>
        <w:tc>
          <w:tcPr>
            <w:tcW w:w="354" w:type="pct"/>
          </w:tcPr>
          <w:p w:rsidR="00832022" w:rsidRPr="00665361" w:rsidRDefault="00877A09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2</w:t>
            </w:r>
            <w:r w:rsidR="00832022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. квартал</w:t>
            </w:r>
          </w:p>
        </w:tc>
        <w:tc>
          <w:tcPr>
            <w:tcW w:w="353" w:type="pct"/>
            <w:shd w:val="clear" w:color="auto" w:fill="auto"/>
          </w:tcPr>
          <w:p w:rsidR="00832022" w:rsidRPr="00665361" w:rsidRDefault="00832022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Израђена анализа</w:t>
            </w:r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506" w:type="pct"/>
            <w:shd w:val="clear" w:color="auto" w:fill="auto"/>
          </w:tcPr>
          <w:p w:rsidR="00832022" w:rsidRPr="00665361" w:rsidRDefault="00015D21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65361" w:rsidRDefault="001C5AB7" w:rsidP="00584CD6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/</w:t>
            </w:r>
          </w:p>
        </w:tc>
        <w:tc>
          <w:tcPr>
            <w:tcW w:w="806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807" w:type="pct"/>
            <w:shd w:val="clear" w:color="auto" w:fill="auto"/>
          </w:tcPr>
          <w:p w:rsidR="00832022" w:rsidRPr="00665361" w:rsidRDefault="00022FC2" w:rsidP="00BC2C68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Министарство државне управе и локалне самоуправе</w:t>
            </w:r>
          </w:p>
        </w:tc>
      </w:tr>
      <w:tr w:rsidR="001B0AEB" w:rsidRPr="00665361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lastRenderedPageBreak/>
              <w:t>3.</w:t>
            </w:r>
          </w:p>
        </w:tc>
        <w:tc>
          <w:tcPr>
            <w:tcW w:w="859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Израда модела консолидације на нивоу институционалних односа и начина финансирања укључујући улогу ентитета који управља националном телекомуникационом мрежом</w:t>
            </w:r>
          </w:p>
        </w:tc>
        <w:tc>
          <w:tcPr>
            <w:tcW w:w="354" w:type="pct"/>
          </w:tcPr>
          <w:p w:rsidR="00832022" w:rsidRPr="00665361" w:rsidRDefault="00877A09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3</w:t>
            </w:r>
            <w:r w:rsidR="00832022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. квартал </w:t>
            </w:r>
          </w:p>
        </w:tc>
        <w:tc>
          <w:tcPr>
            <w:tcW w:w="353" w:type="pct"/>
            <w:shd w:val="clear" w:color="auto" w:fill="auto"/>
          </w:tcPr>
          <w:p w:rsidR="00832022" w:rsidRPr="00665361" w:rsidRDefault="00832022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Израђен модел консолидације</w:t>
            </w:r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506" w:type="pct"/>
            <w:shd w:val="clear" w:color="auto" w:fill="auto"/>
          </w:tcPr>
          <w:p w:rsidR="00832022" w:rsidRPr="00665361" w:rsidRDefault="00015D21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65361" w:rsidRDefault="00015D21" w:rsidP="008442BC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/</w:t>
            </w:r>
          </w:p>
        </w:tc>
        <w:tc>
          <w:tcPr>
            <w:tcW w:w="806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807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  <w:p w:rsidR="00AA374A" w:rsidRPr="00665361" w:rsidRDefault="00AA374A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</w:tc>
      </w:tr>
      <w:tr w:rsidR="001B0AEB" w:rsidRPr="00665361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859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Израда студије изводљивости и оправданости успостављања ентитета који би управљао националном телекомуникационом мрежом</w:t>
            </w:r>
          </w:p>
        </w:tc>
        <w:tc>
          <w:tcPr>
            <w:tcW w:w="354" w:type="pct"/>
          </w:tcPr>
          <w:p w:rsidR="00832022" w:rsidRPr="00665361" w:rsidRDefault="00877A09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3. </w:t>
            </w:r>
            <w:r w:rsidR="00832022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квартал </w:t>
            </w:r>
          </w:p>
        </w:tc>
        <w:tc>
          <w:tcPr>
            <w:tcW w:w="353" w:type="pct"/>
            <w:shd w:val="clear" w:color="auto" w:fill="auto"/>
          </w:tcPr>
          <w:p w:rsidR="00832022" w:rsidRPr="00665361" w:rsidRDefault="00832022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Израђена студија изводљивости</w:t>
            </w:r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506" w:type="pct"/>
            <w:shd w:val="clear" w:color="auto" w:fill="auto"/>
          </w:tcPr>
          <w:p w:rsidR="00832022" w:rsidRPr="00665361" w:rsidRDefault="00D6114D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65361" w:rsidRDefault="00D6114D" w:rsidP="008442BC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/</w:t>
            </w:r>
          </w:p>
        </w:tc>
        <w:tc>
          <w:tcPr>
            <w:tcW w:w="806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807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</w:tc>
      </w:tr>
      <w:tr w:rsidR="001B0AEB" w:rsidRPr="00665361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859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Анализа могућих модела подстицаја развоја широкопојасне инфраструктуре</w:t>
            </w:r>
          </w:p>
        </w:tc>
        <w:tc>
          <w:tcPr>
            <w:tcW w:w="354" w:type="pct"/>
          </w:tcPr>
          <w:p w:rsidR="00832022" w:rsidRPr="00665361" w:rsidRDefault="00832022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3. квартал </w:t>
            </w:r>
          </w:p>
        </w:tc>
        <w:tc>
          <w:tcPr>
            <w:tcW w:w="353" w:type="pct"/>
            <w:shd w:val="clear" w:color="auto" w:fill="auto"/>
          </w:tcPr>
          <w:p w:rsidR="00832022" w:rsidRPr="00665361" w:rsidRDefault="00832022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Израђена анализа</w:t>
            </w:r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506" w:type="pct"/>
            <w:shd w:val="clear" w:color="auto" w:fill="auto"/>
          </w:tcPr>
          <w:p w:rsidR="00832022" w:rsidRPr="00665361" w:rsidRDefault="00AA374A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65361" w:rsidRDefault="00584CD6" w:rsidP="00584CD6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С</w:t>
            </w:r>
            <w:r w:rsidR="003F5A43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редстава </w:t>
            </w: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обезбеђена</w:t>
            </w:r>
            <w:r w:rsidR="003F5A43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 од стране Европске банке за обнову и развој (ЕБРД)</w:t>
            </w:r>
          </w:p>
        </w:tc>
        <w:tc>
          <w:tcPr>
            <w:tcW w:w="806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807" w:type="pct"/>
            <w:shd w:val="clear" w:color="auto" w:fill="auto"/>
          </w:tcPr>
          <w:p w:rsidR="00832022" w:rsidRPr="00665361" w:rsidRDefault="00AA374A" w:rsidP="00BC2C68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Министарство државне управе и локалне самоуправе</w:t>
            </w:r>
          </w:p>
        </w:tc>
      </w:tr>
      <w:tr w:rsidR="001B0AEB" w:rsidRPr="00665361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lastRenderedPageBreak/>
              <w:t>6.</w:t>
            </w:r>
          </w:p>
        </w:tc>
        <w:tc>
          <w:tcPr>
            <w:tcW w:w="859" w:type="pct"/>
            <w:shd w:val="clear" w:color="auto" w:fill="auto"/>
          </w:tcPr>
          <w:p w:rsidR="00832022" w:rsidRPr="00665361" w:rsidRDefault="000318CE" w:rsidP="000318CE">
            <w:pPr>
              <w:rPr>
                <w:rFonts w:asciiTheme="majorHAnsi" w:hAnsiTheme="majorHAnsi" w:cstheme="majorHAnsi"/>
                <w:lang w:val="sr-Cyrl-CS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Припрема </w:t>
            </w:r>
            <w:r w:rsidR="00FD3201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закон</w:t>
            </w:r>
            <w:r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 којим се уређује</w:t>
            </w:r>
            <w:r w:rsidR="00832022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 широкопојасн</w:t>
            </w:r>
            <w:r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а</w:t>
            </w:r>
            <w:r w:rsidR="00832022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 комуникацион</w:t>
            </w:r>
            <w:r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а</w:t>
            </w:r>
            <w:r w:rsidR="00832022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 инфраструктур</w:t>
            </w:r>
            <w:r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а</w:t>
            </w:r>
          </w:p>
        </w:tc>
        <w:tc>
          <w:tcPr>
            <w:tcW w:w="354" w:type="pct"/>
          </w:tcPr>
          <w:p w:rsidR="00832022" w:rsidRPr="00665361" w:rsidRDefault="00832022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3. квартал </w:t>
            </w:r>
          </w:p>
        </w:tc>
        <w:tc>
          <w:tcPr>
            <w:tcW w:w="353" w:type="pct"/>
            <w:shd w:val="clear" w:color="auto" w:fill="auto"/>
          </w:tcPr>
          <w:p w:rsidR="00832022" w:rsidRPr="00665361" w:rsidRDefault="00832022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65361" w:rsidRDefault="000318CE" w:rsidP="00832022">
            <w:pPr>
              <w:rPr>
                <w:rFonts w:asciiTheme="majorHAnsi" w:hAnsiTheme="majorHAnsi" w:cstheme="majorHAnsi"/>
                <w:lang w:val="sr-Cyrl-C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Закон усвојен у Народној скупштини</w:t>
            </w:r>
            <w:bookmarkStart w:id="0" w:name="_GoBack"/>
            <w:bookmarkEnd w:id="0"/>
          </w:p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506" w:type="pct"/>
            <w:shd w:val="clear" w:color="auto" w:fill="auto"/>
          </w:tcPr>
          <w:p w:rsidR="00832022" w:rsidRPr="00665361" w:rsidRDefault="00015D21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65361" w:rsidRDefault="00015D21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/</w:t>
            </w:r>
          </w:p>
        </w:tc>
        <w:tc>
          <w:tcPr>
            <w:tcW w:w="806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807" w:type="pct"/>
            <w:shd w:val="clear" w:color="auto" w:fill="auto"/>
          </w:tcPr>
          <w:p w:rsidR="00832022" w:rsidRPr="00665361" w:rsidRDefault="00832022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</w:tc>
      </w:tr>
      <w:tr w:rsidR="00BA0F61" w:rsidRPr="00665361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BA0F61" w:rsidRPr="00665361" w:rsidRDefault="00BA0F61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859" w:type="pct"/>
            <w:shd w:val="clear" w:color="auto" w:fill="auto"/>
          </w:tcPr>
          <w:p w:rsidR="00BA0F61" w:rsidRPr="00665361" w:rsidRDefault="00BA0F61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Спровођење техничких активности на оснивању Националне телекомуникационе мреже (НТМ)</w:t>
            </w:r>
          </w:p>
        </w:tc>
        <w:tc>
          <w:tcPr>
            <w:tcW w:w="354" w:type="pct"/>
          </w:tcPr>
          <w:p w:rsidR="00BA0F61" w:rsidRPr="00665361" w:rsidRDefault="00BA0F61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4. квартал </w:t>
            </w:r>
          </w:p>
        </w:tc>
        <w:tc>
          <w:tcPr>
            <w:tcW w:w="353" w:type="pct"/>
            <w:shd w:val="clear" w:color="auto" w:fill="auto"/>
          </w:tcPr>
          <w:p w:rsidR="00BA0F61" w:rsidRPr="00665361" w:rsidRDefault="00BA0F61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606" w:type="pct"/>
            <w:shd w:val="clear" w:color="auto" w:fill="auto"/>
          </w:tcPr>
          <w:p w:rsidR="00BA0F61" w:rsidRPr="00665361" w:rsidRDefault="00BA0F61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Основан НТМ / именовано руководство</w:t>
            </w:r>
          </w:p>
        </w:tc>
        <w:tc>
          <w:tcPr>
            <w:tcW w:w="1065" w:type="pct"/>
            <w:gridSpan w:val="2"/>
            <w:shd w:val="clear" w:color="auto" w:fill="auto"/>
          </w:tcPr>
          <w:p w:rsidR="00BA0F61" w:rsidRPr="00665361" w:rsidRDefault="00BA0F61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Информација о буџету потребном за спровођење ове активности биће позната након спровођењ</w:t>
            </w:r>
            <w:r w:rsid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а активности наведених у тач.</w:t>
            </w: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 1. до 4. овог акционог плана</w:t>
            </w:r>
            <w:r w:rsidRPr="00665361" w:rsidDel="00BA0F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06" w:type="pct"/>
            <w:shd w:val="clear" w:color="auto" w:fill="auto"/>
          </w:tcPr>
          <w:p w:rsidR="00BA0F61" w:rsidRPr="00665361" w:rsidRDefault="00BA0F61" w:rsidP="00897C55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Министарство тргови</w:t>
            </w:r>
            <w:r w:rsidR="00897C55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не, туризма и телекомуникација</w:t>
            </w:r>
          </w:p>
        </w:tc>
        <w:tc>
          <w:tcPr>
            <w:tcW w:w="807" w:type="pct"/>
            <w:shd w:val="clear" w:color="auto" w:fill="auto"/>
          </w:tcPr>
          <w:p w:rsidR="00BA0F61" w:rsidRPr="00665361" w:rsidRDefault="00BA0F61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</w:tc>
      </w:tr>
      <w:tr w:rsidR="00E6630E" w:rsidRPr="00665361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E6630E" w:rsidRPr="00665361" w:rsidRDefault="00E6630E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859" w:type="pct"/>
            <w:shd w:val="clear" w:color="auto" w:fill="auto"/>
          </w:tcPr>
          <w:p w:rsidR="00E6630E" w:rsidRPr="00665361" w:rsidRDefault="00E6630E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Успостављање пуног опсега операција НТМ</w:t>
            </w:r>
          </w:p>
        </w:tc>
        <w:tc>
          <w:tcPr>
            <w:tcW w:w="354" w:type="pct"/>
          </w:tcPr>
          <w:p w:rsidR="00E6630E" w:rsidRPr="00665361" w:rsidRDefault="00E6630E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353" w:type="pct"/>
            <w:shd w:val="clear" w:color="auto" w:fill="auto"/>
          </w:tcPr>
          <w:p w:rsidR="00E6630E" w:rsidRPr="00665361" w:rsidRDefault="00E6630E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4. квартал </w:t>
            </w:r>
          </w:p>
        </w:tc>
        <w:tc>
          <w:tcPr>
            <w:tcW w:w="606" w:type="pct"/>
            <w:shd w:val="clear" w:color="auto" w:fill="auto"/>
          </w:tcPr>
          <w:p w:rsidR="00E6630E" w:rsidRPr="00665361" w:rsidRDefault="00E6630E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НТМ отпочео са пружањем услуга</w:t>
            </w:r>
          </w:p>
        </w:tc>
        <w:tc>
          <w:tcPr>
            <w:tcW w:w="1065" w:type="pct"/>
            <w:gridSpan w:val="2"/>
            <w:shd w:val="clear" w:color="auto" w:fill="auto"/>
          </w:tcPr>
          <w:p w:rsidR="00E6630E" w:rsidRPr="00665361" w:rsidRDefault="00E6630E" w:rsidP="00E6630E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Информација о буџету потребном за спровођење ове активности биће позната након спровођењ</w:t>
            </w:r>
            <w:r w:rsid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а активности наведених у тач.</w:t>
            </w: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 1. до 4. овог акционог плана</w:t>
            </w:r>
          </w:p>
        </w:tc>
        <w:tc>
          <w:tcPr>
            <w:tcW w:w="806" w:type="pct"/>
            <w:shd w:val="clear" w:color="auto" w:fill="auto"/>
          </w:tcPr>
          <w:p w:rsidR="00E6630E" w:rsidRPr="00665361" w:rsidRDefault="00E6630E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НТМ</w:t>
            </w:r>
          </w:p>
        </w:tc>
        <w:tc>
          <w:tcPr>
            <w:tcW w:w="807" w:type="pct"/>
            <w:shd w:val="clear" w:color="auto" w:fill="auto"/>
          </w:tcPr>
          <w:p w:rsidR="00E6630E" w:rsidRPr="00665361" w:rsidRDefault="00E6630E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Министарство трговине, туризма и телекомуникација</w:t>
            </w:r>
          </w:p>
        </w:tc>
      </w:tr>
      <w:tr w:rsidR="001B0AEB" w:rsidRPr="00665361" w:rsidTr="00E6630E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FB1253" w:rsidRPr="00665361" w:rsidRDefault="00FB1253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859" w:type="pct"/>
            <w:shd w:val="clear" w:color="auto" w:fill="auto"/>
          </w:tcPr>
          <w:p w:rsidR="00FB1253" w:rsidRPr="00665361" w:rsidRDefault="00FB1253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Спровођење мера подстицаја развоја широкопојасне инфраструктуре</w:t>
            </w:r>
          </w:p>
        </w:tc>
        <w:tc>
          <w:tcPr>
            <w:tcW w:w="354" w:type="pct"/>
          </w:tcPr>
          <w:p w:rsidR="00FB1253" w:rsidRPr="00665361" w:rsidRDefault="00FB1253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</w:p>
        </w:tc>
        <w:tc>
          <w:tcPr>
            <w:tcW w:w="353" w:type="pct"/>
            <w:shd w:val="clear" w:color="auto" w:fill="auto"/>
          </w:tcPr>
          <w:p w:rsidR="00FB1253" w:rsidRPr="00665361" w:rsidRDefault="00FC1761" w:rsidP="00832022">
            <w:pPr>
              <w:jc w:val="center"/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1. - 4</w:t>
            </w:r>
            <w:r w:rsidR="00FB1253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.</w:t>
            </w: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 </w:t>
            </w:r>
            <w:r w:rsidR="00FB1253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 квартал 2018.</w:t>
            </w:r>
          </w:p>
        </w:tc>
        <w:tc>
          <w:tcPr>
            <w:tcW w:w="606" w:type="pct"/>
            <w:shd w:val="clear" w:color="auto" w:fill="auto"/>
          </w:tcPr>
          <w:p w:rsidR="00FB1253" w:rsidRPr="00665361" w:rsidRDefault="00877A09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Проценат домаћинстава која имају широкопојасни приступ интернету – 70%</w:t>
            </w:r>
          </w:p>
        </w:tc>
        <w:tc>
          <w:tcPr>
            <w:tcW w:w="1065" w:type="pct"/>
            <w:gridSpan w:val="2"/>
            <w:shd w:val="clear" w:color="auto" w:fill="auto"/>
          </w:tcPr>
          <w:p w:rsidR="00FB1253" w:rsidRPr="00665361" w:rsidRDefault="00FB1253" w:rsidP="00FB1253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 xml:space="preserve">Информација о буџету потребном за спровођење мера подстицаја развоја широкопојасне инфраструктуре биће одређена у складу са </w:t>
            </w:r>
            <w:r w:rsidR="00D6114D"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ставовима Анализе могућих модела подстицаја развоја широкопојасне инфраструктуре (тачка 5. Акционог плана)</w:t>
            </w:r>
          </w:p>
        </w:tc>
        <w:tc>
          <w:tcPr>
            <w:tcW w:w="806" w:type="pct"/>
            <w:shd w:val="clear" w:color="auto" w:fill="auto"/>
          </w:tcPr>
          <w:p w:rsidR="00FB1253" w:rsidRPr="00665361" w:rsidRDefault="00FB1253" w:rsidP="00832022">
            <w:pPr>
              <w:rPr>
                <w:rFonts w:asciiTheme="majorHAnsi" w:hAnsiTheme="majorHAnsi" w:cstheme="majorHAnsi"/>
                <w:lang w:val="sr-Cyrl-CS"/>
              </w:rPr>
            </w:pPr>
            <w:r w:rsidRPr="00665361">
              <w:rPr>
                <w:rFonts w:asciiTheme="majorHAnsi" w:hAnsiTheme="majorHAnsi" w:cstheme="majorHAnsi"/>
                <w:sz w:val="22"/>
                <w:szCs w:val="22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807" w:type="pct"/>
            <w:shd w:val="clear" w:color="auto" w:fill="auto"/>
          </w:tcPr>
          <w:p w:rsidR="00FB1253" w:rsidRPr="00665361" w:rsidRDefault="00FB1253" w:rsidP="00832022">
            <w:pPr>
              <w:rPr>
                <w:rFonts w:asciiTheme="majorHAnsi" w:hAnsiTheme="majorHAnsi" w:cstheme="majorHAnsi"/>
                <w:lang w:val="sr-Cyrl-CS"/>
              </w:rPr>
            </w:pPr>
          </w:p>
        </w:tc>
      </w:tr>
    </w:tbl>
    <w:p w:rsidR="00E05B56" w:rsidRPr="00665361" w:rsidRDefault="00E05B56" w:rsidP="00C665C5">
      <w:pPr>
        <w:rPr>
          <w:lang w:val="sr-Cyrl-CS"/>
        </w:rPr>
      </w:pPr>
    </w:p>
    <w:sectPr w:rsidR="00E05B56" w:rsidRPr="00665361" w:rsidSect="00665361">
      <w:pgSz w:w="16839" w:h="11907" w:orient="landscape" w:code="9"/>
      <w:pgMar w:top="990" w:right="1418" w:bottom="1418" w:left="1418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7B5" w:rsidRDefault="008147B5" w:rsidP="00A24AE5">
      <w:r>
        <w:separator/>
      </w:r>
    </w:p>
  </w:endnote>
  <w:endnote w:type="continuationSeparator" w:id="0">
    <w:p w:rsidR="008147B5" w:rsidRDefault="008147B5" w:rsidP="00A24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06554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5361" w:rsidRDefault="00875FFF">
        <w:pPr>
          <w:pStyle w:val="Footer"/>
          <w:jc w:val="right"/>
        </w:pPr>
        <w:r>
          <w:fldChar w:fldCharType="begin"/>
        </w:r>
        <w:r w:rsidR="00665361">
          <w:instrText xml:space="preserve"> PAGE   \* MERGEFORMAT </w:instrText>
        </w:r>
        <w:r>
          <w:fldChar w:fldCharType="separate"/>
        </w:r>
        <w:r w:rsidR="00E33B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5361" w:rsidRDefault="006653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7B5" w:rsidRDefault="008147B5" w:rsidP="00A24AE5">
      <w:r>
        <w:separator/>
      </w:r>
    </w:p>
  </w:footnote>
  <w:footnote w:type="continuationSeparator" w:id="0">
    <w:p w:rsidR="008147B5" w:rsidRDefault="008147B5" w:rsidP="00A24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67B" w:rsidRPr="00EC6D38" w:rsidRDefault="00BC067B" w:rsidP="00516E31">
    <w:pPr>
      <w:pStyle w:val="Header"/>
      <w:spacing w:after="100" w:afterAutospacing="1"/>
      <w:jc w:val="right"/>
      <w:rPr>
        <w:color w:val="FFFFFF" w:themeColor="background1"/>
        <w:u w:val="single"/>
        <w:lang w:val="uz-Cyrl-UZ"/>
      </w:rPr>
    </w:pPr>
    <w:r w:rsidRPr="00EC6D38">
      <w:rPr>
        <w:color w:val="FFFFFF" w:themeColor="background1"/>
        <w:u w:val="single"/>
        <w:lang w:val="uz-Cyrl-UZ"/>
      </w:rPr>
      <w:t>РАДНА ВЕРЗИЈА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53B4"/>
    <w:multiLevelType w:val="hybridMultilevel"/>
    <w:tmpl w:val="4C26C5E4"/>
    <w:lvl w:ilvl="0" w:tplc="973687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B7F80"/>
    <w:multiLevelType w:val="hybridMultilevel"/>
    <w:tmpl w:val="3590289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14739"/>
    <w:multiLevelType w:val="hybridMultilevel"/>
    <w:tmpl w:val="0CC06A7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B8439F"/>
    <w:multiLevelType w:val="hybridMultilevel"/>
    <w:tmpl w:val="CA9A282A"/>
    <w:lvl w:ilvl="0" w:tplc="2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3AF303B"/>
    <w:multiLevelType w:val="hybridMultilevel"/>
    <w:tmpl w:val="31CA777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14F56"/>
    <w:multiLevelType w:val="hybridMultilevel"/>
    <w:tmpl w:val="9E18B09C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840BD2"/>
    <w:multiLevelType w:val="hybridMultilevel"/>
    <w:tmpl w:val="65A24F98"/>
    <w:lvl w:ilvl="0" w:tplc="1EAAE2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976121"/>
    <w:multiLevelType w:val="hybridMultilevel"/>
    <w:tmpl w:val="152472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D533CA"/>
    <w:multiLevelType w:val="hybridMultilevel"/>
    <w:tmpl w:val="73A2ACA2"/>
    <w:lvl w:ilvl="0" w:tplc="DC7033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6474E9"/>
    <w:multiLevelType w:val="hybridMultilevel"/>
    <w:tmpl w:val="A6CEC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E96103"/>
    <w:multiLevelType w:val="hybridMultilevel"/>
    <w:tmpl w:val="D93E99A4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CE4B95"/>
    <w:multiLevelType w:val="hybridMultilevel"/>
    <w:tmpl w:val="3F7A8B9C"/>
    <w:lvl w:ilvl="0" w:tplc="D74AAB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3F72F4"/>
    <w:multiLevelType w:val="hybridMultilevel"/>
    <w:tmpl w:val="9C68A95C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2148" w:hanging="360"/>
      </w:pPr>
    </w:lvl>
    <w:lvl w:ilvl="2" w:tplc="241A001B">
      <w:start w:val="1"/>
      <w:numFmt w:val="lowerRoman"/>
      <w:lvlText w:val="%3."/>
      <w:lvlJc w:val="right"/>
      <w:pPr>
        <w:ind w:left="2868" w:hanging="180"/>
      </w:pPr>
    </w:lvl>
    <w:lvl w:ilvl="3" w:tplc="241A000F">
      <w:start w:val="1"/>
      <w:numFmt w:val="decimal"/>
      <w:lvlText w:val="%4."/>
      <w:lvlJc w:val="left"/>
      <w:pPr>
        <w:ind w:left="3588" w:hanging="360"/>
      </w:pPr>
    </w:lvl>
    <w:lvl w:ilvl="4" w:tplc="241A0019">
      <w:start w:val="1"/>
      <w:numFmt w:val="lowerLetter"/>
      <w:lvlText w:val="%5."/>
      <w:lvlJc w:val="left"/>
      <w:pPr>
        <w:ind w:left="4308" w:hanging="360"/>
      </w:pPr>
    </w:lvl>
    <w:lvl w:ilvl="5" w:tplc="241A001B">
      <w:start w:val="1"/>
      <w:numFmt w:val="lowerRoman"/>
      <w:lvlText w:val="%6."/>
      <w:lvlJc w:val="right"/>
      <w:pPr>
        <w:ind w:left="5028" w:hanging="180"/>
      </w:pPr>
    </w:lvl>
    <w:lvl w:ilvl="6" w:tplc="241A000F">
      <w:start w:val="1"/>
      <w:numFmt w:val="decimal"/>
      <w:lvlText w:val="%7."/>
      <w:lvlJc w:val="left"/>
      <w:pPr>
        <w:ind w:left="5748" w:hanging="360"/>
      </w:pPr>
    </w:lvl>
    <w:lvl w:ilvl="7" w:tplc="241A0019">
      <w:start w:val="1"/>
      <w:numFmt w:val="lowerLetter"/>
      <w:lvlText w:val="%8."/>
      <w:lvlJc w:val="left"/>
      <w:pPr>
        <w:ind w:left="6468" w:hanging="360"/>
      </w:pPr>
    </w:lvl>
    <w:lvl w:ilvl="8" w:tplc="241A001B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C0E7812"/>
    <w:multiLevelType w:val="hybridMultilevel"/>
    <w:tmpl w:val="DA42C378"/>
    <w:lvl w:ilvl="0" w:tplc="CFE04D10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C2869C2"/>
    <w:multiLevelType w:val="hybridMultilevel"/>
    <w:tmpl w:val="31CA777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1A7639"/>
    <w:multiLevelType w:val="hybridMultilevel"/>
    <w:tmpl w:val="5A0271F0"/>
    <w:lvl w:ilvl="0" w:tplc="DC703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4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10"/>
  </w:num>
  <w:num w:numId="11">
    <w:abstractNumId w:val="3"/>
  </w:num>
  <w:num w:numId="12">
    <w:abstractNumId w:val="6"/>
  </w:num>
  <w:num w:numId="13">
    <w:abstractNumId w:val="8"/>
  </w:num>
  <w:num w:numId="14">
    <w:abstractNumId w:val="15"/>
  </w:num>
  <w:num w:numId="15">
    <w:abstractNumId w:val="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97BA3"/>
    <w:rsid w:val="00000EED"/>
    <w:rsid w:val="000031AD"/>
    <w:rsid w:val="00007371"/>
    <w:rsid w:val="00013281"/>
    <w:rsid w:val="00014B4B"/>
    <w:rsid w:val="00015D21"/>
    <w:rsid w:val="00017A8D"/>
    <w:rsid w:val="00020CE5"/>
    <w:rsid w:val="00022FC2"/>
    <w:rsid w:val="0002418D"/>
    <w:rsid w:val="00024398"/>
    <w:rsid w:val="00024431"/>
    <w:rsid w:val="00024D36"/>
    <w:rsid w:val="00025C70"/>
    <w:rsid w:val="000318CE"/>
    <w:rsid w:val="0003481E"/>
    <w:rsid w:val="00034BA6"/>
    <w:rsid w:val="0003587A"/>
    <w:rsid w:val="0003590B"/>
    <w:rsid w:val="0003680E"/>
    <w:rsid w:val="0004054C"/>
    <w:rsid w:val="0004134B"/>
    <w:rsid w:val="000423B5"/>
    <w:rsid w:val="00044CE5"/>
    <w:rsid w:val="0004642C"/>
    <w:rsid w:val="000504FB"/>
    <w:rsid w:val="00050D33"/>
    <w:rsid w:val="00052E43"/>
    <w:rsid w:val="000561FC"/>
    <w:rsid w:val="00061750"/>
    <w:rsid w:val="00061CAA"/>
    <w:rsid w:val="00062649"/>
    <w:rsid w:val="00063138"/>
    <w:rsid w:val="000706AC"/>
    <w:rsid w:val="000708EE"/>
    <w:rsid w:val="00072DC6"/>
    <w:rsid w:val="000739ED"/>
    <w:rsid w:val="00082051"/>
    <w:rsid w:val="00082084"/>
    <w:rsid w:val="0008278F"/>
    <w:rsid w:val="00083AD0"/>
    <w:rsid w:val="0008468E"/>
    <w:rsid w:val="00087479"/>
    <w:rsid w:val="00090D3A"/>
    <w:rsid w:val="000956FC"/>
    <w:rsid w:val="0009570E"/>
    <w:rsid w:val="000962E0"/>
    <w:rsid w:val="000A23C9"/>
    <w:rsid w:val="000A2D20"/>
    <w:rsid w:val="000A2FBE"/>
    <w:rsid w:val="000A5803"/>
    <w:rsid w:val="000A7B10"/>
    <w:rsid w:val="000A7B9C"/>
    <w:rsid w:val="000B1EE1"/>
    <w:rsid w:val="000B24BC"/>
    <w:rsid w:val="000B2B2B"/>
    <w:rsid w:val="000C4A1B"/>
    <w:rsid w:val="000C5350"/>
    <w:rsid w:val="000C5613"/>
    <w:rsid w:val="000C5BB4"/>
    <w:rsid w:val="000C72D0"/>
    <w:rsid w:val="000C7F0E"/>
    <w:rsid w:val="000D281D"/>
    <w:rsid w:val="000D3002"/>
    <w:rsid w:val="000D7934"/>
    <w:rsid w:val="000E0C20"/>
    <w:rsid w:val="000E2B58"/>
    <w:rsid w:val="000E2D0C"/>
    <w:rsid w:val="000E41DA"/>
    <w:rsid w:val="000E7E87"/>
    <w:rsid w:val="000F01EA"/>
    <w:rsid w:val="000F38DD"/>
    <w:rsid w:val="000F3E75"/>
    <w:rsid w:val="000F60F6"/>
    <w:rsid w:val="000F71CF"/>
    <w:rsid w:val="000F7B90"/>
    <w:rsid w:val="00100710"/>
    <w:rsid w:val="0010198E"/>
    <w:rsid w:val="00102BB6"/>
    <w:rsid w:val="00103C88"/>
    <w:rsid w:val="00110B37"/>
    <w:rsid w:val="00110CC0"/>
    <w:rsid w:val="00111DE4"/>
    <w:rsid w:val="00114599"/>
    <w:rsid w:val="00114BBC"/>
    <w:rsid w:val="0012123C"/>
    <w:rsid w:val="001239DC"/>
    <w:rsid w:val="00126574"/>
    <w:rsid w:val="0013116F"/>
    <w:rsid w:val="0013236E"/>
    <w:rsid w:val="00133D97"/>
    <w:rsid w:val="00134693"/>
    <w:rsid w:val="00134BBF"/>
    <w:rsid w:val="001357EF"/>
    <w:rsid w:val="00140D81"/>
    <w:rsid w:val="00141390"/>
    <w:rsid w:val="00144962"/>
    <w:rsid w:val="00147100"/>
    <w:rsid w:val="0015121B"/>
    <w:rsid w:val="00151B08"/>
    <w:rsid w:val="001536FC"/>
    <w:rsid w:val="00154754"/>
    <w:rsid w:val="00154AE2"/>
    <w:rsid w:val="00155F42"/>
    <w:rsid w:val="00162250"/>
    <w:rsid w:val="0016312D"/>
    <w:rsid w:val="00165AEF"/>
    <w:rsid w:val="00165DEA"/>
    <w:rsid w:val="001665CE"/>
    <w:rsid w:val="00166A52"/>
    <w:rsid w:val="00171D7F"/>
    <w:rsid w:val="001724BC"/>
    <w:rsid w:val="00175DE3"/>
    <w:rsid w:val="001766E0"/>
    <w:rsid w:val="00177070"/>
    <w:rsid w:val="00177EB2"/>
    <w:rsid w:val="00183401"/>
    <w:rsid w:val="001845CE"/>
    <w:rsid w:val="0018479F"/>
    <w:rsid w:val="001865B3"/>
    <w:rsid w:val="0018697E"/>
    <w:rsid w:val="00192F61"/>
    <w:rsid w:val="00193CB6"/>
    <w:rsid w:val="00196137"/>
    <w:rsid w:val="0019722B"/>
    <w:rsid w:val="001A3279"/>
    <w:rsid w:val="001A54E6"/>
    <w:rsid w:val="001A64AF"/>
    <w:rsid w:val="001A6B57"/>
    <w:rsid w:val="001A714A"/>
    <w:rsid w:val="001A7560"/>
    <w:rsid w:val="001A7616"/>
    <w:rsid w:val="001B0453"/>
    <w:rsid w:val="001B0AEB"/>
    <w:rsid w:val="001B2773"/>
    <w:rsid w:val="001B30A7"/>
    <w:rsid w:val="001B4574"/>
    <w:rsid w:val="001C0418"/>
    <w:rsid w:val="001C5AB7"/>
    <w:rsid w:val="001D0A0B"/>
    <w:rsid w:val="001D4D21"/>
    <w:rsid w:val="001D5F38"/>
    <w:rsid w:val="001D5FE2"/>
    <w:rsid w:val="001D6256"/>
    <w:rsid w:val="001D707E"/>
    <w:rsid w:val="001E2526"/>
    <w:rsid w:val="001E6AD1"/>
    <w:rsid w:val="001E6DA2"/>
    <w:rsid w:val="001F121B"/>
    <w:rsid w:val="001F251E"/>
    <w:rsid w:val="001F38DF"/>
    <w:rsid w:val="001F4071"/>
    <w:rsid w:val="001F46E6"/>
    <w:rsid w:val="002024AD"/>
    <w:rsid w:val="00203666"/>
    <w:rsid w:val="00203861"/>
    <w:rsid w:val="0021001F"/>
    <w:rsid w:val="00210D3D"/>
    <w:rsid w:val="00217371"/>
    <w:rsid w:val="00217B3D"/>
    <w:rsid w:val="0022617D"/>
    <w:rsid w:val="002271B1"/>
    <w:rsid w:val="00231163"/>
    <w:rsid w:val="002322BE"/>
    <w:rsid w:val="00233A36"/>
    <w:rsid w:val="00234BC5"/>
    <w:rsid w:val="00234EC2"/>
    <w:rsid w:val="002370C8"/>
    <w:rsid w:val="00243E14"/>
    <w:rsid w:val="00244FA7"/>
    <w:rsid w:val="00246F3C"/>
    <w:rsid w:val="002470A9"/>
    <w:rsid w:val="002512AE"/>
    <w:rsid w:val="0025223D"/>
    <w:rsid w:val="00253F49"/>
    <w:rsid w:val="0025765C"/>
    <w:rsid w:val="002607E3"/>
    <w:rsid w:val="0026157D"/>
    <w:rsid w:val="0026749A"/>
    <w:rsid w:val="0027001C"/>
    <w:rsid w:val="0027179C"/>
    <w:rsid w:val="00272C97"/>
    <w:rsid w:val="00273474"/>
    <w:rsid w:val="002747DA"/>
    <w:rsid w:val="00283ACE"/>
    <w:rsid w:val="00283D5A"/>
    <w:rsid w:val="0028439B"/>
    <w:rsid w:val="00287BED"/>
    <w:rsid w:val="002903BE"/>
    <w:rsid w:val="0029534F"/>
    <w:rsid w:val="0029754F"/>
    <w:rsid w:val="00297DC6"/>
    <w:rsid w:val="002A5CFE"/>
    <w:rsid w:val="002A74D6"/>
    <w:rsid w:val="002B0769"/>
    <w:rsid w:val="002B17AD"/>
    <w:rsid w:val="002B202B"/>
    <w:rsid w:val="002B2306"/>
    <w:rsid w:val="002B324B"/>
    <w:rsid w:val="002B3A4E"/>
    <w:rsid w:val="002B3D13"/>
    <w:rsid w:val="002B41F6"/>
    <w:rsid w:val="002B48E1"/>
    <w:rsid w:val="002B49B5"/>
    <w:rsid w:val="002B596C"/>
    <w:rsid w:val="002B7036"/>
    <w:rsid w:val="002C10AE"/>
    <w:rsid w:val="002C10F5"/>
    <w:rsid w:val="002C3050"/>
    <w:rsid w:val="002C4AF0"/>
    <w:rsid w:val="002C58BC"/>
    <w:rsid w:val="002C7B85"/>
    <w:rsid w:val="002D275E"/>
    <w:rsid w:val="002D5334"/>
    <w:rsid w:val="002D7CF2"/>
    <w:rsid w:val="002E08A7"/>
    <w:rsid w:val="002E1B72"/>
    <w:rsid w:val="002E2795"/>
    <w:rsid w:val="002E3F44"/>
    <w:rsid w:val="002E4051"/>
    <w:rsid w:val="002E461A"/>
    <w:rsid w:val="002E7437"/>
    <w:rsid w:val="002F03A1"/>
    <w:rsid w:val="002F05E4"/>
    <w:rsid w:val="002F11EF"/>
    <w:rsid w:val="002F1557"/>
    <w:rsid w:val="002F184B"/>
    <w:rsid w:val="002F3334"/>
    <w:rsid w:val="002F567C"/>
    <w:rsid w:val="002F64F0"/>
    <w:rsid w:val="002F7B32"/>
    <w:rsid w:val="002F7E09"/>
    <w:rsid w:val="00300AB3"/>
    <w:rsid w:val="003020C5"/>
    <w:rsid w:val="00303FB6"/>
    <w:rsid w:val="00305898"/>
    <w:rsid w:val="00305D84"/>
    <w:rsid w:val="0031101E"/>
    <w:rsid w:val="0031126B"/>
    <w:rsid w:val="0031576D"/>
    <w:rsid w:val="0031695D"/>
    <w:rsid w:val="00317820"/>
    <w:rsid w:val="00321199"/>
    <w:rsid w:val="00321522"/>
    <w:rsid w:val="0032218F"/>
    <w:rsid w:val="0032356E"/>
    <w:rsid w:val="003240F8"/>
    <w:rsid w:val="0032751F"/>
    <w:rsid w:val="003318D6"/>
    <w:rsid w:val="00333779"/>
    <w:rsid w:val="00334C0E"/>
    <w:rsid w:val="003362D8"/>
    <w:rsid w:val="00336D9A"/>
    <w:rsid w:val="00337DC9"/>
    <w:rsid w:val="00341025"/>
    <w:rsid w:val="0034243E"/>
    <w:rsid w:val="00342474"/>
    <w:rsid w:val="003425B7"/>
    <w:rsid w:val="003454C4"/>
    <w:rsid w:val="0035079C"/>
    <w:rsid w:val="00350996"/>
    <w:rsid w:val="003534A7"/>
    <w:rsid w:val="00353AF0"/>
    <w:rsid w:val="003540E0"/>
    <w:rsid w:val="003566E4"/>
    <w:rsid w:val="00361CBF"/>
    <w:rsid w:val="00366B5B"/>
    <w:rsid w:val="00370129"/>
    <w:rsid w:val="003703FC"/>
    <w:rsid w:val="00370409"/>
    <w:rsid w:val="00371FFA"/>
    <w:rsid w:val="003731C4"/>
    <w:rsid w:val="00375570"/>
    <w:rsid w:val="00377ED4"/>
    <w:rsid w:val="00385D7A"/>
    <w:rsid w:val="00390E77"/>
    <w:rsid w:val="00393EA5"/>
    <w:rsid w:val="003971B8"/>
    <w:rsid w:val="00397D8A"/>
    <w:rsid w:val="003A0F27"/>
    <w:rsid w:val="003A1254"/>
    <w:rsid w:val="003A1FD8"/>
    <w:rsid w:val="003A28DB"/>
    <w:rsid w:val="003A2C53"/>
    <w:rsid w:val="003A2E21"/>
    <w:rsid w:val="003A7935"/>
    <w:rsid w:val="003B07C6"/>
    <w:rsid w:val="003B0B5C"/>
    <w:rsid w:val="003B30A3"/>
    <w:rsid w:val="003B3A94"/>
    <w:rsid w:val="003B6070"/>
    <w:rsid w:val="003C1594"/>
    <w:rsid w:val="003C1DE4"/>
    <w:rsid w:val="003C4BFE"/>
    <w:rsid w:val="003D122C"/>
    <w:rsid w:val="003D3582"/>
    <w:rsid w:val="003D403C"/>
    <w:rsid w:val="003D574C"/>
    <w:rsid w:val="003D6F71"/>
    <w:rsid w:val="003E0CCA"/>
    <w:rsid w:val="003E699D"/>
    <w:rsid w:val="003F1929"/>
    <w:rsid w:val="003F5A43"/>
    <w:rsid w:val="004009D8"/>
    <w:rsid w:val="00401B4E"/>
    <w:rsid w:val="00401BD0"/>
    <w:rsid w:val="00402D7C"/>
    <w:rsid w:val="004051A4"/>
    <w:rsid w:val="0040646B"/>
    <w:rsid w:val="00412821"/>
    <w:rsid w:val="00412AA7"/>
    <w:rsid w:val="00413B2D"/>
    <w:rsid w:val="00413D83"/>
    <w:rsid w:val="00414E7F"/>
    <w:rsid w:val="00415411"/>
    <w:rsid w:val="00420753"/>
    <w:rsid w:val="0042086A"/>
    <w:rsid w:val="00421DD4"/>
    <w:rsid w:val="0042372F"/>
    <w:rsid w:val="00424469"/>
    <w:rsid w:val="00427960"/>
    <w:rsid w:val="00427BDD"/>
    <w:rsid w:val="00427F48"/>
    <w:rsid w:val="004312D6"/>
    <w:rsid w:val="004328EB"/>
    <w:rsid w:val="00433CFA"/>
    <w:rsid w:val="0043447E"/>
    <w:rsid w:val="004345ED"/>
    <w:rsid w:val="004363CF"/>
    <w:rsid w:val="00436829"/>
    <w:rsid w:val="00436C91"/>
    <w:rsid w:val="00440728"/>
    <w:rsid w:val="00442CFF"/>
    <w:rsid w:val="004432E1"/>
    <w:rsid w:val="00443436"/>
    <w:rsid w:val="00444341"/>
    <w:rsid w:val="00445201"/>
    <w:rsid w:val="004462A9"/>
    <w:rsid w:val="00446A23"/>
    <w:rsid w:val="00452873"/>
    <w:rsid w:val="00454502"/>
    <w:rsid w:val="00456112"/>
    <w:rsid w:val="00456B0C"/>
    <w:rsid w:val="00457428"/>
    <w:rsid w:val="00465107"/>
    <w:rsid w:val="0046588F"/>
    <w:rsid w:val="00465CDD"/>
    <w:rsid w:val="00465F8A"/>
    <w:rsid w:val="00470178"/>
    <w:rsid w:val="00470920"/>
    <w:rsid w:val="00472319"/>
    <w:rsid w:val="00474823"/>
    <w:rsid w:val="004758F7"/>
    <w:rsid w:val="0047599C"/>
    <w:rsid w:val="00476C79"/>
    <w:rsid w:val="00477686"/>
    <w:rsid w:val="00480893"/>
    <w:rsid w:val="00485C46"/>
    <w:rsid w:val="00490C92"/>
    <w:rsid w:val="004912A7"/>
    <w:rsid w:val="004928C3"/>
    <w:rsid w:val="00492CCD"/>
    <w:rsid w:val="0049373A"/>
    <w:rsid w:val="00493A05"/>
    <w:rsid w:val="00493A79"/>
    <w:rsid w:val="0049408C"/>
    <w:rsid w:val="004945DA"/>
    <w:rsid w:val="004957BE"/>
    <w:rsid w:val="004A18C3"/>
    <w:rsid w:val="004A2073"/>
    <w:rsid w:val="004A27ED"/>
    <w:rsid w:val="004A2C51"/>
    <w:rsid w:val="004A41B9"/>
    <w:rsid w:val="004A6AC7"/>
    <w:rsid w:val="004A6F30"/>
    <w:rsid w:val="004B51DD"/>
    <w:rsid w:val="004B66BC"/>
    <w:rsid w:val="004B6CA5"/>
    <w:rsid w:val="004C27DE"/>
    <w:rsid w:val="004C3D9B"/>
    <w:rsid w:val="004C4500"/>
    <w:rsid w:val="004C5314"/>
    <w:rsid w:val="004D68D2"/>
    <w:rsid w:val="004D7026"/>
    <w:rsid w:val="004E2B08"/>
    <w:rsid w:val="004E5E3E"/>
    <w:rsid w:val="004E77CB"/>
    <w:rsid w:val="004F078E"/>
    <w:rsid w:val="004F3756"/>
    <w:rsid w:val="004F741E"/>
    <w:rsid w:val="004F75E2"/>
    <w:rsid w:val="005021EF"/>
    <w:rsid w:val="005022AC"/>
    <w:rsid w:val="005050DC"/>
    <w:rsid w:val="005063BD"/>
    <w:rsid w:val="005127AD"/>
    <w:rsid w:val="00513340"/>
    <w:rsid w:val="00515E18"/>
    <w:rsid w:val="00516E31"/>
    <w:rsid w:val="00521F2A"/>
    <w:rsid w:val="00522415"/>
    <w:rsid w:val="00523242"/>
    <w:rsid w:val="00523712"/>
    <w:rsid w:val="00526A0C"/>
    <w:rsid w:val="00530746"/>
    <w:rsid w:val="0053301C"/>
    <w:rsid w:val="0053420A"/>
    <w:rsid w:val="00536EAA"/>
    <w:rsid w:val="00537A62"/>
    <w:rsid w:val="0054110B"/>
    <w:rsid w:val="00556FBB"/>
    <w:rsid w:val="0055745F"/>
    <w:rsid w:val="005578AC"/>
    <w:rsid w:val="00563AE4"/>
    <w:rsid w:val="00571D19"/>
    <w:rsid w:val="0057509A"/>
    <w:rsid w:val="00584CD6"/>
    <w:rsid w:val="00586687"/>
    <w:rsid w:val="00587542"/>
    <w:rsid w:val="005878E6"/>
    <w:rsid w:val="00591B2E"/>
    <w:rsid w:val="005952B1"/>
    <w:rsid w:val="005953A1"/>
    <w:rsid w:val="005A5284"/>
    <w:rsid w:val="005A5D61"/>
    <w:rsid w:val="005A7EA3"/>
    <w:rsid w:val="005B2F2B"/>
    <w:rsid w:val="005B4C1D"/>
    <w:rsid w:val="005B4F6A"/>
    <w:rsid w:val="005B5B5F"/>
    <w:rsid w:val="005C153E"/>
    <w:rsid w:val="005C6927"/>
    <w:rsid w:val="005D06A8"/>
    <w:rsid w:val="005D0BA7"/>
    <w:rsid w:val="005D1EF6"/>
    <w:rsid w:val="005D688D"/>
    <w:rsid w:val="005E0971"/>
    <w:rsid w:val="005E41AA"/>
    <w:rsid w:val="005E489D"/>
    <w:rsid w:val="005E4C02"/>
    <w:rsid w:val="005E4DB1"/>
    <w:rsid w:val="005E72C7"/>
    <w:rsid w:val="005F1067"/>
    <w:rsid w:val="005F15F3"/>
    <w:rsid w:val="005F2DD7"/>
    <w:rsid w:val="005F53F5"/>
    <w:rsid w:val="00600B09"/>
    <w:rsid w:val="006017D8"/>
    <w:rsid w:val="0060269D"/>
    <w:rsid w:val="00603D6F"/>
    <w:rsid w:val="006043ED"/>
    <w:rsid w:val="00605038"/>
    <w:rsid w:val="00605BC1"/>
    <w:rsid w:val="00606776"/>
    <w:rsid w:val="00611DED"/>
    <w:rsid w:val="00615297"/>
    <w:rsid w:val="00620F2F"/>
    <w:rsid w:val="00622870"/>
    <w:rsid w:val="006254F2"/>
    <w:rsid w:val="00627A8F"/>
    <w:rsid w:val="00627DA2"/>
    <w:rsid w:val="006307E0"/>
    <w:rsid w:val="00631A9C"/>
    <w:rsid w:val="006324E5"/>
    <w:rsid w:val="006330F1"/>
    <w:rsid w:val="00633B61"/>
    <w:rsid w:val="00633BE7"/>
    <w:rsid w:val="00634147"/>
    <w:rsid w:val="006347B1"/>
    <w:rsid w:val="006375B4"/>
    <w:rsid w:val="006400B1"/>
    <w:rsid w:val="00643BDE"/>
    <w:rsid w:val="00645DE9"/>
    <w:rsid w:val="00646CA7"/>
    <w:rsid w:val="0064796C"/>
    <w:rsid w:val="00650A67"/>
    <w:rsid w:val="00651403"/>
    <w:rsid w:val="006515B0"/>
    <w:rsid w:val="0065165E"/>
    <w:rsid w:val="0065288C"/>
    <w:rsid w:val="00652DD1"/>
    <w:rsid w:val="00655832"/>
    <w:rsid w:val="006564B2"/>
    <w:rsid w:val="006572EA"/>
    <w:rsid w:val="00662E85"/>
    <w:rsid w:val="0066479D"/>
    <w:rsid w:val="00665361"/>
    <w:rsid w:val="00671A08"/>
    <w:rsid w:val="006725A1"/>
    <w:rsid w:val="00672F7F"/>
    <w:rsid w:val="00675218"/>
    <w:rsid w:val="0067523C"/>
    <w:rsid w:val="00675823"/>
    <w:rsid w:val="00675B97"/>
    <w:rsid w:val="006770DB"/>
    <w:rsid w:val="00677BE5"/>
    <w:rsid w:val="006807A8"/>
    <w:rsid w:val="00685DA6"/>
    <w:rsid w:val="006869CF"/>
    <w:rsid w:val="00687509"/>
    <w:rsid w:val="0069006D"/>
    <w:rsid w:val="00690EE4"/>
    <w:rsid w:val="006932D7"/>
    <w:rsid w:val="00696201"/>
    <w:rsid w:val="00697C71"/>
    <w:rsid w:val="006A05B7"/>
    <w:rsid w:val="006A10BA"/>
    <w:rsid w:val="006A14AF"/>
    <w:rsid w:val="006A5B91"/>
    <w:rsid w:val="006A6943"/>
    <w:rsid w:val="006A7108"/>
    <w:rsid w:val="006B0801"/>
    <w:rsid w:val="006B1C32"/>
    <w:rsid w:val="006B73F4"/>
    <w:rsid w:val="006C00D6"/>
    <w:rsid w:val="006C2352"/>
    <w:rsid w:val="006C59E6"/>
    <w:rsid w:val="006D0108"/>
    <w:rsid w:val="006D3689"/>
    <w:rsid w:val="006D4090"/>
    <w:rsid w:val="006E24C6"/>
    <w:rsid w:val="006E290E"/>
    <w:rsid w:val="006E4148"/>
    <w:rsid w:val="006E495E"/>
    <w:rsid w:val="006E60C1"/>
    <w:rsid w:val="006E6D35"/>
    <w:rsid w:val="006E729B"/>
    <w:rsid w:val="006E7FD4"/>
    <w:rsid w:val="006F2A86"/>
    <w:rsid w:val="006F2CF9"/>
    <w:rsid w:val="00700804"/>
    <w:rsid w:val="00702189"/>
    <w:rsid w:val="00703767"/>
    <w:rsid w:val="00704C22"/>
    <w:rsid w:val="00705448"/>
    <w:rsid w:val="00706B43"/>
    <w:rsid w:val="00706CC7"/>
    <w:rsid w:val="00710F8D"/>
    <w:rsid w:val="00714ACE"/>
    <w:rsid w:val="0071635B"/>
    <w:rsid w:val="00722583"/>
    <w:rsid w:val="007241F0"/>
    <w:rsid w:val="00726E57"/>
    <w:rsid w:val="007305AC"/>
    <w:rsid w:val="00732AFB"/>
    <w:rsid w:val="00735861"/>
    <w:rsid w:val="0074531D"/>
    <w:rsid w:val="00747459"/>
    <w:rsid w:val="0075176E"/>
    <w:rsid w:val="00751D06"/>
    <w:rsid w:val="00752046"/>
    <w:rsid w:val="00753FA1"/>
    <w:rsid w:val="0075422D"/>
    <w:rsid w:val="00755872"/>
    <w:rsid w:val="0075646B"/>
    <w:rsid w:val="00757BD4"/>
    <w:rsid w:val="00760948"/>
    <w:rsid w:val="007640CB"/>
    <w:rsid w:val="0076616F"/>
    <w:rsid w:val="007713C2"/>
    <w:rsid w:val="00771B50"/>
    <w:rsid w:val="007755CE"/>
    <w:rsid w:val="00775E9E"/>
    <w:rsid w:val="007846DF"/>
    <w:rsid w:val="0078503B"/>
    <w:rsid w:val="00786A82"/>
    <w:rsid w:val="00790471"/>
    <w:rsid w:val="007911AF"/>
    <w:rsid w:val="0079181A"/>
    <w:rsid w:val="00793478"/>
    <w:rsid w:val="00793493"/>
    <w:rsid w:val="00793B79"/>
    <w:rsid w:val="0079405B"/>
    <w:rsid w:val="007A0E85"/>
    <w:rsid w:val="007A73F2"/>
    <w:rsid w:val="007B59C4"/>
    <w:rsid w:val="007B5A19"/>
    <w:rsid w:val="007B6B5A"/>
    <w:rsid w:val="007C105B"/>
    <w:rsid w:val="007C44B1"/>
    <w:rsid w:val="007C4EDA"/>
    <w:rsid w:val="007C51E0"/>
    <w:rsid w:val="007C5B86"/>
    <w:rsid w:val="007C681D"/>
    <w:rsid w:val="007D16D0"/>
    <w:rsid w:val="007D33F5"/>
    <w:rsid w:val="007D3979"/>
    <w:rsid w:val="007E083E"/>
    <w:rsid w:val="007E0F3C"/>
    <w:rsid w:val="007E5DAC"/>
    <w:rsid w:val="007E6971"/>
    <w:rsid w:val="007E7653"/>
    <w:rsid w:val="007F3855"/>
    <w:rsid w:val="007F4943"/>
    <w:rsid w:val="007F5497"/>
    <w:rsid w:val="007F57F4"/>
    <w:rsid w:val="007F7CA3"/>
    <w:rsid w:val="008010FD"/>
    <w:rsid w:val="00802B7E"/>
    <w:rsid w:val="008035F3"/>
    <w:rsid w:val="00806EFB"/>
    <w:rsid w:val="008124F8"/>
    <w:rsid w:val="0081305E"/>
    <w:rsid w:val="0081362B"/>
    <w:rsid w:val="00813A80"/>
    <w:rsid w:val="0081430B"/>
    <w:rsid w:val="008147B5"/>
    <w:rsid w:val="008150BA"/>
    <w:rsid w:val="00815F17"/>
    <w:rsid w:val="008174A2"/>
    <w:rsid w:val="008258B6"/>
    <w:rsid w:val="00825C7E"/>
    <w:rsid w:val="00826099"/>
    <w:rsid w:val="00826BD9"/>
    <w:rsid w:val="00832022"/>
    <w:rsid w:val="00834FE1"/>
    <w:rsid w:val="0083680C"/>
    <w:rsid w:val="00837732"/>
    <w:rsid w:val="008442BC"/>
    <w:rsid w:val="00845ABB"/>
    <w:rsid w:val="00851DC5"/>
    <w:rsid w:val="00853F0A"/>
    <w:rsid w:val="00855352"/>
    <w:rsid w:val="008574C1"/>
    <w:rsid w:val="00860C47"/>
    <w:rsid w:val="00861D57"/>
    <w:rsid w:val="00863A34"/>
    <w:rsid w:val="00865420"/>
    <w:rsid w:val="00865C11"/>
    <w:rsid w:val="00866034"/>
    <w:rsid w:val="00873E57"/>
    <w:rsid w:val="00875FFF"/>
    <w:rsid w:val="00876683"/>
    <w:rsid w:val="00877A09"/>
    <w:rsid w:val="00880233"/>
    <w:rsid w:val="00880277"/>
    <w:rsid w:val="00882997"/>
    <w:rsid w:val="00890187"/>
    <w:rsid w:val="008903E8"/>
    <w:rsid w:val="00891DCB"/>
    <w:rsid w:val="00893CD3"/>
    <w:rsid w:val="00895844"/>
    <w:rsid w:val="0089671F"/>
    <w:rsid w:val="00897178"/>
    <w:rsid w:val="008973CF"/>
    <w:rsid w:val="00897BA3"/>
    <w:rsid w:val="00897C55"/>
    <w:rsid w:val="008A0782"/>
    <w:rsid w:val="008A0DC1"/>
    <w:rsid w:val="008A28C9"/>
    <w:rsid w:val="008A48AF"/>
    <w:rsid w:val="008A58D3"/>
    <w:rsid w:val="008A601E"/>
    <w:rsid w:val="008A6715"/>
    <w:rsid w:val="008B049E"/>
    <w:rsid w:val="008B6B1E"/>
    <w:rsid w:val="008C052D"/>
    <w:rsid w:val="008C19BE"/>
    <w:rsid w:val="008C37B2"/>
    <w:rsid w:val="008C73EF"/>
    <w:rsid w:val="008D3353"/>
    <w:rsid w:val="008D7622"/>
    <w:rsid w:val="008D7BC5"/>
    <w:rsid w:val="008E1122"/>
    <w:rsid w:val="008E258D"/>
    <w:rsid w:val="008E42AA"/>
    <w:rsid w:val="008E7488"/>
    <w:rsid w:val="008E7BA6"/>
    <w:rsid w:val="008E7CE8"/>
    <w:rsid w:val="008F2F47"/>
    <w:rsid w:val="008F49BE"/>
    <w:rsid w:val="008F61FA"/>
    <w:rsid w:val="009076A4"/>
    <w:rsid w:val="00911F19"/>
    <w:rsid w:val="00913426"/>
    <w:rsid w:val="00922634"/>
    <w:rsid w:val="009229B6"/>
    <w:rsid w:val="00924292"/>
    <w:rsid w:val="00925934"/>
    <w:rsid w:val="00926527"/>
    <w:rsid w:val="009312D1"/>
    <w:rsid w:val="009322FB"/>
    <w:rsid w:val="00933798"/>
    <w:rsid w:val="00933F73"/>
    <w:rsid w:val="00937B9B"/>
    <w:rsid w:val="009401A2"/>
    <w:rsid w:val="009440A3"/>
    <w:rsid w:val="00945506"/>
    <w:rsid w:val="009512C7"/>
    <w:rsid w:val="009518F1"/>
    <w:rsid w:val="00957A53"/>
    <w:rsid w:val="00957B71"/>
    <w:rsid w:val="00963561"/>
    <w:rsid w:val="00963D75"/>
    <w:rsid w:val="00966BB7"/>
    <w:rsid w:val="00971A15"/>
    <w:rsid w:val="00971CFB"/>
    <w:rsid w:val="00973BC3"/>
    <w:rsid w:val="009765A9"/>
    <w:rsid w:val="009777BC"/>
    <w:rsid w:val="00982059"/>
    <w:rsid w:val="00983AA4"/>
    <w:rsid w:val="00985531"/>
    <w:rsid w:val="009861F2"/>
    <w:rsid w:val="00986607"/>
    <w:rsid w:val="0098663C"/>
    <w:rsid w:val="0099120F"/>
    <w:rsid w:val="00992A8D"/>
    <w:rsid w:val="009A0E70"/>
    <w:rsid w:val="009A213E"/>
    <w:rsid w:val="009A55DE"/>
    <w:rsid w:val="009A572A"/>
    <w:rsid w:val="009A7857"/>
    <w:rsid w:val="009B0A0A"/>
    <w:rsid w:val="009B36EE"/>
    <w:rsid w:val="009B7C89"/>
    <w:rsid w:val="009C0C02"/>
    <w:rsid w:val="009C32D5"/>
    <w:rsid w:val="009C6E60"/>
    <w:rsid w:val="009D3806"/>
    <w:rsid w:val="009D40A9"/>
    <w:rsid w:val="009D4E04"/>
    <w:rsid w:val="009D7831"/>
    <w:rsid w:val="009E04FE"/>
    <w:rsid w:val="009E05BF"/>
    <w:rsid w:val="009E43D5"/>
    <w:rsid w:val="009E5153"/>
    <w:rsid w:val="009E7414"/>
    <w:rsid w:val="009F0639"/>
    <w:rsid w:val="009F25B5"/>
    <w:rsid w:val="009F3DBF"/>
    <w:rsid w:val="009F5111"/>
    <w:rsid w:val="009F6823"/>
    <w:rsid w:val="00A03A0B"/>
    <w:rsid w:val="00A05D8F"/>
    <w:rsid w:val="00A07D8E"/>
    <w:rsid w:val="00A12EE2"/>
    <w:rsid w:val="00A24AE5"/>
    <w:rsid w:val="00A31B0F"/>
    <w:rsid w:val="00A35321"/>
    <w:rsid w:val="00A35FC4"/>
    <w:rsid w:val="00A41452"/>
    <w:rsid w:val="00A4154D"/>
    <w:rsid w:val="00A41579"/>
    <w:rsid w:val="00A47092"/>
    <w:rsid w:val="00A4770A"/>
    <w:rsid w:val="00A52CEF"/>
    <w:rsid w:val="00A539FA"/>
    <w:rsid w:val="00A570C7"/>
    <w:rsid w:val="00A575BE"/>
    <w:rsid w:val="00A60590"/>
    <w:rsid w:val="00A61680"/>
    <w:rsid w:val="00A635E9"/>
    <w:rsid w:val="00A66017"/>
    <w:rsid w:val="00A66893"/>
    <w:rsid w:val="00A7000E"/>
    <w:rsid w:val="00A72F3A"/>
    <w:rsid w:val="00A85505"/>
    <w:rsid w:val="00A90308"/>
    <w:rsid w:val="00A90B69"/>
    <w:rsid w:val="00A9122B"/>
    <w:rsid w:val="00A92323"/>
    <w:rsid w:val="00A97E72"/>
    <w:rsid w:val="00AA29DA"/>
    <w:rsid w:val="00AA2B95"/>
    <w:rsid w:val="00AA32D9"/>
    <w:rsid w:val="00AA374A"/>
    <w:rsid w:val="00AA4E92"/>
    <w:rsid w:val="00AA6524"/>
    <w:rsid w:val="00AB0DE5"/>
    <w:rsid w:val="00AB1233"/>
    <w:rsid w:val="00AC1A38"/>
    <w:rsid w:val="00AC2125"/>
    <w:rsid w:val="00AC2863"/>
    <w:rsid w:val="00AC3F0A"/>
    <w:rsid w:val="00AC5DE7"/>
    <w:rsid w:val="00AD0062"/>
    <w:rsid w:val="00AD05E8"/>
    <w:rsid w:val="00AD4376"/>
    <w:rsid w:val="00AE1546"/>
    <w:rsid w:val="00AE5D62"/>
    <w:rsid w:val="00AF0EE3"/>
    <w:rsid w:val="00AF1331"/>
    <w:rsid w:val="00AF1903"/>
    <w:rsid w:val="00AF5FEF"/>
    <w:rsid w:val="00B00EB3"/>
    <w:rsid w:val="00B024BF"/>
    <w:rsid w:val="00B04940"/>
    <w:rsid w:val="00B05AE3"/>
    <w:rsid w:val="00B06E5D"/>
    <w:rsid w:val="00B112C6"/>
    <w:rsid w:val="00B142BC"/>
    <w:rsid w:val="00B1451E"/>
    <w:rsid w:val="00B15EE5"/>
    <w:rsid w:val="00B25B9A"/>
    <w:rsid w:val="00B27894"/>
    <w:rsid w:val="00B32DA5"/>
    <w:rsid w:val="00B335CD"/>
    <w:rsid w:val="00B355CB"/>
    <w:rsid w:val="00B37A9C"/>
    <w:rsid w:val="00B426E4"/>
    <w:rsid w:val="00B43B44"/>
    <w:rsid w:val="00B43E30"/>
    <w:rsid w:val="00B4414C"/>
    <w:rsid w:val="00B4517A"/>
    <w:rsid w:val="00B46227"/>
    <w:rsid w:val="00B508C8"/>
    <w:rsid w:val="00B52D5A"/>
    <w:rsid w:val="00B5775B"/>
    <w:rsid w:val="00B60AB8"/>
    <w:rsid w:val="00B64EA4"/>
    <w:rsid w:val="00B71EFD"/>
    <w:rsid w:val="00B722FE"/>
    <w:rsid w:val="00B74255"/>
    <w:rsid w:val="00B76DAE"/>
    <w:rsid w:val="00B774D7"/>
    <w:rsid w:val="00B8220B"/>
    <w:rsid w:val="00B825BF"/>
    <w:rsid w:val="00B920DB"/>
    <w:rsid w:val="00B96C8D"/>
    <w:rsid w:val="00B97B5C"/>
    <w:rsid w:val="00BA0F61"/>
    <w:rsid w:val="00BA2CEC"/>
    <w:rsid w:val="00BA42B2"/>
    <w:rsid w:val="00BA49CC"/>
    <w:rsid w:val="00BA5019"/>
    <w:rsid w:val="00BA5B99"/>
    <w:rsid w:val="00BA7380"/>
    <w:rsid w:val="00BB3481"/>
    <w:rsid w:val="00BB3572"/>
    <w:rsid w:val="00BC067B"/>
    <w:rsid w:val="00BC0E50"/>
    <w:rsid w:val="00BC2C68"/>
    <w:rsid w:val="00BC6A2C"/>
    <w:rsid w:val="00BC6BE0"/>
    <w:rsid w:val="00BD2429"/>
    <w:rsid w:val="00BD31EC"/>
    <w:rsid w:val="00BD3905"/>
    <w:rsid w:val="00BD5BCF"/>
    <w:rsid w:val="00BE0C1B"/>
    <w:rsid w:val="00BE2FF2"/>
    <w:rsid w:val="00BF0FBA"/>
    <w:rsid w:val="00BF1A4E"/>
    <w:rsid w:val="00C01FAA"/>
    <w:rsid w:val="00C030F9"/>
    <w:rsid w:val="00C0324D"/>
    <w:rsid w:val="00C074DE"/>
    <w:rsid w:val="00C1194F"/>
    <w:rsid w:val="00C128C2"/>
    <w:rsid w:val="00C12A38"/>
    <w:rsid w:val="00C150FC"/>
    <w:rsid w:val="00C16495"/>
    <w:rsid w:val="00C16BB4"/>
    <w:rsid w:val="00C17B6C"/>
    <w:rsid w:val="00C278B8"/>
    <w:rsid w:val="00C33DC6"/>
    <w:rsid w:val="00C37974"/>
    <w:rsid w:val="00C469F7"/>
    <w:rsid w:val="00C47A88"/>
    <w:rsid w:val="00C5042D"/>
    <w:rsid w:val="00C50458"/>
    <w:rsid w:val="00C508DB"/>
    <w:rsid w:val="00C51E48"/>
    <w:rsid w:val="00C51F66"/>
    <w:rsid w:val="00C52861"/>
    <w:rsid w:val="00C534FA"/>
    <w:rsid w:val="00C53AD5"/>
    <w:rsid w:val="00C54677"/>
    <w:rsid w:val="00C54C1D"/>
    <w:rsid w:val="00C57D49"/>
    <w:rsid w:val="00C63CC5"/>
    <w:rsid w:val="00C63F68"/>
    <w:rsid w:val="00C6416A"/>
    <w:rsid w:val="00C65959"/>
    <w:rsid w:val="00C665C5"/>
    <w:rsid w:val="00C72CFD"/>
    <w:rsid w:val="00C768A8"/>
    <w:rsid w:val="00C76A0C"/>
    <w:rsid w:val="00C77D2C"/>
    <w:rsid w:val="00C8537F"/>
    <w:rsid w:val="00C85B37"/>
    <w:rsid w:val="00C878CA"/>
    <w:rsid w:val="00C97736"/>
    <w:rsid w:val="00CA0EF4"/>
    <w:rsid w:val="00CA19E1"/>
    <w:rsid w:val="00CA1E07"/>
    <w:rsid w:val="00CA22C3"/>
    <w:rsid w:val="00CA48C6"/>
    <w:rsid w:val="00CB00A1"/>
    <w:rsid w:val="00CB011E"/>
    <w:rsid w:val="00CB0524"/>
    <w:rsid w:val="00CB0838"/>
    <w:rsid w:val="00CB5EBD"/>
    <w:rsid w:val="00CC046E"/>
    <w:rsid w:val="00CC0684"/>
    <w:rsid w:val="00CC2A72"/>
    <w:rsid w:val="00CC639E"/>
    <w:rsid w:val="00CC71D1"/>
    <w:rsid w:val="00CC721B"/>
    <w:rsid w:val="00CC7FA1"/>
    <w:rsid w:val="00CD230E"/>
    <w:rsid w:val="00CD4B8F"/>
    <w:rsid w:val="00CD5839"/>
    <w:rsid w:val="00CD6CAD"/>
    <w:rsid w:val="00CE2A7F"/>
    <w:rsid w:val="00CE75B5"/>
    <w:rsid w:val="00CF1005"/>
    <w:rsid w:val="00CF4946"/>
    <w:rsid w:val="00CF6503"/>
    <w:rsid w:val="00D000C3"/>
    <w:rsid w:val="00D01216"/>
    <w:rsid w:val="00D03A44"/>
    <w:rsid w:val="00D059BC"/>
    <w:rsid w:val="00D0629D"/>
    <w:rsid w:val="00D11831"/>
    <w:rsid w:val="00D13317"/>
    <w:rsid w:val="00D1335B"/>
    <w:rsid w:val="00D14CE5"/>
    <w:rsid w:val="00D2044A"/>
    <w:rsid w:val="00D21304"/>
    <w:rsid w:val="00D233ED"/>
    <w:rsid w:val="00D24827"/>
    <w:rsid w:val="00D300E0"/>
    <w:rsid w:val="00D329F8"/>
    <w:rsid w:val="00D3522A"/>
    <w:rsid w:val="00D35E82"/>
    <w:rsid w:val="00D35EC3"/>
    <w:rsid w:val="00D44CE6"/>
    <w:rsid w:val="00D44EF6"/>
    <w:rsid w:val="00D45B9C"/>
    <w:rsid w:val="00D4619C"/>
    <w:rsid w:val="00D464B4"/>
    <w:rsid w:val="00D46EEE"/>
    <w:rsid w:val="00D535E1"/>
    <w:rsid w:val="00D53BD8"/>
    <w:rsid w:val="00D54F5A"/>
    <w:rsid w:val="00D56B84"/>
    <w:rsid w:val="00D572A3"/>
    <w:rsid w:val="00D6114D"/>
    <w:rsid w:val="00D61F91"/>
    <w:rsid w:val="00D70DB9"/>
    <w:rsid w:val="00D73620"/>
    <w:rsid w:val="00D77AEE"/>
    <w:rsid w:val="00D824FB"/>
    <w:rsid w:val="00D83566"/>
    <w:rsid w:val="00D8627B"/>
    <w:rsid w:val="00D9177D"/>
    <w:rsid w:val="00D93260"/>
    <w:rsid w:val="00D95427"/>
    <w:rsid w:val="00D9588E"/>
    <w:rsid w:val="00DA0997"/>
    <w:rsid w:val="00DA13B3"/>
    <w:rsid w:val="00DB3107"/>
    <w:rsid w:val="00DB5B91"/>
    <w:rsid w:val="00DC05B4"/>
    <w:rsid w:val="00DC1215"/>
    <w:rsid w:val="00DC5DDF"/>
    <w:rsid w:val="00DC74CC"/>
    <w:rsid w:val="00DD0BF1"/>
    <w:rsid w:val="00DD1922"/>
    <w:rsid w:val="00DD305F"/>
    <w:rsid w:val="00DD7628"/>
    <w:rsid w:val="00DE0502"/>
    <w:rsid w:val="00DE060D"/>
    <w:rsid w:val="00DE18B8"/>
    <w:rsid w:val="00DE1F1C"/>
    <w:rsid w:val="00DE43D9"/>
    <w:rsid w:val="00DE6441"/>
    <w:rsid w:val="00DE77B0"/>
    <w:rsid w:val="00DF0E14"/>
    <w:rsid w:val="00DF188D"/>
    <w:rsid w:val="00DF4A6E"/>
    <w:rsid w:val="00DF5FD4"/>
    <w:rsid w:val="00DF736A"/>
    <w:rsid w:val="00DF7C81"/>
    <w:rsid w:val="00E00F69"/>
    <w:rsid w:val="00E01A34"/>
    <w:rsid w:val="00E01FA9"/>
    <w:rsid w:val="00E035C3"/>
    <w:rsid w:val="00E05B56"/>
    <w:rsid w:val="00E071C7"/>
    <w:rsid w:val="00E113A3"/>
    <w:rsid w:val="00E127E3"/>
    <w:rsid w:val="00E12B31"/>
    <w:rsid w:val="00E14FFE"/>
    <w:rsid w:val="00E1588E"/>
    <w:rsid w:val="00E17541"/>
    <w:rsid w:val="00E210CA"/>
    <w:rsid w:val="00E212B2"/>
    <w:rsid w:val="00E222D3"/>
    <w:rsid w:val="00E26AAD"/>
    <w:rsid w:val="00E27BE9"/>
    <w:rsid w:val="00E32028"/>
    <w:rsid w:val="00E330C4"/>
    <w:rsid w:val="00E33B6E"/>
    <w:rsid w:val="00E36D9B"/>
    <w:rsid w:val="00E40E84"/>
    <w:rsid w:val="00E42DD8"/>
    <w:rsid w:val="00E4594D"/>
    <w:rsid w:val="00E46734"/>
    <w:rsid w:val="00E5115A"/>
    <w:rsid w:val="00E523AB"/>
    <w:rsid w:val="00E61581"/>
    <w:rsid w:val="00E6369C"/>
    <w:rsid w:val="00E63889"/>
    <w:rsid w:val="00E6630E"/>
    <w:rsid w:val="00E704F8"/>
    <w:rsid w:val="00E762EB"/>
    <w:rsid w:val="00E77BD4"/>
    <w:rsid w:val="00E77D26"/>
    <w:rsid w:val="00E77F1D"/>
    <w:rsid w:val="00E80214"/>
    <w:rsid w:val="00E80661"/>
    <w:rsid w:val="00E828DB"/>
    <w:rsid w:val="00E849EE"/>
    <w:rsid w:val="00E850A0"/>
    <w:rsid w:val="00E86551"/>
    <w:rsid w:val="00E86712"/>
    <w:rsid w:val="00E87045"/>
    <w:rsid w:val="00E87C36"/>
    <w:rsid w:val="00E93171"/>
    <w:rsid w:val="00E94333"/>
    <w:rsid w:val="00E95889"/>
    <w:rsid w:val="00EA00EF"/>
    <w:rsid w:val="00EA150C"/>
    <w:rsid w:val="00EA1DCF"/>
    <w:rsid w:val="00EA2A92"/>
    <w:rsid w:val="00EA4528"/>
    <w:rsid w:val="00EA4B88"/>
    <w:rsid w:val="00EA4FCA"/>
    <w:rsid w:val="00EA5A63"/>
    <w:rsid w:val="00EA6B9D"/>
    <w:rsid w:val="00EA7399"/>
    <w:rsid w:val="00EB20C7"/>
    <w:rsid w:val="00EB2D68"/>
    <w:rsid w:val="00EB6580"/>
    <w:rsid w:val="00EB65BE"/>
    <w:rsid w:val="00EB69BF"/>
    <w:rsid w:val="00EC1D9D"/>
    <w:rsid w:val="00EC1E7A"/>
    <w:rsid w:val="00EC4121"/>
    <w:rsid w:val="00EC4213"/>
    <w:rsid w:val="00EC6D38"/>
    <w:rsid w:val="00ED05B6"/>
    <w:rsid w:val="00ED5412"/>
    <w:rsid w:val="00ED6817"/>
    <w:rsid w:val="00ED6F40"/>
    <w:rsid w:val="00ED79BC"/>
    <w:rsid w:val="00EE10AF"/>
    <w:rsid w:val="00EE29CB"/>
    <w:rsid w:val="00EE3CFA"/>
    <w:rsid w:val="00EE538A"/>
    <w:rsid w:val="00EE7939"/>
    <w:rsid w:val="00EF5A18"/>
    <w:rsid w:val="00EF7F6E"/>
    <w:rsid w:val="00F00B88"/>
    <w:rsid w:val="00F01E38"/>
    <w:rsid w:val="00F03039"/>
    <w:rsid w:val="00F05298"/>
    <w:rsid w:val="00F05323"/>
    <w:rsid w:val="00F15093"/>
    <w:rsid w:val="00F15330"/>
    <w:rsid w:val="00F15534"/>
    <w:rsid w:val="00F162D6"/>
    <w:rsid w:val="00F200EE"/>
    <w:rsid w:val="00F22E3D"/>
    <w:rsid w:val="00F24D74"/>
    <w:rsid w:val="00F25327"/>
    <w:rsid w:val="00F308B1"/>
    <w:rsid w:val="00F31D6A"/>
    <w:rsid w:val="00F3256F"/>
    <w:rsid w:val="00F325A3"/>
    <w:rsid w:val="00F36098"/>
    <w:rsid w:val="00F40018"/>
    <w:rsid w:val="00F40CD8"/>
    <w:rsid w:val="00F42CE4"/>
    <w:rsid w:val="00F42FAD"/>
    <w:rsid w:val="00F44170"/>
    <w:rsid w:val="00F47F5A"/>
    <w:rsid w:val="00F53F59"/>
    <w:rsid w:val="00F6034F"/>
    <w:rsid w:val="00F608F1"/>
    <w:rsid w:val="00F621F3"/>
    <w:rsid w:val="00F62CC7"/>
    <w:rsid w:val="00F65FE5"/>
    <w:rsid w:val="00F6601F"/>
    <w:rsid w:val="00F7085B"/>
    <w:rsid w:val="00F728C5"/>
    <w:rsid w:val="00F73945"/>
    <w:rsid w:val="00F774C8"/>
    <w:rsid w:val="00F8009B"/>
    <w:rsid w:val="00F800BB"/>
    <w:rsid w:val="00F801C6"/>
    <w:rsid w:val="00F8068B"/>
    <w:rsid w:val="00F82DE9"/>
    <w:rsid w:val="00F84740"/>
    <w:rsid w:val="00F91F4E"/>
    <w:rsid w:val="00F942DF"/>
    <w:rsid w:val="00F95FA3"/>
    <w:rsid w:val="00F97818"/>
    <w:rsid w:val="00FA0818"/>
    <w:rsid w:val="00FA118F"/>
    <w:rsid w:val="00FA2C00"/>
    <w:rsid w:val="00FA7435"/>
    <w:rsid w:val="00FA7A86"/>
    <w:rsid w:val="00FB118E"/>
    <w:rsid w:val="00FB1253"/>
    <w:rsid w:val="00FB1358"/>
    <w:rsid w:val="00FB28C9"/>
    <w:rsid w:val="00FB4841"/>
    <w:rsid w:val="00FB5604"/>
    <w:rsid w:val="00FB567B"/>
    <w:rsid w:val="00FB5ED3"/>
    <w:rsid w:val="00FB6CF1"/>
    <w:rsid w:val="00FC0BDC"/>
    <w:rsid w:val="00FC1761"/>
    <w:rsid w:val="00FC615F"/>
    <w:rsid w:val="00FD3201"/>
    <w:rsid w:val="00FD3FFA"/>
    <w:rsid w:val="00FD4ACD"/>
    <w:rsid w:val="00FD664A"/>
    <w:rsid w:val="00FD7134"/>
    <w:rsid w:val="00FE3BE5"/>
    <w:rsid w:val="00FE790E"/>
    <w:rsid w:val="00FF11D3"/>
    <w:rsid w:val="00FF3B12"/>
    <w:rsid w:val="00FF6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5B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97BA3"/>
    <w:pPr>
      <w:spacing w:after="0" w:line="240" w:lineRule="auto"/>
    </w:pPr>
    <w:rPr>
      <w:rFonts w:ascii="Times New Roman" w:hAnsi="Times New Roman"/>
      <w:sz w:val="24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Header/>
      <w:jc w:val="center"/>
    </w:trPr>
    <w:tcPr>
      <w:vAlign w:val="center"/>
    </w:tcPr>
  </w:style>
  <w:style w:type="paragraph" w:customStyle="1" w:styleId="CharTegnTegnChar">
    <w:name w:val="Char Tegn Tegn Char"/>
    <w:basedOn w:val="Normal"/>
    <w:uiPriority w:val="99"/>
    <w:rsid w:val="001A7616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D2044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204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044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4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4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0E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bidi="en-US"/>
    </w:rPr>
  </w:style>
  <w:style w:type="paragraph" w:styleId="Revision">
    <w:name w:val="Revision"/>
    <w:hidden/>
    <w:rsid w:val="002E4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24A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A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24A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AE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B25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B5B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E33B6E"/>
    <w:pPr>
      <w:spacing w:before="100" w:beforeAutospacing="1" w:after="100" w:afterAutospacing="1"/>
    </w:pPr>
  </w:style>
  <w:style w:type="paragraph" w:customStyle="1" w:styleId="izmenanaslov">
    <w:name w:val="izmena_naslov"/>
    <w:basedOn w:val="Normal"/>
    <w:uiPriority w:val="99"/>
    <w:rsid w:val="00E33B6E"/>
    <w:pPr>
      <w:spacing w:before="100" w:beforeAutospacing="1" w:after="100" w:afterAutospacing="1"/>
      <w:jc w:val="center"/>
    </w:pPr>
    <w:rPr>
      <w:b/>
      <w:bCs/>
      <w:lang w:val="sr-Latn-CS" w:eastAsia="sr-Latn-CS"/>
    </w:rPr>
  </w:style>
  <w:style w:type="paragraph" w:customStyle="1" w:styleId="izmenapodnaslov">
    <w:name w:val="izmena_podnaslov"/>
    <w:basedOn w:val="Normal"/>
    <w:uiPriority w:val="99"/>
    <w:rsid w:val="00E33B6E"/>
    <w:pPr>
      <w:spacing w:before="100" w:beforeAutospacing="1" w:after="100" w:afterAutospacing="1"/>
      <w:jc w:val="center"/>
    </w:pPr>
    <w:rPr>
      <w:lang w:val="sr-Latn-CS" w:eastAsia="sr-Latn-CS"/>
    </w:rPr>
  </w:style>
  <w:style w:type="paragraph" w:customStyle="1" w:styleId="izmenatekst">
    <w:name w:val="izmena_tekst"/>
    <w:basedOn w:val="Normal"/>
    <w:uiPriority w:val="99"/>
    <w:rsid w:val="00E33B6E"/>
    <w:pPr>
      <w:spacing w:before="100" w:beforeAutospacing="1" w:after="100" w:afterAutospacing="1"/>
    </w:pPr>
    <w:rPr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5B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BA3"/>
    <w:pPr>
      <w:spacing w:after="0" w:line="240" w:lineRule="auto"/>
    </w:pPr>
    <w:rPr>
      <w:rFonts w:ascii="Times New Roman" w:hAnsi="Times New Roman"/>
      <w:sz w:val="24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  <w:jc w:val="center"/>
    </w:trPr>
    <w:tcPr>
      <w:vAlign w:val="center"/>
    </w:tcPr>
  </w:style>
  <w:style w:type="paragraph" w:customStyle="1" w:styleId="CharTegnTegnChar">
    <w:name w:val="Char Tegn Tegn Char"/>
    <w:basedOn w:val="Normal"/>
    <w:uiPriority w:val="99"/>
    <w:rsid w:val="001A7616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D2044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204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044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4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4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0E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bidi="en-US"/>
    </w:rPr>
  </w:style>
  <w:style w:type="paragraph" w:styleId="Revision">
    <w:name w:val="Revision"/>
    <w:hidden/>
    <w:rsid w:val="002E4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24A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A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24A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AE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B25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B5B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D551A-E1FB-4257-B873-1350CC716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jovan</cp:lastModifiedBy>
  <cp:revision>3</cp:revision>
  <cp:lastPrinted>2017-04-12T13:30:00Z</cp:lastPrinted>
  <dcterms:created xsi:type="dcterms:W3CDTF">2017-04-13T12:51:00Z</dcterms:created>
  <dcterms:modified xsi:type="dcterms:W3CDTF">2017-04-13T12:53:00Z</dcterms:modified>
</cp:coreProperties>
</file>