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C7" w:rsidRDefault="00843F0B">
      <w:pPr>
        <w:spacing w:after="0" w:line="264"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На основу члана 27в став 1. Закона о буџетском систему („Службени гласник РСˮ, бр. 54/09, 73/10, 101/10, 101/11, 93/12, 62/13, 63/13-исправка, 108/13, 142/14, 68/15-др. закон и 103/15),</w:t>
      </w:r>
    </w:p>
    <w:p w:rsidR="00BE17C7" w:rsidRDefault="00843F0B">
      <w:pPr>
        <w:keepNext/>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Влада усваја</w:t>
      </w:r>
    </w:p>
    <w:p w:rsidR="00BE17C7" w:rsidRDefault="00BE17C7">
      <w:pPr>
        <w:spacing w:after="0" w:line="240" w:lineRule="auto"/>
        <w:rPr>
          <w:rFonts w:ascii="Arial" w:eastAsia="Arial" w:hAnsi="Arial" w:cs="Arial"/>
        </w:rPr>
      </w:pPr>
    </w:p>
    <w:p w:rsidR="00BE17C7" w:rsidRDefault="00843F0B">
      <w:pPr>
        <w:spacing w:after="0" w:line="264" w:lineRule="auto"/>
        <w:jc w:val="center"/>
        <w:rPr>
          <w:rFonts w:ascii="Times New Roman" w:eastAsia="Times New Roman" w:hAnsi="Times New Roman" w:cs="Times New Roman"/>
          <w:sz w:val="24"/>
        </w:rPr>
      </w:pPr>
      <w:r>
        <w:rPr>
          <w:rFonts w:ascii="Times New Roman" w:eastAsia="Times New Roman" w:hAnsi="Times New Roman" w:cs="Times New Roman"/>
          <w:sz w:val="24"/>
        </w:rPr>
        <w:t>ФИСКАЛНУ СТРАТЕГИЈУ</w:t>
      </w: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ЗА 2017. ГОДИНУ СА ПРОЈЕКЦИЈАМА ЗА 2018. И 2019. ГОДИНУ</w:t>
      </w:r>
    </w:p>
    <w:p w:rsidR="00BE17C7" w:rsidRDefault="00BE17C7">
      <w:pPr>
        <w:spacing w:after="0" w:line="240" w:lineRule="auto"/>
        <w:jc w:val="center"/>
        <w:rPr>
          <w:rFonts w:ascii="Arial" w:eastAsia="Arial" w:hAnsi="Arial" w:cs="Arial"/>
        </w:rPr>
      </w:pPr>
    </w:p>
    <w:p w:rsidR="00BE17C7" w:rsidRDefault="00843F0B">
      <w:pPr>
        <w:keepNext/>
        <w:keepLines/>
        <w:spacing w:after="0" w:line="240" w:lineRule="auto"/>
        <w:ind w:left="720" w:hanging="720"/>
        <w:jc w:val="both"/>
        <w:rPr>
          <w:rFonts w:ascii="Times New Roman" w:eastAsia="Times New Roman" w:hAnsi="Times New Roman" w:cs="Times New Roman"/>
          <w:sz w:val="24"/>
        </w:rPr>
      </w:pPr>
      <w:r>
        <w:rPr>
          <w:rFonts w:ascii="Times New Roman" w:eastAsia="Times New Roman" w:hAnsi="Times New Roman" w:cs="Times New Roman"/>
          <w:sz w:val="24"/>
        </w:rPr>
        <w:t>I.</w:t>
      </w:r>
      <w:r>
        <w:rPr>
          <w:rFonts w:ascii="Times New Roman" w:eastAsia="Times New Roman" w:hAnsi="Times New Roman" w:cs="Times New Roman"/>
          <w:sz w:val="24"/>
        </w:rPr>
        <w:tab/>
        <w:t>МАКРОЕКОНОМСКИ ОКВИР ЗА ПЕРИОД ОД 2017. ДО 2019. ГОДИНЕ</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w:t>
      </w:r>
      <w:r>
        <w:rPr>
          <w:rFonts w:ascii="Times New Roman" w:eastAsia="Times New Roman" w:hAnsi="Times New Roman" w:cs="Times New Roman"/>
          <w:sz w:val="24"/>
        </w:rPr>
        <w:tab/>
        <w:t>Општи оквир и главни циљеви и смернице економске политике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Стратешка посвећеност Владе ка постизању пуноправног чланства у Европској уни</w:t>
      </w:r>
      <w:r>
        <w:rPr>
          <w:rFonts w:ascii="Times New Roman" w:eastAsia="Times New Roman" w:hAnsi="Times New Roman" w:cs="Times New Roman"/>
          <w:sz w:val="24"/>
        </w:rPr>
        <w:t>ји (у даљем тексту: ЕУ), као и напредак у остварењу овог циља, верификован је отварањем два нова преговарачка поглавља у јулу 2016. године. Редован политички и економски дијалог о отвореним питањима из Споразума о стабилизацији и придруживању између Европс</w:t>
      </w:r>
      <w:r>
        <w:rPr>
          <w:rFonts w:ascii="Times New Roman" w:eastAsia="Times New Roman" w:hAnsi="Times New Roman" w:cs="Times New Roman"/>
          <w:sz w:val="24"/>
        </w:rPr>
        <w:t>ких заједница и њихових држава чланица, са једне стране, и Републике Србије са друге стране (у даљем тексту: ССП), усвајање Програма економских реформи за период 2016–2018. године, Програма реформи политике запошљавања и социјалне политике, затим ревидиран</w:t>
      </w:r>
      <w:r>
        <w:rPr>
          <w:rFonts w:ascii="Times New Roman" w:eastAsia="Times New Roman" w:hAnsi="Times New Roman" w:cs="Times New Roman"/>
          <w:sz w:val="24"/>
        </w:rPr>
        <w:t>ог Националног програма за усвајање правних тековина Европске уније, спровођење Програма реформе управљања јавним финансијама за период 2016–2020. године, усклађивање домаћег законодавства, као и доношење општих и секторских националних развојних стратегиј</w:t>
      </w:r>
      <w:r>
        <w:rPr>
          <w:rFonts w:ascii="Times New Roman" w:eastAsia="Times New Roman" w:hAnsi="Times New Roman" w:cs="Times New Roman"/>
          <w:sz w:val="24"/>
        </w:rPr>
        <w:t xml:space="preserve">а, укључујући и ову стратегију, имају за циљ да Србија у што краћем року испуни економске предуслове чланства зацртане у </w:t>
      </w:r>
      <w:r>
        <w:rPr>
          <w:rFonts w:ascii="Times New Roman" w:eastAsia="Times New Roman" w:hAnsi="Times New Roman" w:cs="Times New Roman"/>
          <w:i/>
          <w:sz w:val="24"/>
        </w:rPr>
        <w:t>acquis communautaire</w:t>
      </w:r>
      <w:r>
        <w:rPr>
          <w:rFonts w:ascii="Times New Roman" w:eastAsia="Times New Roman" w:hAnsi="Times New Roman" w:cs="Times New Roman"/>
          <w:sz w:val="24"/>
        </w:rPr>
        <w:t>.</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Процес евроинтеграција поред успостављања институционалног оквира и јачања административних капацитета, који треб</w:t>
      </w:r>
      <w:r>
        <w:rPr>
          <w:rFonts w:ascii="Times New Roman" w:eastAsia="Times New Roman" w:hAnsi="Times New Roman" w:cs="Times New Roman"/>
          <w:sz w:val="24"/>
        </w:rPr>
        <w:t>а да обезбеде и гарантују демократију и владавину права, подразумева и креирање стабилног макроекономског окружења, развој тржишне економије и јачање њене способности да одговори изазовима конкуренције у ЕУ. Влада је у претходном периоду иницирала, усвојил</w:t>
      </w:r>
      <w:r>
        <w:rPr>
          <w:rFonts w:ascii="Times New Roman" w:eastAsia="Times New Roman" w:hAnsi="Times New Roman" w:cs="Times New Roman"/>
          <w:sz w:val="24"/>
        </w:rPr>
        <w:t>а и спровела кључне мере за успостављање стабилности јавних финансија и целокупног привредног амбијента. Одбор за стабилизацију и придруживање је у априлу 2016. године поздравио јачање српске привреде и посебно истакао значај смањења фискалног дефицита. Ус</w:t>
      </w:r>
      <w:r>
        <w:rPr>
          <w:rFonts w:ascii="Times New Roman" w:eastAsia="Times New Roman" w:hAnsi="Times New Roman" w:cs="Times New Roman"/>
          <w:sz w:val="24"/>
        </w:rPr>
        <w:t>пех у остваривању циљева постављених програмом фискалне консолидације добио је званичну потврду кроз шест успешних ревизија Аранжмана из предострожности са Међународним монетарним фондом (у даљем тексту: ММФ), уз оцену да су постигнути резултати значајно и</w:t>
      </w:r>
      <w:r>
        <w:rPr>
          <w:rFonts w:ascii="Times New Roman" w:eastAsia="Times New Roman" w:hAnsi="Times New Roman" w:cs="Times New Roman"/>
          <w:sz w:val="24"/>
        </w:rPr>
        <w:t xml:space="preserve">знад очекиваних.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Економија Републике Србије и током 2016. године остварује побољшање свих макроекономских индикатора. Пројекција привредног раста за ову годину по трећи пут је ревидирана навише (са почетних 1,8% на актуелних 2,7%), уз побољшање изгледа у </w:t>
      </w:r>
      <w:r>
        <w:rPr>
          <w:rFonts w:ascii="Times New Roman" w:eastAsia="Times New Roman" w:hAnsi="Times New Roman" w:cs="Times New Roman"/>
          <w:sz w:val="24"/>
        </w:rPr>
        <w:t>наредном средњорочном периоду. Постизање привредног раста у условима спровођења чврсте фискалне консолидације потврда је адекватног избора мера креатора економске политике. Постављени трогодишњи циљеви програма фискалне консолидације, који се односе на нив</w:t>
      </w:r>
      <w:r>
        <w:rPr>
          <w:rFonts w:ascii="Times New Roman" w:eastAsia="Times New Roman" w:hAnsi="Times New Roman" w:cs="Times New Roman"/>
          <w:sz w:val="24"/>
        </w:rPr>
        <w:t xml:space="preserve">о структурног прилагођавања фискалног дефицита и удео јавног дуга у бруто домаћи производ (у даљем тексту: БДП), достигнути су годину дана раније. Доследно спровођење фискалне консолидације и структурних реформи пресудно је </w:t>
      </w:r>
      <w:r>
        <w:rPr>
          <w:rFonts w:ascii="Times New Roman" w:eastAsia="Times New Roman" w:hAnsi="Times New Roman" w:cs="Times New Roman"/>
          <w:sz w:val="24"/>
        </w:rPr>
        <w:lastRenderedPageBreak/>
        <w:t>утицало на јачање отпорности дом</w:t>
      </w:r>
      <w:r>
        <w:rPr>
          <w:rFonts w:ascii="Times New Roman" w:eastAsia="Times New Roman" w:hAnsi="Times New Roman" w:cs="Times New Roman"/>
          <w:sz w:val="24"/>
        </w:rPr>
        <w:t>аће привреде на потресе, а добро одмерене мере фискалне и монетарне политике уз њихову пуну координацију, определили су да инфлација током протекле три године буде на ниском и стабилном нивоу, чиме су створени услови да Народна банка Србије (у даљем тексту</w:t>
      </w:r>
      <w:r>
        <w:rPr>
          <w:rFonts w:ascii="Times New Roman" w:eastAsia="Times New Roman" w:hAnsi="Times New Roman" w:cs="Times New Roman"/>
          <w:sz w:val="24"/>
        </w:rPr>
        <w:t>: НБС), у сарадњи са Владом, снизи циљану стопу инфлације. Овим ће се у наредном средњорочном периоду додатно умањити неизвесност у пословању целокупне економије, што ће дати импулс даљем унапређењу инвестиционог амбијента и снижавању трошкова дугорочног ф</w:t>
      </w:r>
      <w:r>
        <w:rPr>
          <w:rFonts w:ascii="Times New Roman" w:eastAsia="Times New Roman" w:hAnsi="Times New Roman" w:cs="Times New Roman"/>
          <w:sz w:val="24"/>
        </w:rPr>
        <w:t>инансирања потреба привреде, државе и становништва. Фокус економске и фискалне политике у наредном средњорочном периоду усмерен је на остварење следећих циљева:</w:t>
      </w:r>
    </w:p>
    <w:p w:rsidR="00BE17C7" w:rsidRDefault="00843F0B">
      <w:pPr>
        <w:numPr>
          <w:ilvl w:val="0"/>
          <w:numId w:val="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одржавање макроекономске стабилности уз даље смањење јавног дуга и његово враћање у одрживе окв</w:t>
      </w:r>
      <w:r>
        <w:rPr>
          <w:rFonts w:ascii="Times New Roman" w:eastAsia="Times New Roman" w:hAnsi="Times New Roman" w:cs="Times New Roman"/>
          <w:sz w:val="24"/>
        </w:rPr>
        <w:t>ире;</w:t>
      </w:r>
    </w:p>
    <w:p w:rsidR="00BE17C7" w:rsidRDefault="00843F0B">
      <w:pPr>
        <w:numPr>
          <w:ilvl w:val="0"/>
          <w:numId w:val="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наставак примене структурних реформи, посебно у домену јавних предузећа, као и подизање ефикасности јавног сектора.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Влада ће активним мерама у наредном трогодишњем периоду наставити унапређење пословног амбијента. Постигнута фискална стабилност обезбеђује побољшање свих макроекономских перформанси. Успостављен је модел раста који се заснива на повећању инвестиција и изв</w:t>
      </w:r>
      <w:r>
        <w:rPr>
          <w:rFonts w:ascii="Times New Roman" w:eastAsia="Times New Roman" w:hAnsi="Times New Roman" w:cs="Times New Roman"/>
          <w:sz w:val="24"/>
        </w:rPr>
        <w:t>оза. Дугорочну одрживост растa треба додатно да подрже комплексни и свеобухватни реформски процеси, које ће Влада наставити да спроводи, како би се отклониле постојеће баријере и ризици. Тиме се стимулише приватна иницијатива, буди предузетништво и иновати</w:t>
      </w:r>
      <w:r>
        <w:rPr>
          <w:rFonts w:ascii="Times New Roman" w:eastAsia="Times New Roman" w:hAnsi="Times New Roman" w:cs="Times New Roman"/>
          <w:sz w:val="24"/>
        </w:rPr>
        <w:t>вност и афирмише развој заснован на знању и технолошком напретку, што ће у крајњој линији допринети отварању нових радних места и смањењу незапослености.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Захваљујући мерама фискалне консолидације створен је простор за повећање пензија и плата у једном делу</w:t>
      </w:r>
      <w:r>
        <w:rPr>
          <w:rFonts w:ascii="Times New Roman" w:eastAsia="Times New Roman" w:hAnsi="Times New Roman" w:cs="Times New Roman"/>
          <w:sz w:val="24"/>
        </w:rPr>
        <w:t xml:space="preserve"> јавног сектора, чиме се обезбеђује раст расположивог дохотка и животног стандарда становништва, али тако да се не угрозе планирани буџетски дефицит и успостављени тренд смањења јавног дуга. Приоритет фискалне политике остаје успостављање пореског система </w:t>
      </w:r>
      <w:r>
        <w:rPr>
          <w:rFonts w:ascii="Times New Roman" w:eastAsia="Times New Roman" w:hAnsi="Times New Roman" w:cs="Times New Roman"/>
          <w:sz w:val="24"/>
        </w:rPr>
        <w:t xml:space="preserve">који стимулативно делује на привредну активност и запошљавање, обезбеђује већу ефикасност наплате пореза и смањење сиве економије.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Подршку фискалној консолидацији у наредном периоду даће наставак спровођења структурних реформи са посебним фокусом на орган</w:t>
      </w:r>
      <w:r>
        <w:rPr>
          <w:rFonts w:ascii="Times New Roman" w:eastAsia="Times New Roman" w:hAnsi="Times New Roman" w:cs="Times New Roman"/>
          <w:sz w:val="24"/>
        </w:rPr>
        <w:t>изационо и финансијско реструктурирање јавних предузећа у циљу њиховог оспособљавања за функционисање по тржишним принципима. Ребалансирање привреде даће додатну подршку расту и обезбедити кључни основ за одржање стабилних јавних финансија.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Реализација амб</w:t>
      </w:r>
      <w:r>
        <w:rPr>
          <w:rFonts w:ascii="Times New Roman" w:eastAsia="Times New Roman" w:hAnsi="Times New Roman" w:cs="Times New Roman"/>
          <w:sz w:val="24"/>
        </w:rPr>
        <w:t>ициозно постављених циљева Владе обезбедиће повећање животног стандарда становништва успостављањем одрживог, паметног и инклузивног раста, који подразумева подстицање конкурентности и ефикаснију употребу ресурса, развој економије заснован на знању и иновац</w:t>
      </w:r>
      <w:r>
        <w:rPr>
          <w:rFonts w:ascii="Times New Roman" w:eastAsia="Times New Roman" w:hAnsi="Times New Roman" w:cs="Times New Roman"/>
          <w:sz w:val="24"/>
        </w:rPr>
        <w:t xml:space="preserve">ијама уз бољу партиципацију на тржишту рада, смањење сиромаштва и социјалну кохезију.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2.</w:t>
      </w:r>
      <w:r>
        <w:rPr>
          <w:rFonts w:ascii="Times New Roman" w:eastAsia="Times New Roman" w:hAnsi="Times New Roman" w:cs="Times New Roman"/>
          <w:sz w:val="24"/>
        </w:rPr>
        <w:tab/>
        <w:t xml:space="preserve">Процене међународног економског окружења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Глобални економски опоравак одвија се у условима нестабилности на финансијским и робним тржиштима, успореног привредног ра</w:t>
      </w:r>
      <w:r>
        <w:rPr>
          <w:rFonts w:ascii="Times New Roman" w:eastAsia="Times New Roman" w:hAnsi="Times New Roman" w:cs="Times New Roman"/>
          <w:sz w:val="24"/>
        </w:rPr>
        <w:t>ста развијених земаља и благо побољшаних макроекономских изгледа земаља у успону, дивергентних монетарних политика водећих централних банака и растућих геополитичких тензија. Учестале ревизије стопа раста највећих привреда и економија у успону додатно пове</w:t>
      </w:r>
      <w:r>
        <w:rPr>
          <w:rFonts w:ascii="Times New Roman" w:eastAsia="Times New Roman" w:hAnsi="Times New Roman" w:cs="Times New Roman"/>
          <w:sz w:val="24"/>
        </w:rPr>
        <w:t xml:space="preserve">ћавају </w:t>
      </w:r>
      <w:r>
        <w:rPr>
          <w:rFonts w:ascii="Times New Roman" w:eastAsia="Times New Roman" w:hAnsi="Times New Roman" w:cs="Times New Roman"/>
          <w:sz w:val="24"/>
        </w:rPr>
        <w:lastRenderedPageBreak/>
        <w:t>неизвесност на глобалном тржишту усмеравајући токове капитала ка „сигурним уточиштимаˮ. Реакција водећих централних банака и постепена нормализација монетарне политике Савезних резерви САД (у даљем тексту: ФЕД) могли би да се одразе на смањену спрем</w:t>
      </w:r>
      <w:r>
        <w:rPr>
          <w:rFonts w:ascii="Times New Roman" w:eastAsia="Times New Roman" w:hAnsi="Times New Roman" w:cs="Times New Roman"/>
          <w:sz w:val="24"/>
        </w:rPr>
        <w:t>ност инвеститора да преузимају ризик, а тиме и на прилив капитала према земљама у успону, па и Србији. Ниске цене нафте и других примарних производа настављају да доприносе дезинфлаторним притисцима. Успоравање и ребалансирање кинеске привреде у условима р</w:t>
      </w:r>
      <w:r>
        <w:rPr>
          <w:rFonts w:ascii="Times New Roman" w:eastAsia="Times New Roman" w:hAnsi="Times New Roman" w:cs="Times New Roman"/>
          <w:sz w:val="24"/>
        </w:rPr>
        <w:t xml:space="preserve">астућих геополитичких тензија негативно утиче на привредни раст и трговинске токове, посебно наших највећих економских партнера (земље ЕУ). У условима повећане политичке неизвесности изазване одлуком о изласку Уједињеног Краљевства (у даљем тексту: УК) из </w:t>
      </w:r>
      <w:r>
        <w:rPr>
          <w:rFonts w:ascii="Times New Roman" w:eastAsia="Times New Roman" w:hAnsi="Times New Roman" w:cs="Times New Roman"/>
          <w:sz w:val="24"/>
        </w:rPr>
        <w:t>ЕУ, као и пролонгирањем коначног договора о слободној трговини са Сједињеним Америчким Државама (у даљем тексту: САД), постоји могућност повећања протекционизма, што ће и надаље утицати на успоравање протока робе, капитала и радника. У нестабилном глобално</w:t>
      </w:r>
      <w:r>
        <w:rPr>
          <w:rFonts w:ascii="Times New Roman" w:eastAsia="Times New Roman" w:hAnsi="Times New Roman" w:cs="Times New Roman"/>
          <w:sz w:val="24"/>
        </w:rPr>
        <w:t xml:space="preserve">м окружењу, привреда Србије, као мала и отворена економија, поправљањем домаћих макроекономских фундамената смањила је унутрашње и спољне неравнотеже и тиме ојачала отпорност на екстерне шокове и смањила ризике из међународног окружења. </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Макроекономске пр</w:t>
      </w:r>
      <w:r>
        <w:rPr>
          <w:rFonts w:ascii="Times New Roman" w:eastAsia="Times New Roman" w:hAnsi="Times New Roman" w:cs="Times New Roman"/>
          <w:i/>
          <w:sz w:val="24"/>
        </w:rPr>
        <w:t>оцене Међународног монетарног фонда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Другу половину 2015. године окарактерисало је успоравање глобалне економске активности, наставак пада цена примарних производа и волатилност на светским финансијским тржиштима. У развијеним економијама привредна активно</w:t>
      </w:r>
      <w:r>
        <w:rPr>
          <w:rFonts w:ascii="Times New Roman" w:eastAsia="Times New Roman" w:hAnsi="Times New Roman" w:cs="Times New Roman"/>
          <w:sz w:val="24"/>
        </w:rPr>
        <w:t xml:space="preserve">ст се одвијала успорено, а раст се базирао на расту домаће тражње услед повољне монетарне политике у САД и евро зони, док је извозна активност стагнирала. Спорији раст економије Кине и рецесије у Русији и Бразилу имали су за последицу успоравање привредне </w:t>
      </w:r>
      <w:r>
        <w:rPr>
          <w:rFonts w:ascii="Times New Roman" w:eastAsia="Times New Roman" w:hAnsi="Times New Roman" w:cs="Times New Roman"/>
          <w:sz w:val="24"/>
        </w:rPr>
        <w:t>активности земаља у успону што се неповољно одразило на глобални економски раст и раст светске трговине, који су износили 3,2% и 2,6%, респективно. Слабљење извозне тражње посебно је погодило земље нето извознике енергената, што је уз смањени прилив капита</w:t>
      </w:r>
      <w:r>
        <w:rPr>
          <w:rFonts w:ascii="Times New Roman" w:eastAsia="Times New Roman" w:hAnsi="Times New Roman" w:cs="Times New Roman"/>
          <w:sz w:val="24"/>
        </w:rPr>
        <w:t>ла, условило погоршање њихових макроекономских перформанси. Погоршање геополитичке ситуације у свету такође је успорило глобални раст у 2015. години, па су само рецесивна кретања у Украјини, Либији и Јемену утицала на пад глобалног БДП од 0,1 п.п.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Фактори </w:t>
      </w:r>
      <w:r>
        <w:rPr>
          <w:rFonts w:ascii="Times New Roman" w:eastAsia="Times New Roman" w:hAnsi="Times New Roman" w:cs="Times New Roman"/>
          <w:sz w:val="24"/>
        </w:rPr>
        <w:t>који су подржавали глобални привредни раст у 2015. години настављају са позитивним доприносом и почетком 2016. године тако да је према прелиминарној процени ММФ у првој половини 2016. године остварен раст од 2,9%. Истовремено, негативни ризици везани за ус</w:t>
      </w:r>
      <w:r>
        <w:rPr>
          <w:rFonts w:ascii="Times New Roman" w:eastAsia="Times New Roman" w:hAnsi="Times New Roman" w:cs="Times New Roman"/>
          <w:sz w:val="24"/>
        </w:rPr>
        <w:t>поравање кинеске економије и неизвесност око коначног статуса УК у ЕУ, утицали су на успоравање глобалних трговинских и финансијских токова. Раст евро зоне је стабилан и вођен пре свега растом приватне потрошње и инвестиција. И поред повећања приватне потр</w:t>
      </w:r>
      <w:r>
        <w:rPr>
          <w:rFonts w:ascii="Times New Roman" w:eastAsia="Times New Roman" w:hAnsi="Times New Roman" w:cs="Times New Roman"/>
          <w:sz w:val="24"/>
        </w:rPr>
        <w:t>ошње раст у САД је успорен услед пада бруто инвестиција у извозно оријентисаним секторима, што је последица негативних ефеката апрецијације долара. Привреде земаља у успону, као нето извозника базичних производа, бележе солидан раст упркос паду цена сирови</w:t>
      </w:r>
      <w:r>
        <w:rPr>
          <w:rFonts w:ascii="Times New Roman" w:eastAsia="Times New Roman" w:hAnsi="Times New Roman" w:cs="Times New Roman"/>
          <w:sz w:val="24"/>
        </w:rPr>
        <w:t xml:space="preserve">на, иако је он у оквиру те групације хетероген. Раст у Индији и Кини је снажан, док је услед суше у Бразилу и ниских цена примарних производа, регион Латинске Америке забележио рецесиона кретања.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 Међународно окружење – макроекономски по</w:t>
      </w:r>
      <w:r>
        <w:rPr>
          <w:rFonts w:ascii="Times New Roman" w:eastAsia="Times New Roman" w:hAnsi="Times New Roman" w:cs="Times New Roman"/>
          <w:sz w:val="24"/>
        </w:rPr>
        <w:t>казатељи</w:t>
      </w:r>
    </w:p>
    <w:tbl>
      <w:tblPr>
        <w:tblW w:w="0" w:type="auto"/>
        <w:jc w:val="center"/>
        <w:tblCellMar>
          <w:left w:w="10" w:type="dxa"/>
          <w:right w:w="10" w:type="dxa"/>
        </w:tblCellMar>
        <w:tblLook w:val="0000"/>
      </w:tblPr>
      <w:tblGrid>
        <w:gridCol w:w="4595"/>
        <w:gridCol w:w="953"/>
        <w:gridCol w:w="1043"/>
        <w:gridCol w:w="1043"/>
        <w:gridCol w:w="1043"/>
      </w:tblGrid>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Реални раст бруто домаћег производа</w:t>
            </w:r>
            <w:r>
              <w:rPr>
                <w:rFonts w:ascii="Times New Roman" w:eastAsia="Times New Roman" w:hAnsi="Times New Roman" w:cs="Times New Roman"/>
                <w:vertAlign w:val="superscript"/>
              </w:rPr>
              <w:t>1</w:t>
            </w:r>
            <w:r>
              <w:rPr>
                <w:rFonts w:ascii="Times New Roman" w:eastAsia="Times New Roman" w:hAnsi="Times New Roman" w:cs="Times New Roman"/>
              </w:rPr>
              <w:t>, %</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Свет укупно</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Евро зона</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САД</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Русија</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Земље у успону</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Раст светске трговине,%</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Стопа незапослености, %</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Евро зона</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10,9</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10,0</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9,3</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САД</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Потрошачке цене, просек периода, %</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Евро зона</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Развијене економије</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Земље у успону</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Девизни курс, евро/долар, крај периода</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Цене житарица, у доларима, годишње промене</w:t>
            </w:r>
            <w:r>
              <w:rPr>
                <w:rFonts w:ascii="Times New Roman" w:eastAsia="Times New Roman" w:hAnsi="Times New Roman" w:cs="Times New Roman"/>
                <w:vertAlign w:val="superscript"/>
              </w:rPr>
              <w:t>2</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-17,3</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-8,5</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Цене метала, у доларима, годишње промене</w:t>
            </w:r>
            <w:r>
              <w:rPr>
                <w:rFonts w:ascii="Times New Roman" w:eastAsia="Times New Roman" w:hAnsi="Times New Roman" w:cs="Times New Roman"/>
                <w:vertAlign w:val="superscript"/>
              </w:rPr>
              <w:t>3</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-23,1</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-7,5</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Цена руде гвожђа, у доларима</w:t>
            </w:r>
            <w:r>
              <w:rPr>
                <w:rFonts w:ascii="Times New Roman" w:eastAsia="Times New Roman" w:hAnsi="Times New Roman" w:cs="Times New Roman"/>
                <w:vertAlign w:val="superscript"/>
              </w:rPr>
              <w:t>4</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53,9</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48,4</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42,8</w:t>
            </w:r>
          </w:p>
        </w:tc>
      </w:tr>
      <w:tr w:rsidR="00BE17C7">
        <w:tblPrEx>
          <w:tblCellMar>
            <w:top w:w="0" w:type="dxa"/>
            <w:bottom w:w="0" w:type="dxa"/>
          </w:tblCellMar>
        </w:tblPrEx>
        <w:trPr>
          <w:trHeight w:val="25"/>
          <w:jc w:val="center"/>
        </w:trPr>
        <w:tc>
          <w:tcPr>
            <w:tcW w:w="459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Цене нафте, у доларима, годишње промене, %</w:t>
            </w:r>
          </w:p>
        </w:tc>
        <w:tc>
          <w:tcPr>
            <w:tcW w:w="9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-47,2</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-15,4</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17,9</w:t>
            </w:r>
          </w:p>
        </w:tc>
        <w:tc>
          <w:tcPr>
            <w:tcW w:w="10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vertAlign w:val="superscript"/>
        </w:rPr>
        <w:t>1</w:t>
      </w:r>
      <w:r>
        <w:rPr>
          <w:rFonts w:ascii="Times New Roman" w:eastAsia="Times New Roman" w:hAnsi="Times New Roman" w:cs="Times New Roman"/>
          <w:sz w:val="18"/>
        </w:rPr>
        <w:t xml:space="preserve"> Светски БДП израчунат је према паритету куповне моћи</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vertAlign w:val="superscript"/>
        </w:rPr>
        <w:t>2</w:t>
      </w:r>
      <w:r>
        <w:rPr>
          <w:rFonts w:ascii="Times New Roman" w:eastAsia="Times New Roman" w:hAnsi="Times New Roman" w:cs="Times New Roman"/>
          <w:sz w:val="18"/>
        </w:rPr>
        <w:t xml:space="preserve"> Цена житарица добијена као пондерисани просек цена пшенице, кукуруза, соје, пиринча и јечма</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vertAlign w:val="superscript"/>
        </w:rPr>
        <w:t>3</w:t>
      </w:r>
      <w:r>
        <w:rPr>
          <w:rFonts w:ascii="Times New Roman" w:eastAsia="Times New Roman" w:hAnsi="Times New Roman" w:cs="Times New Roman"/>
          <w:sz w:val="18"/>
        </w:rPr>
        <w:t xml:space="preserve"> </w:t>
      </w:r>
      <w:r>
        <w:rPr>
          <w:rFonts w:ascii="Times New Roman" w:eastAsia="Times New Roman" w:hAnsi="Times New Roman" w:cs="Times New Roman"/>
          <w:sz w:val="18"/>
        </w:rPr>
        <w:t>Цена метала добијена као пондерисани просек цена бакра, алуминијума, руде гвожђа, калаја, никла, цинка, олова и уранијума</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vertAlign w:val="superscript"/>
        </w:rPr>
        <w:t>4</w:t>
      </w:r>
      <w:r>
        <w:rPr>
          <w:rFonts w:ascii="Times New Roman" w:eastAsia="Times New Roman" w:hAnsi="Times New Roman" w:cs="Times New Roman"/>
          <w:sz w:val="18"/>
        </w:rPr>
        <w:t xml:space="preserve"> Цена руде гвожђа (садржај гвожђа од 62%) за увоз у Кини, лука Тиан Јан, у доларима по метричкој тони</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Извор: ММФ, </w:t>
      </w:r>
      <w:r>
        <w:rPr>
          <w:rFonts w:ascii="Times New Roman" w:eastAsia="Times New Roman" w:hAnsi="Times New Roman" w:cs="Times New Roman"/>
          <w:i/>
          <w:sz w:val="18"/>
        </w:rPr>
        <w:t>World Economic Outlook</w:t>
      </w:r>
      <w:r>
        <w:rPr>
          <w:rFonts w:ascii="Times New Roman" w:eastAsia="Times New Roman" w:hAnsi="Times New Roman" w:cs="Times New Roman"/>
          <w:sz w:val="18"/>
        </w:rPr>
        <w:t>, октобар 2016.</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ММФ је у Светском економском прегледу из октобра задржао јулску процену глобалног економског раста од 3,1% за 2016. и 3,4% за 2017. годину. Прогноза узима у обзир ефекте успоравања кинеске економије што се негативно о</w:t>
      </w:r>
      <w:r>
        <w:rPr>
          <w:rFonts w:ascii="Times New Roman" w:eastAsia="Times New Roman" w:hAnsi="Times New Roman" w:cs="Times New Roman"/>
          <w:sz w:val="24"/>
        </w:rPr>
        <w:t>дражава на инвестициону активност и трговинске токове, ниске цене енергената које смањују приливе земаља извозника, успоравање раста у САД и неизвесности у погледу преговора о изласку УК из ЕУ. Као последица нових околности, раст развијених земаља је ревид</w:t>
      </w:r>
      <w:r>
        <w:rPr>
          <w:rFonts w:ascii="Times New Roman" w:eastAsia="Times New Roman" w:hAnsi="Times New Roman" w:cs="Times New Roman"/>
          <w:sz w:val="24"/>
        </w:rPr>
        <w:t>иран наниже, док су изгледи земаља у успону побољшани. У средњем року очекује се благо успоравање раста у већини привреда евро зоне као и САД, излазак Русије из рецесије и солидно убрзање раста у земљама у успону, што ће заједно резултирати убрзањем глобал</w:t>
      </w:r>
      <w:r>
        <w:rPr>
          <w:rFonts w:ascii="Times New Roman" w:eastAsia="Times New Roman" w:hAnsi="Times New Roman" w:cs="Times New Roman"/>
          <w:sz w:val="24"/>
        </w:rPr>
        <w:t>ног економског раста у 2017. и 2018. години од 3,4% и 3,6%, респективно. Евро зона ће у 2016. години расти по стопи од 1,7%, што је за 0,1 п.п. побољшано очекивање у односу на јулско, међутим и даље споријим темпом него у 2015. години. Наставак јачања дома</w:t>
      </w:r>
      <w:r>
        <w:rPr>
          <w:rFonts w:ascii="Times New Roman" w:eastAsia="Times New Roman" w:hAnsi="Times New Roman" w:cs="Times New Roman"/>
          <w:sz w:val="24"/>
        </w:rPr>
        <w:t xml:space="preserve">ће тражње унутар евро зоне, ниске цене нафте, умерена фискална експанзија и акомодирајућа монетарна политика подржаће економски опоравак који се прогнозира на 1,5% у 2017. </w:t>
      </w:r>
      <w:r>
        <w:rPr>
          <w:rFonts w:ascii="Times New Roman" w:eastAsia="Times New Roman" w:hAnsi="Times New Roman" w:cs="Times New Roman"/>
          <w:sz w:val="24"/>
        </w:rPr>
        <w:lastRenderedPageBreak/>
        <w:t>години, док ће у супротном правцу деловати ослабљено поверење привредника након рефе</w:t>
      </w:r>
      <w:r>
        <w:rPr>
          <w:rFonts w:ascii="Times New Roman" w:eastAsia="Times New Roman" w:hAnsi="Times New Roman" w:cs="Times New Roman"/>
          <w:sz w:val="24"/>
        </w:rPr>
        <w:t>рендума у УК. У Шпанији и Немачкој очекује се нешто већи раст у 2016. и 2017. години од раније предвиђеног, док су изгледи за Италију благо погоршани у односу на јулску пројекцију. Погоршање економских кретања у међународном окружењу и контракција енергетс</w:t>
      </w:r>
      <w:r>
        <w:rPr>
          <w:rFonts w:ascii="Times New Roman" w:eastAsia="Times New Roman" w:hAnsi="Times New Roman" w:cs="Times New Roman"/>
          <w:sz w:val="24"/>
        </w:rPr>
        <w:t>ког сектора условили су ревизију раста САД на 1,6 % у 2016. и 2,2% у 2017. години, што је за 0,6 п.п. и 0,3 п.п. ниже у односу на претходну пројекцију. Раст запослености и последично приватне потрошње, али и приватних инвестиција, остају главни покретачи р</w:t>
      </w:r>
      <w:r>
        <w:rPr>
          <w:rFonts w:ascii="Times New Roman" w:eastAsia="Times New Roman" w:hAnsi="Times New Roman" w:cs="Times New Roman"/>
          <w:sz w:val="24"/>
        </w:rPr>
        <w:t>аста и у наредном периоду, док ће допринос нето извоза бити негативан услед апрецијације америчког долара и слабљења међународне трговине. Након пада руске привреде од 3,7% у 2015. години, ММФ очекује наставак рецесије услед продуженог деловања ефеката пад</w:t>
      </w:r>
      <w:r>
        <w:rPr>
          <w:rFonts w:ascii="Times New Roman" w:eastAsia="Times New Roman" w:hAnsi="Times New Roman" w:cs="Times New Roman"/>
          <w:sz w:val="24"/>
        </w:rPr>
        <w:t xml:space="preserve">а цена нафте, санкција ЕУ и постојећих структурних неравнотежа у привреди. Услед непромењених фактора у окружењу очекује се умерен опоравак руске привреде у 2017. и 2018.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проценама ММФ очекује се низак ниво инфлације у 2016. години и њено бл</w:t>
      </w:r>
      <w:r>
        <w:rPr>
          <w:rFonts w:ascii="Times New Roman" w:eastAsia="Times New Roman" w:hAnsi="Times New Roman" w:cs="Times New Roman"/>
          <w:sz w:val="24"/>
        </w:rPr>
        <w:t>аго убрзање током средњорочног периода. Предвиђа се убрзање раста цена у развијенијим економијама, са 0,8% у 2016. на 1,9% у 2018. години и смањење инфлације у земљама у успону, са 4,5% на 4,2%, у истом периоду. Кретања цена метала и енергената на међунаро</w:t>
      </w:r>
      <w:r>
        <w:rPr>
          <w:rFonts w:ascii="Times New Roman" w:eastAsia="Times New Roman" w:hAnsi="Times New Roman" w:cs="Times New Roman"/>
          <w:sz w:val="24"/>
        </w:rPr>
        <w:t>дном тржишту од почетка 2016. године позитивно су се одразила на привредну активност земаља нето увозника примарних производа, мада нешто слабијим интензитетом него у 2015. години. Очекује се да ће цена нафте типа Брент (просечна цена нафте типа „Брент”, „</w:t>
      </w:r>
      <w:r>
        <w:rPr>
          <w:rFonts w:ascii="Times New Roman" w:eastAsia="Times New Roman" w:hAnsi="Times New Roman" w:cs="Times New Roman"/>
          <w:sz w:val="24"/>
        </w:rPr>
        <w:t>Дубаи Фатекс” и „Западни Тексас”) у 2016. години износити 43,0 $/барел, што је смањење од 15,4% у односу на 2015. годину, док ће се у 2017. години повећати на 50,6 $/барел. Услед слабије инвестиционе тражње у Кини, цене метала су забележиле кумулативни пад</w:t>
      </w:r>
      <w:r>
        <w:rPr>
          <w:rFonts w:ascii="Times New Roman" w:eastAsia="Times New Roman" w:hAnsi="Times New Roman" w:cs="Times New Roman"/>
          <w:sz w:val="24"/>
        </w:rPr>
        <w:t xml:space="preserve"> од око 50% од 2011. године. Процењује се да ће се овакви трендови наставити до краја године (пад од 7,5%) уз стабилизацију цена у средњем року. Истовремено, у Кини, која учествује са 50% у светској производњи челика и 60% у потрошњи руде гвожђа, очекује с</w:t>
      </w:r>
      <w:r>
        <w:rPr>
          <w:rFonts w:ascii="Times New Roman" w:eastAsia="Times New Roman" w:hAnsi="Times New Roman" w:cs="Times New Roman"/>
          <w:sz w:val="24"/>
        </w:rPr>
        <w:t>е даљи пад увозних цена ове руде са 53,9 на 48,4 $/метричка тона. Цене житарица настављају тренд пада и у 2016. години, док се умерен опоравак предвиђа за 2017. и 2018. годину.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Дезинфлаторни притисци у евро зони навели су Европску централну банку (у даљем </w:t>
      </w:r>
      <w:r>
        <w:rPr>
          <w:rFonts w:ascii="Times New Roman" w:eastAsia="Times New Roman" w:hAnsi="Times New Roman" w:cs="Times New Roman"/>
          <w:sz w:val="24"/>
        </w:rPr>
        <w:t>тексту: ЕЦБ) да од марта појача експанзивност монетарне политике, док се према најавама ФЕД очекује постепено смањење експанзивности монетарне политике у САД у наредном периоду. Савет гувернера ЕЦБ је у октобру 2016. године донео одлуку да задржи референтн</w:t>
      </w:r>
      <w:r>
        <w:rPr>
          <w:rFonts w:ascii="Times New Roman" w:eastAsia="Times New Roman" w:hAnsi="Times New Roman" w:cs="Times New Roman"/>
          <w:sz w:val="24"/>
        </w:rPr>
        <w:t>у каматну стопу на 0,00%. Такође, потврђена је негативна каматна стопа од 0,4% на депозите банака са циљем охрабривања зајмодаваца на веће кредитирање компанија и домаћинстава. Опсег програма квантитативних олакшица задржан је на нивоу од 80 млрд евра месе</w:t>
      </w:r>
      <w:r>
        <w:rPr>
          <w:rFonts w:ascii="Times New Roman" w:eastAsia="Times New Roman" w:hAnsi="Times New Roman" w:cs="Times New Roman"/>
          <w:sz w:val="24"/>
        </w:rPr>
        <w:t>чно (до краја марта 2017. године), а од јуна 2015. године проширен је и куповином корпоративних дужничких хартија на секундарном тржишту како би се компаније подстакле на додатне инвестиције. Према најновијим изјавама званичника ове институције могуће је п</w:t>
      </w:r>
      <w:r>
        <w:rPr>
          <w:rFonts w:ascii="Times New Roman" w:eastAsia="Times New Roman" w:hAnsi="Times New Roman" w:cs="Times New Roman"/>
          <w:sz w:val="24"/>
        </w:rPr>
        <w:t>роширење овог програма како би се достигла циљана инфлација од нешто испод 2%. С друге стране, на састанку ФЕД у септембру 2016. године, одлучено је да се задржи референтна каматна стопа у распону од 0,25%-0,50% услед неизвесности у погледу будућег кретања</w:t>
      </w:r>
      <w:r>
        <w:rPr>
          <w:rFonts w:ascii="Times New Roman" w:eastAsia="Times New Roman" w:hAnsi="Times New Roman" w:cs="Times New Roman"/>
          <w:sz w:val="24"/>
        </w:rPr>
        <w:t xml:space="preserve"> глобалне економске активности, упркос солидним извештајима о напретку на тржишту рада и расту приватне потрошње, односно благог раста бруто инвестиција, као и ниским инфлационим очекивањима у САД. За 2016. и 2017. годину ММФ је предвидео каматне стопе на </w:t>
      </w:r>
      <w:r>
        <w:rPr>
          <w:rFonts w:ascii="Times New Roman" w:eastAsia="Times New Roman" w:hAnsi="Times New Roman" w:cs="Times New Roman"/>
          <w:sz w:val="24"/>
        </w:rPr>
        <w:t xml:space="preserve">тромесечне евро депозите од -0,3% и -0,4%, </w:t>
      </w:r>
      <w:r>
        <w:rPr>
          <w:rFonts w:ascii="Times New Roman" w:eastAsia="Times New Roman" w:hAnsi="Times New Roman" w:cs="Times New Roman"/>
          <w:sz w:val="24"/>
        </w:rPr>
        <w:lastRenderedPageBreak/>
        <w:t>респективно. Истовремено, пројектоване каматне стопе на шестомесечне депозите у амерички доларима износе 1,0% и 1,3%, респективно.</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препорукама ММФ од посебног значаја за глобалну економију је усвајање полити</w:t>
      </w:r>
      <w:r>
        <w:rPr>
          <w:rFonts w:ascii="Times New Roman" w:eastAsia="Times New Roman" w:hAnsi="Times New Roman" w:cs="Times New Roman"/>
          <w:sz w:val="24"/>
        </w:rPr>
        <w:t>ка којима се подстиче јачање раста. Неопходно је да водеће земље наставе са структурним реформама, акомодирајућом монетарном политиком и повећањем јавне потрошње у образовање, технологију и иновације, док је за земље у успону од пресудне важности спровођењ</w:t>
      </w:r>
      <w:r>
        <w:rPr>
          <w:rFonts w:ascii="Times New Roman" w:eastAsia="Times New Roman" w:hAnsi="Times New Roman" w:cs="Times New Roman"/>
          <w:sz w:val="24"/>
        </w:rPr>
        <w:t>е реформи којима би се осигурала отпорност на екстерне шокове и унапредила продуктивност. У многим земљама потребно је дефинисати политике запошљавања које ће бити усмерене на повећање флексибилности на тржишту рада, односно повећање стопе активности, с об</w:t>
      </w:r>
      <w:r>
        <w:rPr>
          <w:rFonts w:ascii="Times New Roman" w:eastAsia="Times New Roman" w:hAnsi="Times New Roman" w:cs="Times New Roman"/>
          <w:sz w:val="24"/>
        </w:rPr>
        <w:t>зиром на светске миграцијске и неповољне демографске трендове. Такође, успоравање глобалне привредне активности намеће потребу за успостављањем глобалне координације економских политика, даљим јачањем финансијске стабилности и ограничавањем преливања утица</w:t>
      </w:r>
      <w:r>
        <w:rPr>
          <w:rFonts w:ascii="Times New Roman" w:eastAsia="Times New Roman" w:hAnsi="Times New Roman" w:cs="Times New Roman"/>
          <w:sz w:val="24"/>
        </w:rPr>
        <w:t>ја пореских рајева и офшор компанија на фискалну политику.</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Макроекономске процене Европске комисије за подручје Европске уније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Европска комисија (у даљем тексту: ЕК) је у новембру задржала мајску процену раста привредне активности ЕУ за 2016. годину од 1</w:t>
      </w:r>
      <w:r>
        <w:rPr>
          <w:rFonts w:ascii="Times New Roman" w:eastAsia="Times New Roman" w:hAnsi="Times New Roman" w:cs="Times New Roman"/>
          <w:sz w:val="24"/>
        </w:rPr>
        <w:t>,8% услед пролонгираног дејства полуга раста из 2015. године, док је за 2017. годину пројекција ревидирана наниже на 1,6% услед повећања неизвесности. Депрецијација евра, ниска цена нафте, акомодирајућа монетарна политика ЕЦБ, повећани јавни расходи и прил</w:t>
      </w:r>
      <w:r>
        <w:rPr>
          <w:rFonts w:ascii="Times New Roman" w:eastAsia="Times New Roman" w:hAnsi="Times New Roman" w:cs="Times New Roman"/>
          <w:sz w:val="24"/>
        </w:rPr>
        <w:t>ив миграната у појединим чланицама неки су од фактора који су утицали на убрзање раста у 2015. години. Међутим, утицај ових позитивних импулса је привременог карактера и постепено нестаје под притиском успоравања економија развијених земаља и светске тргов</w:t>
      </w:r>
      <w:r>
        <w:rPr>
          <w:rFonts w:ascii="Times New Roman" w:eastAsia="Times New Roman" w:hAnsi="Times New Roman" w:cs="Times New Roman"/>
          <w:sz w:val="24"/>
        </w:rPr>
        <w:t>ине. У наредном периоду очекује се да домаћа тражња и даље буде главни покретач раста БДП, који посебно подупиру прилагодљив карактер монетарне политике и повољна фискална политика у 2016. години. Повољнија кретања на тржишту рада, у виду раста запосленост</w:t>
      </w:r>
      <w:r>
        <w:rPr>
          <w:rFonts w:ascii="Times New Roman" w:eastAsia="Times New Roman" w:hAnsi="Times New Roman" w:cs="Times New Roman"/>
          <w:sz w:val="24"/>
        </w:rPr>
        <w:t>и и зарада, повећаће расположиви доходак домаћинстава и утицати да приватна потрошња буде главни покретач раста. Раст инвестиција биће подстакнут бољим условима пословања, јефтинијим кредитирањем привреде, повећаним јавним издацима и спровођењем активности</w:t>
      </w:r>
      <w:r>
        <w:rPr>
          <w:rFonts w:ascii="Times New Roman" w:eastAsia="Times New Roman" w:hAnsi="Times New Roman" w:cs="Times New Roman"/>
          <w:sz w:val="24"/>
        </w:rPr>
        <w:t xml:space="preserve"> Инвестиционог плана за Европу ЕК. Предвиђа се благо убрзање раста извоза које ипак неће достићи раст увоза, али ће негативан допринос нето извоза постепено слабити и постати благо позитиван у 2018.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средњем року очекују се да раст привредне акти</w:t>
      </w:r>
      <w:r>
        <w:rPr>
          <w:rFonts w:ascii="Times New Roman" w:eastAsia="Times New Roman" w:hAnsi="Times New Roman" w:cs="Times New Roman"/>
          <w:sz w:val="24"/>
        </w:rPr>
        <w:t>вности буде праћен растом запослености. Спроведене реформе тржишта рада у неким чланицама евро зоне, али и мере фискалне политике повољно ће утицати на отварање нових радних места. Посредан позитиван утицај на тржиште рада очекује се и од опоравка домаће т</w:t>
      </w:r>
      <w:r>
        <w:rPr>
          <w:rFonts w:ascii="Times New Roman" w:eastAsia="Times New Roman" w:hAnsi="Times New Roman" w:cs="Times New Roman"/>
          <w:sz w:val="24"/>
        </w:rPr>
        <w:t>ражње док би очекивани раст зарада требао да повећа стопу економске активности. И поред тога што ће стопа незапослености остати неуједначена међу државама чланицама, очекује се смањење укупне незапослености у ЕУ у 2016. години на 8,6%, што је за 0,8 п.п. н</w:t>
      </w:r>
      <w:r>
        <w:rPr>
          <w:rFonts w:ascii="Times New Roman" w:eastAsia="Times New Roman" w:hAnsi="Times New Roman" w:cs="Times New Roman"/>
          <w:sz w:val="24"/>
        </w:rPr>
        <w:t>иже у односу на 2015. годину. Тренд пада незапослености ће се наставити, тако да се на крају пројектованог периода очекује стопа незапослености испод 8%, што представља најнижу стопу после 2008. године, међутим још увек већу у односу на преткризни ниво.</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Оч</w:t>
      </w:r>
      <w:r>
        <w:rPr>
          <w:rFonts w:ascii="Times New Roman" w:eastAsia="Times New Roman" w:hAnsi="Times New Roman" w:cs="Times New Roman"/>
          <w:sz w:val="24"/>
        </w:rPr>
        <w:t xml:space="preserve">екује се да ће просечна инфлација у 2016. години износити 0,3%, што представља благо повећање у односу на 2015. годину. Прву половину 2016. године </w:t>
      </w:r>
      <w:r>
        <w:rPr>
          <w:rFonts w:ascii="Times New Roman" w:eastAsia="Times New Roman" w:hAnsi="Times New Roman" w:cs="Times New Roman"/>
          <w:sz w:val="24"/>
        </w:rPr>
        <w:lastRenderedPageBreak/>
        <w:t>обележила је ниска инфлација услед пада цена енергије, док у трећем кварталу долази до убрзања под утицајем б</w:t>
      </w:r>
      <w:r>
        <w:rPr>
          <w:rFonts w:ascii="Times New Roman" w:eastAsia="Times New Roman" w:hAnsi="Times New Roman" w:cs="Times New Roman"/>
          <w:sz w:val="24"/>
        </w:rPr>
        <w:t>азног ефекта нивоа цена из прошле године. Базна инфлација, која искључује високо волатилне цене енергије и хране, се током 2016. године кретала око просечног нивоа из 2015. године и за сада нема назнака убрзања тренда. Ипак, очекује се да ће раст зарада, у</w:t>
      </w:r>
      <w:r>
        <w:rPr>
          <w:rFonts w:ascii="Times New Roman" w:eastAsia="Times New Roman" w:hAnsi="Times New Roman" w:cs="Times New Roman"/>
          <w:sz w:val="24"/>
        </w:rPr>
        <w:t>з смањење производног јаза, убрзати базну инфлацију у наредном периоду. Такође, позитиван допринос расту инфлације даће и спољни ценовни притисци, уз позитиван предзнак за инфлацију увозних цена у 2017. години, након што је у четворогодишњем раздобљу он би</w:t>
      </w:r>
      <w:r>
        <w:rPr>
          <w:rFonts w:ascii="Times New Roman" w:eastAsia="Times New Roman" w:hAnsi="Times New Roman" w:cs="Times New Roman"/>
          <w:sz w:val="24"/>
        </w:rPr>
        <w:t>о негативан, те се за 2017. и 2018. годину прогнозира инфлација од 1,6%, односно 1,7%.</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Погоршање глобалне тражње и успоравање глобалних инвестиција определиће умерен раст извозне активности ЕУ, док ће јачање приватне потрошње утицати на раст увоза. Економи</w:t>
      </w:r>
      <w:r>
        <w:rPr>
          <w:rFonts w:ascii="Times New Roman" w:eastAsia="Times New Roman" w:hAnsi="Times New Roman" w:cs="Times New Roman"/>
          <w:sz w:val="24"/>
        </w:rPr>
        <w:t xml:space="preserve">је евро зоне биле су отпорне на успоравање глобалних трговинских токова у претходном периоду, услед позитивних ефеката депрецијације евра на конкурентност. И поред смањења јединичних трошкова рада, успоравање глобалног економског раста и апрецијација евра </w:t>
      </w:r>
      <w:r>
        <w:rPr>
          <w:rFonts w:ascii="Times New Roman" w:eastAsia="Times New Roman" w:hAnsi="Times New Roman" w:cs="Times New Roman"/>
          <w:sz w:val="24"/>
        </w:rPr>
        <w:t>на почетку 2016. године, определиће тек благо убрзање извоза ЕУ у наредном периоду са 3,0% у 2016. години на 3,5% у 2017. години. Услед раста домаће тражње, кретање увоза ће бити нешто брже од кретања извоза и износиће 3,6% у 2016. и 3,9% у 2017. години. У</w:t>
      </w:r>
      <w:r>
        <w:rPr>
          <w:rFonts w:ascii="Times New Roman" w:eastAsia="Times New Roman" w:hAnsi="Times New Roman" w:cs="Times New Roman"/>
          <w:sz w:val="24"/>
        </w:rPr>
        <w:t xml:space="preserve"> наредном периоду очекује се умерено побољшање текућег рачуна платног биланса и благи раст суфицита са 2,1% БДП у 2017. на 2,2% БДП у 2018.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Фискални изгледи су побољшани. Смањење дефицита опште државе највећим делом резултат је раста економске акт</w:t>
      </w:r>
      <w:r>
        <w:rPr>
          <w:rFonts w:ascii="Times New Roman" w:eastAsia="Times New Roman" w:hAnsi="Times New Roman" w:cs="Times New Roman"/>
          <w:sz w:val="24"/>
        </w:rPr>
        <w:t>ивности и пада каматних стопа. Очекује се фискални дефицит опште државе у 2016. години од 2%, што је смањење за 0,4 п.п. у односу на претходну годину. Раст запослености определиће смањење социјалних издвајања за незапослене, што ће, уз скроман раст плата у</w:t>
      </w:r>
      <w:r>
        <w:rPr>
          <w:rFonts w:ascii="Times New Roman" w:eastAsia="Times New Roman" w:hAnsi="Times New Roman" w:cs="Times New Roman"/>
          <w:sz w:val="24"/>
        </w:rPr>
        <w:t xml:space="preserve"> јавном сектору и стабилан удео капиталних издатака, довести до смањења учешћа јавних расхода у БДП. Опадање учешћа јавних прихода у БДП и даље је присутно, највећим делом као резултат смањења пореског оптерећења рада, али у мањој мери него опадање учешћа </w:t>
      </w:r>
      <w:r>
        <w:rPr>
          <w:rFonts w:ascii="Times New Roman" w:eastAsia="Times New Roman" w:hAnsi="Times New Roman" w:cs="Times New Roman"/>
          <w:sz w:val="24"/>
        </w:rPr>
        <w:t>расхода у БДП. Мања издвајања за камате ће и даље имати позитиван утицај на ниво структурног фискалног резултата, иако нешто споријим темпом услед исцрпљивања базног ефекта. Уз даље побољшање цикличне компоненте, као и примарног фискалног баланса у 2017. и</w:t>
      </w:r>
      <w:r>
        <w:rPr>
          <w:rFonts w:ascii="Times New Roman" w:eastAsia="Times New Roman" w:hAnsi="Times New Roman" w:cs="Times New Roman"/>
          <w:sz w:val="24"/>
        </w:rPr>
        <w:t xml:space="preserve"> 2018. години, то ће резултирати смањењем дефицита на 1,7% и 1,6%, респективно. Удео јавног дуга у БДП за 2016. годину процењује се на 86%, док се у наредне две године пројектује његов постепени пад на 85,1% у 2017. и 83,9% у 2018. години. Ово смањење најв</w:t>
      </w:r>
      <w:r>
        <w:rPr>
          <w:rFonts w:ascii="Times New Roman" w:eastAsia="Times New Roman" w:hAnsi="Times New Roman" w:cs="Times New Roman"/>
          <w:sz w:val="24"/>
        </w:rPr>
        <w:t>ећим делом подупиру повољна привредна кретања и пројектовани примарни суфицит.</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Макроекономска кретања најзначајнијих спољнотрговинских партнера Републике Србије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Очекује се да раст запослености и последично приватне потрошње обезбеди раст немачке привреде у наредном периоду, уз благо успоравање раста у 2017. години. Отпорност извоза на успоравање глобалних трговинских токова, као и јачање грађевинске активности, до</w:t>
      </w:r>
      <w:r>
        <w:rPr>
          <w:rFonts w:ascii="Times New Roman" w:eastAsia="Times New Roman" w:hAnsi="Times New Roman" w:cs="Times New Roman"/>
          <w:sz w:val="24"/>
        </w:rPr>
        <w:t xml:space="preserve">датно ће подржати раст у средњорочном периоду. И поред очекиваног благог пада, суфицит текућег рачуна остаје висок, док ће смањење трошкова задуживања, уз раст државних прихода, обезбедити буџетски суфицит. Раст у прва два квартала износио је 1,8% и 1,7%, </w:t>
      </w:r>
      <w:r>
        <w:rPr>
          <w:rFonts w:ascii="Times New Roman" w:eastAsia="Times New Roman" w:hAnsi="Times New Roman" w:cs="Times New Roman"/>
          <w:sz w:val="24"/>
        </w:rPr>
        <w:t xml:space="preserve">респективно. Кретање индикатора поверења привредника, број нових поруџбина у прерађивачком сектору и индустријска производња указују на умерени раст економске активности у трећем кварталу, па се у наредном периоду очекује благо </w:t>
      </w:r>
      <w:r>
        <w:rPr>
          <w:rFonts w:ascii="Times New Roman" w:eastAsia="Times New Roman" w:hAnsi="Times New Roman" w:cs="Times New Roman"/>
          <w:sz w:val="24"/>
        </w:rPr>
        <w:lastRenderedPageBreak/>
        <w:t>побољшање макроекономских ин</w:t>
      </w:r>
      <w:r>
        <w:rPr>
          <w:rFonts w:ascii="Times New Roman" w:eastAsia="Times New Roman" w:hAnsi="Times New Roman" w:cs="Times New Roman"/>
          <w:sz w:val="24"/>
        </w:rPr>
        <w:t>дикатора. У условима редуковане увозне тражње земаља у успону, процењени економски раст Немачке у 2016. години од 1,9% базиран је на расту домаће потрошње услед раста расположивог дохотка, што је омогућено повољнијим кретањима на тржишту рада, нижим трошко</w:t>
      </w:r>
      <w:r>
        <w:rPr>
          <w:rFonts w:ascii="Times New Roman" w:eastAsia="Times New Roman" w:hAnsi="Times New Roman" w:cs="Times New Roman"/>
          <w:sz w:val="24"/>
        </w:rPr>
        <w:t xml:space="preserve">вима задуживања као и ниским ценама енергената. Раст приватне потрошње ће остати главни покретач раста, уз солидан допринос инвестиција, које ће бити подржане снажним растом грађевинске активности. Очекује се да ће раст укупних инвестиција износити 2,5% у </w:t>
      </w:r>
      <w:r>
        <w:rPr>
          <w:rFonts w:ascii="Times New Roman" w:eastAsia="Times New Roman" w:hAnsi="Times New Roman" w:cs="Times New Roman"/>
          <w:sz w:val="24"/>
        </w:rPr>
        <w:t>2016. и 1,9% у 2017. години. Планирани раст социјалних давања, као последица повећања неопорезивог дела дохотка и дечјег додатка, благо ће повећати јавне расходе, док ће у супротном смеру деловати нижи издаци за мигранте. Прогнозира се благо смањење буџетс</w:t>
      </w:r>
      <w:r>
        <w:rPr>
          <w:rFonts w:ascii="Times New Roman" w:eastAsia="Times New Roman" w:hAnsi="Times New Roman" w:cs="Times New Roman"/>
          <w:sz w:val="24"/>
        </w:rPr>
        <w:t>ког суфицита са 0,6% БДП на 0,4% БДП у 2017. години. Спољнотрговински суфицит ће бити благо снижен због слабљења ефекта ниске цене енергије, односно убрзаног раста увоза услед раста домаће тражње. Ефекти ниских цена нафте на инфлацију ће до краја следеће г</w:t>
      </w:r>
      <w:r>
        <w:rPr>
          <w:rFonts w:ascii="Times New Roman" w:eastAsia="Times New Roman" w:hAnsi="Times New Roman" w:cs="Times New Roman"/>
          <w:sz w:val="24"/>
        </w:rPr>
        <w:t>одине бити исцрпљени, па се очекује постепено убрзање раста цена са 0,4% у 2016. на 1,5% у 2017. години.</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BE17C7">
      <w:pPr>
        <w:spacing w:after="0" w:line="240" w:lineRule="auto"/>
        <w:ind w:firstLine="720"/>
        <w:jc w:val="center"/>
        <w:rPr>
          <w:rFonts w:ascii="Times New Roman" w:eastAsia="Times New Roman" w:hAnsi="Times New Roman" w:cs="Times New Roman"/>
          <w:sz w:val="24"/>
        </w:rPr>
      </w:pPr>
      <w:r>
        <w:object w:dxaOrig="2874" w:dyaOrig="287">
          <v:rect id="rectole0000000000" o:spid="_x0000_i1025" style="width:2in;height:14.55pt" o:ole="" o:preferrelative="t" stroked="f">
            <v:imagedata r:id="rId7" o:title=""/>
          </v:rect>
          <o:OLEObject Type="Embed" ProgID="StaticMetafile" ShapeID="rectole0000000000" DrawAspect="Content" ObjectID="_1542545418" r:id="rId8"/>
        </w:object>
      </w: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Започети опоравак италијанске привреде током 2015. године, подстакнут ниским ценама нафте и јачањем приватне потрошње, требало би да се настави и у наредном периоду, са 0,7% у 2016. на 0,9% у 2017. и 1,0% у 2018. години. Главни допринос расту у наредним го</w:t>
      </w:r>
      <w:r>
        <w:rPr>
          <w:rFonts w:ascii="Times New Roman" w:eastAsia="Times New Roman" w:hAnsi="Times New Roman" w:cs="Times New Roman"/>
          <w:sz w:val="24"/>
        </w:rPr>
        <w:t>динама даће домаћа потрошња, док ће допринос нето извоза бити негативан. Ниска инфлација, раст запослености и плата стимулативно ће деловати на приватну потрошњу, док ће високо учешће ненаплативих кредита имати супротан утицај. Мање пореско оптерећење рада</w:t>
      </w:r>
      <w:r>
        <w:rPr>
          <w:rFonts w:ascii="Times New Roman" w:eastAsia="Times New Roman" w:hAnsi="Times New Roman" w:cs="Times New Roman"/>
          <w:sz w:val="24"/>
        </w:rPr>
        <w:t xml:space="preserve"> за упошљавање нових радника ће резултирати благим смањењем стопе незапослености са 11,5% у 2016. на 11,4% у 2017. години. Опоравком екстерне тражње повећаће се потребе за ширењем капацитета прерађивачке индустрије, док ће додатни импулс дати промена легис</w:t>
      </w:r>
      <w:r>
        <w:rPr>
          <w:rFonts w:ascii="Times New Roman" w:eastAsia="Times New Roman" w:hAnsi="Times New Roman" w:cs="Times New Roman"/>
          <w:sz w:val="24"/>
        </w:rPr>
        <w:t>лативе (нпр. смањење пореза на добит), па се у наредном периоду очекује снажан раст инвестиција. Такође, предвиђа се даље јачање грађевинског сектора услед започетих активности из Инвестиционог плана за Европу, у оквиру ког се финансира осам инфраструктурн</w:t>
      </w:r>
      <w:r>
        <w:rPr>
          <w:rFonts w:ascii="Times New Roman" w:eastAsia="Times New Roman" w:hAnsi="Times New Roman" w:cs="Times New Roman"/>
          <w:sz w:val="24"/>
        </w:rPr>
        <w:t>их пројеката са 1,4 млрд евра. Суфицит текућег рачуна платног биланса ће бити мањи за 0,3 п.п. у 2017. години него у 2016. години и износиће 2,5% БДП. Са растом цена енергената и профита компанија, инфлација ће се убрзати са 0% у 2016. на 1,2% у 2017. годи</w:t>
      </w:r>
      <w:r>
        <w:rPr>
          <w:rFonts w:ascii="Times New Roman" w:eastAsia="Times New Roman" w:hAnsi="Times New Roman" w:cs="Times New Roman"/>
          <w:sz w:val="24"/>
        </w:rPr>
        <w:t>ни. Фискални дефицит ће у 2016. години бити мањи за 0,2 п.п. у односу на претходну годину и износиће 2,4%, захваљујући већем примарном суфициту и нижим трошковима камата. Повећани издаци за пензије уз скроман раст плата у јавном сектору утицаће на раст при</w:t>
      </w:r>
      <w:r>
        <w:rPr>
          <w:rFonts w:ascii="Times New Roman" w:eastAsia="Times New Roman" w:hAnsi="Times New Roman" w:cs="Times New Roman"/>
          <w:sz w:val="24"/>
        </w:rPr>
        <w:t>марних текућих расхода, што ће бити компензовано даљим падом трошкова задуживања, па се очекује да дефицит у 2017. години остане непромењен. Јавни дуг ће стагнирати на нивоу од 133,1% БДП до 2018. године услед нижих каматних стопа, односно раста номиналног</w:t>
      </w:r>
      <w:r>
        <w:rPr>
          <w:rFonts w:ascii="Times New Roman" w:eastAsia="Times New Roman" w:hAnsi="Times New Roman" w:cs="Times New Roman"/>
          <w:sz w:val="24"/>
        </w:rPr>
        <w:t xml:space="preserve"> БДП.</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Опоравак привреда земаља ЕУ прате повећани унутрашњи и спољни ризици. Раст земаља ЕУ неће бити уједначен и довољан да се убрза конвергенција међу земљама чланицама. Ризици се односе на могућност да се ефекти успоравања привреда земаља у </w:t>
      </w:r>
      <w:r>
        <w:rPr>
          <w:rFonts w:ascii="Times New Roman" w:eastAsia="Times New Roman" w:hAnsi="Times New Roman" w:cs="Times New Roman"/>
          <w:sz w:val="24"/>
        </w:rPr>
        <w:lastRenderedPageBreak/>
        <w:t>успону, посе</w:t>
      </w:r>
      <w:r>
        <w:rPr>
          <w:rFonts w:ascii="Times New Roman" w:eastAsia="Times New Roman" w:hAnsi="Times New Roman" w:cs="Times New Roman"/>
          <w:sz w:val="24"/>
        </w:rPr>
        <w:t>бно у Кини, прелију на евро зону преко трговинских и инвестиционих токова, али и на неизвесност у погледу будућих кретања цена сировина и енергената на међународном тржишту. Са друге стране, бржи глобални раст од пројектованог резултирао би растом тражње з</w:t>
      </w:r>
      <w:r>
        <w:rPr>
          <w:rFonts w:ascii="Times New Roman" w:eastAsia="Times New Roman" w:hAnsi="Times New Roman" w:cs="Times New Roman"/>
          <w:sz w:val="24"/>
        </w:rPr>
        <w:t>а нафтом, док би смањена улагања у капацитете нафтног сектора услед неповољних ценовних кретања, могла имати за последицу смањење понуде овог енергента, што би здружено условило раст цена нафте већи од претпостављеног. Политички фактори ће такође утицати н</w:t>
      </w:r>
      <w:r>
        <w:rPr>
          <w:rFonts w:ascii="Times New Roman" w:eastAsia="Times New Roman" w:hAnsi="Times New Roman" w:cs="Times New Roman"/>
          <w:sz w:val="24"/>
        </w:rPr>
        <w:t xml:space="preserve">а раст земаља ЕУ у 2017. години, с обзиром на преговоре о изласку УК, што може успорити слободан проток робе, капитала и радника унутар ЕУ, али и геополитичке тензије које повећавају аверзију инвеститора према ризику, тј. утичу на смањење инвестиција.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3.</w:t>
      </w:r>
      <w:r>
        <w:rPr>
          <w:rFonts w:ascii="Times New Roman" w:eastAsia="Times New Roman" w:hAnsi="Times New Roman" w:cs="Times New Roman"/>
          <w:sz w:val="24"/>
        </w:rPr>
        <w:tab/>
        <w:t>Текућа макроекономска кретања у Републици Србији и изгледи за период од 2017. до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Успешно спроведене мере фискалне политике и успостављање повољног пословног и инвестиционог амбијента током 2015. године резултирали су значајним побољшањем сви</w:t>
      </w:r>
      <w:r>
        <w:rPr>
          <w:rFonts w:ascii="Times New Roman" w:eastAsia="Times New Roman" w:hAnsi="Times New Roman" w:cs="Times New Roman"/>
          <w:sz w:val="24"/>
        </w:rPr>
        <w:t>х економских токова у 2016. години. Привредна активност се убрзава, фискални дефицит и дефицит спољнотрговинске размене се смањују, стање на тржишту рада се побољшава, а инфлација је ниска и стабилна. Постигнута макроекономска стабилност, уз реформу привре</w:t>
      </w:r>
      <w:r>
        <w:rPr>
          <w:rFonts w:ascii="Times New Roman" w:eastAsia="Times New Roman" w:hAnsi="Times New Roman" w:cs="Times New Roman"/>
          <w:sz w:val="24"/>
        </w:rPr>
        <w:t>дног система, стимулативно је деловала на инвестициону активност и раст конкурентности домаће привреде на међународном тржишту, чиме је, уз побољшане услове размене, обезбеђен раст извоза. Поред тога, опоравак наших спољнотрговинских партнера, у условима е</w:t>
      </w:r>
      <w:r>
        <w:rPr>
          <w:rFonts w:ascii="Times New Roman" w:eastAsia="Times New Roman" w:hAnsi="Times New Roman" w:cs="Times New Roman"/>
          <w:sz w:val="24"/>
        </w:rPr>
        <w:t>кспанзивне монетарне политике ЕЦБ и пада цене нафте, додатно је утицао на повољна економска кретања. Учвршћивање макроекономске стабилности манифестује се кроз смањење унутрашњих и спољних неравнотежа и повећање инвестиција, док су очекивани негативни ефек</w:t>
      </w:r>
      <w:r>
        <w:rPr>
          <w:rFonts w:ascii="Times New Roman" w:eastAsia="Times New Roman" w:hAnsi="Times New Roman" w:cs="Times New Roman"/>
          <w:sz w:val="24"/>
        </w:rPr>
        <w:t xml:space="preserve">ти фискалне консолидације изостали. Системско решавање проблема предузећа у реструктурирању, уз имплементацију структурних реформи из области радног законодавства и грађевинарства, повољно се одразило на пословни амбијент и напредак Србије на међународним </w:t>
      </w:r>
      <w:r>
        <w:rPr>
          <w:rFonts w:ascii="Times New Roman" w:eastAsia="Times New Roman" w:hAnsi="Times New Roman" w:cs="Times New Roman"/>
          <w:sz w:val="24"/>
        </w:rPr>
        <w:t>листама конкурентности, као и на побољшање кредитног рејтинга земље. Успешном координацијом монетарне и фискалне политике омогућена је даља релаксација монетарне политике, уз очување релативне стабилности курса којој је доприносило и смањење неравнотежа.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Привредна активност</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 привредне активности је макроекономски одржив. Покретачи привредног раста на страни тражње су инвестиције и извоз, а на страни понуде услуге и индустријска производња. Тренутни показатељи, као и средњорочни изгледи за реални се</w:t>
      </w:r>
      <w:r>
        <w:rPr>
          <w:rFonts w:ascii="Times New Roman" w:eastAsia="Times New Roman" w:hAnsi="Times New Roman" w:cs="Times New Roman"/>
          <w:sz w:val="24"/>
        </w:rPr>
        <w:t>ктор указују на убрзање привредне активности. Побољшана кретања условила су ревизију свих макроекономских агрегата за наредни средњорочни период. Основни сценарио развоја у наредне три године заснован је на повећању удела инвестиција у БДП, смањењу удела ј</w:t>
      </w:r>
      <w:r>
        <w:rPr>
          <w:rFonts w:ascii="Times New Roman" w:eastAsia="Times New Roman" w:hAnsi="Times New Roman" w:cs="Times New Roman"/>
          <w:sz w:val="24"/>
        </w:rPr>
        <w:t xml:space="preserve">авних расхода у БДП, повећању удела извоза робе и услуга у БДП, уз смањење удела </w:t>
      </w:r>
      <w:r>
        <w:rPr>
          <w:rFonts w:ascii="Times New Roman" w:eastAsia="Times New Roman" w:hAnsi="Times New Roman" w:cs="Times New Roman"/>
          <w:sz w:val="24"/>
        </w:rPr>
        <w:lastRenderedPageBreak/>
        <w:t>дефицита текућих трансакција у БДП. Кључне претпоставке за остваривање предвиђеног средњорочног сценарија су очување фискалне стабилности, наставак реструктурирања привреде (п</w:t>
      </w:r>
      <w:r>
        <w:rPr>
          <w:rFonts w:ascii="Times New Roman" w:eastAsia="Times New Roman" w:hAnsi="Times New Roman" w:cs="Times New Roman"/>
          <w:sz w:val="24"/>
        </w:rPr>
        <w:t>осебно у делу јавног сектора), даље унапређење пословног окружења, ширење и модернизација производних капацитета, пре свега у сектору разменљивих добара, као и одржавање континуитета у приближавању ЕУ.</w:t>
      </w: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Реални сектор</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Према подацима Републичког завода за </w:t>
      </w:r>
      <w:r>
        <w:rPr>
          <w:rFonts w:ascii="Times New Roman" w:eastAsia="Times New Roman" w:hAnsi="Times New Roman" w:cs="Times New Roman"/>
          <w:sz w:val="24"/>
        </w:rPr>
        <w:t>статистику (у даљем тексту: РЗС), у 2015. години забележен је раст БДП од 0,8%, упркос снажном фискалном прилагођавању, повећаној неизвесности на међународном плану и успореном опоравку главних спољнотрговинских партнера. Такође, јака суша у летњим месецим</w:t>
      </w:r>
      <w:r>
        <w:rPr>
          <w:rFonts w:ascii="Times New Roman" w:eastAsia="Times New Roman" w:hAnsi="Times New Roman" w:cs="Times New Roman"/>
          <w:sz w:val="24"/>
        </w:rPr>
        <w:t>а имала је за последицу пад бруто додате вредности (у даљем тексту: БДВ) сектора пољопривреде од 7,7%, што се негативно одразило на стопу укупног економског раста у тој години. Раст БДП је постигнут на економски здрав начин, кроз јачање инвестиционе и изво</w:t>
      </w:r>
      <w:r>
        <w:rPr>
          <w:rFonts w:ascii="Times New Roman" w:eastAsia="Times New Roman" w:hAnsi="Times New Roman" w:cs="Times New Roman"/>
          <w:sz w:val="24"/>
        </w:rPr>
        <w:t>зне активности, што је неопходан услов за његову одрживост. Реформе пословног амбијента, уз побољшање финансијске позиције предузећа, позитивно су се одразиле на раст инвестиција који је износио 5,6%. Негативни ефекти фискалне консолидације на финалну потр</w:t>
      </w:r>
      <w:r>
        <w:rPr>
          <w:rFonts w:ascii="Times New Roman" w:eastAsia="Times New Roman" w:hAnsi="Times New Roman" w:cs="Times New Roman"/>
          <w:sz w:val="24"/>
        </w:rPr>
        <w:t>ошњу ублажени су падом цена нафте, нижим трошковима задуживања и повећаним приливом дознака. Пожељну структуру започетог опоравка привредне активности током 2015. године додатно потврђује солидан раст индустријске производње од 3,2%, вођен пре свега опорав</w:t>
      </w:r>
      <w:r>
        <w:rPr>
          <w:rFonts w:ascii="Times New Roman" w:eastAsia="Times New Roman" w:hAnsi="Times New Roman" w:cs="Times New Roman"/>
          <w:sz w:val="24"/>
        </w:rPr>
        <w:t>ком електроенергетског сектора, али и наставком раста прерађивачке индустрије. Након трогодишњег пада, грађевинарство остварује раст од 2,7%, што је резултат интензивиране инвестиционе активности која је додатно подстакнута убрзањем процедура издавања грађ</w:t>
      </w:r>
      <w:r>
        <w:rPr>
          <w:rFonts w:ascii="Times New Roman" w:eastAsia="Times New Roman" w:hAnsi="Times New Roman" w:cs="Times New Roman"/>
          <w:sz w:val="24"/>
        </w:rPr>
        <w:t>евинских дозвола. Мере фискалне консолидације условиле су пад БДВ мањег дела услужног сектора (делатности државне управе, образовања, здравствене и социјалне заштите), док је већи број услужних грана остварио позитивна кретања (туризам, трговина, саобраћај</w:t>
      </w:r>
      <w:r>
        <w:rPr>
          <w:rFonts w:ascii="Times New Roman" w:eastAsia="Times New Roman" w:hAnsi="Times New Roman" w:cs="Times New Roman"/>
          <w:sz w:val="24"/>
        </w:rPr>
        <w:t>, телекомуникације и финансијске услуге).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Табела 2. Бруто домаћи производ, стопе реалног раста, %</w:t>
      </w:r>
    </w:p>
    <w:tbl>
      <w:tblPr>
        <w:tblW w:w="0" w:type="auto"/>
        <w:jc w:val="center"/>
        <w:tblCellMar>
          <w:left w:w="10" w:type="dxa"/>
          <w:right w:w="10" w:type="dxa"/>
        </w:tblCellMar>
        <w:tblLook w:val="0000"/>
      </w:tblPr>
      <w:tblGrid>
        <w:gridCol w:w="2794"/>
        <w:gridCol w:w="1863"/>
        <w:gridCol w:w="1273"/>
        <w:gridCol w:w="1273"/>
        <w:gridCol w:w="1329"/>
      </w:tblGrid>
      <w:tr w:rsidR="00BE17C7">
        <w:tblPrEx>
          <w:tblCellMar>
            <w:top w:w="0" w:type="dxa"/>
            <w:bottom w:w="0" w:type="dxa"/>
          </w:tblCellMar>
        </w:tblPrEx>
        <w:trPr>
          <w:trHeight w:val="137"/>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Q1 2016*</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Q2 2016*</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Бруто домаћи производ</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0,8</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3,8</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r>
      <w:tr w:rsidR="00BE17C7">
        <w:tblPrEx>
          <w:tblCellMar>
            <w:top w:w="0" w:type="dxa"/>
            <w:bottom w:w="0" w:type="dxa"/>
          </w:tblCellMar>
        </w:tblPrEx>
        <w:trPr>
          <w:trHeight w:val="186"/>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Расходни приступ</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Приватна потрошња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Државна потрошња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Инвестиције</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5,6</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8,4</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Извоз робе и услуга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10,2</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10,0</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9,2</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Увоз робе и услуга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9,3</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12,3</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w:t>
            </w:r>
          </w:p>
        </w:tc>
      </w:tr>
      <w:tr w:rsidR="00BE17C7">
        <w:tblPrEx>
          <w:tblCellMar>
            <w:top w:w="0" w:type="dxa"/>
            <w:bottom w:w="0" w:type="dxa"/>
          </w:tblCellMar>
        </w:tblPrEx>
        <w:trPr>
          <w:trHeight w:val="24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Производни приступ</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Пољопривреда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8,4</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Индустрија</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Грађевинарство</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15,1</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w:t>
            </w:r>
          </w:p>
        </w:tc>
      </w:tr>
      <w:tr w:rsidR="00BE17C7">
        <w:tblPrEx>
          <w:tblCellMar>
            <w:top w:w="0" w:type="dxa"/>
            <w:bottom w:w="0" w:type="dxa"/>
          </w:tblCellMar>
        </w:tblPrEx>
        <w:trPr>
          <w:trHeight w:val="262"/>
          <w:jc w:val="center"/>
        </w:trPr>
        <w:tc>
          <w:tcPr>
            <w:tcW w:w="2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Услуге</w:t>
            </w:r>
          </w:p>
        </w:tc>
        <w:tc>
          <w:tcPr>
            <w:tcW w:w="18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w:t>
            </w:r>
          </w:p>
        </w:tc>
        <w:tc>
          <w:tcPr>
            <w:tcW w:w="127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 </w:t>
      </w:r>
      <w:r>
        <w:rPr>
          <w:rFonts w:ascii="Times New Roman" w:eastAsia="Times New Roman" w:hAnsi="Times New Roman" w:cs="Times New Roman"/>
          <w:sz w:val="18"/>
        </w:rPr>
        <w:t>Према редовном календару РЗС 30. новембра 2016. године очекују се мање корекције наведених података</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РЗС и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Позитивна привредна кретања, започета у 2015. години, настављена су и током 2016. године. Након међугодишњег раста од 3,8% у првом кварта</w:t>
      </w:r>
      <w:r>
        <w:rPr>
          <w:rFonts w:ascii="Times New Roman" w:eastAsia="Times New Roman" w:hAnsi="Times New Roman" w:cs="Times New Roman"/>
          <w:sz w:val="24"/>
        </w:rPr>
        <w:t>лу, односно 2,0% у другом, према флеш процени РЗС у трећем тромесечју остварен је раст БДП од 2,5%, што резултира растом БДП у првих девет месеци од 2,7%.</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Посматрано по агрегатима употребе, нето извоз и инвестиције дали су најзначајнији допринос међугодишњ</w:t>
      </w:r>
      <w:r>
        <w:rPr>
          <w:rFonts w:ascii="Times New Roman" w:eastAsia="Times New Roman" w:hAnsi="Times New Roman" w:cs="Times New Roman"/>
          <w:sz w:val="24"/>
        </w:rPr>
        <w:t>ем расту БДП у првом тромесечју (2,7 п.п. и 1,3 п.п, респективно). У другом кварталу инвестициона активност је и даље значајан генератор раста, али уз водећу улогу приватне потрошње са доприносом од 1,0 п.п, док у трећем кварталу, према процени Министарств</w:t>
      </w:r>
      <w:r>
        <w:rPr>
          <w:rFonts w:ascii="Times New Roman" w:eastAsia="Times New Roman" w:hAnsi="Times New Roman" w:cs="Times New Roman"/>
          <w:sz w:val="24"/>
        </w:rPr>
        <w:t>а финансија, позитиван допринос расту дају сви агрегати, осим залиха. Повољан амбијент за интензивирање привредне активности креиран је успешном фискалном консолидацијом, реформом радног законодавства и ефикаснијом државном администрацијом. Раст запосленос</w:t>
      </w:r>
      <w:r>
        <w:rPr>
          <w:rFonts w:ascii="Times New Roman" w:eastAsia="Times New Roman" w:hAnsi="Times New Roman" w:cs="Times New Roman"/>
          <w:sz w:val="24"/>
        </w:rPr>
        <w:t>ти и зарада, смањење трошкова финансирања и већи обим новоодобрених кредита, посебно готовинских, као и повољна кретања цена, дају стимуланс потрошњи, што је определило раст финалне потрошње у првих девет месеци од 1,4% увозне активности. Истовремено, нижи</w:t>
      </w:r>
      <w:r>
        <w:rPr>
          <w:rFonts w:ascii="Times New Roman" w:eastAsia="Times New Roman" w:hAnsi="Times New Roman" w:cs="Times New Roman"/>
          <w:sz w:val="24"/>
        </w:rPr>
        <w:t xml:space="preserve"> трошкови задуживања и ниске цене нафте позитивно утичу на портфолија предузећа интензивирајући инвестициону активност приватног сектора, што је уз обимније инфраструктурне радове обезбедило раст укупних инвестиција од око 5,5%. Већа извозна тражња, нове т</w:t>
      </w:r>
      <w:r>
        <w:rPr>
          <w:rFonts w:ascii="Times New Roman" w:eastAsia="Times New Roman" w:hAnsi="Times New Roman" w:cs="Times New Roman"/>
          <w:sz w:val="24"/>
        </w:rPr>
        <w:t>ржишне нише, побољшање конкурентске позиције уз повољне односе размене резултирали су рапидним растом извоза од око 11%. Диверсификација инвестиција у велики број делатности које производе разменљива добра обезбедила је широку дисперзивност извоза, чиме је</w:t>
      </w:r>
      <w:r>
        <w:rPr>
          <w:rFonts w:ascii="Times New Roman" w:eastAsia="Times New Roman" w:hAnsi="Times New Roman" w:cs="Times New Roman"/>
          <w:sz w:val="24"/>
        </w:rPr>
        <w:t xml:space="preserve"> смањен ризик његовог успоравања у средњем року. Увозна активност је детерминисана потребама привреде за инвестиционим добрима и сировинама, што има за последицу раст увоза, али по нижој стопи од раста извоза, па је допринос нето извоза позитиван.</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Посматра</w:t>
      </w:r>
      <w:r>
        <w:rPr>
          <w:rFonts w:ascii="Times New Roman" w:eastAsia="Times New Roman" w:hAnsi="Times New Roman" w:cs="Times New Roman"/>
          <w:sz w:val="24"/>
        </w:rPr>
        <w:t>но на страни понуде позитиван допринос расту дају сви производни сектори. У првом кварталу раст БДП вођен је растом индустрије и услуга, 1,4 п.п. и 1,2 п.п, респективно, док у другом тромесечју услуге преузимају улогу водећег извора раста (1,2 п.п), а инду</w:t>
      </w:r>
      <w:r>
        <w:rPr>
          <w:rFonts w:ascii="Times New Roman" w:eastAsia="Times New Roman" w:hAnsi="Times New Roman" w:cs="Times New Roman"/>
          <w:sz w:val="24"/>
        </w:rPr>
        <w:t>стрија бележи негативна кретања услед смањеног обима производње електроенергетског сектора. Овај пад делом је последица спровођења капиталног ремонта производних капацитета, а делом му се може приписати и обрачунски карактер имајући у виду рекордну произво</w:t>
      </w:r>
      <w:r>
        <w:rPr>
          <w:rFonts w:ascii="Times New Roman" w:eastAsia="Times New Roman" w:hAnsi="Times New Roman" w:cs="Times New Roman"/>
          <w:sz w:val="24"/>
        </w:rPr>
        <w:t xml:space="preserve">дњу овог сектора у истом периоду прошле године са циљем да се надоместе губици изазвани поплавама, чиме је база са којом се поређење врши изузетно висока. У трећем кварталу задржана је структура раста из прве половине године, али уз најзначајнији допринос </w:t>
      </w:r>
      <w:r>
        <w:rPr>
          <w:rFonts w:ascii="Times New Roman" w:eastAsia="Times New Roman" w:hAnsi="Times New Roman" w:cs="Times New Roman"/>
          <w:sz w:val="24"/>
        </w:rPr>
        <w:t>пољопривреде, као резултат остварених рекордних приноса појединих биљних култура.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Индикатор привредне активности Србије – ИПАС</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Индикатор привредне активности Србије представља показатељ који Министарство финансија израђује за потребе праћења укупне економске активности у месечној динамици. Припада групи коинцидирајућих композитних индикатора, а базира се на примени Чао-Лин (Chоw-L</w:t>
      </w:r>
      <w:r>
        <w:rPr>
          <w:rFonts w:ascii="Times New Roman" w:eastAsia="Times New Roman" w:hAnsi="Times New Roman" w:cs="Times New Roman"/>
          <w:sz w:val="24"/>
        </w:rPr>
        <w:t>in) регресионог метода за темпоралну дезагрегацију временских серија. За разлику од званичних кварталних статистичких података о БДП, ИПАС даје оцену економске активности у фреквентнијој динамици, те с једне стране показује месечне флуктуације економске ак</w:t>
      </w:r>
      <w:r>
        <w:rPr>
          <w:rFonts w:ascii="Times New Roman" w:eastAsia="Times New Roman" w:hAnsi="Times New Roman" w:cs="Times New Roman"/>
          <w:sz w:val="24"/>
        </w:rPr>
        <w:t xml:space="preserve">тивности које остају прикривене у званичним </w:t>
      </w:r>
      <w:r>
        <w:rPr>
          <w:rFonts w:ascii="Times New Roman" w:eastAsia="Times New Roman" w:hAnsi="Times New Roman" w:cs="Times New Roman"/>
          <w:sz w:val="24"/>
        </w:rPr>
        <w:lastRenderedPageBreak/>
        <w:t>кварталним подацима, а с друге стране, будући да је доступан значајно пре званичних података о БДП, служи и као правовремени показатељ текућих економских кретања.</w:t>
      </w:r>
    </w:p>
    <w:p w:rsidR="00BE17C7" w:rsidRDefault="00843F0B">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Кретање економске активности мерено овим инди</w:t>
      </w:r>
      <w:r>
        <w:rPr>
          <w:rFonts w:ascii="Times New Roman" w:eastAsia="Times New Roman" w:hAnsi="Times New Roman" w:cs="Times New Roman"/>
          <w:sz w:val="24"/>
        </w:rPr>
        <w:t>катором конзистентно је са званичним статистичким подацима о кретању БДП. Према подацима ИПАС привредна активност се почев од септембра 2014. године налази на путањи континуираног раста, при чему је до фебруара 2016. године тај раст снажан, а потом нешто у</w:t>
      </w:r>
      <w:r>
        <w:rPr>
          <w:rFonts w:ascii="Times New Roman" w:eastAsia="Times New Roman" w:hAnsi="Times New Roman" w:cs="Times New Roman"/>
          <w:sz w:val="24"/>
        </w:rPr>
        <w:t>меренијег интензитета. Месечну динамику економске активности током 2016. године карактеришу неуједначене стопе раста. Највећи раст, међугодишње посматрано, остварен је у фебруару када је привреда расла по стопи од 4,7% што је уједно и највиши ниво економск</w:t>
      </w:r>
      <w:r>
        <w:rPr>
          <w:rFonts w:ascii="Times New Roman" w:eastAsia="Times New Roman" w:hAnsi="Times New Roman" w:cs="Times New Roman"/>
          <w:sz w:val="24"/>
        </w:rPr>
        <w:t xml:space="preserve">е активности на месечном нивоу још од априла 2008. године. Раст у овом месецу резултат је снажног повећања економске активности у индустријском и услужном сектору који дају највећи допринос укупном привредном расту. Релативно висок раст привреде остварујe </w:t>
      </w:r>
      <w:r>
        <w:rPr>
          <w:rFonts w:ascii="Times New Roman" w:eastAsia="Times New Roman" w:hAnsi="Times New Roman" w:cs="Times New Roman"/>
          <w:sz w:val="24"/>
        </w:rPr>
        <w:t>се и у наредним месецима, да би у јуну била забележена најнижа стопа економског раста од 0,9% мг, пре свега као последица пада индустријске производње услед ремонта електроенергетских капацитета, чији је негативан утицај забележен и у јулу. У августу укупн</w:t>
      </w:r>
      <w:r>
        <w:rPr>
          <w:rFonts w:ascii="Times New Roman" w:eastAsia="Times New Roman" w:hAnsi="Times New Roman" w:cs="Times New Roman"/>
          <w:sz w:val="24"/>
        </w:rPr>
        <w:t xml:space="preserve">а економска активност расте по стопи од 3,0%, док у септембру остварује нешто успоренији раст од 2,1% услед једнократног ефекта потпуне обуставе производње у нафтној индустрији.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Кретање ИПАС у првих девет месеци и очекивано кретање до краја године, уз реа</w:t>
      </w:r>
      <w:r>
        <w:rPr>
          <w:rFonts w:ascii="Times New Roman" w:eastAsia="Times New Roman" w:hAnsi="Times New Roman" w:cs="Times New Roman"/>
          <w:sz w:val="24"/>
        </w:rPr>
        <w:t>лизацију одређених позитивних ризика, указује да би годишњи раст БДП могао бити и нешто већи од тренутно актуелне процене од 2,7%.</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 БДВ потврђен је и кретањима високо фреквентних индикатора у свим производним делатностима. Физички обим укупне индустри</w:t>
      </w:r>
      <w:r>
        <w:rPr>
          <w:rFonts w:ascii="Times New Roman" w:eastAsia="Times New Roman" w:hAnsi="Times New Roman" w:cs="Times New Roman"/>
          <w:sz w:val="24"/>
        </w:rPr>
        <w:t>јске производње у првих девет месеци 2016. године повећан је за 5,2% у односу на исти период 2015. године, при чему су генератори раста широко дисперзовани, што потврђује чињеница да позитиван допринос даје 20 од укупно 29 делатности. Остварен је раст руда</w:t>
      </w:r>
      <w:r>
        <w:rPr>
          <w:rFonts w:ascii="Times New Roman" w:eastAsia="Times New Roman" w:hAnsi="Times New Roman" w:cs="Times New Roman"/>
          <w:sz w:val="24"/>
        </w:rPr>
        <w:t>рства од 5,4% мг, док је производња електричне енергије већа за 4,5% мг. Раст прерађивачке индустрије од 5,5% мг, вођен је извозно оријентисаним гранама (прехрамбена, хемијска и дуванска индустрија, производња производа од гуме и пластике, производња елект</w:t>
      </w:r>
      <w:r>
        <w:rPr>
          <w:rFonts w:ascii="Times New Roman" w:eastAsia="Times New Roman" w:hAnsi="Times New Roman" w:cs="Times New Roman"/>
          <w:sz w:val="24"/>
        </w:rPr>
        <w:t>ричне опреме). Посматрано по наменским групама највећи раст производње у односу на исти период претходне године остварен је код трајних индустријских производа (10,7% мг), што је резултат повећаног обима производње електричних апарата и намештаја. Значајно</w:t>
      </w:r>
      <w:r>
        <w:rPr>
          <w:rFonts w:ascii="Times New Roman" w:eastAsia="Times New Roman" w:hAnsi="Times New Roman" w:cs="Times New Roman"/>
          <w:sz w:val="24"/>
        </w:rPr>
        <w:t xml:space="preserve"> повећање забележено је и у сегменту интермедијарних производа (9,9% мг), вођено растом хемијске и индустрије гуме и пластике, чиме је ова група производа дала највећи допринос расту укупне индустријске производње од 2,7 п.п. Нетрајних индустријских произв</w:t>
      </w:r>
      <w:r>
        <w:rPr>
          <w:rFonts w:ascii="Times New Roman" w:eastAsia="Times New Roman" w:hAnsi="Times New Roman" w:cs="Times New Roman"/>
          <w:sz w:val="24"/>
        </w:rPr>
        <w:t>ода произведено je више за 3,9% мг, уз најзначајнији раст дуванске и прехрамбене индустрије, док је производња капиталних добара на приближно истом нивоу као у периоду јануар-септембар 2015. године, уз наставак негативних трендова у производњи моторних воз</w:t>
      </w:r>
      <w:r>
        <w:rPr>
          <w:rFonts w:ascii="Times New Roman" w:eastAsia="Times New Roman" w:hAnsi="Times New Roman" w:cs="Times New Roman"/>
          <w:sz w:val="24"/>
        </w:rPr>
        <w:t>ила. Промена легислативног оквира и поједностављење административних процедура подржали су инвестициони циклус у грађевинарству што је резултирало растом вредности изведених радова у првих девет месеци од 9,3% мг. и растом броја издатих грађевинских дозвол</w:t>
      </w:r>
      <w:r>
        <w:rPr>
          <w:rFonts w:ascii="Times New Roman" w:eastAsia="Times New Roman" w:hAnsi="Times New Roman" w:cs="Times New Roman"/>
          <w:sz w:val="24"/>
        </w:rPr>
        <w:t xml:space="preserve">а од 16,8% мг. Интензивирање грађевинске активности остварено је како у сегменту високоградње тако и у сегменту инфраструктурних улагања. Раст зарада и повољна ценовна кретања обезбедила су већи расположиви доходак домаћинстава, што је </w:t>
      </w:r>
      <w:r>
        <w:rPr>
          <w:rFonts w:ascii="Times New Roman" w:eastAsia="Times New Roman" w:hAnsi="Times New Roman" w:cs="Times New Roman"/>
          <w:sz w:val="24"/>
        </w:rPr>
        <w:lastRenderedPageBreak/>
        <w:t>определило раст услу</w:t>
      </w:r>
      <w:r>
        <w:rPr>
          <w:rFonts w:ascii="Times New Roman" w:eastAsia="Times New Roman" w:hAnsi="Times New Roman" w:cs="Times New Roman"/>
          <w:sz w:val="24"/>
        </w:rPr>
        <w:t>жног сектора упркос песимистичним очекивањима услед мера фискалне консолидације. Реални промет у трговини на мало је повећан за 8,0% мг, уз најзначајнији раст промета непрехрамбеним производима за 9,7% мг, затим промета хране, пића и дувана који је износио</w:t>
      </w:r>
      <w:r>
        <w:rPr>
          <w:rFonts w:ascii="Times New Roman" w:eastAsia="Times New Roman" w:hAnsi="Times New Roman" w:cs="Times New Roman"/>
          <w:sz w:val="24"/>
        </w:rPr>
        <w:t xml:space="preserve"> 7,6% мг, док се моторним горивима трговало у обиму већем за 6,8% мг. Стратешка оријентација Владе ка јачању туристичких услуга резултирала је растом броја туриста којих је у овом периоду било око 2,1 милион, што је повећање од 12,3% у односу на исти перио</w:t>
      </w:r>
      <w:r>
        <w:rPr>
          <w:rFonts w:ascii="Times New Roman" w:eastAsia="Times New Roman" w:hAnsi="Times New Roman" w:cs="Times New Roman"/>
          <w:sz w:val="24"/>
        </w:rPr>
        <w:t>д претходне године уз преко шест милиона остварених ноћења. Према тренутним проценама, приноси најважнијих пољопривредних култура су знатно изнад вишегодишњег просека. Род кукуруза, као најзначајније пољопривредне културе већи је за 36,6% у односу на прошл</w:t>
      </w:r>
      <w:r>
        <w:rPr>
          <w:rFonts w:ascii="Times New Roman" w:eastAsia="Times New Roman" w:hAnsi="Times New Roman" w:cs="Times New Roman"/>
          <w:sz w:val="24"/>
        </w:rPr>
        <w:t xml:space="preserve">огодишњи, а пшенице за 18,8%. Поред житарица већа је и производња индустријског биља и то сунцокрета за 43,6%, соје за 29,2% и шећерне репе за 17,2%.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Прерађивачка индустрија – перформансе и потенцијали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Прерађивачка индустрија представља водећи сектор срп</w:t>
      </w:r>
      <w:r>
        <w:rPr>
          <w:rFonts w:ascii="Times New Roman" w:eastAsia="Times New Roman" w:hAnsi="Times New Roman" w:cs="Times New Roman"/>
          <w:sz w:val="24"/>
        </w:rPr>
        <w:t>ске привреде који креира око 15% БДП и упошљава око 20% запослених. Посматрано на нижим нивоима агрегираности, највећи значај има прехрамбена индустрија, што илуструје податак да је њено учешће од око 3,5% у БДП Србије значајно изнад просека у ЕУ28. Ова пр</w:t>
      </w:r>
      <w:r>
        <w:rPr>
          <w:rFonts w:ascii="Times New Roman" w:eastAsia="Times New Roman" w:hAnsi="Times New Roman" w:cs="Times New Roman"/>
          <w:sz w:val="24"/>
        </w:rPr>
        <w:t>ивредна грана је и међу најатрактивнијим у погледу привлачења страних директних инвестиција које уз проширење капацитета обезбеђују модернизацију, јачање стручних знања и раст продуктивности. Такође, водећа је извозна индустрија која, у посматраном периоду</w:t>
      </w:r>
      <w:r>
        <w:rPr>
          <w:rFonts w:ascii="Times New Roman" w:eastAsia="Times New Roman" w:hAnsi="Times New Roman" w:cs="Times New Roman"/>
          <w:sz w:val="24"/>
        </w:rPr>
        <w:t>, чини око 9,6% укупног српског извоза. Ипак, детаљније анализе показују да и поред добрих показатеља потенцијал ове делатности није довољно искоришћен, посебно ако се узме у обзир јака сировинска база коју обезбеђује пољопривредна производња, као и посебн</w:t>
      </w:r>
      <w:r>
        <w:rPr>
          <w:rFonts w:ascii="Times New Roman" w:eastAsia="Times New Roman" w:hAnsi="Times New Roman" w:cs="Times New Roman"/>
          <w:sz w:val="24"/>
        </w:rPr>
        <w:t>и спољнотрговински односи са земљама које су значајни увозници ових производа. Просечна годишња стопа раста прехрамбене индустрије у последњих петнаест година је скромна, а тржишна и производна диверсификација недовољна. Имајући у виду изузетне перформансе</w:t>
      </w:r>
      <w:r>
        <w:rPr>
          <w:rFonts w:ascii="Times New Roman" w:eastAsia="Times New Roman" w:hAnsi="Times New Roman" w:cs="Times New Roman"/>
          <w:sz w:val="24"/>
        </w:rPr>
        <w:t xml:space="preserve"> овог сектора у погледу високе конкурентности и компаративних предности неопходно је у што краћем року отклонити све препреке динамичном расту, афирмисати развој малих и средњих предузећа, подстаћи специјализацију и производњу комплексних производа са виши</w:t>
      </w:r>
      <w:r>
        <w:rPr>
          <w:rFonts w:ascii="Times New Roman" w:eastAsia="Times New Roman" w:hAnsi="Times New Roman" w:cs="Times New Roman"/>
          <w:sz w:val="24"/>
        </w:rPr>
        <w:t xml:space="preserve">м фазама прераде и високом додатом вредношћу.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Аутомобилска и нафтна индустрија такође имају значајан удео у структури БДП. У последњој деценији ове делатности остварују значајне стопе раста производње, продуктивности и извоза. Међутим, њихова карактеристи</w:t>
      </w:r>
      <w:r>
        <w:rPr>
          <w:rFonts w:ascii="Times New Roman" w:eastAsia="Times New Roman" w:hAnsi="Times New Roman" w:cs="Times New Roman"/>
          <w:sz w:val="24"/>
        </w:rPr>
        <w:t>ка јесте висок степен концентрације и њихова доминантна одређеност производњом једног или малог броја предузећа што са собом носи одређене ризике. Отуда је неопходан подстицај даљем развоју предузетништва и малих и средњих предузећа, првенствено у сегменту</w:t>
      </w:r>
      <w:r>
        <w:rPr>
          <w:rFonts w:ascii="Times New Roman" w:eastAsia="Times New Roman" w:hAnsi="Times New Roman" w:cs="Times New Roman"/>
          <w:sz w:val="24"/>
        </w:rPr>
        <w:t xml:space="preserve"> производње компоненти, али и у погледу аутсорсованих услуга како би се синергијски ефекти производних процеса максимално искористили.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Машинско-металска и текстилна индустрија, производња електронских производа, електричне опреме и производа од гуме и </w:t>
      </w:r>
      <w:r>
        <w:rPr>
          <w:rFonts w:ascii="Times New Roman" w:eastAsia="Times New Roman" w:hAnsi="Times New Roman" w:cs="Times New Roman"/>
          <w:sz w:val="24"/>
        </w:rPr>
        <w:t>пластике последњих година су се позиционирале у групу водећих индустрија. Евидентном опоравку ових грана свакако је допринела широка база квалификоване радне снаге, али и страних директних инвестиција (у даљем тексту: СДИ) које су обезбедиле трансфер техно</w:t>
      </w:r>
      <w:r>
        <w:rPr>
          <w:rFonts w:ascii="Times New Roman" w:eastAsia="Times New Roman" w:hAnsi="Times New Roman" w:cs="Times New Roman"/>
          <w:sz w:val="24"/>
        </w:rPr>
        <w:t xml:space="preserve">логије и подизање </w:t>
      </w:r>
      <w:r>
        <w:rPr>
          <w:rFonts w:ascii="Times New Roman" w:eastAsia="Times New Roman" w:hAnsi="Times New Roman" w:cs="Times New Roman"/>
          <w:sz w:val="24"/>
        </w:rPr>
        <w:lastRenderedPageBreak/>
        <w:t>конкурентности на виши ниво. И поред дуге традиције ових индустрија у српској привреди тренутно их треба сматрати „гранама у повојуˮ те је неопходно очувати и унапредити њихове перформансе обезбеђивањем афирмативног окружења, пре свега кр</w:t>
      </w:r>
      <w:r>
        <w:rPr>
          <w:rFonts w:ascii="Times New Roman" w:eastAsia="Times New Roman" w:hAnsi="Times New Roman" w:cs="Times New Roman"/>
          <w:sz w:val="24"/>
        </w:rPr>
        <w:t>оз уклањање свих баријера које слободно тржиште није успело да неутралише. У средњем року је неопходно смањити њихову зависност од увоза сировина и репроматеријала што би поред позитивног утицаја на спољнотрговински биланс дало позитиван импулс осталим пов</w:t>
      </w:r>
      <w:r>
        <w:rPr>
          <w:rFonts w:ascii="Times New Roman" w:eastAsia="Times New Roman" w:hAnsi="Times New Roman" w:cs="Times New Roman"/>
          <w:sz w:val="24"/>
        </w:rPr>
        <w:t xml:space="preserve">езаним делатностима. Такође, поред општих мера, неопходан је и појединачни приступ како би се решили проблеми који су специфични за конкретан сектор.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Процес реиндустријализације је комплексан процес који захтева синхронизовано деловање свих креатора еконо</w:t>
      </w:r>
      <w:r>
        <w:rPr>
          <w:rFonts w:ascii="Times New Roman" w:eastAsia="Times New Roman" w:hAnsi="Times New Roman" w:cs="Times New Roman"/>
          <w:sz w:val="24"/>
        </w:rPr>
        <w:t xml:space="preserve">мске политике уз усклађеност реформе правосуђа и образовања, подршку инфраструктурним пројектима и доношење адекватних еколошких прописа. Значајан допринос овим напорима даће формиране индустријске зоне, као и спровођење Стратегије подршке развоја малих и </w:t>
      </w:r>
      <w:r>
        <w:rPr>
          <w:rFonts w:ascii="Times New Roman" w:eastAsia="Times New Roman" w:hAnsi="Times New Roman" w:cs="Times New Roman"/>
          <w:sz w:val="24"/>
        </w:rPr>
        <w:t>средњих предузећа, предузетништва и конкурентности за период 2015-2020. године. Прогнозира се да би успешно спровођење овог процеса и јачање делатности са неискоришћеним потенцијалима, у периоду 5-7 година, повећало учешће прерађивачке индустрије у структу</w:t>
      </w:r>
      <w:r>
        <w:rPr>
          <w:rFonts w:ascii="Times New Roman" w:eastAsia="Times New Roman" w:hAnsi="Times New Roman" w:cs="Times New Roman"/>
          <w:sz w:val="24"/>
        </w:rPr>
        <w:t>ри БДП на око 20% што би додатно допринело динамичном и одрживом расту привредне активности.</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Значајна побољшања свих макроекономских индикатора почетком године, као и природа одрживости започетих позитивних кретања поправили су изгледе за наредни период и</w:t>
      </w:r>
      <w:r>
        <w:rPr>
          <w:rFonts w:ascii="Times New Roman" w:eastAsia="Times New Roman" w:hAnsi="Times New Roman" w:cs="Times New Roman"/>
          <w:sz w:val="24"/>
        </w:rPr>
        <w:t xml:space="preserve"> определила ревидирање стопе раста БДП навише са 1,8% на 2,7% (за 0,9 п.п) за 2016. годину. Очекује се да побољшана конкурентност домаће привреде, уз већу искоришћеност и ширење производних капацитета резултира високим реалним растом извоза роба и услуга у</w:t>
      </w:r>
      <w:r>
        <w:rPr>
          <w:rFonts w:ascii="Times New Roman" w:eastAsia="Times New Roman" w:hAnsi="Times New Roman" w:cs="Times New Roman"/>
          <w:sz w:val="24"/>
        </w:rPr>
        <w:t xml:space="preserve"> 2016. години (9,2% мг). Истовремено, повољнији инвестициони амбијент и планирана инфраструктурна улагања обезбедиће високу стопу раста инвестиција (6,4% мг), које ће уз нето извоз дати најзначајније доприносе привредном расту у 2016. години од 1,2 п.п. и </w:t>
      </w:r>
      <w:r>
        <w:rPr>
          <w:rFonts w:ascii="Times New Roman" w:eastAsia="Times New Roman" w:hAnsi="Times New Roman" w:cs="Times New Roman"/>
          <w:sz w:val="24"/>
        </w:rPr>
        <w:t xml:space="preserve">0,6 п.п, респективно. Краткорочни негативан утицај фискалне консолидације на приватну потрошњу неутралисан је растом запослености и зарада у приватном сектору, као и растом расположивог дохотка домаћинстава услед повољних ценовних кретања и нижих трошкова </w:t>
      </w:r>
      <w:r>
        <w:rPr>
          <w:rFonts w:ascii="Times New Roman" w:eastAsia="Times New Roman" w:hAnsi="Times New Roman" w:cs="Times New Roman"/>
          <w:sz w:val="24"/>
        </w:rPr>
        <w:t>задуживања. Сходно томе, очекује се даљи опоравак приватне потрошње што ће дати допринос расту БДП од 0,5 п.п. Процењује се наставак растућих трендова и на страни понуде, где ће позитиван допринос убрзању привредне активности дати сваки сектор, уз нешто зн</w:t>
      </w:r>
      <w:r>
        <w:rPr>
          <w:rFonts w:ascii="Times New Roman" w:eastAsia="Times New Roman" w:hAnsi="Times New Roman" w:cs="Times New Roman"/>
          <w:sz w:val="24"/>
        </w:rPr>
        <w:t>ачајнију улогу услужних и индустријских делатности. Јачање трговине, туризма, угоститељства и информатичких услуга с једне стране и проширење производних капацитета услед раста екстерне тражње, нових тржишних ниша и опоравка домаће потрошње, с друге стране</w:t>
      </w:r>
      <w:r>
        <w:rPr>
          <w:rFonts w:ascii="Times New Roman" w:eastAsia="Times New Roman" w:hAnsi="Times New Roman" w:cs="Times New Roman"/>
          <w:sz w:val="24"/>
        </w:rPr>
        <w:t>, детерминисаће позитивне доприносе укупном расту услужног и индустријског сектора од 0,9 п.п. и 0,7 п.п, респективно. Значајан позитиван допринос расту БДП даће и сектор пољопривреде, који ће услед ниског нивоа производње у 2015. години и повољних временс</w:t>
      </w:r>
      <w:r>
        <w:rPr>
          <w:rFonts w:ascii="Times New Roman" w:eastAsia="Times New Roman" w:hAnsi="Times New Roman" w:cs="Times New Roman"/>
          <w:sz w:val="24"/>
        </w:rPr>
        <w:t>ких прилика током 2016. године, остварити међугодишњи раст од 8,4%. Побољшаним институционалним оквиром, нижим трошковима финансирања и ефикаснијом процедуром издавања грађевинских дозвола створени су услови за динамичан раст грађевинске активности, који с</w:t>
      </w:r>
      <w:r>
        <w:rPr>
          <w:rFonts w:ascii="Times New Roman" w:eastAsia="Times New Roman" w:hAnsi="Times New Roman" w:cs="Times New Roman"/>
          <w:sz w:val="24"/>
        </w:rPr>
        <w:t>е процењује на 8,9% мг. и од кога се, будући да је грађевинарство повезано са великим бројем привредних делатности, очекује мултипликативни ефекат на укупни економски раст. Такође, узимајући у обзир стратешку оријентацију креатора економске политике ка јач</w:t>
      </w:r>
      <w:r>
        <w:rPr>
          <w:rFonts w:ascii="Times New Roman" w:eastAsia="Times New Roman" w:hAnsi="Times New Roman" w:cs="Times New Roman"/>
          <w:sz w:val="24"/>
        </w:rPr>
        <w:t xml:space="preserve">ању малих и средњих предузећа, у наредном периоду могу се </w:t>
      </w:r>
      <w:r>
        <w:rPr>
          <w:rFonts w:ascii="Times New Roman" w:eastAsia="Times New Roman" w:hAnsi="Times New Roman" w:cs="Times New Roman"/>
          <w:sz w:val="24"/>
        </w:rPr>
        <w:lastRenderedPageBreak/>
        <w:t xml:space="preserve">очекивати позитивни импулси од стране предузетничког сектора свим сегментима привредне активности.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основу актуелних економских показатеља и изгледа у Србији и међународном окружењу, имајући у виду започете и планиране економске политике и склопљен Аранжман из предострожности са ММФ, пројектовани су основни макроекономски агрегати и индикатори за Репу</w:t>
      </w:r>
      <w:r>
        <w:rPr>
          <w:rFonts w:ascii="Times New Roman" w:eastAsia="Times New Roman" w:hAnsi="Times New Roman" w:cs="Times New Roman"/>
          <w:sz w:val="24"/>
        </w:rPr>
        <w:t xml:space="preserve">блику Србију у периоду 2017 – 2019. године. Постигнута макроекономска стабилност, уз реформске законе и структурне реформе, стимулативно делује на инвестициону активност, док раст конкурентности домаће привреде на међународном тржишту, уз побољшане услове </w:t>
      </w:r>
      <w:r>
        <w:rPr>
          <w:rFonts w:ascii="Times New Roman" w:eastAsia="Times New Roman" w:hAnsi="Times New Roman" w:cs="Times New Roman"/>
          <w:sz w:val="24"/>
        </w:rPr>
        <w:t>трговине, подржава раст извоза. Раст приватне потрошње биће подржан позитивним помацима на тржишту рада и растом кредитне активности. Влада ће водити одговорну и предвидиву фискалну политику чији је циљ стабилизација јавних финансија, путем смањења дефицит</w:t>
      </w:r>
      <w:r>
        <w:rPr>
          <w:rFonts w:ascii="Times New Roman" w:eastAsia="Times New Roman" w:hAnsi="Times New Roman" w:cs="Times New Roman"/>
          <w:sz w:val="24"/>
        </w:rPr>
        <w:t xml:space="preserve">а консолидованог буџета државе и враћањем јавног дуга у одрживе оквире.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 Пројекција основних макроекономских показатеља Републике Србије</w:t>
      </w:r>
    </w:p>
    <w:tbl>
      <w:tblPr>
        <w:tblW w:w="0" w:type="auto"/>
        <w:tblInd w:w="-5" w:type="dxa"/>
        <w:tblCellMar>
          <w:left w:w="10" w:type="dxa"/>
          <w:right w:w="10" w:type="dxa"/>
        </w:tblCellMar>
        <w:tblLook w:val="0000"/>
      </w:tblPr>
      <w:tblGrid>
        <w:gridCol w:w="3309"/>
        <w:gridCol w:w="1282"/>
        <w:gridCol w:w="1401"/>
        <w:gridCol w:w="1405"/>
        <w:gridCol w:w="1407"/>
      </w:tblGrid>
      <w:tr w:rsidR="00BE17C7">
        <w:tblPrEx>
          <w:tblCellMar>
            <w:top w:w="0" w:type="dxa"/>
            <w:bottom w:w="0" w:type="dxa"/>
          </w:tblCellMar>
        </w:tblPrEx>
        <w:trPr>
          <w:trHeight w:val="237"/>
        </w:trPr>
        <w:tc>
          <w:tcPr>
            <w:tcW w:w="33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w:t>
            </w:r>
          </w:p>
          <w:p w:rsidR="00BE17C7" w:rsidRDefault="00BE17C7">
            <w:pPr>
              <w:spacing w:after="0" w:line="240" w:lineRule="auto"/>
              <w:jc w:val="both"/>
            </w:pP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Процена</w:t>
            </w:r>
          </w:p>
        </w:tc>
        <w:tc>
          <w:tcPr>
            <w:tcW w:w="4213"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Пројекција</w:t>
            </w:r>
          </w:p>
        </w:tc>
      </w:tr>
      <w:tr w:rsidR="00BE17C7">
        <w:tblPrEx>
          <w:tblCellMar>
            <w:top w:w="0" w:type="dxa"/>
            <w:bottom w:w="0" w:type="dxa"/>
          </w:tblCellMar>
        </w:tblPrEx>
        <w:trPr>
          <w:trHeight w:val="237"/>
        </w:trPr>
        <w:tc>
          <w:tcPr>
            <w:tcW w:w="3309"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2016</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2017</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2018</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2019</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БДП, млрд динара (текуће цене)</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4.203,5</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4.396,7</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4.678,1</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4.987,5</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Реални раст БДП, %</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Дефлатор БДП, %</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r>
      <w:tr w:rsidR="00BE17C7">
        <w:tblPrEx>
          <w:tblCellMar>
            <w:top w:w="0" w:type="dxa"/>
            <w:bottom w:w="0" w:type="dxa"/>
          </w:tblCellMar>
        </w:tblPrEx>
        <w:trPr>
          <w:trHeight w:val="237"/>
        </w:trPr>
        <w:tc>
          <w:tcPr>
            <w:tcW w:w="8804" w:type="dxa"/>
            <w:gridSpan w:val="5"/>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Реални раст појединих компоненти БДП, %</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Лична потрошња</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Државна потрошња</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Бруто инвестиције у основне фондове</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Извоз робе и услуга</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9,2</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7,6</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Увоз робе и услуга</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r>
      <w:tr w:rsidR="00BE17C7">
        <w:tblPrEx>
          <w:tblCellMar>
            <w:top w:w="0" w:type="dxa"/>
            <w:bottom w:w="0" w:type="dxa"/>
          </w:tblCellMar>
        </w:tblPrEx>
        <w:trPr>
          <w:trHeight w:val="293"/>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Салдо робе и услуга, у еврима, % БДП</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-7,9</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Салдо текућег рачуна, у еврима, % БДП</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Инфлација, просек периода, %</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r>
      <w:tr w:rsidR="00BE17C7">
        <w:tblPrEx>
          <w:tblCellMar>
            <w:top w:w="0" w:type="dxa"/>
            <w:bottom w:w="0" w:type="dxa"/>
          </w:tblCellMar>
        </w:tblPrEx>
        <w:trPr>
          <w:trHeight w:val="237"/>
        </w:trPr>
        <w:tc>
          <w:tcPr>
            <w:tcW w:w="330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Инвестициони рацио, % БДП</w:t>
            </w:r>
          </w:p>
        </w:tc>
        <w:tc>
          <w:tcPr>
            <w:tcW w:w="128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18,5</w:t>
            </w:r>
          </w:p>
        </w:tc>
        <w:tc>
          <w:tcPr>
            <w:tcW w:w="14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19,0</w:t>
            </w:r>
          </w:p>
        </w:tc>
        <w:tc>
          <w:tcPr>
            <w:tcW w:w="14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19,3</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19,4</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Коригована је навише пројекција раста БДП у 2017. години за 0,8 п.п. (са 2,2% на 3,0%). Остварени системски напредак у стварању афирмативног привредног окружења омогућиће раст страних и домаћих инвестиција, док ће убрзање реструктур</w:t>
      </w:r>
      <w:r>
        <w:rPr>
          <w:rFonts w:ascii="Times New Roman" w:eastAsia="Times New Roman" w:hAnsi="Times New Roman" w:cs="Times New Roman"/>
          <w:sz w:val="24"/>
        </w:rPr>
        <w:t>ирања привреде створити услове за ново запошљавање и повећање продуктивности и конкурентске позиције земље. Резултати до сада спроведених реформи обезбедиће раст инвестиционе активности од 5,7%, која ће бити најзначајнији генератор привредног раста у 2017.</w:t>
      </w:r>
      <w:r>
        <w:rPr>
          <w:rFonts w:ascii="Times New Roman" w:eastAsia="Times New Roman" w:hAnsi="Times New Roman" w:cs="Times New Roman"/>
          <w:sz w:val="24"/>
        </w:rPr>
        <w:t xml:space="preserve"> години са доприносом од 1,2 п.п. Након благог опоравка приватне потрошње у претходној години, у 2017. години очекује се њено убрзање као резултат повећања животног стандарда становништва и допринос расту БДП од 1,0 п.п. Висок раст извоза биће праћен расто</w:t>
      </w:r>
      <w:r>
        <w:rPr>
          <w:rFonts w:ascii="Times New Roman" w:eastAsia="Times New Roman" w:hAnsi="Times New Roman" w:cs="Times New Roman"/>
          <w:sz w:val="24"/>
        </w:rPr>
        <w:t>м увоза услед веће тражње за инвестиционим добрима и репроматеријалом, што ће определити позитиван допринос нето извоза од око 0,6 п.п. Посматрано са производне стране очекује се да ће раст стандарда становништва резултирати значајним доприносом услужног с</w:t>
      </w:r>
      <w:r>
        <w:rPr>
          <w:rFonts w:ascii="Times New Roman" w:eastAsia="Times New Roman" w:hAnsi="Times New Roman" w:cs="Times New Roman"/>
          <w:sz w:val="24"/>
        </w:rPr>
        <w:t xml:space="preserve">ектора, а ефектуирање инвестиција из </w:t>
      </w:r>
      <w:r>
        <w:rPr>
          <w:rFonts w:ascii="Times New Roman" w:eastAsia="Times New Roman" w:hAnsi="Times New Roman" w:cs="Times New Roman"/>
          <w:sz w:val="24"/>
        </w:rPr>
        <w:lastRenderedPageBreak/>
        <w:t>претходног периода утицаће на раст индустријске производње. Позитиван допринос расту БДП даће и грађевинарство услед наставка започетог инвестиционог циклуса, док би допринос пољопривреде, под претпоставком просечне пољ</w:t>
      </w:r>
      <w:r>
        <w:rPr>
          <w:rFonts w:ascii="Times New Roman" w:eastAsia="Times New Roman" w:hAnsi="Times New Roman" w:cs="Times New Roman"/>
          <w:sz w:val="24"/>
        </w:rPr>
        <w:t>опривредне сезоне, требао да буде благо негативан.</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Пројектована кумулативна стопа раста БДП за период од 2017. до 2019. године од 10,3% указује на путању убрзаног развоја и заснива се на расту домаће тражње кроз интензивирање инвестиционе активности и опор</w:t>
      </w:r>
      <w:r>
        <w:rPr>
          <w:rFonts w:ascii="Times New Roman" w:eastAsia="Times New Roman" w:hAnsi="Times New Roman" w:cs="Times New Roman"/>
          <w:sz w:val="24"/>
        </w:rPr>
        <w:t>авак приватне потрошње. Економска кретања и изгледи Србије у великој мери ће зависити од кретања у међународном економском окружењу, као и од успешности даљег спровођења реформи реалног и јавног сектора. Реформски закони и повећање ефикасности администраци</w:t>
      </w:r>
      <w:r>
        <w:rPr>
          <w:rFonts w:ascii="Times New Roman" w:eastAsia="Times New Roman" w:hAnsi="Times New Roman" w:cs="Times New Roman"/>
          <w:sz w:val="24"/>
        </w:rPr>
        <w:t>је допринели су креирању повољног пословног амбијента, који ће обезбедити наставак започетог инвестиционог циклуса као водећег развојног фактора. Раст страних директних инвестиција обезбедиће трансфер технологије и know-how и допринети расту конкурентности</w:t>
      </w:r>
      <w:r>
        <w:rPr>
          <w:rFonts w:ascii="Times New Roman" w:eastAsia="Times New Roman" w:hAnsi="Times New Roman" w:cs="Times New Roman"/>
          <w:sz w:val="24"/>
        </w:rPr>
        <w:t xml:space="preserve"> укупне привреде. Са друге стране, у фокусу креатора економске политике је сектор малих и средњих предузећа и предузетника, од кога се у средњем року очекује значајан допринос расту домаћих инвестиција, односно расту запослености и животног стандарда. Здра</w:t>
      </w:r>
      <w:r>
        <w:rPr>
          <w:rFonts w:ascii="Times New Roman" w:eastAsia="Times New Roman" w:hAnsi="Times New Roman" w:cs="Times New Roman"/>
          <w:sz w:val="24"/>
        </w:rPr>
        <w:t>в и одржив раст, уз равномеран регионални развој обезбеђен кроз успостављање индустријских зона, ће омогућити даље смањивање унутрашњих и спољних неравнотежа.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Средњорочном макроекономском пројекцијом предвиђен је просечан реални раст БДП од 3,3%. Очекује с</w:t>
      </w:r>
      <w:r>
        <w:rPr>
          <w:rFonts w:ascii="Times New Roman" w:eastAsia="Times New Roman" w:hAnsi="Times New Roman" w:cs="Times New Roman"/>
          <w:sz w:val="24"/>
        </w:rPr>
        <w:t xml:space="preserve">е динамичан раст инвестиција по просечној годишњој стопи од 5,4%, као и извоза и увоза робе и услуга од 7,7% и 5,8%, респективно. Приватна и државна потрошња ће такође расти, али знатно спорије од раста БДП. Оваква структура привредног раста је пожељна са </w:t>
      </w:r>
      <w:r>
        <w:rPr>
          <w:rFonts w:ascii="Times New Roman" w:eastAsia="Times New Roman" w:hAnsi="Times New Roman" w:cs="Times New Roman"/>
          <w:sz w:val="24"/>
        </w:rPr>
        <w:t>аспекта његове одрживости. Усвојеним плановима структурног прилагођавања привреде наставља се смањивање нерационалне потрошње, бирократије и непотребних трошкова јавног сектора уз истовремено повећање квалитета организационе, функционалне и техничке повеза</w:t>
      </w:r>
      <w:r>
        <w:rPr>
          <w:rFonts w:ascii="Times New Roman" w:eastAsia="Times New Roman" w:hAnsi="Times New Roman" w:cs="Times New Roman"/>
          <w:sz w:val="24"/>
        </w:rPr>
        <w:t>ности свих његових делова. Истовремено, обезбедиће се адекватни програми преквалификације и самозапошљавања за део радно активног становништва који је погођен процесом рационализације, као и заштита социјално најугроженијих слојева становништва. Посматрано</w:t>
      </w:r>
      <w:r>
        <w:rPr>
          <w:rFonts w:ascii="Times New Roman" w:eastAsia="Times New Roman" w:hAnsi="Times New Roman" w:cs="Times New Roman"/>
          <w:sz w:val="24"/>
        </w:rPr>
        <w:t xml:space="preserve"> са производне стране, у периоду 2017 - 2019. године највећи допринос расту БДП очекује се од услужног сектора и индустријске производње. Раст инвестиционе активности приватног сектора, као и интензивирање реализације инфраструктурних пројеката резултираће</w:t>
      </w:r>
      <w:r>
        <w:rPr>
          <w:rFonts w:ascii="Times New Roman" w:eastAsia="Times New Roman" w:hAnsi="Times New Roman" w:cs="Times New Roman"/>
          <w:sz w:val="24"/>
        </w:rPr>
        <w:t xml:space="preserve"> позитивним доприносом грађевинарства, док би допринос пољопривреде требао да буде благо позитиван.</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Предвиђени сценарио развоја указује на стратешку оријентацију Владе ка структурном прилагођавању привреде како би се очувала одржива путања раста, заснована</w:t>
      </w:r>
      <w:r>
        <w:rPr>
          <w:rFonts w:ascii="Times New Roman" w:eastAsia="Times New Roman" w:hAnsi="Times New Roman" w:cs="Times New Roman"/>
          <w:sz w:val="24"/>
        </w:rPr>
        <w:t>, пре свега, на повећању укупне инвестиционе активности кроз подстицање инвестиција приватног сектора и извоза као кључних фактора за унапређење макроекономских перформанси. Удео инвестиција у БДП на крају 2019. године ће бити за око 2 п.п. већи у односу н</w:t>
      </w:r>
      <w:r>
        <w:rPr>
          <w:rFonts w:ascii="Times New Roman" w:eastAsia="Times New Roman" w:hAnsi="Times New Roman" w:cs="Times New Roman"/>
          <w:sz w:val="24"/>
        </w:rPr>
        <w:t xml:space="preserve">а 2014. годину, учешће државне потрошње у истом периоду ће опасти са 17,7% на 15,8%, док ће извоз робе и услуга у БДП достићи удео од око 55%. Неопходан је нето прилив страних директних инвестиција од око 1,7 млрд евра просечно годишње, уз јачу дисперзију </w:t>
      </w:r>
      <w:r>
        <w:rPr>
          <w:rFonts w:ascii="Times New Roman" w:eastAsia="Times New Roman" w:hAnsi="Times New Roman" w:cs="Times New Roman"/>
          <w:sz w:val="24"/>
        </w:rPr>
        <w:t xml:space="preserve">ка сектору разменљивих добара. Финансирање платног биланса подразумева истовремено смањивање удела дефицита робе и услуга и дефицита </w:t>
      </w:r>
      <w:r>
        <w:rPr>
          <w:rFonts w:ascii="Times New Roman" w:eastAsia="Times New Roman" w:hAnsi="Times New Roman" w:cs="Times New Roman"/>
          <w:sz w:val="24"/>
        </w:rPr>
        <w:lastRenderedPageBreak/>
        <w:t>текућих трансакција у БДП на 6,4% и 3,9%, респективно, на крају 2019. године, како би се обезбедила одрживост спољног дуга,</w:t>
      </w:r>
      <w:r>
        <w:rPr>
          <w:rFonts w:ascii="Times New Roman" w:eastAsia="Times New Roman" w:hAnsi="Times New Roman" w:cs="Times New Roman"/>
          <w:sz w:val="24"/>
        </w:rPr>
        <w:t xml:space="preserve"> екстерна ликвидност и солвентност.</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Анализа цикличног кретања привредне активности и динамика потенцијалног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Текућа динамика економске активности као и средњорочни изгледи за реални сектор указују на убрзавање привредне активности и улазак привреде у фазу експанзије. Након дубоке рецесије у другој половини 2008. и током 2009. године изазване светском економском к</w:t>
      </w:r>
      <w:r>
        <w:rPr>
          <w:rFonts w:ascii="Times New Roman" w:eastAsia="Times New Roman" w:hAnsi="Times New Roman" w:cs="Times New Roman"/>
          <w:sz w:val="24"/>
        </w:rPr>
        <w:t>ризом, долази до благог опоравка привреде који се значајније убрзава током 2013. године. Позитивна кретања цикличне компоненте током 2013. године резултат су активирања нових капацитета у аутомобилској и нафтној индустрији. Током 2014. године, привреда пон</w:t>
      </w:r>
      <w:r>
        <w:rPr>
          <w:rFonts w:ascii="Times New Roman" w:eastAsia="Times New Roman" w:hAnsi="Times New Roman" w:cs="Times New Roman"/>
          <w:sz w:val="24"/>
        </w:rPr>
        <w:t>ово бележи рецесионе тенденције које су највећим делом последица разорних поплава, тачније девастирања производних капацитета пре свега у електроенергетском сектору. Утилизација оштећених капацитета током 2015. године обезбеђује опоравак привредне активнос</w:t>
      </w:r>
      <w:r>
        <w:rPr>
          <w:rFonts w:ascii="Times New Roman" w:eastAsia="Times New Roman" w:hAnsi="Times New Roman" w:cs="Times New Roman"/>
          <w:sz w:val="24"/>
        </w:rPr>
        <w:t>ти, док започета фискална консолидација, уз низ реформских закона, резултира достизањем преткризног нивоа БДП почетком 2016. године. Очекује се да ће афирмативни привредни амбијент, креиран системским реформским мерама креатора економске политике, обезбеди</w:t>
      </w:r>
      <w:r>
        <w:rPr>
          <w:rFonts w:ascii="Times New Roman" w:eastAsia="Times New Roman" w:hAnsi="Times New Roman" w:cs="Times New Roman"/>
          <w:sz w:val="24"/>
        </w:rPr>
        <w:t>ти основу и дати стимуланс експанзивним кретањима у средњорочном периоду.</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Потенцијални раст привредне активности је мера максимално одрживог раста БДП. Анализом дугорочне путање потенцијалног БДП утврђује се максимално одржив ниво привредне активности</w:t>
      </w:r>
      <w:r>
        <w:rPr>
          <w:rFonts w:ascii="Times New Roman" w:eastAsia="Times New Roman" w:hAnsi="Times New Roman" w:cs="Times New Roman"/>
          <w:sz w:val="24"/>
        </w:rPr>
        <w:t xml:space="preserve">, који не генерише макроекономске неравнотеже (високу инфлацију, неодрживу спољнотрговинску позицију, висок фискални дефицит итд.). Имајући у виду тренутну цикличну позицију националне економије и структурне поремећаје наслеђене из претходног периода, као </w:t>
      </w:r>
      <w:r>
        <w:rPr>
          <w:rFonts w:ascii="Times New Roman" w:eastAsia="Times New Roman" w:hAnsi="Times New Roman" w:cs="Times New Roman"/>
          <w:sz w:val="24"/>
        </w:rPr>
        <w:t>и степен постојећих неискоришћених капацитета, од посебног значаја у наредном периоду је изналажење начина да се побољша ефикасност инвестиција и повећа укупна факторска продуктивност. У том циљу неопходно је наставити реформе којима ће се производни потен</w:t>
      </w:r>
      <w:r>
        <w:rPr>
          <w:rFonts w:ascii="Times New Roman" w:eastAsia="Times New Roman" w:hAnsi="Times New Roman" w:cs="Times New Roman"/>
          <w:sz w:val="24"/>
        </w:rPr>
        <w:t>цијали земље трајно увећати.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Процена производног јаза, као и односа између стварног и потенцијалног БДП значајна је са становишта креирања економских политика. Ефикасност економске политике огледа се у мерама којима се утиче на смањивање јаза између потенц</w:t>
      </w:r>
      <w:r>
        <w:rPr>
          <w:rFonts w:ascii="Times New Roman" w:eastAsia="Times New Roman" w:hAnsi="Times New Roman" w:cs="Times New Roman"/>
          <w:sz w:val="24"/>
        </w:rPr>
        <w:t>ијала привреде и стварног раста БДП. Тако, у условима недовољно искоришћених производних капацитета, мере монетарне и фискалне политике имају директне ефекте на стварни раст БДП. У случају када је стварни БДП на нивоу дугорочно одрживог, мерама економске п</w:t>
      </w:r>
      <w:r>
        <w:rPr>
          <w:rFonts w:ascii="Times New Roman" w:eastAsia="Times New Roman" w:hAnsi="Times New Roman" w:cs="Times New Roman"/>
          <w:sz w:val="24"/>
        </w:rPr>
        <w:t>олитике није могуће директно увећати стварни БДП без нарушавања макроекономске стабилности, већ је неопходно реално повећање расположивих фактора производње (инвестиција у физички капитал и људске ресурсе и трансфер нових технологија).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64" w:lineRule="auto"/>
        <w:jc w:val="both"/>
        <w:rPr>
          <w:rFonts w:ascii="Cambria" w:eastAsia="Cambria" w:hAnsi="Cambria" w:cs="Cambria"/>
          <w:b/>
          <w:shd w:val="clear" w:color="auto" w:fill="FBD9D2"/>
        </w:rPr>
      </w:pPr>
    </w:p>
    <w:p w:rsidR="00BE17C7" w:rsidRDefault="00BE17C7">
      <w:pPr>
        <w:spacing w:after="0" w:line="240" w:lineRule="auto"/>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 потенцијално</w:t>
      </w:r>
      <w:r>
        <w:rPr>
          <w:rFonts w:ascii="Times New Roman" w:eastAsia="Times New Roman" w:hAnsi="Times New Roman" w:cs="Times New Roman"/>
          <w:sz w:val="24"/>
        </w:rPr>
        <w:t xml:space="preserve">г БДП знатно је успорен у протеклом шестогодишњем периоду. Наиме, просечан годишњи раст потенцијалног БДП био је преко 5% у преткризном периоду, док је у периоду након избијања светске економске кризе његов просечан раст </w:t>
      </w:r>
      <w:r>
        <w:rPr>
          <w:rFonts w:ascii="Times New Roman" w:eastAsia="Times New Roman" w:hAnsi="Times New Roman" w:cs="Times New Roman"/>
          <w:sz w:val="24"/>
        </w:rPr>
        <w:lastRenderedPageBreak/>
        <w:t>износио око 0,6%. Снажан допринос р</w:t>
      </w:r>
      <w:r>
        <w:rPr>
          <w:rFonts w:ascii="Times New Roman" w:eastAsia="Times New Roman" w:hAnsi="Times New Roman" w:cs="Times New Roman"/>
          <w:sz w:val="24"/>
        </w:rPr>
        <w:t>асту потенцијалног БДП који је пре кризе долазио од фактора капитала и био вођен растом инвестиционе активности, знатно је смањен почетком кризе. Дошло је и до смањења позитивног доприноса вишефакторске продуктивности, која је у кризном периоду бележила ск</w:t>
      </w:r>
      <w:r>
        <w:rPr>
          <w:rFonts w:ascii="Times New Roman" w:eastAsia="Times New Roman" w:hAnsi="Times New Roman" w:cs="Times New Roman"/>
          <w:sz w:val="24"/>
        </w:rPr>
        <w:t>ромне вредности. Негативне доприносе расту потенцијалног БДП у периоду кризе бележи и фактор рада, као последица смањења запослености, те у мањој мери због повећања тренда стопе незапослености.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средњорочном периоду очекује се убрзање раста потенцијалног </w:t>
      </w:r>
      <w:r>
        <w:rPr>
          <w:rFonts w:ascii="Times New Roman" w:eastAsia="Times New Roman" w:hAnsi="Times New Roman" w:cs="Times New Roman"/>
          <w:sz w:val="24"/>
        </w:rPr>
        <w:t>БДП. У 2016. години очекује се раст потенцијалног БДП од око 2%. Највећи допринос његовом расту даће фактор капитала услед поновног интензивирања инвестиција, а у мањој мери фактор рада на који ће деловати повећање стопе партиципације радне снаге, док ће д</w:t>
      </w:r>
      <w:r>
        <w:rPr>
          <w:rFonts w:ascii="Times New Roman" w:eastAsia="Times New Roman" w:hAnsi="Times New Roman" w:cs="Times New Roman"/>
          <w:sz w:val="24"/>
        </w:rPr>
        <w:t>опринос вишефакторске продуктивности бити неутралан. Очекивано повећање незапослености услед рационализације у јавном сектору и завршетка процеса реструктурирања предузећа под контролом државе ублажено је порастом нето запослености у приватном сектору. Про</w:t>
      </w:r>
      <w:r>
        <w:rPr>
          <w:rFonts w:ascii="Times New Roman" w:eastAsia="Times New Roman" w:hAnsi="Times New Roman" w:cs="Times New Roman"/>
          <w:sz w:val="24"/>
        </w:rPr>
        <w:t>цена потенцијалног раста у средњорочном периоду заснована је на убрзаном привредном опоравку, при чему се очекује да производни јаз буде затворен крајем 2017. године. Прогнозира се да ће на раст потенцијалног БДП у наредним годинама позитивно утицати јачањ</w:t>
      </w:r>
      <w:r>
        <w:rPr>
          <w:rFonts w:ascii="Times New Roman" w:eastAsia="Times New Roman" w:hAnsi="Times New Roman" w:cs="Times New Roman"/>
          <w:sz w:val="24"/>
        </w:rPr>
        <w:t>е инвестиционе активности и повољна кретања на тржишту рада. Повољнији услови финансирања и јача инвестициона активност у секторима саобраћаја, енергетике и пољопривреде повећаће потенцијал привреде. Наставак спровођења реформи у правцу креирања подстицајн</w:t>
      </w:r>
      <w:r>
        <w:rPr>
          <w:rFonts w:ascii="Times New Roman" w:eastAsia="Times New Roman" w:hAnsi="Times New Roman" w:cs="Times New Roman"/>
          <w:sz w:val="24"/>
        </w:rPr>
        <w:t>ог амбијента за инвестиције и запошљавање, омогућиће и ефикасније коришћење постојећих недовољно искоришћених производних капацитета.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Запосленост и зараде</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 привредне активности, уз промену радног законодавства, праћен адекватним програмима преквалифи</w:t>
      </w:r>
      <w:r>
        <w:rPr>
          <w:rFonts w:ascii="Times New Roman" w:eastAsia="Times New Roman" w:hAnsi="Times New Roman" w:cs="Times New Roman"/>
          <w:sz w:val="24"/>
        </w:rPr>
        <w:t>кације и подстицајима за самозапошљавање, резултирао је повољнијим кретањима свих индикатора тржишта рада. Према подацима Анкете о радној снази (у даљем тексту: АРС) након међугодишњег раста броја запослених од 2,7% у првом кварталу 2016. године, позитивна</w:t>
      </w:r>
      <w:r>
        <w:rPr>
          <w:rFonts w:ascii="Times New Roman" w:eastAsia="Times New Roman" w:hAnsi="Times New Roman" w:cs="Times New Roman"/>
          <w:sz w:val="24"/>
        </w:rPr>
        <w:t xml:space="preserve"> кретања се настављају. Укупан број запослених у другом тромесечју већи је за 6,7%, док је стопа незапослености смањена за 2,1 п.п. у односу на исти период претходне године и износи 15,2%. Повећање броја запослених регистровано је у свим производним сектор</w:t>
      </w:r>
      <w:r>
        <w:rPr>
          <w:rFonts w:ascii="Times New Roman" w:eastAsia="Times New Roman" w:hAnsi="Times New Roman" w:cs="Times New Roman"/>
          <w:sz w:val="24"/>
        </w:rPr>
        <w:t>има, при чему су најзначајнија побољшања остварена у секторима услуга и индустрије. Раст броја запослених регистрован је и у сегменту формалне и у сегменту неформалне запослености. Формална запосленост, као квалитетнији део укупне запослености, повећана је</w:t>
      </w:r>
      <w:r>
        <w:rPr>
          <w:rFonts w:ascii="Times New Roman" w:eastAsia="Times New Roman" w:hAnsi="Times New Roman" w:cs="Times New Roman"/>
          <w:sz w:val="24"/>
        </w:rPr>
        <w:t xml:space="preserve"> за 2,7%, чему је поред оствареног привредног раста додатно допринело ефикасније ангажовање инспекцијских служби у циљу сузбијања сиве економије. Снажан раст неформалне запослености у другом кварталу, највећим делом је резултат већег ангажовања сезонских р</w:t>
      </w:r>
      <w:r>
        <w:rPr>
          <w:rFonts w:ascii="Times New Roman" w:eastAsia="Times New Roman" w:hAnsi="Times New Roman" w:cs="Times New Roman"/>
          <w:sz w:val="24"/>
        </w:rPr>
        <w:t>адника у пољопривредној производњи услед добре пољопривредне године. Раст запослености али и подстицање неактивних лица, унапређењем и проширењем обухвата активних мера запошљавања, уз додатну мотивисаност растом реалних зарада, допринело је међугодишњем п</w:t>
      </w:r>
      <w:r>
        <w:rPr>
          <w:rFonts w:ascii="Times New Roman" w:eastAsia="Times New Roman" w:hAnsi="Times New Roman" w:cs="Times New Roman"/>
          <w:sz w:val="24"/>
        </w:rPr>
        <w:t>овећању стопе активности у прва два квартала за 1,8 п.п и 2,6 п.п, респективно. Позитивна кретања на тржишту рада потврђују и подаци из Централног регистра обавезног социјалног осигурања, према којима је просечан број формално запослених у периоду јануар-с</w:t>
      </w:r>
      <w:r>
        <w:rPr>
          <w:rFonts w:ascii="Times New Roman" w:eastAsia="Times New Roman" w:hAnsi="Times New Roman" w:cs="Times New Roman"/>
          <w:sz w:val="24"/>
        </w:rPr>
        <w:t xml:space="preserve">ептембар 2016. године повећан за 1,2% мг. што је у </w:t>
      </w:r>
      <w:r>
        <w:rPr>
          <w:rFonts w:ascii="Times New Roman" w:eastAsia="Times New Roman" w:hAnsi="Times New Roman" w:cs="Times New Roman"/>
          <w:sz w:val="24"/>
        </w:rPr>
        <w:lastRenderedPageBreak/>
        <w:t>потпуности резултат раста броја запослених у приватном сектору (2,6%). Истовремено, раст запослености забележен је у прерађивачкој индустрији, рударству, трговини и др, што је у складу са повољним економск</w:t>
      </w:r>
      <w:r>
        <w:rPr>
          <w:rFonts w:ascii="Times New Roman" w:eastAsia="Times New Roman" w:hAnsi="Times New Roman" w:cs="Times New Roman"/>
          <w:sz w:val="24"/>
        </w:rPr>
        <w:t xml:space="preserve">им кретањима у овим секторима.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Као резултат бржег раста зарада у приватном сектору, значајно су смањене разлике у платама јавног и приватног сектора. Реални и номинални пад зарада у јавном сектору током 2015. године, утицао ја на смањивање разлике у просе</w:t>
      </w:r>
      <w:r>
        <w:rPr>
          <w:rFonts w:ascii="Times New Roman" w:eastAsia="Times New Roman" w:hAnsi="Times New Roman" w:cs="Times New Roman"/>
          <w:sz w:val="24"/>
        </w:rPr>
        <w:t>чној заради јавног сектора и ван њега са око 15% у новембру 2014. године на 5,3% у периоду јануар-септембар 2016. године. Реална просечна нето зарада у периоду јануар-септембар 2016. године повећана је за 2,8%, мг, што је највећим делом било опредељено рас</w:t>
      </w:r>
      <w:r>
        <w:rPr>
          <w:rFonts w:ascii="Times New Roman" w:eastAsia="Times New Roman" w:hAnsi="Times New Roman" w:cs="Times New Roman"/>
          <w:sz w:val="24"/>
        </w:rPr>
        <w:t xml:space="preserve">том зарада у приватном сектору (3,9%). Посматрано према делатностима, расту зарада највише су допринеле прерађивачка индустрија и трговина. Истовремено, реална просечна нето зарада у јавном сектору је повећана за 0,9%, мг, што је у одређеној мери резултат </w:t>
      </w:r>
      <w:r>
        <w:rPr>
          <w:rFonts w:ascii="Times New Roman" w:eastAsia="Times New Roman" w:hAnsi="Times New Roman" w:cs="Times New Roman"/>
          <w:sz w:val="24"/>
        </w:rPr>
        <w:t>престанка деловања базног ефекта смањења зарада у јавном сектору током 2015. године, и номиналног повећања зарада у појединим сегментима јавног сектора почетком 2016. године. Узимајући у обзир очекивани наставак раста БДП и инвестиција, као и досадашња кре</w:t>
      </w:r>
      <w:r>
        <w:rPr>
          <w:rFonts w:ascii="Times New Roman" w:eastAsia="Times New Roman" w:hAnsi="Times New Roman" w:cs="Times New Roman"/>
          <w:sz w:val="24"/>
        </w:rPr>
        <w:t>тања на тржишту рада, до краја 2016. године очекује се благи раст запослености, док ће зараде пратити динамику продуктивности рада, уз бржи раст зарада у приватном у односу на јавни сектор.</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Средњорочна пројекција кретања запослености и зарада заснива се на</w:t>
      </w:r>
      <w:r>
        <w:rPr>
          <w:rFonts w:ascii="Times New Roman" w:eastAsia="Times New Roman" w:hAnsi="Times New Roman" w:cs="Times New Roman"/>
          <w:sz w:val="24"/>
        </w:rPr>
        <w:t xml:space="preserve"> пројектованом расту БДП и повећању инвестиција. Очекује се да ће укупна запосленост наставити раст у 2017. години, вођенa растом запослености у приватном сектору. Захваљујући унапређеној регулативи о радним односима отклоњене су структурне препреке запошљ</w:t>
      </w:r>
      <w:r>
        <w:rPr>
          <w:rFonts w:ascii="Times New Roman" w:eastAsia="Times New Roman" w:hAnsi="Times New Roman" w:cs="Times New Roman"/>
          <w:sz w:val="24"/>
        </w:rPr>
        <w:t>авању, повећана је флексибилност на тржишту рада и створене основе за смањење рада у сивој зони, што ће утицати на наставак позитивних трендова, упркос рационализацији у јавном сектору. Од посебног значаја за продуктивно запошљавање у наредном периоду јест</w:t>
      </w:r>
      <w:r>
        <w:rPr>
          <w:rFonts w:ascii="Times New Roman" w:eastAsia="Times New Roman" w:hAnsi="Times New Roman" w:cs="Times New Roman"/>
          <w:sz w:val="24"/>
        </w:rPr>
        <w:t>е усаглашавање политика запошљавања, образовања и научно-технолошког развоја ради прилагођавања нивоа знања и вештина и запошљавања према потребама тржишта рада. С тим у вези у наредном средњорочном периоду очекују се реформе у области тржишта рада и образ</w:t>
      </w:r>
      <w:r>
        <w:rPr>
          <w:rFonts w:ascii="Times New Roman" w:eastAsia="Times New Roman" w:hAnsi="Times New Roman" w:cs="Times New Roman"/>
          <w:sz w:val="24"/>
        </w:rPr>
        <w:t>овног система, посебно увођење система дуалног образовања, којим ће се обезбедити повезаност квалификоване радне снаге са стварним потребама тржишта рада. У наредном периоду очекује се да ће раст реалних нето зарада у приватном сектору пратити раст продукт</w:t>
      </w:r>
      <w:r>
        <w:rPr>
          <w:rFonts w:ascii="Times New Roman" w:eastAsia="Times New Roman" w:hAnsi="Times New Roman" w:cs="Times New Roman"/>
          <w:sz w:val="24"/>
        </w:rPr>
        <w:t>ивности у привреди. Спорији раст реалних нето зарада од раста реалног БДП, као и раст зарада у складу са растом продуктивности утицаће на смањивање јединичних трошкова рада и на побољшање конкурентске позиције земље. Реалном расту зарада допринеће и повећа</w:t>
      </w:r>
      <w:r>
        <w:rPr>
          <w:rFonts w:ascii="Times New Roman" w:eastAsia="Times New Roman" w:hAnsi="Times New Roman" w:cs="Times New Roman"/>
          <w:sz w:val="24"/>
        </w:rPr>
        <w:t xml:space="preserve">ње минималне цене рада од 1. јануара 2017. године са 121 на 130 динара по радном часу, што ће се позитивно одразити на агрегатну тражњу, а имаће и позитиван фискални ефекат.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Инфлација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Као и у претходном периоду, и током 2016. године забележени су ниски инфлаторни притисци, како по основу већине домаћих фактора, тако и по основу ниских трошковних притисака из међународног окружења. Инфлација је и током ове године остала на ниском и стаби</w:t>
      </w:r>
      <w:r>
        <w:rPr>
          <w:rFonts w:ascii="Times New Roman" w:eastAsia="Times New Roman" w:hAnsi="Times New Roman" w:cs="Times New Roman"/>
          <w:sz w:val="24"/>
        </w:rPr>
        <w:t xml:space="preserve">лном нивоу. У октобру је забележен међугодишњи раст од 1,5%, што је и даље испод доње границе дозвољеног одступања од циља који важи до краја </w:t>
      </w:r>
      <w:r>
        <w:rPr>
          <w:rFonts w:ascii="Times New Roman" w:eastAsia="Times New Roman" w:hAnsi="Times New Roman" w:cs="Times New Roman"/>
          <w:sz w:val="24"/>
        </w:rPr>
        <w:lastRenderedPageBreak/>
        <w:t>2016. године (4%±1,5 п.п). Највећи позитиван допринос међугодишњој инфлацији дала су повећања цена дувана, туристи</w:t>
      </w:r>
      <w:r>
        <w:rPr>
          <w:rFonts w:ascii="Times New Roman" w:eastAsia="Times New Roman" w:hAnsi="Times New Roman" w:cs="Times New Roman"/>
          <w:sz w:val="24"/>
        </w:rPr>
        <w:t>чких пакет аранжмана, свежег меса, електричне енергије и лекова. У односу на октобар 2015. године регулисане цене су забележиле раст, вођен пре свега растом цена дувана и у мањој мери електричне енергије и лекова. Наставак спровођења чврсте фискалне полити</w:t>
      </w:r>
      <w:r>
        <w:rPr>
          <w:rFonts w:ascii="Times New Roman" w:eastAsia="Times New Roman" w:hAnsi="Times New Roman" w:cs="Times New Roman"/>
          <w:sz w:val="24"/>
        </w:rPr>
        <w:t>ке потврда је посвећености креатора економске политике даљем јачању јавних финансија, што додатно утиче на смањивање инфлаторних притисака. Очекује се да ће се инфлацијa до краја 2016. године кретати испод актуелне границе дозвољеног одступања од циља НБС.</w:t>
      </w:r>
      <w:r>
        <w:rPr>
          <w:rFonts w:ascii="Times New Roman" w:eastAsia="Times New Roman" w:hAnsi="Times New Roman" w:cs="Times New Roman"/>
          <w:sz w:val="24"/>
        </w:rPr>
        <w:t xml:space="preserve"> На кретање инфлације до краја године утицаће пре свега ниска база код цена нафтних деривата и прехрамбених производа, с једне стране, и висока база код цена цигарета, с друге стране.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НБС је током 2016. године два пута релаксирала монетарну политику смањењ</w:t>
      </w:r>
      <w:r>
        <w:rPr>
          <w:rFonts w:ascii="Times New Roman" w:eastAsia="Times New Roman" w:hAnsi="Times New Roman" w:cs="Times New Roman"/>
          <w:sz w:val="24"/>
        </w:rPr>
        <w:t>ем референтне каматне стопе у фебруару на 4,25% и у јулу на до сада најнижи ниво од 4,00%. што је утицало на наставак пада каматних стопа на динарске кредите. Каматна стопа на укупне новоодобрене динарске кредите у септембру је снижена за 3,1 п.п. у односу</w:t>
      </w:r>
      <w:r>
        <w:rPr>
          <w:rFonts w:ascii="Times New Roman" w:eastAsia="Times New Roman" w:hAnsi="Times New Roman" w:cs="Times New Roman"/>
          <w:sz w:val="24"/>
        </w:rPr>
        <w:t xml:space="preserve"> на исти месец претходне године. Након стагнације у првом кварталу текуће године, кредити привреди бележе раст захваљујући расту кредита за обртна средства и инвестиционих кредита. Позитивна кретања забележена су код новоодобрених кредита. Износ нових кред</w:t>
      </w:r>
      <w:r>
        <w:rPr>
          <w:rFonts w:ascii="Times New Roman" w:eastAsia="Times New Roman" w:hAnsi="Times New Roman" w:cs="Times New Roman"/>
          <w:sz w:val="24"/>
        </w:rPr>
        <w:t xml:space="preserve">ита у првих девет месеци 2016. године био је за око четвртину виши него у истом периоду претходне године, док су нови кредити за обртна средства порасли за око 50%. У септембру је забележен висок међугодишњи раст кредитне активности који се огледа у расту </w:t>
      </w:r>
      <w:r>
        <w:rPr>
          <w:rFonts w:ascii="Times New Roman" w:eastAsia="Times New Roman" w:hAnsi="Times New Roman" w:cs="Times New Roman"/>
          <w:sz w:val="24"/>
        </w:rPr>
        <w:t>пласмана становништву од 10,5% и привреди од 3,0%. Посматрано по намени, на кредитну активност становништву у септембру готово у потпуности је утицао раст готовинских кредита. Раст кредитне активности привреди био је опредељен пре свега растом кредита за л</w:t>
      </w:r>
      <w:r>
        <w:rPr>
          <w:rFonts w:ascii="Times New Roman" w:eastAsia="Times New Roman" w:hAnsi="Times New Roman" w:cs="Times New Roman"/>
          <w:sz w:val="24"/>
        </w:rPr>
        <w:t xml:space="preserve">иквидност и обртна средства и инвестиционих кредита. Приликом финансирања кредитне активности, банке су у највећој мери користиле домаће изворе финансирања, пре свега динарске и девизне депозите привреде и становништва. Убрзање кредитне активности додатно </w:t>
      </w:r>
      <w:r>
        <w:rPr>
          <w:rFonts w:ascii="Times New Roman" w:eastAsia="Times New Roman" w:hAnsi="Times New Roman" w:cs="Times New Roman"/>
          <w:sz w:val="24"/>
        </w:rPr>
        <w:t>је подстакнуто ослобађањем средстава по основу смањења општих стопа девизне обавезне резерве од стране НБС. Спровођење усвојене Стратегије за решавање проблематичних кредита наставља да даје позитиван допринос решавању овог проблема, па је тако и у 2016. г</w:t>
      </w:r>
      <w:r>
        <w:rPr>
          <w:rFonts w:ascii="Times New Roman" w:eastAsia="Times New Roman" w:hAnsi="Times New Roman" w:cs="Times New Roman"/>
          <w:sz w:val="24"/>
        </w:rPr>
        <w:t>одини регистровано смањивање учешћа ових кредита у укупним кредитима, како код привреде, тако и код становништва. Учешће проблематичних кредита банкарског сектора у укупним кредитима у трећем кварталу 2016. године смањено је за 2,1 п.п. у односу на крај пр</w:t>
      </w:r>
      <w:r>
        <w:rPr>
          <w:rFonts w:ascii="Times New Roman" w:eastAsia="Times New Roman" w:hAnsi="Times New Roman" w:cs="Times New Roman"/>
          <w:sz w:val="24"/>
        </w:rPr>
        <w:t>етходне године и износило је 19,5%. Ублажавање монетарне политике и последично смањење каматних стопа, уз очекивано убрзање привредног раста утицаће на наставак раста кредитне активности.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Прву половину године карактерисало је присуство, депрецијацијских пр</w:t>
      </w:r>
      <w:r>
        <w:rPr>
          <w:rFonts w:ascii="Times New Roman" w:eastAsia="Times New Roman" w:hAnsi="Times New Roman" w:cs="Times New Roman"/>
          <w:sz w:val="24"/>
        </w:rPr>
        <w:t xml:space="preserve">итисака, услед повећања неизвесности на међународном финансијском тржишту, као и релативно високе тражње за девизама на домаћем тржишту услед сезонски повећаног плаћања увоза енергената и сервисирања кредитних обавеза према иностранству. Од почетка другог </w:t>
      </w:r>
      <w:r>
        <w:rPr>
          <w:rFonts w:ascii="Times New Roman" w:eastAsia="Times New Roman" w:hAnsi="Times New Roman" w:cs="Times New Roman"/>
          <w:sz w:val="24"/>
        </w:rPr>
        <w:t>полугодишта присутни су апрецијацијски притисци, које је НБС ублажавала куповином девиза на међубанкарском девизном тржишту (у даљем тексту: МДТ). Кретања на девизном тржишту у периоду јануар-октобар 2016. године, у поређењу са истим периодом претходне год</w:t>
      </w:r>
      <w:r>
        <w:rPr>
          <w:rFonts w:ascii="Times New Roman" w:eastAsia="Times New Roman" w:hAnsi="Times New Roman" w:cs="Times New Roman"/>
          <w:sz w:val="24"/>
        </w:rPr>
        <w:t>ине, карактерише номинална и реална депрецијација динара у односу на евро од 2,0% и 1,1%, респективно. Реални ефективни девизни курс у овом периоду депрецирао је за 1,3%, што позитивно утиче на ценовну екстерну конкурентност земље. Како би ублажила прекоме</w:t>
      </w:r>
      <w:r>
        <w:rPr>
          <w:rFonts w:ascii="Times New Roman" w:eastAsia="Times New Roman" w:hAnsi="Times New Roman" w:cs="Times New Roman"/>
          <w:sz w:val="24"/>
        </w:rPr>
        <w:t xml:space="preserve">рне краткорочне осцилације курса, НБС је у овом периоду </w:t>
      </w:r>
      <w:r>
        <w:rPr>
          <w:rFonts w:ascii="Times New Roman" w:eastAsia="Times New Roman" w:hAnsi="Times New Roman" w:cs="Times New Roman"/>
          <w:sz w:val="24"/>
        </w:rPr>
        <w:lastRenderedPageBreak/>
        <w:t>интервенисала на МДТ продајом девиза у износу од 870 мил. евра и куповином 660 мил. евра. Девизне резерве НБС крајем октобра износиле су 9,71 млрд евра, што је за 671 мил. евра мање у односу на крај 2</w:t>
      </w:r>
      <w:r>
        <w:rPr>
          <w:rFonts w:ascii="Times New Roman" w:eastAsia="Times New Roman" w:hAnsi="Times New Roman" w:cs="Times New Roman"/>
          <w:sz w:val="24"/>
        </w:rPr>
        <w:t>015. године и обезбеђују покривеност шест месеци увоза робе и услуга.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НБС је, у сарадњи са Владом, снизила циљану стопу инфлације почевши од 2017. године са 4%±1,5 п.п. на 3%±1,5 п.п. као резултат већ успостављене макроекономске стабилности и побољшаних ек</w:t>
      </w:r>
      <w:r>
        <w:rPr>
          <w:rFonts w:ascii="Times New Roman" w:eastAsia="Times New Roman" w:hAnsi="Times New Roman" w:cs="Times New Roman"/>
          <w:sz w:val="24"/>
        </w:rPr>
        <w:t>ономских изгледа за наредни период. Снижавања циља за инфлацију за 2017. и 2018. годину подржавају и већ дуже време ниска и стабилна инфлациона очекивања. Доследно спровођење фискалне консолидације и структурних реформи пресудно је утицало на јачање отпорн</w:t>
      </w:r>
      <w:r>
        <w:rPr>
          <w:rFonts w:ascii="Times New Roman" w:eastAsia="Times New Roman" w:hAnsi="Times New Roman" w:cs="Times New Roman"/>
          <w:sz w:val="24"/>
        </w:rPr>
        <w:t xml:space="preserve">ости домаће привреде на потресе, а добро одмерене мере фискалне и монетарне политике уз њихову пуну координацију, определили су да инфлација током протекле три године буде на ниском и стабилном нивоу који је упоредив са развијеним земљама и конзистентан с </w:t>
      </w:r>
      <w:r>
        <w:rPr>
          <w:rFonts w:ascii="Times New Roman" w:eastAsia="Times New Roman" w:hAnsi="Times New Roman" w:cs="Times New Roman"/>
          <w:sz w:val="24"/>
        </w:rPr>
        <w:t>новим циљем. Снижавањем циљане инфлације за наредни средњорочни период додатно се умањује неизвесност у пословању целокупне економије, што ће дати импулс даљем унапређењу инвестиционог амбијента и снижавању трошкова дугорочних финансијских потреба привреде</w:t>
      </w: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Средњорочна пројекција инфлације заснована је на очекиваним кретањима у домаћем и међународном окружењу. На улазак инфлације у нове циљане оквире у 2017. години утицаће исцрпљивање ефеката овогодишњих ниских цена нафте и примарних пољопривредних произво</w:t>
      </w:r>
      <w:r>
        <w:rPr>
          <w:rFonts w:ascii="Times New Roman" w:eastAsia="Times New Roman" w:hAnsi="Times New Roman" w:cs="Times New Roman"/>
          <w:sz w:val="24"/>
        </w:rPr>
        <w:t>да, у кратком року, односно раст домаће агрегатне тражње и убрзање раста цена у међународном окружењу, у средњем року. С друге стране, дезинфлаторно ће деловати ниски трошкови сировина у производњи хране. Поред тога, стабилизација инфлације подржана је и р</w:t>
      </w:r>
      <w:r>
        <w:rPr>
          <w:rFonts w:ascii="Times New Roman" w:eastAsia="Times New Roman" w:hAnsi="Times New Roman" w:cs="Times New Roman"/>
          <w:sz w:val="24"/>
        </w:rPr>
        <w:t>елативном стабилношћу девизног курса. Пројекција инфлације за 2018. и 2019. годину предвиђа њено кретање на стабилном и ниском нивоу који неће одступати од оквира циља. Кључни ризици остварења пројекције инфлације односе се на кретања у међународном окруже</w:t>
      </w:r>
      <w:r>
        <w:rPr>
          <w:rFonts w:ascii="Times New Roman" w:eastAsia="Times New Roman" w:hAnsi="Times New Roman" w:cs="Times New Roman"/>
          <w:sz w:val="24"/>
        </w:rPr>
        <w:t>њу, а посебно на неизвесности у погледу монетарних политика централних банака водећих земаља.</w:t>
      </w: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jc w:val="center"/>
        <w:rPr>
          <w:rFonts w:ascii="Times New Roman" w:eastAsia="Times New Roman" w:hAnsi="Times New Roman" w:cs="Times New Roman"/>
          <w:i/>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Екстерни сектор</w:t>
      </w:r>
    </w:p>
    <w:p w:rsidR="00BE17C7" w:rsidRDefault="00BE17C7">
      <w:pPr>
        <w:spacing w:after="0" w:line="240" w:lineRule="auto"/>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Ниске цене нафте на међународном тржишту, постепен економски опоравак наших главних спољнотрговинских партнера и ефекти ранијих СДИ у прерађива</w:t>
      </w:r>
      <w:r>
        <w:rPr>
          <w:rFonts w:ascii="Times New Roman" w:eastAsia="Times New Roman" w:hAnsi="Times New Roman" w:cs="Times New Roman"/>
          <w:sz w:val="24"/>
        </w:rPr>
        <w:t>чку индустрију повољно су деловали на спољнотрговинску размену коју карактерише повећање обима размене и значајно смањење спољнотрговинског дефицита. У периоду јануар–септембар извезено је робе (ц.и.ф) у вредности од 9,9 млрд евра, а увезено робе за 12,7 м</w:t>
      </w:r>
      <w:r>
        <w:rPr>
          <w:rFonts w:ascii="Times New Roman" w:eastAsia="Times New Roman" w:hAnsi="Times New Roman" w:cs="Times New Roman"/>
          <w:sz w:val="24"/>
        </w:rPr>
        <w:t>лрд евра, што је повећање од 10,1% и 5,7%, респективно, у односу на исти период 2015. године. Раст извоза робе у овом периоду резултат је пре свега извоза погонских машина и уређаја, као и електричних апарата и опреме. Позитиван допринос побољшању спољнотр</w:t>
      </w:r>
      <w:r>
        <w:rPr>
          <w:rFonts w:ascii="Times New Roman" w:eastAsia="Times New Roman" w:hAnsi="Times New Roman" w:cs="Times New Roman"/>
          <w:sz w:val="24"/>
        </w:rPr>
        <w:t>говинске размене наставио је да даје извоз хемијских производа, дувана и поврћа и воћа. С друге стране, извоз гвожђа и челика у првој половини године је вредносно смањен, чему су допринеле ниске цене сировина на светском тржишту. Међутим, у трећем кварталу</w:t>
      </w:r>
      <w:r>
        <w:rPr>
          <w:rFonts w:ascii="Times New Roman" w:eastAsia="Times New Roman" w:hAnsi="Times New Roman" w:cs="Times New Roman"/>
          <w:sz w:val="24"/>
        </w:rPr>
        <w:t>, након доласка кинеске фирме Хестил, извоз се убрзава за трећину међугодишње, што умањује негативан утицај с почетка године. Такође, ниска цена нафте и последично ниже цене нафтних деривата утицали су на нижу вредност извоза, док је опоравак енергетског с</w:t>
      </w:r>
      <w:r>
        <w:rPr>
          <w:rFonts w:ascii="Times New Roman" w:eastAsia="Times New Roman" w:hAnsi="Times New Roman" w:cs="Times New Roman"/>
          <w:sz w:val="24"/>
        </w:rPr>
        <w:t xml:space="preserve">ектора од поплава из 2014. године утицао на снажан раст извоза осталих енергената </w:t>
      </w:r>
      <w:r>
        <w:rPr>
          <w:rFonts w:ascii="Times New Roman" w:eastAsia="Times New Roman" w:hAnsi="Times New Roman" w:cs="Times New Roman"/>
          <w:sz w:val="24"/>
        </w:rPr>
        <w:lastRenderedPageBreak/>
        <w:t>(електричне енергије и гаса од 31,6% и 12,6% мг, респективно). Кретање увоза у овом периоду карактерише раст увоза погонских машина и опреме, електричне опреме и ђубрива, док</w:t>
      </w:r>
      <w:r>
        <w:rPr>
          <w:rFonts w:ascii="Times New Roman" w:eastAsia="Times New Roman" w:hAnsi="Times New Roman" w:cs="Times New Roman"/>
          <w:sz w:val="24"/>
        </w:rPr>
        <w:t xml:space="preserve"> најзначајнији негативан допринос расту увоза потиче од ниже вредности увоза гаса и сирове нафте и нафтних деривата. Покривеност увоза извозом изражена у еврима у првих девет месеци износила је 77,9%. Највећи спољнотрговински партнери у периоду јануар - се</w:t>
      </w:r>
      <w:r>
        <w:rPr>
          <w:rFonts w:ascii="Times New Roman" w:eastAsia="Times New Roman" w:hAnsi="Times New Roman" w:cs="Times New Roman"/>
          <w:sz w:val="24"/>
        </w:rPr>
        <w:t xml:space="preserve">птембар 2016. године биле су земље ЕУ, на које се односило 66,4% укупног извоза и 63,4% укупног увоза. Готово половина укупног извоза у том периоду била је усмерена на тржиште пет земаља: Италија, Немачка, БиХ, Румунија и Руска Федерација (47,3%). Увоз из </w:t>
      </w:r>
      <w:r>
        <w:rPr>
          <w:rFonts w:ascii="Times New Roman" w:eastAsia="Times New Roman" w:hAnsi="Times New Roman" w:cs="Times New Roman"/>
          <w:sz w:val="24"/>
        </w:rPr>
        <w:t>Немачке, Италије, Кине, Руске Федерације и Мађарске чинио је 44,1% укупног увоза. У размени са БиХ, Црном Гором, Македонијом, Румунијом, Италијом, Бугарском, УК, Словачком и Хрватском остварен је суфицит од преко 1,7 млрд евра. Опоравак екстерне тражње, пр</w:t>
      </w:r>
      <w:r>
        <w:rPr>
          <w:rFonts w:ascii="Times New Roman" w:eastAsia="Times New Roman" w:hAnsi="Times New Roman" w:cs="Times New Roman"/>
          <w:sz w:val="24"/>
        </w:rPr>
        <w:t>е свега наших највећих спољнотрговинских партнера, позитивно ће деловати на наш извоз. Иако је раст инвестиција утицао на пораст увоза, с обзиром да смо увозно зависна економија, очекује се да ће допринос нето извоза у 2016. години бити позитиван, на шта у</w:t>
      </w:r>
      <w:r>
        <w:rPr>
          <w:rFonts w:ascii="Times New Roman" w:eastAsia="Times New Roman" w:hAnsi="Times New Roman" w:cs="Times New Roman"/>
          <w:sz w:val="24"/>
        </w:rPr>
        <w:t>пућују кретања у спољној трговини која су повољнија од очекиваних.</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Платнобилансна кретања карактерише знатно бржи раст извоза од увоза робе и услуга, што је утицало на смањење дефицита текућег рачуна у првих девет месеци на ниво који је за више од петине н</w:t>
      </w:r>
      <w:r>
        <w:rPr>
          <w:rFonts w:ascii="Times New Roman" w:eastAsia="Times New Roman" w:hAnsi="Times New Roman" w:cs="Times New Roman"/>
          <w:sz w:val="24"/>
        </w:rPr>
        <w:t>ижи у односу на исти период претходне године и у потпуности је покривен СДИ. У периоду јануар–септембар дефицит текућег рачуна износио је 880,9 мил. евра док је у првих девет месеци 2015. године износио 1.132,6 мил. евра. Ово побољшање је једним делом резу</w:t>
      </w:r>
      <w:r>
        <w:rPr>
          <w:rFonts w:ascii="Times New Roman" w:eastAsia="Times New Roman" w:hAnsi="Times New Roman" w:cs="Times New Roman"/>
          <w:sz w:val="24"/>
        </w:rPr>
        <w:t>лтат повољних односа размене, али је у највећој мери опредељено растом међународне конкурентности домаће индустријске производње. Истовремено, прилив СДИ је и даље значајан и износио је 1,3 млрд евра. Благи међугодишњи пад од 1,4% последица је негативних к</w:t>
      </w:r>
      <w:r>
        <w:rPr>
          <w:rFonts w:ascii="Times New Roman" w:eastAsia="Times New Roman" w:hAnsi="Times New Roman" w:cs="Times New Roman"/>
          <w:sz w:val="24"/>
        </w:rPr>
        <w:t xml:space="preserve">ретања у септембру, којима се може приписати ефемеран карактер, тако да се на крају године очекује укупан прилив од 1,8 млрд евра, што је 5,2% БДП, и више је него довољно за покривање дефицита текућег рачуна. Највећи нето прилив СДИ у првој половини 2016. </w:t>
      </w:r>
      <w:r>
        <w:rPr>
          <w:rFonts w:ascii="Times New Roman" w:eastAsia="Times New Roman" w:hAnsi="Times New Roman" w:cs="Times New Roman"/>
          <w:sz w:val="24"/>
        </w:rPr>
        <w:t>године забележен је у прерађивачкој индустрији (314,1 мил. евра), финансијском сектору (223,6 мил. евра) и грађевинарству (94,1 мил. евра). Укупне нето СДИ из ЕУ у истом периоду износиле су 674,5 мил. евра, што представља 81,7% од укупно остварених нето СД</w:t>
      </w:r>
      <w:r>
        <w:rPr>
          <w:rFonts w:ascii="Times New Roman" w:eastAsia="Times New Roman" w:hAnsi="Times New Roman" w:cs="Times New Roman"/>
          <w:sz w:val="24"/>
        </w:rPr>
        <w:t>И. Забележен је одлив портфолио инвестиција у првих девет месеци 2016. године у износу од 683,7 мил. евра нето, док је у истом периоду претходне године забележен нето прилив од 27,6 мил. евра. Овакав ток портфолио инвестиција створио је депрецијацијске при</w:t>
      </w:r>
      <w:r>
        <w:rPr>
          <w:rFonts w:ascii="Times New Roman" w:eastAsia="Times New Roman" w:hAnsi="Times New Roman" w:cs="Times New Roman"/>
          <w:sz w:val="24"/>
        </w:rPr>
        <w:t>тиске и негативно утицао на девизне резерве, а последица је, у највећој мери, неизвесности везаних за ефекте предузетих монетарних мера ЕЦБ и ФЕД, као и непознаница везаних за процедуру и динамику изласка УК из ЕУ. По основу финансијских кредита, резиденти</w:t>
      </w:r>
      <w:r>
        <w:rPr>
          <w:rFonts w:ascii="Times New Roman" w:eastAsia="Times New Roman" w:hAnsi="Times New Roman" w:cs="Times New Roman"/>
          <w:sz w:val="24"/>
        </w:rPr>
        <w:t xml:space="preserve"> су се у првих девет месеци 2016. године нето раздужили према иностранству за 602,5 мил. евра. Држава се по истом основу нето раздужила за 56,7 мил. евра. НБС је по основу доспелих обавеза извршила плаћања у износу од 23,2 мил. евра од чега се највећи део </w:t>
      </w:r>
      <w:r>
        <w:rPr>
          <w:rFonts w:ascii="Times New Roman" w:eastAsia="Times New Roman" w:hAnsi="Times New Roman" w:cs="Times New Roman"/>
          <w:sz w:val="24"/>
        </w:rPr>
        <w:t>(14,7 мил. евра) односио на плаћања према ММФ. Привредна друштва су од почетка године наставила да се раздужују према иностранству (153,2 мил. евра), што су учиниле и банке у износу од 369,4 мил. евра.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Очекује се да укупан дефицит текућег рачуна у 2016. г</w:t>
      </w:r>
      <w:r>
        <w:rPr>
          <w:rFonts w:ascii="Times New Roman" w:eastAsia="Times New Roman" w:hAnsi="Times New Roman" w:cs="Times New Roman"/>
          <w:sz w:val="24"/>
        </w:rPr>
        <w:t xml:space="preserve">одини износи око 1,5 млрд евра, или 4,2% БДП, што је ниже за 0,5 п.п. у односу на 2015. годину, уз потпуно покриће дефицита са СДИ. Широка дисперзија страних директних инвестиција у различите </w:t>
      </w:r>
      <w:r>
        <w:rPr>
          <w:rFonts w:ascii="Times New Roman" w:eastAsia="Times New Roman" w:hAnsi="Times New Roman" w:cs="Times New Roman"/>
          <w:sz w:val="24"/>
        </w:rPr>
        <w:lastRenderedPageBreak/>
        <w:t>области прерађивачке индустрије резултирала је бржим растом изво</w:t>
      </w:r>
      <w:r>
        <w:rPr>
          <w:rFonts w:ascii="Times New Roman" w:eastAsia="Times New Roman" w:hAnsi="Times New Roman" w:cs="Times New Roman"/>
          <w:sz w:val="24"/>
        </w:rPr>
        <w:t>за од очекиваног, што је уз побољшане односе размене допринело да платнобилансни дефицит буде за 0,4 п.п. мањи од пројектованог. Наставак спровођења структурних реформи у циљу побољшања пословне климе, очувања макроекономске стабилности и консолидације јав</w:t>
      </w:r>
      <w:r>
        <w:rPr>
          <w:rFonts w:ascii="Times New Roman" w:eastAsia="Times New Roman" w:hAnsi="Times New Roman" w:cs="Times New Roman"/>
          <w:sz w:val="24"/>
        </w:rPr>
        <w:t>них финансија требало би да обезбеди даљи прилив СДИ у секторе разменљивих добара, који ће на средњи и дуги рок побољшати производни потенцијал и осигурати одрживи раст.</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Макроекономском пројекцијом предвиђен је наставак бржег раста извоза од увоза у 2017. </w:t>
      </w:r>
      <w:r>
        <w:rPr>
          <w:rFonts w:ascii="Times New Roman" w:eastAsia="Times New Roman" w:hAnsi="Times New Roman" w:cs="Times New Roman"/>
          <w:sz w:val="24"/>
        </w:rPr>
        <w:t>години уз даље побољшање међународне конкурентности. Пројектована путања реалног раста извоза роба и услуга заснована је на ширењу домаћих производних капацитета и јачању екстерне тражње за домаћим производима, који ће омогућити раст тржишног удела на изво</w:t>
      </w:r>
      <w:r>
        <w:rPr>
          <w:rFonts w:ascii="Times New Roman" w:eastAsia="Times New Roman" w:hAnsi="Times New Roman" w:cs="Times New Roman"/>
          <w:sz w:val="24"/>
        </w:rPr>
        <w:t>зним тржиштима, уз јачање трошковне и ценовне конкурентности. Бржи раст извоза од увоза омогућиће смањивање робног спољнотрговинског дефицита са 11,9% БДП у 2015. години на 10,7% БДП у 2017. години, док ће у истом периоду дефицит текућих плаћања бити смање</w:t>
      </w:r>
      <w:r>
        <w:rPr>
          <w:rFonts w:ascii="Times New Roman" w:eastAsia="Times New Roman" w:hAnsi="Times New Roman" w:cs="Times New Roman"/>
          <w:sz w:val="24"/>
        </w:rPr>
        <w:t>н са 4,7% БДП на 3,9%. При томе ће у структури прилива капитала доминирати удео страних директних инвестиција које ће бити главни извор финансирања дефицита текућег рачуна.</w:t>
      </w: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Средњорочна и дугорочна одрживост салда на текућем рачуну зависиће од наставка сп</w:t>
      </w:r>
      <w:r>
        <w:rPr>
          <w:rFonts w:ascii="Times New Roman" w:eastAsia="Times New Roman" w:hAnsi="Times New Roman" w:cs="Times New Roman"/>
          <w:sz w:val="24"/>
        </w:rPr>
        <w:t>ровођења структурних реформи и повећања извозне конкурентности, али и од трошкова камата, који би у случају драстичног погоршања услова финансирања на иностраним тржиштима вршили снажан притисак на раст дефицита текућег рачуна. У том погледу веома важну ул</w:t>
      </w:r>
      <w:r>
        <w:rPr>
          <w:rFonts w:ascii="Times New Roman" w:eastAsia="Times New Roman" w:hAnsi="Times New Roman" w:cs="Times New Roman"/>
          <w:sz w:val="24"/>
        </w:rPr>
        <w:t>огу има одржива фискална позиција и смањивање унутрашњих макроекономских неравнотежа. Очекује се да ће смањење удела државне потрошње у БДП у 2017. години, утицати на постепено смањивање дефицита текућег рачуна. У периоду од 2018. до 2019. године очекује с</w:t>
      </w:r>
      <w:r>
        <w:rPr>
          <w:rFonts w:ascii="Times New Roman" w:eastAsia="Times New Roman" w:hAnsi="Times New Roman" w:cs="Times New Roman"/>
          <w:sz w:val="24"/>
        </w:rPr>
        <w:t>е наставак бржег реалног раста извоза робе и услуга (7,7% просечно годишње) од раста увоза робе и услуга од 6,1%, просечно годишње. Услед повећања инвестиционе активности значајан део увоза биће усмерен на капиталне и интермедијарне производе. Бржи раст из</w:t>
      </w:r>
      <w:r>
        <w:rPr>
          <w:rFonts w:ascii="Times New Roman" w:eastAsia="Times New Roman" w:hAnsi="Times New Roman" w:cs="Times New Roman"/>
          <w:sz w:val="24"/>
        </w:rPr>
        <w:t xml:space="preserve">воза робе и услуга од увоза омогућиће смањивање спољнотрговинског дефицита робе и услуга на 6,4% БДП у 2019. години. Такође, салдо на рачуну услуга ће бити позитиван и прогнозира се на 3,5% БДП, што је повећање од 1,3 п.п. БДП у односу на суфицит остварен </w:t>
      </w:r>
      <w:r>
        <w:rPr>
          <w:rFonts w:ascii="Times New Roman" w:eastAsia="Times New Roman" w:hAnsi="Times New Roman" w:cs="Times New Roman"/>
          <w:sz w:val="24"/>
        </w:rPr>
        <w:t>у 2015. години. Повољнија кретања нето извоза робе и услуга, првенствено као резултат промене структуре домаће привреде, допринеће смањивању спољне неравнотеже и ризика одрживости спољног дуга и екстерне ликвидности. Нижи ниво дефицита текућег рачуна са уд</w:t>
      </w:r>
      <w:r>
        <w:rPr>
          <w:rFonts w:ascii="Times New Roman" w:eastAsia="Times New Roman" w:hAnsi="Times New Roman" w:cs="Times New Roman"/>
          <w:sz w:val="24"/>
        </w:rPr>
        <w:t>елом од 3,9% у БДП на крају 2019. године, биће у потпуности покривен страним директним инвестицијама. Очекује се прилив на текућем рачуну платног биланса по основу текућих трансфера од 8,5% БДП, просечно годишње. Најважнија компонента у текућим трансферима</w:t>
      </w:r>
      <w:r>
        <w:rPr>
          <w:rFonts w:ascii="Times New Roman" w:eastAsia="Times New Roman" w:hAnsi="Times New Roman" w:cs="Times New Roman"/>
          <w:sz w:val="24"/>
        </w:rPr>
        <w:t xml:space="preserve"> су приходи од дознака, док су у оквиру факторских доходака кључни расходи по основу СДИ. Нето ефекат текућих трансфера и нето факторских плаћања у наредном трогодишњем периоду биће позитиван и прогнозира се да ће износити око 1,2 млрд евра, просечно годиш</w:t>
      </w:r>
      <w:r>
        <w:rPr>
          <w:rFonts w:ascii="Times New Roman" w:eastAsia="Times New Roman" w:hAnsi="Times New Roman" w:cs="Times New Roman"/>
          <w:sz w:val="24"/>
        </w:rPr>
        <w:t>ње, што ће бити довољно да покрије у просеку око 45% дефицита спољнотрговинског биланса роба и услуга. На основу пројектованог кретања спољнотрговинске размене, текућих трансфера и нето факторских прихода изведене су пројекције салда биланса текућих плаћањ</w:t>
      </w:r>
      <w:r>
        <w:rPr>
          <w:rFonts w:ascii="Times New Roman" w:eastAsia="Times New Roman" w:hAnsi="Times New Roman" w:cs="Times New Roman"/>
          <w:sz w:val="24"/>
        </w:rPr>
        <w:t xml:space="preserve">а. Биланс текућих плаћања биће негативан и износиће у периоду 2017–2019. године у просеку 1,5 млрд евра. При томе, у структури прилива капитала доминираће удео </w:t>
      </w:r>
      <w:r>
        <w:rPr>
          <w:rFonts w:ascii="Times New Roman" w:eastAsia="Times New Roman" w:hAnsi="Times New Roman" w:cs="Times New Roman"/>
          <w:sz w:val="24"/>
        </w:rPr>
        <w:lastRenderedPageBreak/>
        <w:t>страних директних инвестиција (4,4% БДП, просечно годишње) које ће бити главни извор финансирања</w:t>
      </w:r>
      <w:r>
        <w:rPr>
          <w:rFonts w:ascii="Times New Roman" w:eastAsia="Times New Roman" w:hAnsi="Times New Roman" w:cs="Times New Roman"/>
          <w:sz w:val="24"/>
        </w:rPr>
        <w:t xml:space="preserve"> дефицита текућег рачуна. Раст СДИ и њихова даља диверсификација ка сектору разменљивих добара допринеће даљем расту извоза и побољшању екстерне позиције земље.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Показатељ солвентности посматран као рацио спољни дуг према БДП побољшан је у првој половини 20</w:t>
      </w:r>
      <w:r>
        <w:rPr>
          <w:rFonts w:ascii="Times New Roman" w:eastAsia="Times New Roman" w:hAnsi="Times New Roman" w:cs="Times New Roman"/>
          <w:sz w:val="24"/>
        </w:rPr>
        <w:t>16. године у поређењу са крајем претходне године. Побољшање екстерне солвентности забележено је и посматрајући односе краткорочног дуга и БДП, као и спољног дуга и БДП. Код индикатора екстерне ликвидности регистровано је побољшање у учешћу отплате дуга у и</w:t>
      </w:r>
      <w:r>
        <w:rPr>
          <w:rFonts w:ascii="Times New Roman" w:eastAsia="Times New Roman" w:hAnsi="Times New Roman" w:cs="Times New Roman"/>
          <w:sz w:val="24"/>
        </w:rPr>
        <w:t>звозу робе и услуга. Према подацима НБС укупан спољни дуг на крају прве половине 2016. године износио је 25,8 млрд евра, и у поређењу са крајем 2015. године смањен је за 474 мил. евра. Смањење спољног дуга у овом периоду резултат је мање задужености банака</w:t>
      </w:r>
      <w:r>
        <w:rPr>
          <w:rFonts w:ascii="Times New Roman" w:eastAsia="Times New Roman" w:hAnsi="Times New Roman" w:cs="Times New Roman"/>
          <w:sz w:val="24"/>
        </w:rPr>
        <w:t xml:space="preserve"> и јавног сектора, услед већих отплата од повлачења, али и због слабљења америчког долара у односу на евро. Истовремено у структури спољног дуга, задуженост приватног сектора је смањена за 208,9 мил. евра и износила је 10,8 млрд евра, док је дуг јавног сек</w:t>
      </w:r>
      <w:r>
        <w:rPr>
          <w:rFonts w:ascii="Times New Roman" w:eastAsia="Times New Roman" w:hAnsi="Times New Roman" w:cs="Times New Roman"/>
          <w:sz w:val="24"/>
        </w:rPr>
        <w:t>тора смањен за 265,1 мил. евра и износио је око 15 млрд евра. Очекује се да ће укупан спољни дуг бележити силазни тренд највећим делом због стабилизације и смањења јавног спољног дуга. Према критеријумима Светске банке, земља је ниско задужена ако је однос</w:t>
      </w:r>
      <w:r>
        <w:rPr>
          <w:rFonts w:ascii="Times New Roman" w:eastAsia="Times New Roman" w:hAnsi="Times New Roman" w:cs="Times New Roman"/>
          <w:sz w:val="24"/>
        </w:rPr>
        <w:t xml:space="preserve"> спољног дуга и извоза робе и услуга испод 132%, а високо задужена ако је тај однос изнад 220%. Такође, земља је ниско задужена ако је однос спољног дуга и БДП испод 48%, а високо задужена ако је тај однос изнад 80%. Србија се према тим критеријумима налаз</w:t>
      </w:r>
      <w:r>
        <w:rPr>
          <w:rFonts w:ascii="Times New Roman" w:eastAsia="Times New Roman" w:hAnsi="Times New Roman" w:cs="Times New Roman"/>
          <w:sz w:val="24"/>
        </w:rPr>
        <w:t>и у категорији средње задужених земаља. Индикатори екстерне солвентности су побољшани почев од 2013. године. Рацио спољни дуг/извоз је значајно опао, док је учешће спољног дуга у БДП стабилизовано са започетим трендом благог смањења.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4. Ризици остварива</w:t>
      </w:r>
      <w:r>
        <w:rPr>
          <w:rFonts w:ascii="Times New Roman" w:eastAsia="Times New Roman" w:hAnsi="Times New Roman" w:cs="Times New Roman"/>
          <w:sz w:val="24"/>
        </w:rPr>
        <w:t>ња макроекономских пројекција за Републику Србију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Екстерни ризици детерминисани су динамиком привредног раста водећих економија, обимом глобалне трговине, волатилношћу на међународним финансијским и робним тржиштима, али и политичким ризицима који се пре свега односе на геополитичке тензије као и брзину и</w:t>
      </w:r>
      <w:r>
        <w:rPr>
          <w:rFonts w:ascii="Times New Roman" w:eastAsia="Times New Roman" w:hAnsi="Times New Roman" w:cs="Times New Roman"/>
          <w:sz w:val="24"/>
        </w:rPr>
        <w:t xml:space="preserve"> исход преговора између ЕУ и УК. Опоравак привреде Републике Србије у великој мери зависиће од брзине опоравка евро зоне и економија региона и по том основу повећања иностране тражње и прилива страног капитала, кретања иностраних каматних стопа, кретања ув</w:t>
      </w:r>
      <w:r>
        <w:rPr>
          <w:rFonts w:ascii="Times New Roman" w:eastAsia="Times New Roman" w:hAnsi="Times New Roman" w:cs="Times New Roman"/>
          <w:sz w:val="24"/>
        </w:rPr>
        <w:t>озних цена, цена хране, нафтних деривата и руде гвожђа на међународном тржишту. Један од ризика за привредни раст евро зоне, која је наш највећи спољнотрговински партнер, односи се на успоравање раста земаља у успону, пре свега Кине. Додатно смањење тражње</w:t>
      </w:r>
      <w:r>
        <w:rPr>
          <w:rFonts w:ascii="Times New Roman" w:eastAsia="Times New Roman" w:hAnsi="Times New Roman" w:cs="Times New Roman"/>
          <w:sz w:val="24"/>
        </w:rPr>
        <w:t xml:space="preserve"> из Кине, погодиће њене највеће спољнотрговинске партнере и може угрозити даљи опоравак привреде ЕУ, смањивањем тражње за њеним извозом. Такође, ребалансирање кинеске економије може у мери већој од очекиване утицати на наставак тренда успоравања раста глоб</w:t>
      </w:r>
      <w:r>
        <w:rPr>
          <w:rFonts w:ascii="Times New Roman" w:eastAsia="Times New Roman" w:hAnsi="Times New Roman" w:cs="Times New Roman"/>
          <w:sz w:val="24"/>
        </w:rPr>
        <w:t>алне трговине, преко смањења глобалне тражње и тиме наставка тренда ниских цена примарних производа на глобалном тржишту. Економски раст развијених земаља може бити додатно погоршан неповољним демографским трендовима и успоравањем раста инвестиција. У такв</w:t>
      </w:r>
      <w:r>
        <w:rPr>
          <w:rFonts w:ascii="Times New Roman" w:eastAsia="Times New Roman" w:hAnsi="Times New Roman" w:cs="Times New Roman"/>
          <w:sz w:val="24"/>
        </w:rPr>
        <w:t xml:space="preserve">им условима постоји опасност од смањења приватне потрошње, чиме се пролонгира тренд успореног раста и </w:t>
      </w:r>
      <w:r>
        <w:rPr>
          <w:rFonts w:ascii="Times New Roman" w:eastAsia="Times New Roman" w:hAnsi="Times New Roman" w:cs="Times New Roman"/>
          <w:sz w:val="24"/>
        </w:rPr>
        <w:lastRenderedPageBreak/>
        <w:t>ниске инфлације. Повећању ризика у погледу опоравка глобалне и европске привреде у великој мери доприноси неизвесност на међународном тржишту капитала вез</w:t>
      </w:r>
      <w:r>
        <w:rPr>
          <w:rFonts w:ascii="Times New Roman" w:eastAsia="Times New Roman" w:hAnsi="Times New Roman" w:cs="Times New Roman"/>
          <w:sz w:val="24"/>
        </w:rPr>
        <w:t xml:space="preserve">ана за одлуке водећих централних банака. Нормализација монетарне политике ФЕД и повећање референтне каматне стопе могло би да доведе до смањеног прилива капитала у земље у успону, што би у случају Србије појачало депрецијацијске притиске на динар. Додатну </w:t>
      </w:r>
      <w:r>
        <w:rPr>
          <w:rFonts w:ascii="Times New Roman" w:eastAsia="Times New Roman" w:hAnsi="Times New Roman" w:cs="Times New Roman"/>
          <w:sz w:val="24"/>
        </w:rPr>
        <w:t>неизвесност уносе непознанице око даљег продужења програма квантитативне релаксације ЕЦБ као и крајњи ефекти ових мера. Одступање цене нафте од пројектоване вредности могуће је у оба смера, те би раст већи од очекиваног имао за последицу смањење потрошње и</w:t>
      </w:r>
      <w:r>
        <w:rPr>
          <w:rFonts w:ascii="Times New Roman" w:eastAsia="Times New Roman" w:hAnsi="Times New Roman" w:cs="Times New Roman"/>
          <w:sz w:val="24"/>
        </w:rPr>
        <w:t xml:space="preserve"> погоршање финансисјке позиције привреде (петрохемијски комплекс, итд) што може успорити економску активност. Поред тога, кретања цена примарних пољопривредних производа и основних метала, који имају значајно учешће у српском извозу, представљају симетрича</w:t>
      </w:r>
      <w:r>
        <w:rPr>
          <w:rFonts w:ascii="Times New Roman" w:eastAsia="Times New Roman" w:hAnsi="Times New Roman" w:cs="Times New Roman"/>
          <w:sz w:val="24"/>
        </w:rPr>
        <w:t xml:space="preserve">н ризик за остваривање макроекономских пројекција.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 обзиром на низак ниво спољнотрговинске размене и међусобне повезаности економија Србије и УК, очекује се да ће директан утицај брегзита на српску привреду бити релативно мали. Међутим, ризик представљају ефекти овог процеса (очекује се да ће транзиција б</w:t>
      </w:r>
      <w:r>
        <w:rPr>
          <w:rFonts w:ascii="Times New Roman" w:eastAsia="Times New Roman" w:hAnsi="Times New Roman" w:cs="Times New Roman"/>
          <w:sz w:val="24"/>
        </w:rPr>
        <w:t>ити завршена 2019. године) на привреде наших главних спољнотрговинских партнера међу земљама евро зоне и могућност њиховог индиректног преливања. Промене у трговинском режиму услед изласка земље из ЕУ ће успорити трговинске токове. Процес преговарања ће до</w:t>
      </w:r>
      <w:r>
        <w:rPr>
          <w:rFonts w:ascii="Times New Roman" w:eastAsia="Times New Roman" w:hAnsi="Times New Roman" w:cs="Times New Roman"/>
          <w:sz w:val="24"/>
        </w:rPr>
        <w:t>датно допринети неизвесности на глобалним финансијским тржиштима у наредном периоду, како у погледу ценовних паритета и односа девизних курсева, тако и преко смањења кредитног рејтинга развијених земаља, а посредно и земаља у успону. Ток преговора ће утица</w:t>
      </w:r>
      <w:r>
        <w:rPr>
          <w:rFonts w:ascii="Times New Roman" w:eastAsia="Times New Roman" w:hAnsi="Times New Roman" w:cs="Times New Roman"/>
          <w:sz w:val="24"/>
        </w:rPr>
        <w:t>ти на повећање институционалне, економске и политичке неизвесности у ЕУ која би се могла прелити на глобалне трговинске и финансијске токове. У случају остварења неповољних ризика, наставиће се бег капитала из земаља у успону, а кредитни рејтинг већине зем</w:t>
      </w:r>
      <w:r>
        <w:rPr>
          <w:rFonts w:ascii="Times New Roman" w:eastAsia="Times New Roman" w:hAnsi="Times New Roman" w:cs="Times New Roman"/>
          <w:sz w:val="24"/>
        </w:rPr>
        <w:t xml:space="preserve">аља ће бити погоршан. Дугорочни ризик по ЕУ такође представља и могућност губитка плурализма у процесу одлучивања приликом дефинисања ЕУ политика када УК напусти Унију, посебно политикама из сфере регулације финансијских тржишта и банкарског сектора.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Поре</w:t>
      </w:r>
      <w:r>
        <w:rPr>
          <w:rFonts w:ascii="Times New Roman" w:eastAsia="Times New Roman" w:hAnsi="Times New Roman" w:cs="Times New Roman"/>
          <w:sz w:val="24"/>
        </w:rPr>
        <w:t>д екстерних ризика, остварење макроекономског сценарија изложено је и деловању интерних ризика. Треба истаћи да је њихов утицај мањи услед доследно спроведене фискалне консолидације, повољнијих изгледа привредног раста од очекиваног, смањене спољне неравно</w:t>
      </w:r>
      <w:r>
        <w:rPr>
          <w:rFonts w:ascii="Times New Roman" w:eastAsia="Times New Roman" w:hAnsi="Times New Roman" w:cs="Times New Roman"/>
          <w:sz w:val="24"/>
        </w:rPr>
        <w:t>теже и доследног спровођења аранжмана са ММФ. Основни сценарио развоја у наредне три године заснован је на повећању инвестиција, извоза роба и услуга, као и смањењу удела јавних расхода и дефицита у БДП. Кључна претпоставка за остваривање предвиђеног средњ</w:t>
      </w:r>
      <w:r>
        <w:rPr>
          <w:rFonts w:ascii="Times New Roman" w:eastAsia="Times New Roman" w:hAnsi="Times New Roman" w:cs="Times New Roman"/>
          <w:sz w:val="24"/>
        </w:rPr>
        <w:t xml:space="preserve">орочног сценарија је интензивирање структурних реформи уз очување фискалне стабилности. Темпо спровођења структурних реформи определиће динамику раста економске активности у средњем року. Одступање од наведених претпоставки представља ризик за остваривање </w:t>
      </w:r>
      <w:r>
        <w:rPr>
          <w:rFonts w:ascii="Times New Roman" w:eastAsia="Times New Roman" w:hAnsi="Times New Roman" w:cs="Times New Roman"/>
          <w:sz w:val="24"/>
        </w:rPr>
        <w:t xml:space="preserve">средњорочне макроекономске пројекције. Евентуално успоравање спровођења структурних мера, којима се обезбеђује стимулативан привредни амбијент утицао би на погоршање макроекономске позиције земље. Таква кретања би увећала спољне и унутрашње макроекономске </w:t>
      </w:r>
      <w:r>
        <w:rPr>
          <w:rFonts w:ascii="Times New Roman" w:eastAsia="Times New Roman" w:hAnsi="Times New Roman" w:cs="Times New Roman"/>
          <w:sz w:val="24"/>
        </w:rPr>
        <w:t xml:space="preserve">неравнотеже. Поред тога, дошло би до успоравања и заустављања неопходног прилива страног капитала.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II.</w:t>
      </w:r>
      <w:r>
        <w:rPr>
          <w:rFonts w:ascii="Times New Roman" w:eastAsia="Times New Roman" w:hAnsi="Times New Roman" w:cs="Times New Roman"/>
          <w:sz w:val="24"/>
        </w:rPr>
        <w:tab/>
        <w:t>ФИСКАЛНИ ОКВИР ЗА ПЕРИОД ОД 2017. ДО 2019. ГОДИНЕ</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keepLines/>
        <w:numPr>
          <w:ilvl w:val="0"/>
          <w:numId w:val="2"/>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Средњорочни циљеви фискалне политике</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Средњорочни циљ фискалне политике је дефицит у висини од 1% БД</w:t>
      </w:r>
      <w:r>
        <w:rPr>
          <w:rFonts w:ascii="Times New Roman" w:eastAsia="Times New Roman" w:hAnsi="Times New Roman" w:cs="Times New Roman"/>
          <w:sz w:val="24"/>
        </w:rPr>
        <w:t>П, што ће бити остварено у 2019. години. Тиме се јавне финансије у потпуности враћају на одрживу путању, а јавни дуг се смањује на 67% БДП. Задржавањем фискалног дефицита у распону од 0,5% до 1% БДП у наредном периоду обезбеђује се да учешће јавног дуга па</w:t>
      </w:r>
      <w:r>
        <w:rPr>
          <w:rFonts w:ascii="Times New Roman" w:eastAsia="Times New Roman" w:hAnsi="Times New Roman" w:cs="Times New Roman"/>
          <w:sz w:val="24"/>
        </w:rPr>
        <w:t xml:space="preserve">дне испод 60% након 2021. године.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Висок ниво јавног дуга, његов убрзан даљи раст, као и високи издаци за камате у 2014. години били су јасан сигнал да је неопходно ући у озбиљан програм фискалне консолидације. Ниво дуга износио је 71,8% БДП, издаци за кам</w:t>
      </w:r>
      <w:r>
        <w:rPr>
          <w:rFonts w:ascii="Times New Roman" w:eastAsia="Times New Roman" w:hAnsi="Times New Roman" w:cs="Times New Roman"/>
          <w:sz w:val="24"/>
        </w:rPr>
        <w:t>ате на годишњем нивоу 3% БДП, док је дефицит опште државе био 6,6% БДП. Припремљен је озбиљан програм фискалне консолидације, подржан од стране ММФ, који је формализован склапањем аранжмана из предострожности почетком 2015. године. Оцењено је да је за заус</w:t>
      </w:r>
      <w:r>
        <w:rPr>
          <w:rFonts w:ascii="Times New Roman" w:eastAsia="Times New Roman" w:hAnsi="Times New Roman" w:cs="Times New Roman"/>
          <w:sz w:val="24"/>
        </w:rPr>
        <w:t>тављање раста јавног дуга, односно смањење учешћа дуга у БДП неопходно структурно прилагођавање од око 4% БДП у периоду 2015–2017.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Структурно (трајно) смањење дефицита спроведено у прве две године програма фискалне консолидације превазишло је почет</w:t>
      </w:r>
      <w:r>
        <w:rPr>
          <w:rFonts w:ascii="Times New Roman" w:eastAsia="Times New Roman" w:hAnsi="Times New Roman" w:cs="Times New Roman"/>
          <w:sz w:val="24"/>
        </w:rPr>
        <w:t>на очекивања. Структурно смањење дефицита у 2015. години износило је 2,6% БДП, док се у 2016. години очекује прилагођавање од око 1,3% БДП. Кључни допринос структурном прилагођавању дало је смањење расхода (плата и пензија), док је повољно макроекономско о</w:t>
      </w:r>
      <w:r>
        <w:rPr>
          <w:rFonts w:ascii="Times New Roman" w:eastAsia="Times New Roman" w:hAnsi="Times New Roman" w:cs="Times New Roman"/>
          <w:sz w:val="24"/>
        </w:rPr>
        <w:t>кружење, уз јачање пореске и финансијске дисциплине, омогућило снажан раст прихода. Циљ програма фискалне консолидације било је структурно прилагођавање од 4% БДП, уз преокрет тренда јавног дуга. Доследно спровођење мера фискалне консолидације уз очекивани</w:t>
      </w:r>
      <w:r>
        <w:rPr>
          <w:rFonts w:ascii="Times New Roman" w:eastAsia="Times New Roman" w:hAnsi="Times New Roman" w:cs="Times New Roman"/>
          <w:sz w:val="24"/>
        </w:rPr>
        <w:t xml:space="preserve"> макроекономски опоравак резултирао је смањењем нивоа јавног дуга већ у 2016. години. Очекује се, такође, завршетак процеса рационализације и реструктурирања што ће довести до одрживог нивоа расходне стране буџета, док ће повољно макроекономско окружење и </w:t>
      </w:r>
      <w:r>
        <w:rPr>
          <w:rFonts w:ascii="Times New Roman" w:eastAsia="Times New Roman" w:hAnsi="Times New Roman" w:cs="Times New Roman"/>
          <w:sz w:val="24"/>
        </w:rPr>
        <w:t>борба против сиве економије утицати на бржи раст прихода. Комбиновано, ова два процеса ће омогућити стварање фискалног простора који креаторима економске политике обезбеђује већи број опција при доношењу одлука. Након завршетка структурног прилагођавања на</w:t>
      </w:r>
      <w:r>
        <w:rPr>
          <w:rFonts w:ascii="Times New Roman" w:eastAsia="Times New Roman" w:hAnsi="Times New Roman" w:cs="Times New Roman"/>
          <w:sz w:val="24"/>
        </w:rPr>
        <w:t xml:space="preserve">ступиће други талас смањења фискалног дефицита услед аутоматског пада расхода за камате, који су у претходном периоду у одређеној мери неутралисали ефекте спроведених мера.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Враћање фискалног дефицита и нивоа јавног дуга на одрживу путању олакшаће приступ </w:t>
      </w:r>
      <w:r>
        <w:rPr>
          <w:rFonts w:ascii="Times New Roman" w:eastAsia="Times New Roman" w:hAnsi="Times New Roman" w:cs="Times New Roman"/>
          <w:sz w:val="24"/>
        </w:rPr>
        <w:t>међународном финансијском тржишту. Снижавање каматних стопа и враћање поверења код кредитора обезбедиће јефтиније кредите који би даљим трансакцијама заменили најскупље и тиме додатно поправили фискалну позицију. Повољне кредитне линије су неопходне држави</w:t>
      </w:r>
      <w:r>
        <w:rPr>
          <w:rFonts w:ascii="Times New Roman" w:eastAsia="Times New Roman" w:hAnsi="Times New Roman" w:cs="Times New Roman"/>
          <w:sz w:val="24"/>
        </w:rPr>
        <w:t xml:space="preserve"> с обзиром на неопходност даљег улагања у инфраструктуру, али и приватном сектору како би привреда увећала инвестициона улагања што би заједно обезбедило наставак путање стабилног и одрживог раста.</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keepLines/>
        <w:numPr>
          <w:ilvl w:val="0"/>
          <w:numId w:val="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Фискална кретања у 2015. години</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Програм економских рефор</w:t>
      </w:r>
      <w:r>
        <w:rPr>
          <w:rFonts w:ascii="Times New Roman" w:eastAsia="Times New Roman" w:hAnsi="Times New Roman" w:cs="Times New Roman"/>
          <w:sz w:val="24"/>
        </w:rPr>
        <w:t xml:space="preserve">ми који је започет крајем 2014. године заокружен је склапањем трогодишњег стенд-бај аранжмана са ММФ у фебруару 2015. године. Висок и </w:t>
      </w:r>
      <w:r>
        <w:rPr>
          <w:rFonts w:ascii="Times New Roman" w:eastAsia="Times New Roman" w:hAnsi="Times New Roman" w:cs="Times New Roman"/>
          <w:sz w:val="24"/>
        </w:rPr>
        <w:lastRenderedPageBreak/>
        <w:t>растући јавни дуг опште државе од 71,8% БДП на крају 2014. године и дефицит опште државе од 6,6% БДП у 2014. години били с</w:t>
      </w:r>
      <w:r>
        <w:rPr>
          <w:rFonts w:ascii="Times New Roman" w:eastAsia="Times New Roman" w:hAnsi="Times New Roman" w:cs="Times New Roman"/>
          <w:sz w:val="24"/>
        </w:rPr>
        <w:t>у јасни сигнали за неопходност спровођења нових мера фискалне консолидације. Како би се обезбедио кредибилитет ових мера, постигла стабилност и резистентност финансијског сектора, повећала конкурентност и потпомогао раст, Република Србија је у фебруару 201</w:t>
      </w:r>
      <w:r>
        <w:rPr>
          <w:rFonts w:ascii="Times New Roman" w:eastAsia="Times New Roman" w:hAnsi="Times New Roman" w:cs="Times New Roman"/>
          <w:sz w:val="24"/>
        </w:rPr>
        <w:t>5. године склопила трогодишњи стенд-бај аранжман са ММФ у износу од око 1,2 млрд евра, односно 200% квоте (935,4 милиона SDR). Буџет за 2015. годину донет је у складу са циљем да се поставе основе за здрав економски раст, достигне макроекономска стабилност</w:t>
      </w:r>
      <w:r>
        <w:rPr>
          <w:rFonts w:ascii="Times New Roman" w:eastAsia="Times New Roman" w:hAnsi="Times New Roman" w:cs="Times New Roman"/>
          <w:sz w:val="24"/>
        </w:rPr>
        <w:t xml:space="preserve"> и обезбеди одржив фискални систем. Тиме је настављено спровођење мера фискалне консолидације чија је имплементација отпочела крајем 2014. године. У трогодишњем периоду предвиђено је структурно фискално прилагођавање од 4%, с тим што је највећи део, од око</w:t>
      </w:r>
      <w:r>
        <w:rPr>
          <w:rFonts w:ascii="Times New Roman" w:eastAsia="Times New Roman" w:hAnsi="Times New Roman" w:cs="Times New Roman"/>
          <w:sz w:val="24"/>
        </w:rPr>
        <w:t xml:space="preserve"> 2,6%, спроведен већ до краја 2015.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Након вишегодишњих неуспешних покушаја да се отклони структурни дефицит, имплементиран је програм који подразумева трајно отклањање фискалних неравнотежа. Дефицит опште државе смањен је са 6,6% БДП у 2014. години</w:t>
      </w:r>
      <w:r>
        <w:rPr>
          <w:rFonts w:ascii="Times New Roman" w:eastAsia="Times New Roman" w:hAnsi="Times New Roman" w:cs="Times New Roman"/>
          <w:sz w:val="24"/>
        </w:rPr>
        <w:t xml:space="preserve"> на 3,7% БДП на крају 2015. године. Дефицит опште државе у 2015. години износио је 149,1 млрд динара што је далеко мање од 232 млрд динара, колико је планирано буџетом за ту годину и од 258,1 млрд динара колико је износио у 2014. години. При томе, знатан д</w:t>
      </w:r>
      <w:r>
        <w:rPr>
          <w:rFonts w:ascii="Times New Roman" w:eastAsia="Times New Roman" w:hAnsi="Times New Roman" w:cs="Times New Roman"/>
          <w:sz w:val="24"/>
        </w:rPr>
        <w:t>ео дефицита (преко 85%) чинили су трошкови камата, тако да је примарни дефицит износио свега 0,5% БДП. Смањење укупног дефицита за 2,9% БДП представља значајан резултат. Међутим, да би се стекла слика о структурном прилагођавању потребно је одвојити нето у</w:t>
      </w:r>
      <w:r>
        <w:rPr>
          <w:rFonts w:ascii="Times New Roman" w:eastAsia="Times New Roman" w:hAnsi="Times New Roman" w:cs="Times New Roman"/>
          <w:sz w:val="24"/>
        </w:rPr>
        <w:t xml:space="preserve">тицај привремених чинилаца, како на приходној тако и на расходној страни, чијим искључивањем се долази до 2,6% БДП структурног примарног фискалног прилагођавања спроведеног у првој години консолидације. </w:t>
      </w:r>
    </w:p>
    <w:p w:rsidR="00BE17C7" w:rsidRDefault="00BE17C7">
      <w:pPr>
        <w:spacing w:after="0" w:line="240" w:lineRule="auto"/>
        <w:jc w:val="center"/>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Главне мере програма фискалне консолидације односиле су се на прилагођавање расходне стране буџета опште државе, док је на приходној страни приоритет дат борби против сиве економије и пореске евазије. Примарне мере фискалне консолидације биле су смањење пл</w:t>
      </w:r>
      <w:r>
        <w:rPr>
          <w:rFonts w:ascii="Times New Roman" w:eastAsia="Times New Roman" w:hAnsi="Times New Roman" w:cs="Times New Roman"/>
          <w:sz w:val="24"/>
        </w:rPr>
        <w:t>ата у јавном сектору и пензија, чији је укупни ефекат око 1,7% БДП. Мера линеарног умањења 10% од износа нето зарада запослених који примају преко 25.000 динара обухватила је целокупни јавни сектор, укључујући све кориснике буџета, јавна предузећа, локалну</w:t>
      </w:r>
      <w:r>
        <w:rPr>
          <w:rFonts w:ascii="Times New Roman" w:eastAsia="Times New Roman" w:hAnsi="Times New Roman" w:cs="Times New Roman"/>
          <w:sz w:val="24"/>
        </w:rPr>
        <w:t xml:space="preserve"> администрацију и остале ентитете који се сврставају у јавни сектор. Ефекти ове мере могу се видети како на расходној страни, због мањих плата исплаћених из републичког буџета, тако и на приходној страни, јер се приходи од смањења зарада за запослене на ос</w:t>
      </w:r>
      <w:r>
        <w:rPr>
          <w:rFonts w:ascii="Times New Roman" w:eastAsia="Times New Roman" w:hAnsi="Times New Roman" w:cs="Times New Roman"/>
          <w:sz w:val="24"/>
        </w:rPr>
        <w:t>талим нивоима власти евидентирају као непорески приход буџета. Истовремено, уведено је прогресивно смањење пензија за све пензионере који остварују примања преко 25.000 динара. Пензије које износе између 25.000 и 40.000 динара смањене су за 22% на износ пр</w:t>
      </w:r>
      <w:r>
        <w:rPr>
          <w:rFonts w:ascii="Times New Roman" w:eastAsia="Times New Roman" w:hAnsi="Times New Roman" w:cs="Times New Roman"/>
          <w:sz w:val="24"/>
        </w:rPr>
        <w:t xml:space="preserve">еко 25.000 динара, док су све пензије преко 40.000 динара додатно смањене за 25% на износ преко 40.000 динара. Одређени успех је постигнут и на плану рационализације и реформе јавне управе. Иако планирани обим није остварен, ипак је дошло до смањења броја </w:t>
      </w:r>
      <w:r>
        <w:rPr>
          <w:rFonts w:ascii="Times New Roman" w:eastAsia="Times New Roman" w:hAnsi="Times New Roman" w:cs="Times New Roman"/>
          <w:sz w:val="24"/>
        </w:rPr>
        <w:t>запослених у јавном сектору, што је углавном последица природног одлива (примена правила 5:1 које се тиче односа броја запослених који одлазе на основу природног одлива и новог запошљавања). Током године на снази је била суспензија индексације плата у јавн</w:t>
      </w:r>
      <w:r>
        <w:rPr>
          <w:rFonts w:ascii="Times New Roman" w:eastAsia="Times New Roman" w:hAnsi="Times New Roman" w:cs="Times New Roman"/>
          <w:sz w:val="24"/>
        </w:rPr>
        <w:t xml:space="preserve">ом сектору и пензија. Отпочео је и обиман процес реформе јавне управе који обухвата законска решења којима се уређује систем зарада у сектору државе, систем платних разреда, унапређење регистра запослених у јавном </w:t>
      </w:r>
      <w:r>
        <w:rPr>
          <w:rFonts w:ascii="Times New Roman" w:eastAsia="Times New Roman" w:hAnsi="Times New Roman" w:cs="Times New Roman"/>
          <w:sz w:val="24"/>
        </w:rPr>
        <w:lastRenderedPageBreak/>
        <w:t>сектору, каталогизација радних места, одре</w:t>
      </w:r>
      <w:r>
        <w:rPr>
          <w:rFonts w:ascii="Times New Roman" w:eastAsia="Times New Roman" w:hAnsi="Times New Roman" w:cs="Times New Roman"/>
          <w:sz w:val="24"/>
        </w:rPr>
        <w:t xml:space="preserve">ђивање максималног броја запослених за појединачне институције и план смањења односно оптимизације структуре запослених у сектору државе.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Велики број пореских стопа измењен је у периоду пре 2015. године тако да је простор за измене пореске политике био ог</w:t>
      </w:r>
      <w:r>
        <w:rPr>
          <w:rFonts w:ascii="Times New Roman" w:eastAsia="Times New Roman" w:hAnsi="Times New Roman" w:cs="Times New Roman"/>
          <w:sz w:val="24"/>
        </w:rPr>
        <w:t xml:space="preserve">раничен. У 2015. години повећана је цена приступа систему за транспорт природног гаса чиме су обезбеђена средства за ЈП „Србијагас”, што смањује потребу за средствима из буџета, уведена је акциза на електричну енергију за крајњу потрошњу, која се плаћа </w:t>
      </w:r>
      <w:r>
        <w:rPr>
          <w:rFonts w:ascii="Times New Roman" w:eastAsia="Times New Roman" w:hAnsi="Times New Roman" w:cs="Times New Roman"/>
          <w:i/>
          <w:sz w:val="24"/>
        </w:rPr>
        <w:t xml:space="preserve">ad </w:t>
      </w:r>
      <w:r>
        <w:rPr>
          <w:rFonts w:ascii="Times New Roman" w:eastAsia="Times New Roman" w:hAnsi="Times New Roman" w:cs="Times New Roman"/>
          <w:i/>
          <w:sz w:val="24"/>
        </w:rPr>
        <w:t>valorem</w:t>
      </w:r>
      <w:r>
        <w:rPr>
          <w:rFonts w:ascii="Times New Roman" w:eastAsia="Times New Roman" w:hAnsi="Times New Roman" w:cs="Times New Roman"/>
          <w:sz w:val="24"/>
        </w:rPr>
        <w:t xml:space="preserve"> у износу од 7,5% и акциза на електронске цигарете. Уведена је, такође, и накнада за обавезне резерве нафте и деривате нафте, која се плаћа по литру или килограму нафтних деривата и која се евидентира на категорији непореских прихода.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Повољно макрое</w:t>
      </w:r>
      <w:r>
        <w:rPr>
          <w:rFonts w:ascii="Times New Roman" w:eastAsia="Times New Roman" w:hAnsi="Times New Roman" w:cs="Times New Roman"/>
          <w:sz w:val="24"/>
        </w:rPr>
        <w:t xml:space="preserve">кономско окружење, добри резултати у борби против сиве економије и пореске евазије и повећање финансијске дисциплине код корисника јавних средстава главни су фактори добрих фискалних резултата у 2015.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опште државе у 2015. години били су ви</w:t>
      </w:r>
      <w:r>
        <w:rPr>
          <w:rFonts w:ascii="Times New Roman" w:eastAsia="Times New Roman" w:hAnsi="Times New Roman" w:cs="Times New Roman"/>
          <w:sz w:val="24"/>
        </w:rPr>
        <w:t>ши у односу на претходну годину за 74,1 млрд динара, односно 4,6%, номинално. У поређењу са износом који је планиран буџетом разлика је још већа, око 96 млрд динара (2,4% БДП). Непорески приходи су највише допринели повећању јавних прихода у 2015. години с</w:t>
      </w:r>
      <w:r>
        <w:rPr>
          <w:rFonts w:ascii="Times New Roman" w:eastAsia="Times New Roman" w:hAnsi="Times New Roman" w:cs="Times New Roman"/>
          <w:sz w:val="24"/>
        </w:rPr>
        <w:t>а номиналним растом од око 30%, односно 51,2 млрд динара. Ови приходи су углавном једнократни и у одређеној мери неизвесни, како по питању износа, тако и по питању тренутка уплате, те је њихово одступање у односу на буџет очекивано. Највећи пораст ових при</w:t>
      </w:r>
      <w:r>
        <w:rPr>
          <w:rFonts w:ascii="Times New Roman" w:eastAsia="Times New Roman" w:hAnsi="Times New Roman" w:cs="Times New Roman"/>
          <w:sz w:val="24"/>
        </w:rPr>
        <w:t>хода у односу на 2014. годину (преко 41 млрд динара) забележен је код ванредних непореских прихода који укључују: уплате добити јавних предузећа и агенција, дивиденде буџета, приходе по основу наплаћених потраживања Агенције за осигурање депозита, емисионе</w:t>
      </w:r>
      <w:r>
        <w:rPr>
          <w:rFonts w:ascii="Times New Roman" w:eastAsia="Times New Roman" w:hAnsi="Times New Roman" w:cs="Times New Roman"/>
          <w:sz w:val="24"/>
        </w:rPr>
        <w:t xml:space="preserve"> премије итд. У прилог чињеници да је ове хетерогене приходе веома тешко планирати може се навести и податак да је остварени износ премашио планирани за преко 20 млрд динара, односно око 0,5% БДП. Главни разлог оваквог пребачаја је већи износ дивиденди и д</w:t>
      </w:r>
      <w:r>
        <w:rPr>
          <w:rFonts w:ascii="Times New Roman" w:eastAsia="Times New Roman" w:hAnsi="Times New Roman" w:cs="Times New Roman"/>
          <w:sz w:val="24"/>
        </w:rPr>
        <w:t xml:space="preserve">обити из претходних година уплаћених у буџет од стране јавних предузећа и привредних друштава у државном власништву, што је резултат јачања финансијске дисциплине јавног сектора.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Раст пореских прихода у највећој мери резултат је раста прихода од акцизе и </w:t>
      </w:r>
      <w:r>
        <w:rPr>
          <w:rFonts w:ascii="Times New Roman" w:eastAsia="Times New Roman" w:hAnsi="Times New Roman" w:cs="Times New Roman"/>
          <w:sz w:val="24"/>
        </w:rPr>
        <w:t>ПДВ. Акцизни приходи остварили су раст од 23,3 млрд динара, односно 11% номинално у односу на 2014. годину, што је највећим делом резултат успешне борбе против нелегалног тржишта акцизних производа, постигнут сузбијањем илегалног тржишта дуванских производ</w:t>
      </w:r>
      <w:r>
        <w:rPr>
          <w:rFonts w:ascii="Times New Roman" w:eastAsia="Times New Roman" w:hAnsi="Times New Roman" w:cs="Times New Roman"/>
          <w:sz w:val="24"/>
        </w:rPr>
        <w:t>а и бољом контролом промета нафтних деривата кроз увођење система маркирања горива. Мере на сузбијању нелегалне трговине дуванских производа почеле су да дају резултате крајем 2014. и током 2015. године. Легално тржиште дуванских прерађевина (паклица цигар</w:t>
      </w:r>
      <w:r>
        <w:rPr>
          <w:rFonts w:ascii="Times New Roman" w:eastAsia="Times New Roman" w:hAnsi="Times New Roman" w:cs="Times New Roman"/>
          <w:sz w:val="24"/>
        </w:rPr>
        <w:t>ета) је у 2013. и 2014. години, количински изражено, опало за 20% и 15%, респективно. У другој половини 2014. године дошло је до опоравка који је донекле ублажио пад продаје на легалном тржишту са почетка године. Према расположивим подацима, на крају 2015.</w:t>
      </w:r>
      <w:r>
        <w:rPr>
          <w:rFonts w:ascii="Times New Roman" w:eastAsia="Times New Roman" w:hAnsi="Times New Roman" w:cs="Times New Roman"/>
          <w:sz w:val="24"/>
        </w:rPr>
        <w:t xml:space="preserve"> године раст продаје износио је око 11,4%, што представља први пример раста легалног тржишта неколико година уназад. Треба напоменути да је пре 2013. године просечни годишњи пад потрошње био прилично уједначен, износио је 2–4%, и може се приписати „природн</w:t>
      </w:r>
      <w:r>
        <w:rPr>
          <w:rFonts w:ascii="Times New Roman" w:eastAsia="Times New Roman" w:hAnsi="Times New Roman" w:cs="Times New Roman"/>
          <w:sz w:val="24"/>
        </w:rPr>
        <w:t>ом” паду потрошње услед тренда раста цена дуванских производа и глобалне кампање против конзумирања дуванских производа. Поред обима, крајње је незахвално предвидети структуру легалног тржишта, ценовну реакцију произвођача и друге факторе. Део раста акцизн</w:t>
      </w:r>
      <w:r>
        <w:rPr>
          <w:rFonts w:ascii="Times New Roman" w:eastAsia="Times New Roman" w:hAnsi="Times New Roman" w:cs="Times New Roman"/>
          <w:sz w:val="24"/>
        </w:rPr>
        <w:t xml:space="preserve">их прихода у </w:t>
      </w:r>
      <w:r>
        <w:rPr>
          <w:rFonts w:ascii="Times New Roman" w:eastAsia="Times New Roman" w:hAnsi="Times New Roman" w:cs="Times New Roman"/>
          <w:sz w:val="24"/>
        </w:rPr>
        <w:lastRenderedPageBreak/>
        <w:t>односу на 2014. годину дугује се увођењу акциза на електричну енергију и редовном законском усклађивању акциза. Остварени приходи од ПДВ су премашили план и истовремено забележили раст у односу на 2014. годину. Током 2015. године наплата ПДВ ј</w:t>
      </w:r>
      <w:r>
        <w:rPr>
          <w:rFonts w:ascii="Times New Roman" w:eastAsia="Times New Roman" w:hAnsi="Times New Roman" w:cs="Times New Roman"/>
          <w:sz w:val="24"/>
        </w:rPr>
        <w:t>е бележила боље резултате од очекиваних услед убрзања привредне активности и раста зарада у приватном сектору, слабијих ефеката мера фискалне консолидације на кретање приватне потрошње и дохотка, повећаног прилива по основу дознака из иностранства, појачан</w:t>
      </w:r>
      <w:r>
        <w:rPr>
          <w:rFonts w:ascii="Times New Roman" w:eastAsia="Times New Roman" w:hAnsi="Times New Roman" w:cs="Times New Roman"/>
          <w:sz w:val="24"/>
        </w:rPr>
        <w:t xml:space="preserve">е кредитне активности банака и појачаних мера на сузбијању сиве економије, посебно у области акцизних производа. У односу на 2014. годину ови приходи су остварили номинални раст од 1,6%, односно 6,5 млрд динара.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Ефикасност наплате ПДВ и оцена пореске ева</w:t>
      </w:r>
      <w:r>
        <w:rPr>
          <w:rFonts w:ascii="Times New Roman" w:eastAsia="Times New Roman" w:hAnsi="Times New Roman" w:cs="Times New Roman"/>
          <w:i/>
          <w:sz w:val="24"/>
        </w:rPr>
        <w:t>зије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Резултати ефикасније наплате и контроле пореских обвезника су евидентни и очекује се да ће тај тренд бити настављен и у наредном периоду. Смањење пореске дисциплине током 2013. године заустављено је у 2014. години и досадашњи трендови указују на повећ</w:t>
      </w:r>
      <w:r>
        <w:rPr>
          <w:rFonts w:ascii="Times New Roman" w:eastAsia="Times New Roman" w:hAnsi="Times New Roman" w:cs="Times New Roman"/>
          <w:sz w:val="24"/>
        </w:rPr>
        <w:t xml:space="preserve">ање пореске наплате. Пад пореске дисциплине је стабилизован у првој половини 2014. године, и током 2015. године дошло је до повећања пореске наплате. Анализа и утврђивање тзв. јаза наплате ПДВ додатно потврђује наведене закључке. Овај показатељ је креиран </w:t>
      </w:r>
      <w:r>
        <w:rPr>
          <w:rFonts w:ascii="Times New Roman" w:eastAsia="Times New Roman" w:hAnsi="Times New Roman" w:cs="Times New Roman"/>
          <w:sz w:val="24"/>
        </w:rPr>
        <w:t>у циљу сагледавања ефикасности наплате ПДВ и оцене пореске евазије (</w:t>
      </w:r>
      <w:r>
        <w:rPr>
          <w:rFonts w:ascii="Times New Roman" w:eastAsia="Times New Roman" w:hAnsi="Times New Roman" w:cs="Times New Roman"/>
          <w:i/>
          <w:sz w:val="24"/>
        </w:rPr>
        <w:t>compliancy gap</w:t>
      </w:r>
      <w:r>
        <w:rPr>
          <w:rFonts w:ascii="Times New Roman" w:eastAsia="Times New Roman" w:hAnsi="Times New Roman" w:cs="Times New Roman"/>
          <w:sz w:val="24"/>
        </w:rPr>
        <w:t>), али и у циљу оцене системске издашности пореског система (</w:t>
      </w:r>
      <w:r>
        <w:rPr>
          <w:rFonts w:ascii="Times New Roman" w:eastAsia="Times New Roman" w:hAnsi="Times New Roman" w:cs="Times New Roman"/>
          <w:i/>
          <w:sz w:val="24"/>
        </w:rPr>
        <w:t>policy gap</w:t>
      </w:r>
      <w:r>
        <w:rPr>
          <w:rFonts w:ascii="Times New Roman" w:eastAsia="Times New Roman" w:hAnsi="Times New Roman" w:cs="Times New Roman"/>
          <w:sz w:val="24"/>
        </w:rPr>
        <w:t>). Овај аналитички показатељ бележи константан пад након 2008. године и достиже минимум од око 80% у 20</w:t>
      </w:r>
      <w:r>
        <w:rPr>
          <w:rFonts w:ascii="Times New Roman" w:eastAsia="Times New Roman" w:hAnsi="Times New Roman" w:cs="Times New Roman"/>
          <w:sz w:val="24"/>
        </w:rPr>
        <w:t>13. години. Пад у 2013. години, пре свега је последица повећања опште стопе ПДВ и „бежањаˮ промета у сиву зону. Свака промена пореских стопа уводи одређену дисторзију и у структури и нивоу потрошње, као и обиму сивог тржишта и самим тим утиче на ефикасност</w:t>
      </w:r>
      <w:r>
        <w:rPr>
          <w:rFonts w:ascii="Times New Roman" w:eastAsia="Times New Roman" w:hAnsi="Times New Roman" w:cs="Times New Roman"/>
          <w:sz w:val="24"/>
        </w:rPr>
        <w:t xml:space="preserve"> наплате свих облика пореза на потрошњу. Стопе ПДВ повећаване су у два наврата, прво општа у 2012, па посебна у 2014. години. У почетном периоду изостали су пуни ефекти нових стопа услед погоршаног степена наплате. Стабилизација потрошње и раст степена нап</w:t>
      </w:r>
      <w:r>
        <w:rPr>
          <w:rFonts w:ascii="Times New Roman" w:eastAsia="Times New Roman" w:hAnsi="Times New Roman" w:cs="Times New Roman"/>
          <w:sz w:val="24"/>
        </w:rPr>
        <w:t>лате остварен је са одређеним временским помаком.</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2014. години забележено је побољшање ефикасности наплате ПДВ, док је у 2015. години јаз наплате смањен за 4 процентна поена у односу на забележени минимум. Тиме су потврђени први значајни кораци у борби п</w:t>
      </w:r>
      <w:r>
        <w:rPr>
          <w:rFonts w:ascii="Times New Roman" w:eastAsia="Times New Roman" w:hAnsi="Times New Roman" w:cs="Times New Roman"/>
          <w:sz w:val="24"/>
        </w:rPr>
        <w:t>ротив сиве економије. Такође, побољшање ПДВ наплате крајем 2014. године и током 2015. године резултат је ефикасније наплате акциза на дуванске производе и нафтне деривате и последично пореза на додату вредност који се обрачунава на наведене акцизне произво</w:t>
      </w:r>
      <w:r>
        <w:rPr>
          <w:rFonts w:ascii="Times New Roman" w:eastAsia="Times New Roman" w:hAnsi="Times New Roman" w:cs="Times New Roman"/>
          <w:sz w:val="24"/>
        </w:rPr>
        <w:t>де.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Постоји велики простор за додатна унапређења пореске наплате у наредном периоду. И поред повећања пореске дисциплине у претходним месецима, наставиће се даље јачање пореске администрације доследним спровођењем Програма трансформације Пореске управе у ц</w:t>
      </w:r>
      <w:r>
        <w:rPr>
          <w:rFonts w:ascii="Times New Roman" w:eastAsia="Times New Roman" w:hAnsi="Times New Roman" w:cs="Times New Roman"/>
          <w:sz w:val="24"/>
        </w:rPr>
        <w:t xml:space="preserve">иљу побољшања наплате прихода. Процењује се да је у 2015. години тзв. јаз наплате ПДВ износио око 15%. Циљ је да овај показатељ ефикасности наплате достигне ниво од око 10% до 2020. године. Наведено побољшање у наплати довело би до повећања прихода од ПДВ </w:t>
      </w:r>
      <w:r>
        <w:rPr>
          <w:rFonts w:ascii="Times New Roman" w:eastAsia="Times New Roman" w:hAnsi="Times New Roman" w:cs="Times New Roman"/>
          <w:sz w:val="24"/>
        </w:rPr>
        <w:t xml:space="preserve">од 1,8% БДП у посматраном периоду. </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При обрачуну ефикасности наплате коришћене су процењене ефективне пореске стопе ПДВ добијене на основу података из пореских пријава ПДВ и одговарајући царински подаци о структури увоза. Када се овај обрачун буде ста</w:t>
      </w:r>
      <w:r>
        <w:rPr>
          <w:rFonts w:ascii="Times New Roman" w:eastAsia="Times New Roman" w:hAnsi="Times New Roman" w:cs="Times New Roman"/>
          <w:sz w:val="24"/>
        </w:rPr>
        <w:t xml:space="preserve">ндардизовао могуће су промене у добијеним резултатима.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од доприноса обавезног социјалног осигурања премашили су буџетом планиран износ за 21,6 млрд динара, односно преко 0,5% БДП. Ово је резултат бољих макроекономских перформанси привреде чиме је</w:t>
      </w:r>
      <w:r>
        <w:rPr>
          <w:rFonts w:ascii="Times New Roman" w:eastAsia="Times New Roman" w:hAnsi="Times New Roman" w:cs="Times New Roman"/>
          <w:sz w:val="24"/>
        </w:rPr>
        <w:t xml:space="preserve"> омогућено да раст зарада у приватном сектору добрим делом компензује смањење зарада у јавном сектору, тако да укупна маса зарада није забележила пад који се очекивао. Изостао је, такође, ефекат рационализације броја запослених у јавном сектору. На боље ос</w:t>
      </w:r>
      <w:r>
        <w:rPr>
          <w:rFonts w:ascii="Times New Roman" w:eastAsia="Times New Roman" w:hAnsi="Times New Roman" w:cs="Times New Roman"/>
          <w:sz w:val="24"/>
        </w:rPr>
        <w:t>тварење прихода по овом основу деловале су и успешне мере контроле на тржишту рада. Истовремено, фактори који су утицали на бољу наплату доприноса определили су и кретање прихода од пореза на доходак чија наплата је премашила план за око 5,5 млрд динара, о</w:t>
      </w:r>
      <w:r>
        <w:rPr>
          <w:rFonts w:ascii="Times New Roman" w:eastAsia="Times New Roman" w:hAnsi="Times New Roman" w:cs="Times New Roman"/>
          <w:sz w:val="24"/>
        </w:rPr>
        <w:t>дносно за нешто више од 0,1%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2015. години први пут се бележи номинални раст прихода од царина након што је крајем 2014. године приведен крају процес усклађивања царинских стопа. Као што је био случај пре примене ССП, дошло је до успостављања новог р</w:t>
      </w:r>
      <w:r>
        <w:rPr>
          <w:rFonts w:ascii="Times New Roman" w:eastAsia="Times New Roman" w:hAnsi="Times New Roman" w:cs="Times New Roman"/>
          <w:sz w:val="24"/>
        </w:rPr>
        <w:t>елативно стабилног односа између прихода од увозног ПДВ и царина. Приходи од царина су се континуирано смањивали почев од 2009. године услед примене Споразума о стабилизацији и придруживању са ЕУ, Споразума о слободној трговини са ЕФТА и Споразума о слобод</w:t>
      </w:r>
      <w:r>
        <w:rPr>
          <w:rFonts w:ascii="Times New Roman" w:eastAsia="Times New Roman" w:hAnsi="Times New Roman" w:cs="Times New Roman"/>
          <w:sz w:val="24"/>
        </w:rPr>
        <w:t>ној трговини са Турском, као и постепеног смањивања и укидања појединих царинских стопа. Може се претпоставити да је и даље присутна промена у самој структури и пореклу увезене робе са подручја са мањим царинским оптерећењем.</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Пад економске активности током</w:t>
      </w:r>
      <w:r>
        <w:rPr>
          <w:rFonts w:ascii="Times New Roman" w:eastAsia="Times New Roman" w:hAnsi="Times New Roman" w:cs="Times New Roman"/>
          <w:sz w:val="24"/>
        </w:rPr>
        <w:t xml:space="preserve"> 2014. године и смањена профитабилност привреде утицали су на мању наплату прихода од пореза на добит. Иако је током 2014. године остварена боља наплата овог пореског облика као резултат измена Закона о порезу на добит правних лица (2013. година) којом је </w:t>
      </w:r>
      <w:r>
        <w:rPr>
          <w:rFonts w:ascii="Times New Roman" w:eastAsia="Times New Roman" w:hAnsi="Times New Roman" w:cs="Times New Roman"/>
          <w:sz w:val="24"/>
        </w:rPr>
        <w:t>повећана стопа пореза на добит са 10% на 15%, и повољних кретања на пољу профитабилности привредних друштава (реални раст БДП од 2,6% у 2013. години), током 2015. године дошло је до значајног пада прилива по овом основу. Рецесија у 2014. години (реални пад</w:t>
      </w:r>
      <w:r>
        <w:rPr>
          <w:rFonts w:ascii="Times New Roman" w:eastAsia="Times New Roman" w:hAnsi="Times New Roman" w:cs="Times New Roman"/>
          <w:sz w:val="24"/>
        </w:rPr>
        <w:t xml:space="preserve"> БДП од 1,8%, добрим делом услед мајских поплава), пад профитабилности привреде, неповољна кретања курса, промена рачуноводствених стандарда по којима се рачуна добитак/губитак по основу курсних разлика у финансијским извештајима привредних субјеката итд. </w:t>
      </w:r>
      <w:r>
        <w:rPr>
          <w:rFonts w:ascii="Times New Roman" w:eastAsia="Times New Roman" w:hAnsi="Times New Roman" w:cs="Times New Roman"/>
          <w:sz w:val="24"/>
        </w:rPr>
        <w:t>неки су од фактора који су утицали на мању наплату овог пореског облика. Такође, ефекти измене прописа којим се регулише наплата пореза на добит из 2013. године (укидање пореских олакшица) делимично су неутралисали слаб резултат наплате у 2015. години. Пла</w:t>
      </w:r>
      <w:r>
        <w:rPr>
          <w:rFonts w:ascii="Times New Roman" w:eastAsia="Times New Roman" w:hAnsi="Times New Roman" w:cs="Times New Roman"/>
          <w:sz w:val="24"/>
        </w:rPr>
        <w:t>ниран раст прихода по овом основу је изостао и забележено је смањење од 10 млрд динара у односу на 2014. годину, што је номинални пад од 13,9%. Подбачај у односу на план износио је око 13,3 млрд динара, односно око 0,3% БДП. Остали порески приходи остварил</w:t>
      </w:r>
      <w:r>
        <w:rPr>
          <w:rFonts w:ascii="Times New Roman" w:eastAsia="Times New Roman" w:hAnsi="Times New Roman" w:cs="Times New Roman"/>
          <w:sz w:val="24"/>
        </w:rPr>
        <w:t xml:space="preserve">и су раст у поређењу са 2014. годином од око 6 млрд динара (10,4%), док је план премашен за око 9 млрд динара, (0,2% БДП) највећим делом због повећане наплате пореза на имовину услед промене начина обрачуна пореске основице.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Расходи опште државе забележил</w:t>
      </w:r>
      <w:r>
        <w:rPr>
          <w:rFonts w:ascii="Times New Roman" w:eastAsia="Times New Roman" w:hAnsi="Times New Roman" w:cs="Times New Roman"/>
          <w:sz w:val="24"/>
        </w:rPr>
        <w:t>и су смањење у односу на 2014. годину од око 34,9 млрд динара, односно 1,9%, али су у односу на план већи за око 13,2 млрд динара, односно око 0,3% БДП. На расходној страни највеће одступање је забележено код субвенција које су веће од нивоа из 2014. годин</w:t>
      </w:r>
      <w:r>
        <w:rPr>
          <w:rFonts w:ascii="Times New Roman" w:eastAsia="Times New Roman" w:hAnsi="Times New Roman" w:cs="Times New Roman"/>
          <w:sz w:val="24"/>
        </w:rPr>
        <w:t xml:space="preserve">е за 17,7 млрд динара, односно 15,2%, док су план премашиле за 30,5 млрд динара, односно 0,8% БДП. Субвенције су повећане у односу на буџетирани износ због преузимања дуга ЈП „Србијагас” из ранијих година у износу од 23,4 млрд динара. Поред тога, повећане </w:t>
      </w:r>
      <w:r>
        <w:rPr>
          <w:rFonts w:ascii="Times New Roman" w:eastAsia="Times New Roman" w:hAnsi="Times New Roman" w:cs="Times New Roman"/>
          <w:sz w:val="24"/>
        </w:rPr>
        <w:t xml:space="preserve">су и пољопривредне субвенције у износу од 10,1 млрд динара, што је последица регулативно-административних мањкавости </w:t>
      </w:r>
      <w:r>
        <w:rPr>
          <w:rFonts w:ascii="Times New Roman" w:eastAsia="Times New Roman" w:hAnsi="Times New Roman" w:cs="Times New Roman"/>
          <w:sz w:val="24"/>
        </w:rPr>
        <w:lastRenderedPageBreak/>
        <w:t>због којих у 2015. години нису постигнуте предвиђене уштеде које су се односиле на укидање пољопривредних субвенција за површине преко 20 х</w:t>
      </w:r>
      <w:r>
        <w:rPr>
          <w:rFonts w:ascii="Times New Roman" w:eastAsia="Times New Roman" w:hAnsi="Times New Roman" w:cs="Times New Roman"/>
          <w:sz w:val="24"/>
        </w:rPr>
        <w:t xml:space="preserve">ектара и за земљу у власништву Републике узету у закуп.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Растући јавни дуг последично води све већим расходима за камате из године у годину. Забележен је раст трошкова камата у односу на претходну годину за 12,8%. Ипак, услед бољих фискалних резултата и бо</w:t>
      </w:r>
      <w:r>
        <w:rPr>
          <w:rFonts w:ascii="Times New Roman" w:eastAsia="Times New Roman" w:hAnsi="Times New Roman" w:cs="Times New Roman"/>
          <w:sz w:val="24"/>
        </w:rPr>
        <w:t xml:space="preserve">љих услова задуживања, остварени издаци за камате су били мањи од планираног износа. Остали расходи су остварени уз мања позитивна и негативна одступања у односу на план, која се у укупном износу потиру, осим расхода за робе и услуге, који су пробили план </w:t>
      </w:r>
      <w:r>
        <w:rPr>
          <w:rFonts w:ascii="Times New Roman" w:eastAsia="Times New Roman" w:hAnsi="Times New Roman" w:cs="Times New Roman"/>
          <w:sz w:val="24"/>
        </w:rPr>
        <w:t>и то највећи делом због пребачаја извршења расхода на нивоу локалних самоуправа.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Капитални расходи су забележили подбачај у односу на средства предвиђена буџетом, што представља дугогодишњи проблем и препреку потенцијалном расту. Иако је остварен раст од 1</w:t>
      </w:r>
      <w:r>
        <w:rPr>
          <w:rFonts w:ascii="Times New Roman" w:eastAsia="Times New Roman" w:hAnsi="Times New Roman" w:cs="Times New Roman"/>
          <w:sz w:val="24"/>
        </w:rPr>
        <w:t>7,9 млрд динара, односно 18,5% у односу на 2014. годину (2,8% БДП), није достигнут ниво предвиђен буџетом (3,1% БДП). Слабија реализација капиталних расхода у претходном периоду иницирала је потребу за израдом регулативе којом би се омогућило боље и ефикас</w:t>
      </w:r>
      <w:r>
        <w:rPr>
          <w:rFonts w:ascii="Times New Roman" w:eastAsia="Times New Roman" w:hAnsi="Times New Roman" w:cs="Times New Roman"/>
          <w:sz w:val="24"/>
        </w:rPr>
        <w:t>није управљање јавним инвестицијама и повећање учешћа капиталних расхода у наредним годинама.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Део мера фискалне консолидације није спроведен, или се спроводио успорено, те се део расхода планиран за њихово спровођење није реализовао. Планирана су била већа</w:t>
      </w:r>
      <w:r>
        <w:rPr>
          <w:rFonts w:ascii="Times New Roman" w:eastAsia="Times New Roman" w:hAnsi="Times New Roman" w:cs="Times New Roman"/>
          <w:sz w:val="24"/>
        </w:rPr>
        <w:t xml:space="preserve"> средства за накнаде за незапослене. Мање отпремнине везане за рационализацију делом су компензоване нешто већим расходима за плате, управо због изостанка рационализације у планираном обиму. Код социјалних давања је такође измењена структура у односу на пл</w:t>
      </w:r>
      <w:r>
        <w:rPr>
          <w:rFonts w:ascii="Times New Roman" w:eastAsia="Times New Roman" w:hAnsi="Times New Roman" w:cs="Times New Roman"/>
          <w:sz w:val="24"/>
        </w:rPr>
        <w:t>анирану. Нижа реализација отпремнина за предузећа у реструктурирању и накнада за незапослене компензована је непланираним расходима по основу измирења дуга према војним пензионерима у износу од 10 млрд динара. Укупни непланирани, а исплаћени, једнократни р</w:t>
      </w:r>
      <w:r>
        <w:rPr>
          <w:rFonts w:ascii="Times New Roman" w:eastAsia="Times New Roman" w:hAnsi="Times New Roman" w:cs="Times New Roman"/>
          <w:sz w:val="24"/>
        </w:rPr>
        <w:t>асходи у 2015. износили су око 43 млрд динара, односно 1,1% БДП.</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4. Приходи, расходи и резултат опште државе у 2014. и 2015. години, % БДП</w:t>
      </w:r>
    </w:p>
    <w:tbl>
      <w:tblPr>
        <w:tblW w:w="0" w:type="auto"/>
        <w:tblInd w:w="-5" w:type="dxa"/>
        <w:tblCellMar>
          <w:left w:w="10" w:type="dxa"/>
          <w:right w:w="10" w:type="dxa"/>
        </w:tblCellMar>
        <w:tblLook w:val="0000"/>
      </w:tblPr>
      <w:tblGrid>
        <w:gridCol w:w="3896"/>
        <w:gridCol w:w="1574"/>
        <w:gridCol w:w="1575"/>
        <w:gridCol w:w="1575"/>
      </w:tblGrid>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Остварење 2014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План 2015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Остварење 2015</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ПРИХОДИ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41,9</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Текући приходи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41,2</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39,3</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41,7</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Порески приходи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34,6</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36,2</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доходак грађана</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добит правних лица</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додату вредност</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9,9</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10,3</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Царине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порески приходи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Доприноси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13,0</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12,0</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12,5</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Непорески приходи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Донације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РАСХОДИ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48,1</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45,3</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45,6</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Текући расходи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42,0</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Расходи за запослене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11,7</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10,4</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Куповина робе и услуга</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камата</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Социјална помоћ и трансфери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17,6</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од чега пензије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13,0</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12,2</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12,1</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текући расходи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Капитални расходи</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Нето буџетске позајмице</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по основу гаранција</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r>
      <w:tr w:rsidR="00BE17C7">
        <w:tblPrEx>
          <w:tblCellMar>
            <w:top w:w="0" w:type="dxa"/>
            <w:bottom w:w="0" w:type="dxa"/>
          </w:tblCellMar>
        </w:tblPrEx>
        <w:trPr>
          <w:trHeight w:val="202"/>
        </w:trPr>
        <w:tc>
          <w:tcPr>
            <w:tcW w:w="3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РЕЗУЛТАТ</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tabs>
          <w:tab w:val="left" w:pos="709"/>
        </w:tabs>
        <w:spacing w:after="0" w:line="240" w:lineRule="auto"/>
        <w:ind w:firstLine="720"/>
        <w:jc w:val="both"/>
        <w:rPr>
          <w:rFonts w:ascii="Times New Roman" w:eastAsia="Times New Roman" w:hAnsi="Times New Roman" w:cs="Times New Roman"/>
          <w:sz w:val="24"/>
        </w:rPr>
      </w:pPr>
    </w:p>
    <w:p w:rsidR="00BE17C7" w:rsidRDefault="00843F0B">
      <w:pPr>
        <w:tabs>
          <w:tab w:val="left" w:pos="709"/>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Стање доцњи буџетских корисника и организација обавезног социјалног осигурања последњег дана 2015. године износило је 6,8 млрд динара (око 0,2% БДП), што је мање у односу на крај 2014. године за 2,6 млрд динара. Корисници буџета и ЈП „Путеви Србије”, сма</w:t>
      </w:r>
      <w:r>
        <w:rPr>
          <w:rFonts w:ascii="Times New Roman" w:eastAsia="Times New Roman" w:hAnsi="Times New Roman" w:cs="Times New Roman"/>
          <w:sz w:val="24"/>
        </w:rPr>
        <w:t>њили су доцње у плаћању за 0,8 млрд динара, док су организације обавезног социјалног осигурања смањиле доцње за 1,8 млрд динара.</w:t>
      </w:r>
    </w:p>
    <w:p w:rsidR="00BE17C7" w:rsidRDefault="00BE17C7">
      <w:pPr>
        <w:tabs>
          <w:tab w:val="left" w:pos="709"/>
        </w:tabs>
        <w:spacing w:after="0" w:line="240" w:lineRule="auto"/>
        <w:ind w:firstLine="720"/>
        <w:jc w:val="both"/>
        <w:rPr>
          <w:rFonts w:ascii="Times New Roman" w:eastAsia="Times New Roman" w:hAnsi="Times New Roman" w:cs="Times New Roman"/>
          <w:sz w:val="24"/>
        </w:rPr>
      </w:pPr>
    </w:p>
    <w:p w:rsidR="00BE17C7" w:rsidRDefault="00843F0B">
      <w:pPr>
        <w:tabs>
          <w:tab w:val="left" w:pos="709"/>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5. Стање доцњи у плаћању буџетских корисника и ООСО, у млрд динара</w:t>
      </w:r>
    </w:p>
    <w:tbl>
      <w:tblPr>
        <w:tblW w:w="0" w:type="auto"/>
        <w:tblInd w:w="-5" w:type="dxa"/>
        <w:tblCellMar>
          <w:left w:w="10" w:type="dxa"/>
          <w:right w:w="10" w:type="dxa"/>
        </w:tblCellMar>
        <w:tblLook w:val="0000"/>
      </w:tblPr>
      <w:tblGrid>
        <w:gridCol w:w="4857"/>
        <w:gridCol w:w="1904"/>
        <w:gridCol w:w="1904"/>
      </w:tblGrid>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31.12.2014.</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 xml:space="preserve"> 31.12.2015.</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Буџетски корисници и ЈП „Путеви Србијеˮ</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ООСО</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9,4</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r>
    </w:tbl>
    <w:p w:rsidR="00BE17C7" w:rsidRDefault="00BE17C7">
      <w:pPr>
        <w:keepNext/>
        <w:keepLines/>
        <w:spacing w:after="0" w:line="240" w:lineRule="auto"/>
        <w:ind w:left="720"/>
        <w:rPr>
          <w:rFonts w:ascii="Times New Roman" w:eastAsia="Times New Roman" w:hAnsi="Times New Roman" w:cs="Times New Roman"/>
          <w:sz w:val="24"/>
        </w:rPr>
      </w:pPr>
    </w:p>
    <w:p w:rsidR="00BE17C7" w:rsidRDefault="00843F0B">
      <w:pPr>
        <w:keepNext/>
        <w:keepLines/>
        <w:numPr>
          <w:ilvl w:val="0"/>
          <w:numId w:val="4"/>
        </w:num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Текућа фискална кретања и изгледи за 2016. годину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2016. години успешно је настављено спровођење програма фискалне консолидације у оквиру реализације аранжмана са ММФ. Процењено структурно прилагођавање у 2016. години износиће 1,3% БДП. Након веома успешне 2015. године, када је остварено структурно фиска</w:t>
      </w:r>
      <w:r>
        <w:rPr>
          <w:rFonts w:ascii="Times New Roman" w:eastAsia="Times New Roman" w:hAnsi="Times New Roman" w:cs="Times New Roman"/>
          <w:sz w:val="24"/>
        </w:rPr>
        <w:t>лно прилагођавање од 2,6% БДП, према најновијим проценама очекује се да ће у 2016. години оно износити додатних 1,3% БДП. Укупно структурно прилагођавање од 3,9% током две године спровођења програма фискалне консолидације, омогућава остваривање циља предви</w:t>
      </w:r>
      <w:r>
        <w:rPr>
          <w:rFonts w:ascii="Times New Roman" w:eastAsia="Times New Roman" w:hAnsi="Times New Roman" w:cs="Times New Roman"/>
          <w:sz w:val="24"/>
        </w:rPr>
        <w:t xml:space="preserve">ђеног аранжманом са ММФ који износи 4,1% БДП прилагођавања у трогодишњем периоду. Програм економских реформи спроводи се током 2016. године уз минималне измене. Крајем 2015. године благо је релаксирана политика зарада и пензија, док су на приходној страни </w:t>
      </w:r>
      <w:r>
        <w:rPr>
          <w:rFonts w:ascii="Times New Roman" w:eastAsia="Times New Roman" w:hAnsi="Times New Roman" w:cs="Times New Roman"/>
          <w:sz w:val="24"/>
        </w:rPr>
        <w:t>спроведене компензаторне мере подизањем акциза на нафтне деривате. Усвојене су мере којима се на категорији субвенција остварују значајне уштеде. Структурно прилагођавање у 2016. години настављено је и путем рационализације броја запослених у јавном сектор</w:t>
      </w:r>
      <w:r>
        <w:rPr>
          <w:rFonts w:ascii="Times New Roman" w:eastAsia="Times New Roman" w:hAnsi="Times New Roman" w:cs="Times New Roman"/>
          <w:sz w:val="24"/>
        </w:rPr>
        <w:t>у, при чему су након дубљих анализа крајњи циљеви у некој мери редуковани. Приметно је успоравање раста броја пензионера делом и због спроведене параметарске реформе пензионог система. На приходној страни буџета настављен је тренд побољшања ефикасности нап</w:t>
      </w:r>
      <w:r>
        <w:rPr>
          <w:rFonts w:ascii="Times New Roman" w:eastAsia="Times New Roman" w:hAnsi="Times New Roman" w:cs="Times New Roman"/>
          <w:sz w:val="24"/>
        </w:rPr>
        <w:t xml:space="preserve">лате пореских прихода.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6. Процењени елементи структурног прилагођавања у 2016. години, % БДП</w:t>
      </w:r>
    </w:p>
    <w:p w:rsidR="00BE17C7" w:rsidRDefault="00BE17C7">
      <w:pPr>
        <w:spacing w:after="0" w:line="240" w:lineRule="auto"/>
        <w:jc w:val="center"/>
        <w:rPr>
          <w:rFonts w:ascii="Times New Roman" w:eastAsia="Times New Roman" w:hAnsi="Times New Roman" w:cs="Times New Roman"/>
          <w:sz w:val="24"/>
        </w:rPr>
      </w:pPr>
    </w:p>
    <w:tbl>
      <w:tblPr>
        <w:tblW w:w="0" w:type="auto"/>
        <w:jc w:val="center"/>
        <w:tblCellMar>
          <w:left w:w="10" w:type="dxa"/>
          <w:right w:w="10" w:type="dxa"/>
        </w:tblCellMar>
        <w:tblLook w:val="0000"/>
      </w:tblPr>
      <w:tblGrid>
        <w:gridCol w:w="6825"/>
        <w:gridCol w:w="1585"/>
      </w:tblGrid>
      <w:tr w:rsidR="00BE17C7">
        <w:tblPrEx>
          <w:tblCellMar>
            <w:top w:w="0" w:type="dxa"/>
            <w:bottom w:w="0" w:type="dxa"/>
          </w:tblCellMar>
        </w:tblPrEx>
        <w:trPr>
          <w:trHeight w:val="250"/>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Акцизе на деривате нафте - повећање стопа и раст потрошње</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0,28</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Акцизе на дуван</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0,10</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Акциза на електричну енергију - додатни ефекти у односу на 2015. год.</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0,27</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Дивиденде „Телеком Србијаˮ а.д.</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0,21</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Пољопривредне субвенције - уштеде по основу нове регулативе</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0,24</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Рационализација из 2015. год. - пренети ефекат (апроксимација)</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0,12</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Успоравање раста броја пензионера (апроксимација)</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0,15</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Повећање зарада и пензија - нето ефекти</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-0,29</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Остало (ефикасност наплате, смањење сиве економије)</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0,24</w:t>
            </w:r>
          </w:p>
        </w:tc>
      </w:tr>
      <w:tr w:rsidR="00BE17C7">
        <w:tblPrEx>
          <w:tblCellMar>
            <w:top w:w="0" w:type="dxa"/>
            <w:bottom w:w="0" w:type="dxa"/>
          </w:tblCellMar>
        </w:tblPrEx>
        <w:trPr>
          <w:trHeight w:val="246"/>
          <w:jc w:val="center"/>
        </w:trPr>
        <w:tc>
          <w:tcPr>
            <w:tcW w:w="682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Укупно структурно прилагођавање </w:t>
            </w:r>
          </w:p>
        </w:tc>
        <w:tc>
          <w:tcPr>
            <w:tcW w:w="158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1,32</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shd w:val="clear" w:color="auto" w:fill="FF0000"/>
        </w:rPr>
      </w:pPr>
      <w:r>
        <w:rPr>
          <w:rFonts w:ascii="Times New Roman" w:eastAsia="Times New Roman" w:hAnsi="Times New Roman" w:cs="Times New Roman"/>
          <w:sz w:val="24"/>
        </w:rPr>
        <w:t>Фискални дефицит опште државе у 2016. години, према најновијим проценама, биће за 1,8% БДП нижи од планираног, с тим да постоји вероватноћа да у одређеној мери буде још нижи. Током шесте ревизије аранжмана са ММФ усаглашен је нови макроекономски и фискални</w:t>
      </w:r>
      <w:r>
        <w:rPr>
          <w:rFonts w:ascii="Times New Roman" w:eastAsia="Times New Roman" w:hAnsi="Times New Roman" w:cs="Times New Roman"/>
          <w:sz w:val="24"/>
        </w:rPr>
        <w:t xml:space="preserve"> оквир представљен у овој Фискалној стратегији. Утврђена је нова процена прихода, расхода и дефицита опште државе, при чему је предвиђени фискални дефицит нижи за 74,3 млрд динара од планираног. У обзир су узета најновија макроекономска кретања и процене, </w:t>
      </w:r>
      <w:r>
        <w:rPr>
          <w:rFonts w:ascii="Times New Roman" w:eastAsia="Times New Roman" w:hAnsi="Times New Roman" w:cs="Times New Roman"/>
          <w:sz w:val="24"/>
        </w:rPr>
        <w:t>фискална кретања од почетка 2016. године, као и очекивана реализација одређених једнократних категорија расхода који нису били обухваћени планом. Услед могућег нижег извршења на одређеним категоријама расхода од максимално утврђених, постоји могућност да ф</w:t>
      </w:r>
      <w:r>
        <w:rPr>
          <w:rFonts w:ascii="Times New Roman" w:eastAsia="Times New Roman" w:hAnsi="Times New Roman" w:cs="Times New Roman"/>
          <w:sz w:val="24"/>
        </w:rPr>
        <w:t xml:space="preserve">искални резултат у 2016. години буде повољнији од планираног овим оквиром.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Први пут након 2005. године биће забележен примарни фискални суфицит, уједно и показатељ нивоа и успешности фискалне консолидације, и предуслов за смањење учешћа нивоа јавног дуга </w:t>
      </w:r>
      <w:r>
        <w:rPr>
          <w:rFonts w:ascii="Times New Roman" w:eastAsia="Times New Roman" w:hAnsi="Times New Roman" w:cs="Times New Roman"/>
          <w:sz w:val="24"/>
        </w:rPr>
        <w:t>у БДП. Процењује се да ће у 2016. години бити достигнут примарни фискални суфицит од минимум 1,2% БДП. Овај резултат показује да су мере фискалне консолидације постигле жељене ефекте и да је јавна потрошња у довољној мери редукована. С друге стране, у наре</w:t>
      </w:r>
      <w:r>
        <w:rPr>
          <w:rFonts w:ascii="Times New Roman" w:eastAsia="Times New Roman" w:hAnsi="Times New Roman" w:cs="Times New Roman"/>
          <w:sz w:val="24"/>
        </w:rPr>
        <w:t>дном периоду повољна фискална кретања и побољшање каматне структуре дуга обезбедиће стабилизацију апсолутног нивоа издатака за камате и смањење њиховог учешћа у БДП. Тиме се отвара простор за одређени обим фискалне релаксације, који не би угрозио основне ц</w:t>
      </w:r>
      <w:r>
        <w:rPr>
          <w:rFonts w:ascii="Times New Roman" w:eastAsia="Times New Roman" w:hAnsi="Times New Roman" w:cs="Times New Roman"/>
          <w:sz w:val="24"/>
        </w:rPr>
        <w:t xml:space="preserve">иљеве програма.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Заустављање раста учешћа јавног дуга у БДП је примарни циљ програма фискалне консолидације и остварен је годину дана раније него што је било предвиђено. Путања учешћа јавног дуга у БДП биће преокренута у 2016. години, након вишегодишњег тр</w:t>
      </w:r>
      <w:r>
        <w:rPr>
          <w:rFonts w:ascii="Times New Roman" w:eastAsia="Times New Roman" w:hAnsi="Times New Roman" w:cs="Times New Roman"/>
          <w:sz w:val="24"/>
        </w:rPr>
        <w:t>енда раста. Предвиђено је да учешће нивоа јавног дуга достигне 74,6% БДП у 2016. години наспрам 76% БДП на крају 2015. године. Смањивање фискалног дефицита и остварен примарни суфицит у 2016. години, су најзначајнији фактори који су утицали на опадајућу пу</w:t>
      </w:r>
      <w:r>
        <w:rPr>
          <w:rFonts w:ascii="Times New Roman" w:eastAsia="Times New Roman" w:hAnsi="Times New Roman" w:cs="Times New Roman"/>
          <w:sz w:val="24"/>
        </w:rPr>
        <w:t>тању учешћа дуга у БДП. Убрзање привредног раста и достизање више стопе реалног раста и номиналног износа БДП од предвиђених, такође је утицало позитивно на кретања учешћа јавног дуга. Ови фактори би требало да имају структурни утицај на висину учешћа јавн</w:t>
      </w:r>
      <w:r>
        <w:rPr>
          <w:rFonts w:ascii="Times New Roman" w:eastAsia="Times New Roman" w:hAnsi="Times New Roman" w:cs="Times New Roman"/>
          <w:sz w:val="24"/>
        </w:rPr>
        <w:t xml:space="preserve">ог дуга, док су се током 2016. године материјализовали и фактори чији је утицај на кретање учешћа јавног дуга био привременог карактера. Као и код кретања расхода за камате, повољна кретања на међународном девизном тржишту (посебно курс америчког долара), </w:t>
      </w:r>
      <w:r>
        <w:rPr>
          <w:rFonts w:ascii="Times New Roman" w:eastAsia="Times New Roman" w:hAnsi="Times New Roman" w:cs="Times New Roman"/>
          <w:sz w:val="24"/>
        </w:rPr>
        <w:t>утицала су на нижу вредност динарски израженог износа јавног дуга у 2016. години. Такође, задовољавајући ниво ликвидности допринео је да се не приступи емисији појединих краткорочних хартија од вредности. Иако постоје ризици да у наредном периоду кретања н</w:t>
      </w:r>
      <w:r>
        <w:rPr>
          <w:rFonts w:ascii="Times New Roman" w:eastAsia="Times New Roman" w:hAnsi="Times New Roman" w:cs="Times New Roman"/>
          <w:sz w:val="24"/>
        </w:rPr>
        <w:t xml:space="preserve">а међународном девизном тржишту неповољно делују на кретање јавног дуга, планирана путања фискалног резултата обезбедиће наставак позитивног тренда започетог у 2016. години. С друге стране, интензивирана су повлачења средстава </w:t>
      </w:r>
      <w:r>
        <w:rPr>
          <w:rFonts w:ascii="Times New Roman" w:eastAsia="Times New Roman" w:hAnsi="Times New Roman" w:cs="Times New Roman"/>
          <w:sz w:val="24"/>
        </w:rPr>
        <w:lastRenderedPageBreak/>
        <w:t>по основу финансирања пројект</w:t>
      </w:r>
      <w:r>
        <w:rPr>
          <w:rFonts w:ascii="Times New Roman" w:eastAsia="Times New Roman" w:hAnsi="Times New Roman" w:cs="Times New Roman"/>
          <w:sz w:val="24"/>
        </w:rPr>
        <w:t xml:space="preserve">них зајмова, што се сматра позитивним јер тај део средстава јавног дуга свакако поседује развојну компоненту. </w:t>
      </w:r>
    </w:p>
    <w:p w:rsidR="00BE17C7" w:rsidRDefault="00BE17C7">
      <w:pPr>
        <w:spacing w:after="0" w:line="240" w:lineRule="auto"/>
        <w:jc w:val="center"/>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Бољој фискалној позицији тј. нижем дефициту у 2016. години, допринеће боље извршење јавних прихода у односу на план. Пројекција прихода ревидира</w:t>
      </w:r>
      <w:r>
        <w:rPr>
          <w:rFonts w:ascii="Times New Roman" w:eastAsia="Times New Roman" w:hAnsi="Times New Roman" w:cs="Times New Roman"/>
          <w:sz w:val="24"/>
        </w:rPr>
        <w:t>на је навише за 108,2 млрд динара, при чему су подједнак допринос бољој реализацији дали и порески и непорески приходи. Пројекција расхода ревидирана је такође навише у нешто нижем износу, али са значајнијим изменама у структури. Промене у структури расход</w:t>
      </w:r>
      <w:r>
        <w:rPr>
          <w:rFonts w:ascii="Times New Roman" w:eastAsia="Times New Roman" w:hAnsi="Times New Roman" w:cs="Times New Roman"/>
          <w:sz w:val="24"/>
        </w:rPr>
        <w:t xml:space="preserve">а настале су услед измена појединачних категорија расхода, због промењеног обухвата расхода појединих нивоа власти и њихове динамике извршења и предвиђеног извршења одређених једнократних расхода који нису иницијално планирани.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7. Приходи, расходи</w:t>
      </w:r>
      <w:r>
        <w:rPr>
          <w:rFonts w:ascii="Times New Roman" w:eastAsia="Times New Roman" w:hAnsi="Times New Roman" w:cs="Times New Roman"/>
          <w:sz w:val="24"/>
        </w:rPr>
        <w:t xml:space="preserve"> и резултат сектора државе у 2016. години – буџет и процена заснована на шестој ревизији аранжмана са ММФ, у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2851"/>
        <w:gridCol w:w="1152"/>
        <w:gridCol w:w="1164"/>
        <w:gridCol w:w="1152"/>
        <w:gridCol w:w="1186"/>
        <w:gridCol w:w="1164"/>
      </w:tblGrid>
      <w:tr w:rsidR="00BE17C7">
        <w:tblPrEx>
          <w:tblCellMar>
            <w:top w:w="0" w:type="dxa"/>
            <w:bottom w:w="0" w:type="dxa"/>
          </w:tblCellMar>
        </w:tblPrEx>
        <w:trPr>
          <w:trHeight w:val="676"/>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Буџет 2016</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Нова процена 2016</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Разлика</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Промена, %</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Нова процена, % БДП</w:t>
            </w:r>
          </w:p>
        </w:tc>
      </w:tr>
      <w:tr w:rsidR="00BE17C7">
        <w:tblPrEx>
          <w:tblCellMar>
            <w:top w:w="0" w:type="dxa"/>
            <w:bottom w:w="0" w:type="dxa"/>
          </w:tblCellMar>
        </w:tblPrEx>
        <w:trPr>
          <w:trHeight w:val="233"/>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ПРИХОДИ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1.711,5</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1.819,7</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108,2</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43,3</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Текући приходи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1.697,2</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1.809,3</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112,1</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43,0</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Порески приходи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1.513,0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1.572,8</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59,8</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37,4</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доходак грађана</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149,5</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155,1</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5,6</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добит правних лица</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64,5</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78,5</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14,0</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21,7</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додату вредност</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427,0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447,6</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20,6</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10,6</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254,3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265,2</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10,9</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Царине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34,8</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36,3</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порески приходи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65,5</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64,2</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Доприноси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517,4</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525,9</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8,5</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12,5</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Непорески приходи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184,2</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236,6</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52,4</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28,4</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5,6</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Донације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10,4</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РАСХОДИ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1.875,0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1.908,9</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33,9</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45,4</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Текући расходи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1.719,9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1.736,2</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16,2</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41,3</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Расходи за запослене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432,0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422,60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-9,4</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10,1</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Куповина робе и услуга</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271,3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286,86</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15,5</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камата</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144,9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138,60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111,6</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120,40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8,8</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Социјална помоћ и трансфери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715,7</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716,30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17,0</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од чега пензије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507,9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496,30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11,8</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текући расходи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44,3</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51,40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Капитални расходи</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120,8</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130,20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9,4</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Нето буџетске позајмице</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59,1</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по основу гаранција</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32,0</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39,00</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Резултат</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-163,5</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-89,1</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74,3</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r>
      <w:tr w:rsidR="00BE17C7">
        <w:tblPrEx>
          <w:tblCellMar>
            <w:top w:w="0" w:type="dxa"/>
            <w:bottom w:w="0" w:type="dxa"/>
          </w:tblCellMar>
        </w:tblPrEx>
        <w:trPr>
          <w:trHeight w:val="221"/>
        </w:trPr>
        <w:tc>
          <w:tcPr>
            <w:tcW w:w="28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Резултат у % БДП</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c>
          <w:tcPr>
            <w:tcW w:w="11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c>
          <w:tcPr>
            <w:tcW w:w="118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16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jc w:val="both"/>
        <w:rPr>
          <w:rFonts w:ascii="Times New Roman" w:eastAsia="Times New Roman" w:hAnsi="Times New Roman" w:cs="Times New Roman"/>
          <w:sz w:val="18"/>
        </w:rPr>
      </w:pPr>
    </w:p>
    <w:p w:rsidR="00BE17C7" w:rsidRDefault="00843F0B">
      <w:pPr>
        <w:keepNext/>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Процена фискалног оквира урађена је у договору и током последње ревизије аранжмана са ММФ у октобру 2016. године, при чему се обострано пошло од принципа </w:t>
      </w:r>
      <w:r>
        <w:rPr>
          <w:rFonts w:ascii="Times New Roman" w:eastAsia="Times New Roman" w:hAnsi="Times New Roman" w:cs="Times New Roman"/>
          <w:sz w:val="24"/>
        </w:rPr>
        <w:lastRenderedPageBreak/>
        <w:t>опрезности. Констатовано је да постоје „позитивни ризици” и простор да крајњи резултат у виду остварењ</w:t>
      </w:r>
      <w:r>
        <w:rPr>
          <w:rFonts w:ascii="Times New Roman" w:eastAsia="Times New Roman" w:hAnsi="Times New Roman" w:cs="Times New Roman"/>
          <w:sz w:val="24"/>
        </w:rPr>
        <w:t xml:space="preserve">а фискалног дефицита буде повољнији. </w:t>
      </w:r>
    </w:p>
    <w:p w:rsidR="00BE17C7" w:rsidRDefault="00BE17C7">
      <w:pPr>
        <w:keepNext/>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Фискална кретања у периоду јануар–септембар 2016. године у великој мери одражавају позитивна макроекономска кретања и убрзање привредног раста, али и друге факторе који су допринели бољем извршењу јавних прихода. Дефицит опште државе од само 4,5 млрд динар</w:t>
      </w:r>
      <w:r>
        <w:rPr>
          <w:rFonts w:ascii="Times New Roman" w:eastAsia="Times New Roman" w:hAnsi="Times New Roman" w:cs="Times New Roman"/>
          <w:sz w:val="24"/>
        </w:rPr>
        <w:t>а у посматраном периоду знатно је нижи како од планираног, тако и од дефицита оствареног у истом периоду претходне године. Неопходно је разграничити ефекте (трајни и привремени) који су утицали на ревизију дефицита наниже. Јавни приходи су у значајној мери</w:t>
      </w:r>
      <w:r>
        <w:rPr>
          <w:rFonts w:ascii="Times New Roman" w:eastAsia="Times New Roman" w:hAnsi="Times New Roman" w:cs="Times New Roman"/>
          <w:sz w:val="24"/>
        </w:rPr>
        <w:t xml:space="preserve"> под утицајем макроекономских кретања, те је њихова динамика углавном стабилна, осим у случају промене пореске политике. Разлози за одступање могу да се јаве у динамици уплате ванредних непореских прихода као и у њиховој висини, одређеним методолошким пром</w:t>
      </w:r>
      <w:r>
        <w:rPr>
          <w:rFonts w:ascii="Times New Roman" w:eastAsia="Times New Roman" w:hAnsi="Times New Roman" w:cs="Times New Roman"/>
          <w:sz w:val="24"/>
        </w:rPr>
        <w:t>енама обухвата јавних прихода, побољшаној пореској дисциплини (ефикасност наплате) итд. Са друге стране, у случају јавних расхода може доћи до промена у динамици извршења (дискрециона компонента), ефектуирању и спровођењу усвојених мера, реализацији расход</w:t>
      </w:r>
      <w:r>
        <w:rPr>
          <w:rFonts w:ascii="Times New Roman" w:eastAsia="Times New Roman" w:hAnsi="Times New Roman" w:cs="Times New Roman"/>
          <w:sz w:val="24"/>
        </w:rPr>
        <w:t xml:space="preserve">а који имају једнократни карактер итд. При новој процени очекиване реализације до краја 2016. године, узет је у обзир базни ефекат тј. разлика између остварених и планских вредности на крају претходне године.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Макроекономска кретања у 2016. години, ефектуи</w:t>
      </w:r>
      <w:r>
        <w:rPr>
          <w:rFonts w:ascii="Times New Roman" w:eastAsia="Times New Roman" w:hAnsi="Times New Roman" w:cs="Times New Roman"/>
          <w:sz w:val="24"/>
        </w:rPr>
        <w:t>рана у расту просечних зарада, запослености и расту потрошње, снажно се манифестују на фискална кретања кроз утицај на наплату пореза на доходак и ПДВ. Раст просечне зараде током девет месеци 2016. године од 3,9% у складу је са оствареним растом прихода од</w:t>
      </w:r>
      <w:r>
        <w:rPr>
          <w:rFonts w:ascii="Times New Roman" w:eastAsia="Times New Roman" w:hAnsi="Times New Roman" w:cs="Times New Roman"/>
          <w:sz w:val="24"/>
        </w:rPr>
        <w:t xml:space="preserve"> социјалних доприноса и пореза на зараде. На раст прихода од пореза на зараде и доприноса утицала су кретања зарада, првенствено у приватном сектору. Иако су месечне стопе раста, посебно у другом кварталу, у великој мери под дејством сезонских фактора, у н</w:t>
      </w:r>
      <w:r>
        <w:rPr>
          <w:rFonts w:ascii="Times New Roman" w:eastAsia="Times New Roman" w:hAnsi="Times New Roman" w:cs="Times New Roman"/>
          <w:sz w:val="24"/>
        </w:rPr>
        <w:t>аредном периоду дошло је до њихове стабилизације. До краја 2016. године процењује се укупна наплата на нивоу нешто вишем од првобитног плана, на шта је делом утицала и боља реализација на крају 2015. године. Кретање ових пореских облика може да послужи као</w:t>
      </w:r>
      <w:r>
        <w:rPr>
          <w:rFonts w:ascii="Times New Roman" w:eastAsia="Times New Roman" w:hAnsi="Times New Roman" w:cs="Times New Roman"/>
          <w:sz w:val="24"/>
        </w:rPr>
        <w:t xml:space="preserve"> значајан рани индикатор укупних привредних кретања.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домену контроле и побољшања ефикасности наплате ПДВ постигнути су одлични резултати, посебно у 2015. години, а сличан тренд је настављен и у 2016. години. Главне детерминанте боље наплате ПДВ су укупна</w:t>
      </w:r>
      <w:r>
        <w:rPr>
          <w:rFonts w:ascii="Times New Roman" w:eastAsia="Times New Roman" w:hAnsi="Times New Roman" w:cs="Times New Roman"/>
          <w:sz w:val="24"/>
        </w:rPr>
        <w:t xml:space="preserve"> висина потрошње (C), ефективна пореска стопа и ефикасност наплате (C-</w:t>
      </w:r>
      <w:r>
        <w:rPr>
          <w:rFonts w:ascii="Times New Roman" w:eastAsia="Times New Roman" w:hAnsi="Times New Roman" w:cs="Times New Roman"/>
          <w:i/>
          <w:sz w:val="24"/>
        </w:rPr>
        <w:t>efficiency</w:t>
      </w:r>
      <w:r>
        <w:rPr>
          <w:rFonts w:ascii="Times New Roman" w:eastAsia="Times New Roman" w:hAnsi="Times New Roman" w:cs="Times New Roman"/>
          <w:sz w:val="24"/>
        </w:rPr>
        <w:t>). ПДВ је по величини други порески облик у укупним јавним приходима, а на његово кретање утичу и фактори као што су кредитна активност, кретање осталих извора дохотка, ефикасн</w:t>
      </w:r>
      <w:r>
        <w:rPr>
          <w:rFonts w:ascii="Times New Roman" w:eastAsia="Times New Roman" w:hAnsi="Times New Roman" w:cs="Times New Roman"/>
          <w:sz w:val="24"/>
        </w:rPr>
        <w:t xml:space="preserve">ост наплате и обим сиве економије, структура потрошње и спољнотрговинска кретања. За потребе пројектовања и краткорочних анализа овог пореског облика, неопходно је одвојено посматрати кретање бруто наплате и ПДВ повраћаја. </w:t>
      </w:r>
    </w:p>
    <w:p w:rsidR="00BE17C7" w:rsidRDefault="00843F0B">
      <w:pPr>
        <w:tabs>
          <w:tab w:val="left" w:pos="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Бруто наплата ПДВ бележи снажан раст од 7%, што превазилази раст просечних зарада, али и укупног расположивог дохотка. Разлози овог одступања леже у томе што зараде нису једини извор расположивог дохотка (остали извори могу бити пензије, кредити, дознаке, </w:t>
      </w:r>
      <w:r>
        <w:rPr>
          <w:rFonts w:ascii="Times New Roman" w:eastAsia="Times New Roman" w:hAnsi="Times New Roman" w:cs="Times New Roman"/>
          <w:sz w:val="24"/>
        </w:rPr>
        <w:t xml:space="preserve">штедња, социјална давања итд). Кретање бруто наплате такође је, у доброј мери, вођено и извозном тражњом и то преко домаће и увозне компоненте у реализованом извозу. Раст потрошње акцизних производа (пре свега нафтних деривата) такође је обезбедио додатни </w:t>
      </w:r>
      <w:r>
        <w:rPr>
          <w:rFonts w:ascii="Times New Roman" w:eastAsia="Times New Roman" w:hAnsi="Times New Roman" w:cs="Times New Roman"/>
          <w:sz w:val="24"/>
        </w:rPr>
        <w:t xml:space="preserve">раст прихода по основу ПДВ. Последњу групу фактора која </w:t>
      </w:r>
      <w:r>
        <w:rPr>
          <w:rFonts w:ascii="Times New Roman" w:eastAsia="Times New Roman" w:hAnsi="Times New Roman" w:cs="Times New Roman"/>
          <w:sz w:val="24"/>
        </w:rPr>
        <w:lastRenderedPageBreak/>
        <w:t>делује на бруто наплату чини структура потрошње (ефективна пореска стопа) и побољшана ефикасност наплате (C-</w:t>
      </w:r>
      <w:r>
        <w:rPr>
          <w:rFonts w:ascii="Times New Roman" w:eastAsia="Times New Roman" w:hAnsi="Times New Roman" w:cs="Times New Roman"/>
          <w:i/>
          <w:sz w:val="24"/>
        </w:rPr>
        <w:t>efficiency</w:t>
      </w:r>
      <w:r>
        <w:rPr>
          <w:rFonts w:ascii="Times New Roman" w:eastAsia="Times New Roman" w:hAnsi="Times New Roman" w:cs="Times New Roman"/>
          <w:sz w:val="24"/>
        </w:rPr>
        <w:t>). Део прираста бруто наплате у односу на 2015. годину дугује се и повећању акцизн</w:t>
      </w:r>
      <w:r>
        <w:rPr>
          <w:rFonts w:ascii="Times New Roman" w:eastAsia="Times New Roman" w:hAnsi="Times New Roman" w:cs="Times New Roman"/>
          <w:sz w:val="24"/>
        </w:rPr>
        <w:t>ог оптерећења (акциза улази у ПДВ основицу), које је било планирано и повећању потрошње ове врсте производа. Када се гледа структура наплаћеног ПДВ уочава се нешто бржи раст домаће бруто наплате у односу на увозни ПДВ. То се поред појачаних активности на с</w:t>
      </w:r>
      <w:r>
        <w:rPr>
          <w:rFonts w:ascii="Times New Roman" w:eastAsia="Times New Roman" w:hAnsi="Times New Roman" w:cs="Times New Roman"/>
          <w:sz w:val="24"/>
        </w:rPr>
        <w:t xml:space="preserve">узбијању сиве економије, објашњава и изменом у систему опорезивања природног гаса и електричне енергије (укидање ПДВ при увозу ових добара).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Нето наплаћени ПДВ у првих девет месеци 2016. године расте знатно брже од бруто наплате, пре свега због успореније</w:t>
      </w:r>
      <w:r>
        <w:rPr>
          <w:rFonts w:ascii="Times New Roman" w:eastAsia="Times New Roman" w:hAnsi="Times New Roman" w:cs="Times New Roman"/>
          <w:sz w:val="24"/>
        </w:rPr>
        <w:t xml:space="preserve">г раста нивоа ПДВ повраћаја у односу на претходну годину. Већ неколико година постоји блиска веза између кретања повраћаја и извоза, али је тај однос нарушен током ове године, те ПДВ повраћаји бележе нижи раст. У првој половини године раст обима повраћаја </w:t>
      </w:r>
      <w:r>
        <w:rPr>
          <w:rFonts w:ascii="Times New Roman" w:eastAsia="Times New Roman" w:hAnsi="Times New Roman" w:cs="Times New Roman"/>
          <w:sz w:val="24"/>
        </w:rPr>
        <w:t xml:space="preserve">није био присутан, али се након тога полако убрзава. Главни узрок оваквих кретања није увек могуће са потпуном сигурношћу утврдити на макро нивоу. Она могу бити објашњена бољом контролом обвезника који нису претежни извозници, или пак променама динамике и </w:t>
      </w:r>
      <w:r>
        <w:rPr>
          <w:rFonts w:ascii="Times New Roman" w:eastAsia="Times New Roman" w:hAnsi="Times New Roman" w:cs="Times New Roman"/>
          <w:sz w:val="24"/>
        </w:rPr>
        <w:t>обима набавки сировина и реализације производње код појединих великих примаоца повраћаја (примера ради Железара Смедерево бележила је почетком године највеће смањење ПДВ повраћаја). Са протоком одређеног временског периода и стабилизацијом кретања повраћај</w:t>
      </w:r>
      <w:r>
        <w:rPr>
          <w:rFonts w:ascii="Times New Roman" w:eastAsia="Times New Roman" w:hAnsi="Times New Roman" w:cs="Times New Roman"/>
          <w:sz w:val="24"/>
        </w:rPr>
        <w:t>а биће могуће дати прецизнији одговор. Тренутна стопа раста нето ПДВ бележи такође значајно више вредности у односу на оне које се могу објаснити кретањем примања становништва и других макроекономских агрегата, с тим што један део резултата треба приписати</w:t>
      </w:r>
      <w:r>
        <w:rPr>
          <w:rFonts w:ascii="Times New Roman" w:eastAsia="Times New Roman" w:hAnsi="Times New Roman" w:cs="Times New Roman"/>
          <w:sz w:val="24"/>
        </w:rPr>
        <w:t xml:space="preserve"> повећању наплате акциза и ефикаснијој контроли наплате. Кретања током првих девет месеци 2016. године указују на то да ће првобитни план бити премашен за преко 20 млрд динара, а процена дата новим планом се оцењује као средња вредност очекиване наплате.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Анализа кретања бруто ПДВ наплате и повраћаја у односу на различите макроекономске агрегате</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Агрегатни доходак (у овој анализи) представља апроксимацију кретања личне потрошње добијену на основу укупних процењених зарада, исплаћених пензија, социјалн</w:t>
      </w:r>
      <w:r>
        <w:rPr>
          <w:rFonts w:ascii="Times New Roman" w:eastAsia="Times New Roman" w:hAnsi="Times New Roman" w:cs="Times New Roman"/>
          <w:sz w:val="24"/>
        </w:rPr>
        <w:t>е помоћи и других примања становништва (без кредита, дознака и сл.). Снажна веза која постоји између агрегатног дохотка и бруто наплате ПДВ још је израженија када се у релацију укључи и динарски изражен извоз. Кретање повраћаја (учешће у бруто наплати) у з</w:t>
      </w:r>
      <w:r>
        <w:rPr>
          <w:rFonts w:ascii="Times New Roman" w:eastAsia="Times New Roman" w:hAnsi="Times New Roman" w:cs="Times New Roman"/>
          <w:sz w:val="24"/>
        </w:rPr>
        <w:t>натној мери прати промену у структури и учешћу извоза у БДП. Кретање повраћаја може стога да послужи као рани индикатор извозне активности. Вредност овог коефицијента (повраћаји/бруто ПДВ) одговара вредностима које остварују земље сличне привредне структур</w:t>
      </w:r>
      <w:r>
        <w:rPr>
          <w:rFonts w:ascii="Times New Roman" w:eastAsia="Times New Roman" w:hAnsi="Times New Roman" w:cs="Times New Roman"/>
          <w:sz w:val="24"/>
        </w:rPr>
        <w:t>е и степена развоја.</w:t>
      </w:r>
    </w:p>
    <w:p w:rsidR="00BE17C7" w:rsidRDefault="00843F0B">
      <w:pPr>
        <w:spacing w:after="0" w:line="240" w:lineRule="auto"/>
        <w:ind w:firstLine="720"/>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од акциза бележе већи раст услед раста потрошње појединих акцизних производа и једним делом услед смањења обима сивог тржишта. Приходи од акциза могу се поделити на четири главне категорије и то на нафтне деривате,</w:t>
      </w:r>
      <w:r>
        <w:rPr>
          <w:rFonts w:ascii="Times New Roman" w:eastAsia="Times New Roman" w:hAnsi="Times New Roman" w:cs="Times New Roman"/>
          <w:sz w:val="24"/>
        </w:rPr>
        <w:t xml:space="preserve"> дуван, електричну енергију и остале (алкохол и кафа). Буџетска пројекција прихода за 2016. годину није претпостављала раст потрошње акцизних производа, већ се заснивала на редовном усклађивању акцизног оптерећења. Велике годишње осцилације легалног обима </w:t>
      </w:r>
      <w:r>
        <w:rPr>
          <w:rFonts w:ascii="Times New Roman" w:eastAsia="Times New Roman" w:hAnsi="Times New Roman" w:cs="Times New Roman"/>
          <w:sz w:val="24"/>
        </w:rPr>
        <w:t xml:space="preserve">потрошње појединих акцизних производа, посебно дуванских захтевају опрезност </w:t>
      </w:r>
      <w:r>
        <w:rPr>
          <w:rFonts w:ascii="Times New Roman" w:eastAsia="Times New Roman" w:hAnsi="Times New Roman" w:cs="Times New Roman"/>
          <w:sz w:val="24"/>
        </w:rPr>
        <w:lastRenderedPageBreak/>
        <w:t xml:space="preserve">приликом процене овог пореског облика. Драстичан пад легалног тржишта дувана се материјализовао у 2013. и 2014. години уз одређени опоравак у 2015. години (раст од 11,4%). Уз то, </w:t>
      </w:r>
      <w:r>
        <w:rPr>
          <w:rFonts w:ascii="Times New Roman" w:eastAsia="Times New Roman" w:hAnsi="Times New Roman" w:cs="Times New Roman"/>
          <w:sz w:val="24"/>
        </w:rPr>
        <w:t>тржиште дуванских производа годинама бележи одређени природан пад који се мора узети у обзир при пројекцији потрошње. Тржиште нафтних деривата је такође подложно, у нешто мањој мери, променама у обиму потрошње како под утицајем сиве економије, тако и услед</w:t>
      </w:r>
      <w:r>
        <w:rPr>
          <w:rFonts w:ascii="Times New Roman" w:eastAsia="Times New Roman" w:hAnsi="Times New Roman" w:cs="Times New Roman"/>
          <w:sz w:val="24"/>
        </w:rPr>
        <w:t xml:space="preserve"> ценовних разлика између земаља у окружењу. Продаја алкохолних пића је била нестабилна у протеклих неколико година, док је акциза на електричну енергију уведена у другој половини 2015. године.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Ревидирана пројекција прихода од акциза углавном је резултат и</w:t>
      </w:r>
      <w:r>
        <w:rPr>
          <w:rFonts w:ascii="Times New Roman" w:eastAsia="Times New Roman" w:hAnsi="Times New Roman" w:cs="Times New Roman"/>
          <w:sz w:val="24"/>
        </w:rPr>
        <w:t xml:space="preserve"> раста потрошње нафтних деривата, али и бољег остварења прихода од акциза на дуван у претходној години. При процени прихода од акциза на нафтне деривате претпостављен је ниво потрошње из 2015. године уз примену нових виших специфичних износа акциза. Подаци</w:t>
      </w:r>
      <w:r>
        <w:rPr>
          <w:rFonts w:ascii="Times New Roman" w:eastAsia="Times New Roman" w:hAnsi="Times New Roman" w:cs="Times New Roman"/>
          <w:sz w:val="24"/>
        </w:rPr>
        <w:t xml:space="preserve"> о наплаћеним акцизама у периоду јануар-септембар могу имплицитно да укажу на кретање потрошње, иако је оно делимично искривљено услед реализације ремонта у рафинеријама НИС. На макро нивоу, међутим, тешко је поуздано разграничити ефекте стварног раста пот</w:t>
      </w:r>
      <w:r>
        <w:rPr>
          <w:rFonts w:ascii="Times New Roman" w:eastAsia="Times New Roman" w:hAnsi="Times New Roman" w:cs="Times New Roman"/>
          <w:sz w:val="24"/>
        </w:rPr>
        <w:t>рошње (ценовна еластичност и ефекат привредног раста) од оних који су последица промена у обиму сиве економије. Реална је претпоставка да је до стварног повећања обима потрошње дошло и услед повољног кретања цена на тржишту нафтних деривата. При новој проц</w:t>
      </w:r>
      <w:r>
        <w:rPr>
          <w:rFonts w:ascii="Times New Roman" w:eastAsia="Times New Roman" w:hAnsi="Times New Roman" w:cs="Times New Roman"/>
          <w:sz w:val="24"/>
        </w:rPr>
        <w:t>ени прихода од акциза за 2016. коришћени су подаци о тренутној реализацији и претпоставка о расту потрошње од 4,5% до краја године. Ревидиране су навише и процене наплате акциза на електричну енергију и алкохол услед поузданијих података о месечној динамиц</w:t>
      </w:r>
      <w:r>
        <w:rPr>
          <w:rFonts w:ascii="Times New Roman" w:eastAsia="Times New Roman" w:hAnsi="Times New Roman" w:cs="Times New Roman"/>
          <w:sz w:val="24"/>
        </w:rPr>
        <w:t>и потрошње електричне енергије и повећања потрошње алкохолних производа. Након јула, месеца са највећом уплатом акциза на дуван, уобичајено је да се добије нешто јаснија слика у ком правцу се развија ово тржиште. Приходи од овог вида акцизних производа су,</w:t>
      </w:r>
      <w:r>
        <w:rPr>
          <w:rFonts w:ascii="Times New Roman" w:eastAsia="Times New Roman" w:hAnsi="Times New Roman" w:cs="Times New Roman"/>
          <w:sz w:val="24"/>
        </w:rPr>
        <w:t xml:space="preserve"> међутим, забележили значајну промену динамике током 2016. године, при чему су се смењивали периоди високог раста и пада у односу на упоредив период 2015. године. Оваквом понашању допринела је ценовна и политика залиха коју воде произвођачи дуванских произ</w:t>
      </w:r>
      <w:r>
        <w:rPr>
          <w:rFonts w:ascii="Times New Roman" w:eastAsia="Times New Roman" w:hAnsi="Times New Roman" w:cs="Times New Roman"/>
          <w:sz w:val="24"/>
        </w:rPr>
        <w:t>вода. Уплата акциза на дуванске производе је у последњих неколико година, услед политике залиха, била концентрисана на период пре планираних измена акцизних стопа. Све то уноси дозу неизвесности при пројекцији овог пореског облика чији је пројектован износ</w:t>
      </w:r>
      <w:r>
        <w:rPr>
          <w:rFonts w:ascii="Times New Roman" w:eastAsia="Times New Roman" w:hAnsi="Times New Roman" w:cs="Times New Roman"/>
          <w:sz w:val="24"/>
        </w:rPr>
        <w:t xml:space="preserve"> повећан у односу на износ планиран буџетом. Повећање прихода од овог пореског облика се може се у највећој мери приписати бољој наплати на крају 2015. године што сугерише на већи опоравак потрошње, а делом и мерама за сузбијање сивог тржишта. Укупни прихо</w:t>
      </w:r>
      <w:r>
        <w:rPr>
          <w:rFonts w:ascii="Times New Roman" w:eastAsia="Times New Roman" w:hAnsi="Times New Roman" w:cs="Times New Roman"/>
          <w:sz w:val="24"/>
        </w:rPr>
        <w:t>ди од акциза ревидирани су навише у износу од 10,9 млрд динара.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од царине бележе раст већи од планираног при чему их, уз одређене специфичности, карактерише динамика слична порезу на додату вредност. Приходи од царина, у случају да нема измена у ца</w:t>
      </w:r>
      <w:r>
        <w:rPr>
          <w:rFonts w:ascii="Times New Roman" w:eastAsia="Times New Roman" w:hAnsi="Times New Roman" w:cs="Times New Roman"/>
          <w:sz w:val="24"/>
        </w:rPr>
        <w:t>ринским стопама, стандардно прате кретање увоза и промене девизног курса. У 2016. години дошло је до одређених измена у пореској регулативи које се односе на укидање плаћања увозног ПДВ на одређена добра са значајним учешћем у укупном увозу (природни гас и</w:t>
      </w:r>
      <w:r>
        <w:rPr>
          <w:rFonts w:ascii="Times New Roman" w:eastAsia="Times New Roman" w:hAnsi="Times New Roman" w:cs="Times New Roman"/>
          <w:sz w:val="24"/>
        </w:rPr>
        <w:t xml:space="preserve"> електрична енергија). Као последица тога, раст прихода од царина је почетком године био дупло већи од раста увозног ПДВ. Током године се, међутим, та разлика смањивала. У складу са кретањима током првих девет месеци, пројекција прихода од царина ревидиран</w:t>
      </w:r>
      <w:r>
        <w:rPr>
          <w:rFonts w:ascii="Times New Roman" w:eastAsia="Times New Roman" w:hAnsi="Times New Roman" w:cs="Times New Roman"/>
          <w:sz w:val="24"/>
        </w:rPr>
        <w:t xml:space="preserve">а је навише за 1,5 млрд динара.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Пројекција пореза на добит правних лица је значајније повећана у односу на план, па ће наплата овог пореског облика бити већа за око 14 млрд динара. Порез на добит је </w:t>
      </w:r>
      <w:r>
        <w:rPr>
          <w:rFonts w:ascii="Times New Roman" w:eastAsia="Times New Roman" w:hAnsi="Times New Roman" w:cs="Times New Roman"/>
          <w:sz w:val="24"/>
        </w:rPr>
        <w:lastRenderedPageBreak/>
        <w:t>најволатилнија ставка јавних прихода и привредни раст ни</w:t>
      </w:r>
      <w:r>
        <w:rPr>
          <w:rFonts w:ascii="Times New Roman" w:eastAsia="Times New Roman" w:hAnsi="Times New Roman" w:cs="Times New Roman"/>
          <w:sz w:val="24"/>
        </w:rPr>
        <w:t>је увек најпоузданији индикатор наплате овог пореског облика. Пошто коначни подаци о профитабилности нису познати током израде пројекција за наредну годину, пракса је да се у те сврхе претпостави да је она непромењена, и да се прихвати одређена доза ризика</w:t>
      </w:r>
      <w:r>
        <w:rPr>
          <w:rFonts w:ascii="Times New Roman" w:eastAsia="Times New Roman" w:hAnsi="Times New Roman" w:cs="Times New Roman"/>
          <w:sz w:val="24"/>
        </w:rPr>
        <w:t xml:space="preserve"> у остварењу овог приходног облика. Кретања у наплати током прве половине 2016. године нису указивала да је неопходно променити буџетску пројекцију, иако су прелиминарни подаци о профитабилности указивали на то. Према подацима Агенције за привредне регистр</w:t>
      </w:r>
      <w:r>
        <w:rPr>
          <w:rFonts w:ascii="Times New Roman" w:eastAsia="Times New Roman" w:hAnsi="Times New Roman" w:cs="Times New Roman"/>
          <w:sz w:val="24"/>
        </w:rPr>
        <w:t xml:space="preserve">е укупна бруто добит остварена у 2015. години износи 467 млрд динара и већа је у односу на 2014. годину за 14,6%. Уплата пореза на добит у јуну, након коначног обрачуна пореске обавезе по овом основу, указала је на то да ће годишњи приход знатно премашити </w:t>
      </w:r>
      <w:r>
        <w:rPr>
          <w:rFonts w:ascii="Times New Roman" w:eastAsia="Times New Roman" w:hAnsi="Times New Roman" w:cs="Times New Roman"/>
          <w:sz w:val="24"/>
        </w:rPr>
        <w:t xml:space="preserve">планиране и прошлогодишње вредности. Одступање у стопи раста бруто добити од пројектоване стопе раста пореза на добит резултат је високих износа повраћаја пореза на добит у 2015.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Непорески приходи су категорија прихода чији је план у највећој мери</w:t>
      </w:r>
      <w:r>
        <w:rPr>
          <w:rFonts w:ascii="Times New Roman" w:eastAsia="Times New Roman" w:hAnsi="Times New Roman" w:cs="Times New Roman"/>
          <w:sz w:val="24"/>
        </w:rPr>
        <w:t xml:space="preserve"> ревидиран навише, како у апсолутном, тако и у процентуалном износу. Корекција непореских прихода републичког буџета извршена је у износу од 52,4 млрд динара. Разлози за ревизију су највећим делом методолошке природе, али се и због опрезности одустало од у</w:t>
      </w:r>
      <w:r>
        <w:rPr>
          <w:rFonts w:ascii="Times New Roman" w:eastAsia="Times New Roman" w:hAnsi="Times New Roman" w:cs="Times New Roman"/>
          <w:sz w:val="24"/>
        </w:rPr>
        <w:t>кључивања појединих потенцијалних прихода у буџетски план. При утврђивању коначне годишње пројекције прихода за 2016. годину, са представницима ММФ договорено је да се у план прихода укључи само претпостављени структурни тј. трајни део непореских прихода к</w:t>
      </w:r>
      <w:r>
        <w:rPr>
          <w:rFonts w:ascii="Times New Roman" w:eastAsia="Times New Roman" w:hAnsi="Times New Roman" w:cs="Times New Roman"/>
          <w:sz w:val="24"/>
        </w:rPr>
        <w:t>оји се односи на дивиденде буџета, добит јавних предузећа и остале сличне видове једнократних прихода. Тај износ је одређен у нивоу од 9,6 млрд динара, при чему сваки вишак изнад тог износа не би био третиран као део структурног прилагођавања. Тако, на при</w:t>
      </w:r>
      <w:r>
        <w:rPr>
          <w:rFonts w:ascii="Times New Roman" w:eastAsia="Times New Roman" w:hAnsi="Times New Roman" w:cs="Times New Roman"/>
          <w:sz w:val="24"/>
        </w:rPr>
        <w:t>мер, у буџетски план није био укључен приход од 12,8 млрд динара по основу лиценце за мобилну 4Г мрежу иако је било познато да ће бити уплаћен почетком 2016. године. Пошто се у том тренутку „Телеком Србијеˮ А.Д. налазио у процесу приватизације који је накн</w:t>
      </w:r>
      <w:r>
        <w:rPr>
          <w:rFonts w:ascii="Times New Roman" w:eastAsia="Times New Roman" w:hAnsi="Times New Roman" w:cs="Times New Roman"/>
          <w:sz w:val="24"/>
        </w:rPr>
        <w:t xml:space="preserve">адно обустављен, износ који би припао републичком буџету по основу дивиденди од ове компаније није укључен у план (реализована уплата износила је 8,9 млрд динара). Укупно повећање процене непореских прихода који припадају републичком буџету износи 28 млрд </w:t>
      </w:r>
      <w:r>
        <w:rPr>
          <w:rFonts w:ascii="Times New Roman" w:eastAsia="Times New Roman" w:hAnsi="Times New Roman" w:cs="Times New Roman"/>
          <w:sz w:val="24"/>
        </w:rPr>
        <w:t>динара а преостали износ представљају већ реализоване уплате од стране Јавног предузећа  „Електропривреда Србијеˮ (у даљем тексту: ЈП ЕПС), Агенције за осигурање депозита, уплате по основу премија за реотварање емисије обвезница итд. Пројекција редовних не</w:t>
      </w:r>
      <w:r>
        <w:rPr>
          <w:rFonts w:ascii="Times New Roman" w:eastAsia="Times New Roman" w:hAnsi="Times New Roman" w:cs="Times New Roman"/>
          <w:sz w:val="24"/>
        </w:rPr>
        <w:t>пореских прихода није значајно мењана. Од укупног годишњег износа непореских прихода опште државе од 236,6 млрд динара, на структурни тј. трајни део се односи 216,6 млрд динара. Разлика од 20 млрд динара састоји се од прихода од 4Г лиценце у износу од 12,8</w:t>
      </w:r>
      <w:r>
        <w:rPr>
          <w:rFonts w:ascii="Times New Roman" w:eastAsia="Times New Roman" w:hAnsi="Times New Roman" w:cs="Times New Roman"/>
          <w:sz w:val="24"/>
        </w:rPr>
        <w:t xml:space="preserve"> млрд динара, 4 млрд динара прихода по основу продаје земљишта на локалном нивоу и мањег дела осталих уплата.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Непорески приходи на локалном нивоу биће већи у односу на план за 21 млрд динара, међутим раст ових прихода је највећим делом резултат методолошк</w:t>
      </w:r>
      <w:r>
        <w:rPr>
          <w:rFonts w:ascii="Times New Roman" w:eastAsia="Times New Roman" w:hAnsi="Times New Roman" w:cs="Times New Roman"/>
          <w:sz w:val="24"/>
        </w:rPr>
        <w:t>их промена. Један део повећања се односи на приходе по основу дивиденди јавних локалних предузећа. Уплате по овом основу су се десиле крајем 2015. године, па из тог разлога нису биле део базе које је служила као основа за процену ових прихода у 2016. годин</w:t>
      </w:r>
      <w:r>
        <w:rPr>
          <w:rFonts w:ascii="Times New Roman" w:eastAsia="Times New Roman" w:hAnsi="Times New Roman" w:cs="Times New Roman"/>
          <w:sz w:val="24"/>
        </w:rPr>
        <w:t>и. Други део повећања је последица промена у методологији извештавања на локалном нивоу. Наиме, крајем 2015. године и током 2016. године, саставни део извештаја о извршењу буџета града Београда постали су подаци о укупним приходима и расходима предшколских</w:t>
      </w:r>
      <w:r>
        <w:rPr>
          <w:rFonts w:ascii="Times New Roman" w:eastAsia="Times New Roman" w:hAnsi="Times New Roman" w:cs="Times New Roman"/>
          <w:sz w:val="24"/>
        </w:rPr>
        <w:t xml:space="preserve"> установа и Интегрисаног тарифног система (систем наплате карата у </w:t>
      </w:r>
      <w:r>
        <w:rPr>
          <w:rFonts w:ascii="Times New Roman" w:eastAsia="Times New Roman" w:hAnsi="Times New Roman" w:cs="Times New Roman"/>
          <w:sz w:val="24"/>
        </w:rPr>
        <w:lastRenderedPageBreak/>
        <w:t>градском превозу). Самим тим обухват локалних буџета постао је шири и методолошки исправнији, а ова измена утицала је на укупан ниво прихода и расхода. Треба напоменути да је ова измена у н</w:t>
      </w:r>
      <w:r>
        <w:rPr>
          <w:rFonts w:ascii="Times New Roman" w:eastAsia="Times New Roman" w:hAnsi="Times New Roman" w:cs="Times New Roman"/>
          <w:sz w:val="24"/>
        </w:rPr>
        <w:t>ајвећој мери неутрална по висину дефицита на локалном нивоу јер се приближно исти износи приказују и на расходној страни. Са друге стране, годишња динамика ових прихода је још увек неизвесна, па може доћи до другачијих резултата у погледу њихове висине. До</w:t>
      </w:r>
      <w:r>
        <w:rPr>
          <w:rFonts w:ascii="Times New Roman" w:eastAsia="Times New Roman" w:hAnsi="Times New Roman" w:cs="Times New Roman"/>
          <w:sz w:val="24"/>
        </w:rPr>
        <w:t xml:space="preserve">шло је, такође, и до реализације продаје грађевинског земљишта у износу од око 4 млрд динара које се третира као део непореских прихода и има једнократни карактер.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новој процени јавних расхода, укупан ниво би требало буде већи за 33,9 млрд динара ил</w:t>
      </w:r>
      <w:r>
        <w:rPr>
          <w:rFonts w:ascii="Times New Roman" w:eastAsia="Times New Roman" w:hAnsi="Times New Roman" w:cs="Times New Roman"/>
          <w:sz w:val="24"/>
        </w:rPr>
        <w:t>и 1,8%, при чему се знатније мења структура у односу на буџетски план за 2016. годину. У периоду јануар–септембар јавни расходи расту по стопи 5,3%, а до краја 2016. године се очекује успоравање раста на 3,5%. Разлози за овакво успоравање до краја године с</w:t>
      </w:r>
      <w:r>
        <w:rPr>
          <w:rFonts w:ascii="Times New Roman" w:eastAsia="Times New Roman" w:hAnsi="Times New Roman" w:cs="Times New Roman"/>
          <w:sz w:val="24"/>
        </w:rPr>
        <w:t>у значајна промена у динамици извршења појединих ставки расхода, у односу на претходне године, као и извршење тзв. једнократних расхода крајем 2015. године, у виду преузимања дуга и решавања дугорочних проблема јавног сектора нагомиланих у ранијим периодим</w:t>
      </w:r>
      <w:r>
        <w:rPr>
          <w:rFonts w:ascii="Times New Roman" w:eastAsia="Times New Roman" w:hAnsi="Times New Roman" w:cs="Times New Roman"/>
          <w:sz w:val="24"/>
        </w:rPr>
        <w:t>а. И за 2016. годину предвиђена је реализација одређених једнократних расхода - преузимања у јавни дуг неплаћеног износа за испоручени природни гас предузећа ХИП Петрохемија (12,9 млрд) и исплата једнократне помоћи пензионерима (8,6 млрд), али у укупно мањ</w:t>
      </w:r>
      <w:r>
        <w:rPr>
          <w:rFonts w:ascii="Times New Roman" w:eastAsia="Times New Roman" w:hAnsi="Times New Roman" w:cs="Times New Roman"/>
          <w:sz w:val="24"/>
        </w:rPr>
        <w:t xml:space="preserve">ем износу него претходне године. По основу једнократних (неструктурних) расхода у 2015. години извршено је 43,5 млрд динара тј. 1,1% БДП, а у 2016. години предвиђено је укупно 31 млрд динара тј. 0,64% БДП. У овај износ укључена су средства за отпремнине и </w:t>
      </w:r>
      <w:r>
        <w:rPr>
          <w:rFonts w:ascii="Times New Roman" w:eastAsia="Times New Roman" w:hAnsi="Times New Roman" w:cs="Times New Roman"/>
          <w:sz w:val="24"/>
        </w:rPr>
        <w:t xml:space="preserve">поједини расходи локалног нивоа власти, који имају једнократни карактер. За разлику од текућих расхода, према новој процени издаци за капиталне расходе забележиће снажнији раст у односу на 2015. годину.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Постоји простор да јавни расходи у укупном износу бу</w:t>
      </w:r>
      <w:r>
        <w:rPr>
          <w:rFonts w:ascii="Times New Roman" w:eastAsia="Times New Roman" w:hAnsi="Times New Roman" w:cs="Times New Roman"/>
          <w:sz w:val="24"/>
        </w:rPr>
        <w:t>ду нижи од предвиђеног износа. Када се изузме износ за једнократне расходе, преостали планирани део расхода је практично непромењен у укупном износу у односу на планиране буџетом. Последњи квартал је сезонски период са највећом потрошњом (посебно на страни</w:t>
      </w:r>
      <w:r>
        <w:rPr>
          <w:rFonts w:ascii="Times New Roman" w:eastAsia="Times New Roman" w:hAnsi="Times New Roman" w:cs="Times New Roman"/>
          <w:sz w:val="24"/>
        </w:rPr>
        <w:t xml:space="preserve"> капиталних расхода), па се у тренутку оцене укупног нивоа јавних расхода за 2016. годину пошло од њиховог максимално могућег нивоа. Може се претпоставити да до потпуне реализације текућих расхода неће доћи (робе и услуге, камате и субвенције), што би могл</w:t>
      </w:r>
      <w:r>
        <w:rPr>
          <w:rFonts w:ascii="Times New Roman" w:eastAsia="Times New Roman" w:hAnsi="Times New Roman" w:cs="Times New Roman"/>
          <w:sz w:val="24"/>
        </w:rPr>
        <w:t xml:space="preserve">о да утиче на остварење повољнијег фискалног резултата од предвиђеног овим оквиром.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Процена расхода за запослене снижена је за 2,2% у односу на буџет за 2016. годину, првенствено због нижег износа средстава неопходних за исплату отпремнина. Расходи за зап</w:t>
      </w:r>
      <w:r>
        <w:rPr>
          <w:rFonts w:ascii="Times New Roman" w:eastAsia="Times New Roman" w:hAnsi="Times New Roman" w:cs="Times New Roman"/>
          <w:sz w:val="24"/>
        </w:rPr>
        <w:t>ослене у првом делу године бележе незнатни раст, с тим што се један део тог раста може приписати трошковима везаним за спровођење парламентарних и локалних избора. При пројекцији овог облика расхода у буџету за 2016. годину кључна су била следећа три елеме</w:t>
      </w:r>
      <w:r>
        <w:rPr>
          <w:rFonts w:ascii="Times New Roman" w:eastAsia="Times New Roman" w:hAnsi="Times New Roman" w:cs="Times New Roman"/>
          <w:sz w:val="24"/>
        </w:rPr>
        <w:t>нта: 1) повећање номиналног износа зарада за одређене категорије запослених, 2) обим и динамика рационализације броја запослених и 3) обим и динамика исплате отпремнина за запослене који остају без посла у овом процесу. Повећање зарада које се примењује од</w:t>
      </w:r>
      <w:r>
        <w:rPr>
          <w:rFonts w:ascii="Times New Roman" w:eastAsia="Times New Roman" w:hAnsi="Times New Roman" w:cs="Times New Roman"/>
          <w:sz w:val="24"/>
        </w:rPr>
        <w:t xml:space="preserve"> почетка 2016. године у начелу је требало да буде неутралисано планираним смањењем броја запослених, док би ниво отпремнина у крајњој линији определио укупан обим средстава за зараде. Дошло је, међутим, до знатних измена у процесу рационализације које ће и</w:t>
      </w:r>
      <w:r>
        <w:rPr>
          <w:rFonts w:ascii="Times New Roman" w:eastAsia="Times New Roman" w:hAnsi="Times New Roman" w:cs="Times New Roman"/>
          <w:sz w:val="24"/>
        </w:rPr>
        <w:t xml:space="preserve">мати трајне ефекте на кретање ове категорије расхода. Нижи обим средстава за отпремнине делимично ће смањити укупан износ расхода за </w:t>
      </w:r>
      <w:r>
        <w:rPr>
          <w:rFonts w:ascii="Times New Roman" w:eastAsia="Times New Roman" w:hAnsi="Times New Roman" w:cs="Times New Roman"/>
          <w:sz w:val="24"/>
        </w:rPr>
        <w:lastRenderedPageBreak/>
        <w:t>запослене, док ће измене у динамици рационализације за последицу имати нешто веће издатке за зараде (посматрано без средста</w:t>
      </w:r>
      <w:r>
        <w:rPr>
          <w:rFonts w:ascii="Times New Roman" w:eastAsia="Times New Roman" w:hAnsi="Times New Roman" w:cs="Times New Roman"/>
          <w:sz w:val="24"/>
        </w:rPr>
        <w:t xml:space="preserve">ва отпремнина) од првобитног плана.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Планом рационализације у јавном сектору било је предвиђено смањење броја запослених за 75.000 до краја 2017. године. Након анализа броја и структуре запослених од стране надлежних домаћих и међународних институција, пла</w:t>
      </w:r>
      <w:r>
        <w:rPr>
          <w:rFonts w:ascii="Times New Roman" w:eastAsia="Times New Roman" w:hAnsi="Times New Roman" w:cs="Times New Roman"/>
          <w:sz w:val="24"/>
        </w:rPr>
        <w:t>н рационализације је ревидиран на 25.000–30.000 људи. По последњим расположивим подацима, до четвртог квартала 2016. године број запослених је смањен за око 22.000 у односу на крај 2014. године. На обим и исплату средстава за отпремнине утицао је и већи пр</w:t>
      </w:r>
      <w:r>
        <w:rPr>
          <w:rFonts w:ascii="Times New Roman" w:eastAsia="Times New Roman" w:hAnsi="Times New Roman" w:cs="Times New Roman"/>
          <w:sz w:val="24"/>
        </w:rPr>
        <w:t>иродни одлив запослених, тј. пензионисање. Уштеде по овом основу остварене су услед спорије динамике замене запослених на тим радним местима. Претпоставља се да по овом основу неће доћи до структурног повећања издатака за пензије јер су запослени већ оства</w:t>
      </w:r>
      <w:r>
        <w:rPr>
          <w:rFonts w:ascii="Times New Roman" w:eastAsia="Times New Roman" w:hAnsi="Times New Roman" w:cs="Times New Roman"/>
          <w:sz w:val="24"/>
        </w:rPr>
        <w:t>рили услове за одлазак у пензију, а постојећи систем пенала дестимулише превремено пензионисање. До краја 2016. године, учешће расхода за запослене опашће на 10,1% БДП што је у оквиру просека земаља ЕУ и доприноси достизању циљева постављеним тренутним фис</w:t>
      </w:r>
      <w:r>
        <w:rPr>
          <w:rFonts w:ascii="Times New Roman" w:eastAsia="Times New Roman" w:hAnsi="Times New Roman" w:cs="Times New Roman"/>
          <w:sz w:val="24"/>
        </w:rPr>
        <w:t xml:space="preserve">калним правилима (7% БДП). У наредном периоду, међутим, потребно је испитати оправданост постојећих решења у овој области и евентуално ревидирати циљано учешће расхода за запослене у БДП на социјално, економски и друштвено прихватљивији ниво.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Расходи за к</w:t>
      </w:r>
      <w:r>
        <w:rPr>
          <w:rFonts w:ascii="Times New Roman" w:eastAsia="Times New Roman" w:hAnsi="Times New Roman" w:cs="Times New Roman"/>
          <w:sz w:val="24"/>
        </w:rPr>
        <w:t>уповину роба и услуга, бележе највећу промену у односу на буџетски план за 2016. годину. Нова процена расхода за робе и услуга већа је за 15,5 млрд динара или 5,7% у односу на првобитни план, а тренутни раст износи 16,5%. Највећи раст ових расхода бележи с</w:t>
      </w:r>
      <w:r>
        <w:rPr>
          <w:rFonts w:ascii="Times New Roman" w:eastAsia="Times New Roman" w:hAnsi="Times New Roman" w:cs="Times New Roman"/>
          <w:sz w:val="24"/>
        </w:rPr>
        <w:t xml:space="preserve">е на локалном нивоу, при чему је у суштини само досадашње извршење довело до промена у планираном износу. Основни разлог већег извршења на локалном нивоу власти је методолошке природе и односи се на проширење обухвата извештаја о извршењу локалних буџета. </w:t>
      </w:r>
      <w:r>
        <w:rPr>
          <w:rFonts w:ascii="Times New Roman" w:eastAsia="Times New Roman" w:hAnsi="Times New Roman" w:cs="Times New Roman"/>
          <w:sz w:val="24"/>
        </w:rPr>
        <w:t xml:space="preserve">Наиме, шири обухват непореских прихода локалног нивоа власти је, у највећој мери, резултирао већим исказаним трошењем на овој расходној категорији.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Расходи за камате су категорија код које се очекују значајне уштеде у односу на буџетом планиран износ. Kре</w:t>
      </w:r>
      <w:r>
        <w:rPr>
          <w:rFonts w:ascii="Times New Roman" w:eastAsia="Times New Roman" w:hAnsi="Times New Roman" w:cs="Times New Roman"/>
          <w:sz w:val="24"/>
        </w:rPr>
        <w:t xml:space="preserve">тање укупног фискалног резултата посредно делује и на кретање издатака за камате. Поред висине дефицита, на износ камата утичу и каматни и ризик девизног курса за обавезе изражене у страној валути. Приликом планирања издатака за камате сви наведени ризици </w:t>
      </w:r>
      <w:r>
        <w:rPr>
          <w:rFonts w:ascii="Times New Roman" w:eastAsia="Times New Roman" w:hAnsi="Times New Roman" w:cs="Times New Roman"/>
          <w:sz w:val="24"/>
        </w:rPr>
        <w:t>узети су у обзир. Током 2016. године скоро сви наведени фактори имали су повољно дејство. Знатно нижи фискални дефицит утицао је на општи ниво новог задуживања. Задовољавајућа ликвидност буџета пружила је могућност да не дође до реализације емисија одређен</w:t>
      </w:r>
      <w:r>
        <w:rPr>
          <w:rFonts w:ascii="Times New Roman" w:eastAsia="Times New Roman" w:hAnsi="Times New Roman" w:cs="Times New Roman"/>
          <w:sz w:val="24"/>
        </w:rPr>
        <w:t>их краткорочних хартија од вредности. Са друге стране, повољно кретање курса америчког долара и стабилан курс евра неутралисали су девизни ризик, што је уз ниже каматне стопе на међународном тржишту, смањило издатке за камате.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Кретање издатака за пензије т</w:t>
      </w:r>
      <w:r>
        <w:rPr>
          <w:rFonts w:ascii="Times New Roman" w:eastAsia="Times New Roman" w:hAnsi="Times New Roman" w:cs="Times New Roman"/>
          <w:sz w:val="24"/>
        </w:rPr>
        <w:t>оком 2016. године, ревидирани циљеви рационализације броја запослених у сектору опште државе и мањи раст броја пензионера од предвиђеног утицали су на ревизију наниже планираних расхода за пензије. При пројекцији ове категорије расхода крајем 2015. године,</w:t>
      </w:r>
      <w:r>
        <w:rPr>
          <w:rFonts w:ascii="Times New Roman" w:eastAsia="Times New Roman" w:hAnsi="Times New Roman" w:cs="Times New Roman"/>
          <w:sz w:val="24"/>
        </w:rPr>
        <w:t xml:space="preserve"> остављена је одређена резерва с обзиром да се очекивао убрзанији прилив нових пензионера по основу процеса рационализације у јавном сектору (укључујући и јавна предузећа) и завршетка реструктурирања преосталих предузећа у процесу приватизације. Истовремен</w:t>
      </w:r>
      <w:r>
        <w:rPr>
          <w:rFonts w:ascii="Times New Roman" w:eastAsia="Times New Roman" w:hAnsi="Times New Roman" w:cs="Times New Roman"/>
          <w:sz w:val="24"/>
        </w:rPr>
        <w:t xml:space="preserve">о, био је резервисан и износ средстава по основу повећања броја пензионера за категорије радника </w:t>
      </w:r>
      <w:r>
        <w:rPr>
          <w:rFonts w:ascii="Times New Roman" w:eastAsia="Times New Roman" w:hAnsi="Times New Roman" w:cs="Times New Roman"/>
          <w:sz w:val="24"/>
        </w:rPr>
        <w:lastRenderedPageBreak/>
        <w:t>код којих је вођен процес тзв. повезивања стажа. За сада се чини да до тога није дошло, иако није искључено да се овај процес убрза у наредном периоду. Други ф</w:t>
      </w:r>
      <w:r>
        <w:rPr>
          <w:rFonts w:ascii="Times New Roman" w:eastAsia="Times New Roman" w:hAnsi="Times New Roman" w:cs="Times New Roman"/>
          <w:sz w:val="24"/>
        </w:rPr>
        <w:t>актори који су утицали на процену укупних издатака за пензије су линерано повећање номиналног износа пензија, као и повећање износа који примају војни пензионери у складу са одлуком Уставног суда. Планом за 2016. годину био је предвиђен раст броја корисник</w:t>
      </w:r>
      <w:r>
        <w:rPr>
          <w:rFonts w:ascii="Times New Roman" w:eastAsia="Times New Roman" w:hAnsi="Times New Roman" w:cs="Times New Roman"/>
          <w:sz w:val="24"/>
        </w:rPr>
        <w:t xml:space="preserve">а пензије изнад 1%, што је било у складу са динамиком из претходних година.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Након десетогодишњег периода раста броја пензионера, у 2015. години се први пут смањио укупан број пензионера и то за 0,2% или 3.200 лица. Такав тренд настављен је и током 2016. г</w:t>
      </w:r>
      <w:r>
        <w:rPr>
          <w:rFonts w:ascii="Times New Roman" w:eastAsia="Times New Roman" w:hAnsi="Times New Roman" w:cs="Times New Roman"/>
          <w:sz w:val="24"/>
        </w:rPr>
        <w:t>одине. Осим благог смањења укупног броја корисника пензија, промењена је и структура по облицима, те је смањен број корисника инвалидских пензија и у нешто мањој мери број корисника породичних пензија. Томе су допринеле мере на спречавању злоупотреба у ово</w:t>
      </w:r>
      <w:r>
        <w:rPr>
          <w:rFonts w:ascii="Times New Roman" w:eastAsia="Times New Roman" w:hAnsi="Times New Roman" w:cs="Times New Roman"/>
          <w:sz w:val="24"/>
        </w:rPr>
        <w:t>ј области. Број старосних пензија и даље расте, али по приметно нижој стопи. Оваква кретања резултат су и параметарских мера, као што је фазно подизање старосне границе, али и увођење пенала приликом превременог одласка у пензију. У складу са овим кретањим</w:t>
      </w:r>
      <w:r>
        <w:rPr>
          <w:rFonts w:ascii="Times New Roman" w:eastAsia="Times New Roman" w:hAnsi="Times New Roman" w:cs="Times New Roman"/>
          <w:sz w:val="24"/>
        </w:rPr>
        <w:t>а ревидирана је процена укупних расхода за пензије наниже за 2,3% у односу на планиран износ уз напомену да предвиђена једнократна исплата пензионерима није приказана као део укупних расхода за пензије, већ се третира као облик осталих трансфера становништ</w:t>
      </w:r>
      <w:r>
        <w:rPr>
          <w:rFonts w:ascii="Times New Roman" w:eastAsia="Times New Roman" w:hAnsi="Times New Roman" w:cs="Times New Roman"/>
          <w:sz w:val="24"/>
        </w:rPr>
        <w:t xml:space="preserve">ву.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Расходи за социјална давања и остале трансфере становништву биће увећани у односу на планиран износ, пре свега због исплате једнократне помоћи пензионерима. Сваком појединачном примаоцу пензија исплаћено је по 5.000 динара без обзира на висину пензије коју</w:t>
      </w:r>
      <w:r>
        <w:rPr>
          <w:rFonts w:ascii="Times New Roman" w:eastAsia="Times New Roman" w:hAnsi="Times New Roman" w:cs="Times New Roman"/>
          <w:sz w:val="24"/>
        </w:rPr>
        <w:t xml:space="preserve"> прима. Укупан ефекат једнократне исплате по овом основу је 8,6 млрд динара. Поједини облици расхода у оквиру социјалних давања и трансфера становништву извршиће се у мањем износу од првобитног плана. Од укупно планираног износа отпремнина за раднике у пре</w:t>
      </w:r>
      <w:r>
        <w:rPr>
          <w:rFonts w:ascii="Times New Roman" w:eastAsia="Times New Roman" w:hAnsi="Times New Roman" w:cs="Times New Roman"/>
          <w:sz w:val="24"/>
        </w:rPr>
        <w:t>дузећима у реструктурирању у 2016. години потрошиће се половина, а остатак од 3 млрд динара планиран је у 2017. години, када се очекује завршетак реструктурирања. Услед очекивано већег прилива корисника Националне службе за запошљавање (као резултат привођ</w:t>
      </w:r>
      <w:r>
        <w:rPr>
          <w:rFonts w:ascii="Times New Roman" w:eastAsia="Times New Roman" w:hAnsi="Times New Roman" w:cs="Times New Roman"/>
          <w:sz w:val="24"/>
        </w:rPr>
        <w:t>ења крају процеса реструктурирања и рационализације у јавном сектору), накнаде за незапослене планиране су на нешто већем нивоу. Извршење ових расхода у досадашњем делу 2016. године знатно је испод планираног нивоа. Са друге стране, социјална давања на лок</w:t>
      </w:r>
      <w:r>
        <w:rPr>
          <w:rFonts w:ascii="Times New Roman" w:eastAsia="Times New Roman" w:hAnsi="Times New Roman" w:cs="Times New Roman"/>
          <w:sz w:val="24"/>
        </w:rPr>
        <w:t>алном ниво су повећана због већ поменутог ширег обухвата одређених средстава. Расте и износ исплата дуга војним пензионерима по основу судских одлука. Наиме, одређени број корисника није ушао у процес споразумног поравнања дуга, већ средства која потражују</w:t>
      </w:r>
      <w:r>
        <w:rPr>
          <w:rFonts w:ascii="Times New Roman" w:eastAsia="Times New Roman" w:hAnsi="Times New Roman" w:cs="Times New Roman"/>
          <w:sz w:val="24"/>
        </w:rPr>
        <w:t xml:space="preserve"> по овом основу намирују путем принудне наплате, у складу са појединачним судским одлукама.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Расходи за субвенције су због планираних једнократних расхода категорија код које је новим оквиром предвиђено веће извршење у односу на буџетиран износ. У 2016. години је било предвиђено значајно смањење укупног износа субвенција. Укинуто је субвенционисањ</w:t>
      </w:r>
      <w:r>
        <w:rPr>
          <w:rFonts w:ascii="Times New Roman" w:eastAsia="Times New Roman" w:hAnsi="Times New Roman" w:cs="Times New Roman"/>
          <w:sz w:val="24"/>
        </w:rPr>
        <w:t xml:space="preserve">е земљишта површине веће од 20 хектара, као и државног земљишта које је издато у закуп. Субвенције намењене јавним медијским сервисима су смањене са 8 на 4 млрд динара. На крају године извршење ће бити више од планираног због преузимања дуга Петрохемије у </w:t>
      </w:r>
      <w:r>
        <w:rPr>
          <w:rFonts w:ascii="Times New Roman" w:eastAsia="Times New Roman" w:hAnsi="Times New Roman" w:cs="Times New Roman"/>
          <w:sz w:val="24"/>
        </w:rPr>
        <w:t xml:space="preserve">износу од 12,9 млрд динара, што се класификује као субвенција. У односу на 2015. годину смањене су субвенције на локалном нивоу, али то је резултат већ поменуте методолошке промене обухвата корисника и самим тим класификације на расходној страни.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Отплата </w:t>
      </w:r>
      <w:r>
        <w:rPr>
          <w:rFonts w:ascii="Times New Roman" w:eastAsia="Times New Roman" w:hAnsi="Times New Roman" w:cs="Times New Roman"/>
          <w:sz w:val="24"/>
        </w:rPr>
        <w:t>по основу гаранција као и субвенције значајније ће одступити у односу на износе планиране буџетом за 2016. годину. Извршење буџета по овом основу у септембру је достигло планирани износ. Узрок оваквог кретања је позитивне природе, а односи се на превремену</w:t>
      </w:r>
      <w:r>
        <w:rPr>
          <w:rFonts w:ascii="Times New Roman" w:eastAsia="Times New Roman" w:hAnsi="Times New Roman" w:cs="Times New Roman"/>
          <w:sz w:val="24"/>
        </w:rPr>
        <w:t xml:space="preserve"> отплату гарантованог износа дуга (дугови предузећа „Галеникаˮ а.д. и ЈП „Србијагасˮ) чиме се остварују значајније уштеде на страни расхода за камате у наредном периоду. Планом је предвиђено да ЈП „Србијагасˮ самостално отплаћује део дуга према својим пове</w:t>
      </w:r>
      <w:r>
        <w:rPr>
          <w:rFonts w:ascii="Times New Roman" w:eastAsia="Times New Roman" w:hAnsi="Times New Roman" w:cs="Times New Roman"/>
          <w:sz w:val="24"/>
        </w:rPr>
        <w:t xml:space="preserve">риоцима, што се није у потпуности остварило. Поред побољшања ликвидносне позиције овог предузећа оно још није у могућности да потпуно самостално извршава своје обавезе.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Остали текући расходи су повећани у односу на буџетски план. Један део повећања после</w:t>
      </w:r>
      <w:r>
        <w:rPr>
          <w:rFonts w:ascii="Times New Roman" w:eastAsia="Times New Roman" w:hAnsi="Times New Roman" w:cs="Times New Roman"/>
          <w:sz w:val="24"/>
        </w:rPr>
        <w:t>дица је одржавања парламентарних и локалних избора и преноса средстава политичким партијама. Раст ових расхода на републичком нивоу узрокован је и кретањем издатака за плаћање казни по одлукама судова и по основу принудне наплате, а ово су облици расхода к</w:t>
      </w:r>
      <w:r>
        <w:rPr>
          <w:rFonts w:ascii="Times New Roman" w:eastAsia="Times New Roman" w:hAnsi="Times New Roman" w:cs="Times New Roman"/>
          <w:sz w:val="24"/>
        </w:rPr>
        <w:t xml:space="preserve">оји се не могу унапред предвидети. Постоји ризик да укупан ниво ових расхода буде већи него што је тренутно планирано.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Реализација јавних инвестиција је у значајној мери боља у односу на упоредиве периоде претходних година. Капитални расходи бележе највећ</w:t>
      </w:r>
      <w:r>
        <w:rPr>
          <w:rFonts w:ascii="Times New Roman" w:eastAsia="Times New Roman" w:hAnsi="Times New Roman" w:cs="Times New Roman"/>
          <w:sz w:val="24"/>
        </w:rPr>
        <w:t xml:space="preserve">и раст од свих категорија расхода у периоду јануар–септембар 2016. године. До краја септембра капитални расходи достигли су износ од преко 86 млрд динара, што представља повећање од преко 35% у односу на исти период претходне године.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8. Извршење к</w:t>
      </w:r>
      <w:r>
        <w:rPr>
          <w:rFonts w:ascii="Times New Roman" w:eastAsia="Times New Roman" w:hAnsi="Times New Roman" w:cs="Times New Roman"/>
          <w:sz w:val="24"/>
        </w:rPr>
        <w:t>апиталних расхода по нивоима власти, у млрд динара</w:t>
      </w:r>
    </w:p>
    <w:tbl>
      <w:tblPr>
        <w:tblW w:w="0" w:type="auto"/>
        <w:tblInd w:w="-5" w:type="dxa"/>
        <w:tblCellMar>
          <w:left w:w="10" w:type="dxa"/>
          <w:right w:w="10" w:type="dxa"/>
        </w:tblCellMar>
        <w:tblLook w:val="0000"/>
      </w:tblPr>
      <w:tblGrid>
        <w:gridCol w:w="3952"/>
        <w:gridCol w:w="1584"/>
        <w:gridCol w:w="1584"/>
        <w:gridCol w:w="1584"/>
      </w:tblGrid>
      <w:tr w:rsidR="00BE17C7">
        <w:tblPrEx>
          <w:tblCellMar>
            <w:top w:w="0" w:type="dxa"/>
            <w:bottom w:w="0" w:type="dxa"/>
          </w:tblCellMar>
        </w:tblPrEx>
        <w:trPr>
          <w:trHeight w:val="399"/>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keepLines/>
              <w:spacing w:after="0" w:line="240" w:lineRule="auto"/>
              <w:ind w:left="113" w:right="113"/>
              <w:rPr>
                <w:rFonts w:ascii="Calibri" w:eastAsia="Calibri" w:hAnsi="Calibri" w:cs="Calibri"/>
              </w:rPr>
            </w:pP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right"/>
            </w:pPr>
            <w:r>
              <w:rPr>
                <w:rFonts w:ascii="Times New Roman" w:eastAsia="Times New Roman" w:hAnsi="Times New Roman" w:cs="Times New Roman"/>
                <w:sz w:val="20"/>
              </w:rPr>
              <w:t xml:space="preserve">I - IX </w:t>
            </w:r>
            <w:r>
              <w:rPr>
                <w:rFonts w:ascii="Times New Roman" w:eastAsia="Times New Roman" w:hAnsi="Times New Roman" w:cs="Times New Roman"/>
                <w:sz w:val="20"/>
              </w:rPr>
              <w:br/>
              <w:t>2015</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right"/>
            </w:pPr>
            <w:r>
              <w:rPr>
                <w:rFonts w:ascii="Times New Roman" w:eastAsia="Times New Roman" w:hAnsi="Times New Roman" w:cs="Times New Roman"/>
                <w:sz w:val="20"/>
              </w:rPr>
              <w:t xml:space="preserve">I - IX </w:t>
            </w:r>
            <w:r>
              <w:rPr>
                <w:rFonts w:ascii="Times New Roman" w:eastAsia="Times New Roman" w:hAnsi="Times New Roman" w:cs="Times New Roman"/>
                <w:sz w:val="20"/>
              </w:rPr>
              <w:br/>
              <w:t>2016</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right"/>
            </w:pPr>
            <w:r>
              <w:rPr>
                <w:rFonts w:ascii="Times New Roman" w:eastAsia="Times New Roman" w:hAnsi="Times New Roman" w:cs="Times New Roman"/>
                <w:sz w:val="20"/>
              </w:rPr>
              <w:t>∆</w:t>
            </w:r>
          </w:p>
        </w:tc>
      </w:tr>
      <w:tr w:rsidR="00BE17C7">
        <w:tblPrEx>
          <w:tblCellMar>
            <w:top w:w="0" w:type="dxa"/>
            <w:bottom w:w="0" w:type="dxa"/>
          </w:tblCellMar>
        </w:tblPrEx>
        <w:trPr>
          <w:trHeight w:val="231"/>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Буџет Републике</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15,0</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18,5</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3,5</w:t>
            </w:r>
          </w:p>
        </w:tc>
      </w:tr>
      <w:tr w:rsidR="00BE17C7">
        <w:tblPrEx>
          <w:tblCellMar>
            <w:top w:w="0" w:type="dxa"/>
            <w:bottom w:w="0" w:type="dxa"/>
          </w:tblCellMar>
        </w:tblPrEx>
        <w:trPr>
          <w:trHeight w:val="222"/>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Пројектни зајмови</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12,5</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18,4</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5,9</w:t>
            </w:r>
          </w:p>
        </w:tc>
      </w:tr>
      <w:tr w:rsidR="00BE17C7">
        <w:tblPrEx>
          <w:tblCellMar>
            <w:top w:w="0" w:type="dxa"/>
            <w:bottom w:w="0" w:type="dxa"/>
          </w:tblCellMar>
        </w:tblPrEx>
        <w:trPr>
          <w:trHeight w:val="222"/>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Локалне самоуправе и АП Војводина</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20,0</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25,5</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5,5</w:t>
            </w:r>
          </w:p>
        </w:tc>
      </w:tr>
      <w:tr w:rsidR="00BE17C7">
        <w:tblPrEx>
          <w:tblCellMar>
            <w:top w:w="0" w:type="dxa"/>
            <w:bottom w:w="0" w:type="dxa"/>
          </w:tblCellMar>
        </w:tblPrEx>
        <w:trPr>
          <w:trHeight w:val="231"/>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ЈП „Путеви Србијеˮ и „Коридори Србијеˮ д.о.о.</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15,9</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23,4</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7,5</w:t>
            </w:r>
          </w:p>
        </w:tc>
      </w:tr>
      <w:tr w:rsidR="00BE17C7">
        <w:tblPrEx>
          <w:tblCellMar>
            <w:top w:w="0" w:type="dxa"/>
            <w:bottom w:w="0" w:type="dxa"/>
          </w:tblCellMar>
        </w:tblPrEx>
        <w:trPr>
          <w:trHeight w:val="222"/>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Фондови ООСО</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0,5</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0,6</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0,1</w:t>
            </w:r>
          </w:p>
        </w:tc>
      </w:tr>
      <w:tr w:rsidR="00BE17C7">
        <w:tblPrEx>
          <w:tblCellMar>
            <w:top w:w="0" w:type="dxa"/>
            <w:bottom w:w="0" w:type="dxa"/>
          </w:tblCellMar>
        </w:tblPrEx>
        <w:trPr>
          <w:trHeight w:val="64"/>
        </w:trPr>
        <w:tc>
          <w:tcPr>
            <w:tcW w:w="395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ind w:left="113" w:right="113"/>
              <w:jc w:val="both"/>
            </w:pPr>
            <w:r>
              <w:rPr>
                <w:rFonts w:ascii="Times New Roman" w:eastAsia="Times New Roman" w:hAnsi="Times New Roman" w:cs="Times New Roman"/>
              </w:rPr>
              <w:t>УКУПНО</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64,0</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86,3</w:t>
            </w:r>
          </w:p>
        </w:tc>
        <w:tc>
          <w:tcPr>
            <w:tcW w:w="15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tcPr>
          <w:p w:rsidR="00BE17C7" w:rsidRDefault="00843F0B">
            <w:pPr>
              <w:keepLines/>
              <w:spacing w:after="0" w:line="240" w:lineRule="auto"/>
              <w:ind w:left="113" w:right="113"/>
              <w:jc w:val="right"/>
            </w:pPr>
            <w:r>
              <w:rPr>
                <w:rFonts w:ascii="Times New Roman" w:eastAsia="Times New Roman" w:hAnsi="Times New Roman" w:cs="Times New Roman"/>
              </w:rPr>
              <w:t>22,3</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843F0B">
      <w:pPr>
        <w:keepLine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Највећи раст капиталних расхода остварен је по основу повлачења пројектних зајмова који се користе за изградњу путне и железничке инфраструктуре, а бележи се и интензивирање реализације пројеката на локалном нивоу. Ово су несумњиво позитивни резултати оств</w:t>
      </w:r>
      <w:r>
        <w:rPr>
          <w:rFonts w:ascii="Times New Roman" w:eastAsia="Times New Roman" w:hAnsi="Times New Roman" w:cs="Times New Roman"/>
          <w:sz w:val="24"/>
        </w:rPr>
        <w:t>арени при реализацији јавних инвестиција, јер се ради о изградњи Коридора 10 и 11, као и ревитализацији железничке инфраструктуре. Са друге стране, на нивоу буџета Републике остварен је нешто нижи прираст капиталних расхода, при чему се износ од око 1,9 мл</w:t>
      </w:r>
      <w:r>
        <w:rPr>
          <w:rFonts w:ascii="Times New Roman" w:eastAsia="Times New Roman" w:hAnsi="Times New Roman" w:cs="Times New Roman"/>
          <w:sz w:val="24"/>
        </w:rPr>
        <w:t>рд динара односи на попуну стратешких резерви нафте, тј. не представља улагање у инфраструктуру. Извршење капиталних расхода на локалном нивоу у претходном периоду је карактерисало највеће извршење у последњем кварталу и традиционално слабије извршење у пр</w:t>
      </w:r>
      <w:r>
        <w:rPr>
          <w:rFonts w:ascii="Times New Roman" w:eastAsia="Times New Roman" w:hAnsi="Times New Roman" w:cs="Times New Roman"/>
          <w:sz w:val="24"/>
        </w:rPr>
        <w:t>вим месецима године, али се током 2016. године динамика реализације изменила. У другом делу године по правилу долази до брже реализације капиталних расхода на нивоу Републике па се на крају 2016. године може очекивати солидан раст укупних капиталних расход</w:t>
      </w:r>
      <w:r>
        <w:rPr>
          <w:rFonts w:ascii="Times New Roman" w:eastAsia="Times New Roman" w:hAnsi="Times New Roman" w:cs="Times New Roman"/>
          <w:sz w:val="24"/>
        </w:rPr>
        <w:t xml:space="preserve">а. Ова несумњиво позитивна тенденција омогућиће благо подизање учешћа јавних инвестиција у БДП, које су у претходном периоду биле на изузетно ниском нивоу. </w:t>
      </w: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BE17C7">
      <w:pPr>
        <w:keepLines/>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9. Приходи, расходи и резултат сектора државе, у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2990"/>
        <w:gridCol w:w="1391"/>
        <w:gridCol w:w="1232"/>
        <w:gridCol w:w="1507"/>
        <w:gridCol w:w="1566"/>
      </w:tblGrid>
      <w:tr w:rsidR="00BE17C7">
        <w:tblPrEx>
          <w:tblCellMar>
            <w:top w:w="0" w:type="dxa"/>
            <w:bottom w:w="0" w:type="dxa"/>
          </w:tblCellMar>
        </w:tblPrEx>
        <w:trPr>
          <w:trHeight w:val="500"/>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 xml:space="preserve">I - IX </w:t>
            </w:r>
            <w:r>
              <w:rPr>
                <w:rFonts w:ascii="Times New Roman" w:eastAsia="Times New Roman" w:hAnsi="Times New Roman" w:cs="Times New Roman"/>
                <w:sz w:val="20"/>
              </w:rPr>
              <w:br/>
              <w:t>2015</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 xml:space="preserve">I - IX </w:t>
            </w:r>
            <w:r>
              <w:rPr>
                <w:rFonts w:ascii="Times New Roman" w:eastAsia="Times New Roman" w:hAnsi="Times New Roman" w:cs="Times New Roman"/>
                <w:sz w:val="20"/>
              </w:rPr>
              <w:br/>
              <w:t>2016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I-IX</w:t>
            </w:r>
            <w:r>
              <w:rPr>
                <w:rFonts w:ascii="Times New Roman" w:eastAsia="Times New Roman" w:hAnsi="Times New Roman" w:cs="Times New Roman"/>
                <w:sz w:val="20"/>
              </w:rPr>
              <w:br/>
              <w:t>% раста</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2016/2015</w:t>
            </w:r>
            <w:r>
              <w:rPr>
                <w:rFonts w:ascii="Times New Roman" w:eastAsia="Times New Roman" w:hAnsi="Times New Roman" w:cs="Times New Roman"/>
                <w:sz w:val="20"/>
              </w:rPr>
              <w:br/>
              <w:t xml:space="preserve"> % раста</w:t>
            </w:r>
          </w:p>
        </w:tc>
      </w:tr>
      <w:tr w:rsidR="00BE17C7">
        <w:tblPrEx>
          <w:tblCellMar>
            <w:top w:w="0" w:type="dxa"/>
            <w:bottom w:w="0" w:type="dxa"/>
          </w:tblCellMar>
        </w:tblPrEx>
        <w:trPr>
          <w:trHeight w:val="266"/>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ПРИХОДИ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1.237,7</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1.352,4</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9,3</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Текући приходи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1.232,8</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1.344,6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7,2</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Порески приходи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1.066,9</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1.163,6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7,5</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доходак грађана</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105,7</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112,7</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добит правних лица</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50,4</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24,1</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25,3</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Порез на додату вредност</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304,5</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331,5</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7,6</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Акцизе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167,3</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198,1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18,4</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12,5</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Царине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24,1</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10,2</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порески приходи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46,7</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48,2</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Доприноси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368,2</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383,9</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Непорески приходи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166,0</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181,0</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5,6</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Донације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59,8</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44,1</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РАСХОДИ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1.288,8</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1.356,9</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Текући расходи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1.200,3</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1.239,7</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Расходи за запослене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306,2</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308,1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Куповина робе и услуга</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174,7</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193,0</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10,5</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11,4</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камата</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105,7</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109,6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67,8</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62,5</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-10,6</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Социјална помоћ и трансфери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515,4</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526,5</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од чега пензије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365,9</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369,1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текући расходи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30,5</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40,0</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31,1</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13,4</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Капитални расходи</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64,0</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86,3</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34,9</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13,7</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Нето буџетске позајмице</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30,9</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28,3</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Отплата по основу гаранција</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22,6</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28,1</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24,7</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29,5</w:t>
            </w:r>
          </w:p>
        </w:tc>
      </w:tr>
      <w:tr w:rsidR="00BE17C7">
        <w:tblPrEx>
          <w:tblCellMar>
            <w:top w:w="0" w:type="dxa"/>
            <w:bottom w:w="0" w:type="dxa"/>
          </w:tblCellMar>
        </w:tblPrEx>
        <w:trPr>
          <w:trHeight w:val="255"/>
        </w:trPr>
        <w:tc>
          <w:tcPr>
            <w:tcW w:w="2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РЕЗУЛТАТ</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-51,1</w:t>
            </w:r>
          </w:p>
        </w:tc>
        <w:tc>
          <w:tcPr>
            <w:tcW w:w="123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c>
          <w:tcPr>
            <w:tcW w:w="15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tabs>
          <w:tab w:val="left" w:pos="709"/>
        </w:tabs>
        <w:spacing w:after="0" w:line="240" w:lineRule="auto"/>
        <w:ind w:firstLine="720"/>
        <w:jc w:val="both"/>
        <w:rPr>
          <w:rFonts w:ascii="Times New Roman" w:eastAsia="Times New Roman" w:hAnsi="Times New Roman" w:cs="Times New Roman"/>
          <w:sz w:val="24"/>
        </w:rPr>
      </w:pPr>
    </w:p>
    <w:p w:rsidR="00BE17C7" w:rsidRDefault="00843F0B">
      <w:pPr>
        <w:tabs>
          <w:tab w:val="left" w:pos="709"/>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Стање доцњи буџетских корисника и организација обавезног социјалног осигурања последњег дана септембра 2016. године износило је 5,2 млрд динара (око 0,1% БДП), што је мање у односу на крај 2015. године за 1,6 млрд динара. Корисници буџета и ЈП „Путеви Срби</w:t>
      </w:r>
      <w:r>
        <w:rPr>
          <w:rFonts w:ascii="Times New Roman" w:eastAsia="Times New Roman" w:hAnsi="Times New Roman" w:cs="Times New Roman"/>
          <w:sz w:val="24"/>
        </w:rPr>
        <w:t xml:space="preserve">је” смањили су доцње у плаћању за 1,6 млрд динара, док је стање доцњи организација обавезног социјалног осигурања остало непромењено. </w:t>
      </w:r>
    </w:p>
    <w:p w:rsidR="00BE17C7" w:rsidRDefault="00BE17C7">
      <w:pPr>
        <w:tabs>
          <w:tab w:val="left" w:pos="709"/>
        </w:tabs>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10. Стање доцњи у плаћању буџетских корисника и ООСО, у млрд динара</w:t>
      </w:r>
    </w:p>
    <w:tbl>
      <w:tblPr>
        <w:tblW w:w="0" w:type="auto"/>
        <w:tblInd w:w="-5" w:type="dxa"/>
        <w:tblCellMar>
          <w:left w:w="10" w:type="dxa"/>
          <w:right w:w="10" w:type="dxa"/>
        </w:tblCellMar>
        <w:tblLook w:val="0000"/>
      </w:tblPr>
      <w:tblGrid>
        <w:gridCol w:w="4857"/>
        <w:gridCol w:w="1904"/>
        <w:gridCol w:w="1904"/>
      </w:tblGrid>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3" w:right="113"/>
              <w:jc w:val="both"/>
            </w:pPr>
            <w:r>
              <w:rPr>
                <w:rFonts w:ascii="Times New Roman" w:eastAsia="Times New Roman" w:hAnsi="Times New Roman" w:cs="Times New Roman"/>
                <w:sz w:val="20"/>
              </w:rPr>
              <w:t> </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sz w:val="20"/>
              </w:rPr>
              <w:t>31.12.2015.</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sz w:val="20"/>
              </w:rPr>
              <w:t xml:space="preserve"> 30.9.2016.</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both"/>
            </w:pPr>
            <w:r>
              <w:rPr>
                <w:rFonts w:ascii="Times New Roman" w:eastAsia="Times New Roman" w:hAnsi="Times New Roman" w:cs="Times New Roman"/>
              </w:rPr>
              <w:t>Буџетски корисници и ЈП Путеви Србије</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5,4</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3,8</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both"/>
            </w:pPr>
            <w:r>
              <w:rPr>
                <w:rFonts w:ascii="Times New Roman" w:eastAsia="Times New Roman" w:hAnsi="Times New Roman" w:cs="Times New Roman"/>
              </w:rPr>
              <w:t>ООСО</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1,4</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1,4</w:t>
            </w:r>
          </w:p>
        </w:tc>
      </w:tr>
      <w:tr w:rsidR="00BE17C7">
        <w:tblPrEx>
          <w:tblCellMar>
            <w:top w:w="0" w:type="dxa"/>
            <w:bottom w:w="0" w:type="dxa"/>
          </w:tblCellMar>
        </w:tblPrEx>
        <w:trPr>
          <w:trHeight w:val="29"/>
        </w:trPr>
        <w:tc>
          <w:tcPr>
            <w:tcW w:w="4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both"/>
            </w:pPr>
            <w:r>
              <w:rPr>
                <w:rFonts w:ascii="Times New Roman" w:eastAsia="Times New Roman" w:hAnsi="Times New Roman" w:cs="Times New Roman"/>
              </w:rPr>
              <w:t>УКУПНО</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6,8</w:t>
            </w:r>
          </w:p>
        </w:tc>
        <w:tc>
          <w:tcPr>
            <w:tcW w:w="1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5,2</w:t>
            </w:r>
          </w:p>
        </w:tc>
      </w:tr>
    </w:tbl>
    <w:p w:rsidR="00BE17C7" w:rsidRDefault="00BE17C7">
      <w:pPr>
        <w:spacing w:after="0" w:line="240" w:lineRule="auto"/>
        <w:jc w:val="both"/>
        <w:rPr>
          <w:rFonts w:ascii="Times New Roman" w:eastAsia="Times New Roman" w:hAnsi="Times New Roman" w:cs="Times New Roman"/>
          <w:sz w:val="18"/>
        </w:rPr>
      </w:pP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Повољнија фискална позиција у 2016. години је у највећој мери резултат бољег остварења прихода. Фактори који су допринели ревидирању процене фискалног дефицита у 2016. години наниже, сврстани су у следеће групе: утицај базне вредности (остварење у 2015. го</w:t>
      </w:r>
      <w:r>
        <w:rPr>
          <w:rFonts w:ascii="Times New Roman" w:eastAsia="Times New Roman" w:hAnsi="Times New Roman" w:cs="Times New Roman"/>
          <w:sz w:val="24"/>
        </w:rPr>
        <w:t>дини), ефекти ревидираног макроекономског оквира, процена уплате једнократних непореских прихода, кретање потрошње акцизних производа, знатно боља наплата пореза на добит итд. Идентификација ових фактора и њиховог дејства извршена је превасходно у аналитич</w:t>
      </w:r>
      <w:r>
        <w:rPr>
          <w:rFonts w:ascii="Times New Roman" w:eastAsia="Times New Roman" w:hAnsi="Times New Roman" w:cs="Times New Roman"/>
          <w:sz w:val="24"/>
        </w:rPr>
        <w:t>ке сврхе. Укупно дејство свих идентификованих фактора на процену дефицита у 2016. години износи 1,8%.</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Укупно наплаћени приходи у 2015. години били су за 19 млрд динара већи од процене која је послужила као основа за израду плана за 2016. годину. Од тога</w:t>
      </w:r>
      <w:r>
        <w:rPr>
          <w:rFonts w:ascii="Times New Roman" w:eastAsia="Times New Roman" w:hAnsi="Times New Roman" w:cs="Times New Roman"/>
          <w:sz w:val="24"/>
        </w:rPr>
        <w:t xml:space="preserve"> 4 млрд динара нема трајни утицај на дефицит, те је као базни ефекат, који је умањио дефицит, идентификовано 15 млрд тј. 0,36% БДП.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Ефекат ревидираног макроекономског оквира на нижи фискални дефицит је процењен на 0,24% БДП. Већ је било речи о ефектима бр</w:t>
      </w:r>
      <w:r>
        <w:rPr>
          <w:rFonts w:ascii="Times New Roman" w:eastAsia="Times New Roman" w:hAnsi="Times New Roman" w:cs="Times New Roman"/>
          <w:sz w:val="24"/>
        </w:rPr>
        <w:t>жег привредног раста (ревизија са 1,8% на 2,7%) на појединачне пореске облике. Оцена укупног ефекта добијена у овој анализи је заснована на концепту осетљивости јавних прихода у односу на стопу реалног раста БДП. Снажнији раст привредне активности одражава</w:t>
      </w:r>
      <w:r>
        <w:rPr>
          <w:rFonts w:ascii="Times New Roman" w:eastAsia="Times New Roman" w:hAnsi="Times New Roman" w:cs="Times New Roman"/>
          <w:sz w:val="24"/>
        </w:rPr>
        <w:t xml:space="preserve"> се пре свега на раст </w:t>
      </w:r>
      <w:r>
        <w:rPr>
          <w:rFonts w:ascii="Times New Roman" w:eastAsia="Times New Roman" w:hAnsi="Times New Roman" w:cs="Times New Roman"/>
          <w:sz w:val="24"/>
        </w:rPr>
        <w:lastRenderedPageBreak/>
        <w:t>социјалних доприноса и пореза на доходак, али и на остале облике прихода. Неки облици непореских прихода такође су под утицајем нивоа економске активности. Макро ефекти на кретање ПДВ су нешто мањи услед утицаја ниже инфлације на номи</w:t>
      </w:r>
      <w:r>
        <w:rPr>
          <w:rFonts w:ascii="Times New Roman" w:eastAsia="Times New Roman" w:hAnsi="Times New Roman" w:cs="Times New Roman"/>
          <w:sz w:val="24"/>
        </w:rPr>
        <w:t>нални ниво потрошње, али и других фактора као што су раст кредитне активности, кретање осталих облика расположивог дохотка грађана и ефикасност наплате. Треба напоменути да у овако израчунат ефекат није ушла потрошња акцизних производа која је идентификова</w:t>
      </w:r>
      <w:r>
        <w:rPr>
          <w:rFonts w:ascii="Times New Roman" w:eastAsia="Times New Roman" w:hAnsi="Times New Roman" w:cs="Times New Roman"/>
          <w:sz w:val="24"/>
        </w:rPr>
        <w:t>на засебно (свакако делом под утицајем макро окружења), имајући у виду да је приликом оригиналне пројекције прихода од акциза потрошња узета као константна. Додатно, један мањи део ефекта бољег макроекономског оквира на ниже учешће фискалног дефицита у БДП</w:t>
      </w:r>
      <w:r>
        <w:rPr>
          <w:rFonts w:ascii="Times New Roman" w:eastAsia="Times New Roman" w:hAnsi="Times New Roman" w:cs="Times New Roman"/>
          <w:sz w:val="24"/>
        </w:rPr>
        <w:t>, може се приписати већем номиналном износу БДП у односу на планиран.</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Остали фактори који су утицали на бољу фискалну позицију земље су и наставак раста укупне ефикасности наплате пореских прихода, кретање висине и динамике ПДВ повраћаја у односу на пр</w:t>
      </w:r>
      <w:r>
        <w:rPr>
          <w:rFonts w:ascii="Times New Roman" w:eastAsia="Times New Roman" w:hAnsi="Times New Roman" w:cs="Times New Roman"/>
          <w:sz w:val="24"/>
        </w:rPr>
        <w:t xml:space="preserve">вобитно планиране, знатно боља наплата пореза на добит, уплата ванредних непореских прихода и подбачај извршења на појединим категоријама расхода. Фактор који ће негативно деловати на ниво дефицита у 2016. години је преузимање дуга ХИП Петрохемија у јавни </w:t>
      </w:r>
      <w:r>
        <w:rPr>
          <w:rFonts w:ascii="Times New Roman" w:eastAsia="Times New Roman" w:hAnsi="Times New Roman" w:cs="Times New Roman"/>
          <w:sz w:val="24"/>
        </w:rPr>
        <w:t>дуг. Дефицит ће повећати и исплата једнократне помоћи пензионерима.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5"/>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Фискалне пројекције у периоду од 2017. до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наредном средњорочном периоду циљеви фискалне политике су усмерени на даље смањење фискалног дефицита и јавног дуга. Средњорочни фискални оквир предвиђа смањење дефицита опште државе на 1% БДП до 2019. године, и учешћа јавног дуга на испод 70% БДП. Ово п</w:t>
      </w:r>
      <w:r>
        <w:rPr>
          <w:rFonts w:ascii="Times New Roman" w:eastAsia="Times New Roman" w:hAnsi="Times New Roman" w:cs="Times New Roman"/>
          <w:sz w:val="24"/>
        </w:rPr>
        <w:t>одразумева структурно фискално прилагођавање од око 4% БДП, од чега је већ у 2015. години остварено прилагођавање од 2,6%, а у 2016. од око 1,3% БДП. Структурни дефицит је ниво дефицита који не зависи од привредног циклуса и из ког су искључени једнократни</w:t>
      </w:r>
      <w:r>
        <w:rPr>
          <w:rFonts w:ascii="Times New Roman" w:eastAsia="Times New Roman" w:hAnsi="Times New Roman" w:cs="Times New Roman"/>
          <w:sz w:val="24"/>
        </w:rPr>
        <w:t xml:space="preserve"> приходи и расходи. Примарни резултат, као разлика фискалног резултата и нето отплата камата, има растући тренд и већ ове године се очекује остваривање примарног суфицита. Пројекције фискалних агрегата у периоду од 2017. до 2019. године заснивају се на про</w:t>
      </w:r>
      <w:r>
        <w:rPr>
          <w:rFonts w:ascii="Times New Roman" w:eastAsia="Times New Roman" w:hAnsi="Times New Roman" w:cs="Times New Roman"/>
          <w:sz w:val="24"/>
        </w:rPr>
        <w:t>јекцијама макроекономских показатеља за наведени период, планираној пореској политици која подразумева даље усаглашавање са законима и директивама ЕУ и одговарајућим мерама на приходној и расходној страни, укључујући и реформе великих јавних предузећа.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Зах</w:t>
      </w:r>
      <w:r>
        <w:rPr>
          <w:rFonts w:ascii="Times New Roman" w:eastAsia="Times New Roman" w:hAnsi="Times New Roman" w:cs="Times New Roman"/>
          <w:sz w:val="24"/>
        </w:rPr>
        <w:t>ваљујући мерама фискалне консолидације створен је фискални простор за нове политике. Фискални простор представља позитивну разлику између циљаног и очекиваног дефицита, то јест расположива средства која настају као разлика између очекиваних прихода и распо</w:t>
      </w:r>
      <w:r>
        <w:rPr>
          <w:rFonts w:ascii="Times New Roman" w:eastAsia="Times New Roman" w:hAnsi="Times New Roman" w:cs="Times New Roman"/>
          <w:sz w:val="24"/>
        </w:rPr>
        <w:t>ређених расхода. Смањење дефицита превасходно прилагођавањем на расходној страни буџета и повољна макроекономска кретања која су довела до бољих резултата на приходној страни резултирали су бољим резултатом од очекиваног. У наредном периоду, сходно томе, н</w:t>
      </w:r>
      <w:r>
        <w:rPr>
          <w:rFonts w:ascii="Times New Roman" w:eastAsia="Times New Roman" w:hAnsi="Times New Roman" w:cs="Times New Roman"/>
          <w:sz w:val="24"/>
        </w:rPr>
        <w:t>ивои дефицита у случају непромењене политике биће нижи од циљаних дефицита што омогућава усвајање и спровођење нових политика. Креаторима фискалне политике, фискални простор омогућава већу слободу у избору начина расподеле средстава с обзиром да им је на р</w:t>
      </w:r>
      <w:r>
        <w:rPr>
          <w:rFonts w:ascii="Times New Roman" w:eastAsia="Times New Roman" w:hAnsi="Times New Roman" w:cs="Times New Roman"/>
          <w:sz w:val="24"/>
        </w:rPr>
        <w:t xml:space="preserve">асполагању већи број опција. Фискални простор се може искористити како на расходној, тако и на приходној страни, </w:t>
      </w:r>
      <w:r>
        <w:rPr>
          <w:rFonts w:ascii="Times New Roman" w:eastAsia="Times New Roman" w:hAnsi="Times New Roman" w:cs="Times New Roman"/>
          <w:sz w:val="24"/>
        </w:rPr>
        <w:lastRenderedPageBreak/>
        <w:t xml:space="preserve">смањењем пореских стопа или укидањем одређених намета. Уколико би се, пак, фискални простор искористио за превремену отплату дуга или повећање </w:t>
      </w:r>
      <w:r>
        <w:rPr>
          <w:rFonts w:ascii="Times New Roman" w:eastAsia="Times New Roman" w:hAnsi="Times New Roman" w:cs="Times New Roman"/>
          <w:sz w:val="24"/>
        </w:rPr>
        <w:t>депозита додатно би се смањио дефицит. У представљеном средњорочном фискалном оквиру, фискални простор је приказан као нераспоређени део расхода.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Фискални простор у 2017. години биће искоришћен за повећање пензија и плата у једном делу јавног сектора. Захваљујући одличним фискалним резултатима у 2015. и 2016. години омогућено је делимично повећање плата и благо повећање пензија свим пензионерима. По</w:t>
      </w:r>
      <w:r>
        <w:rPr>
          <w:rFonts w:ascii="Times New Roman" w:eastAsia="Times New Roman" w:hAnsi="Times New Roman" w:cs="Times New Roman"/>
          <w:sz w:val="24"/>
        </w:rPr>
        <w:t>већање плата делу јавног сектора у износу од 3–6% и повећање пензија у износу од 1,5% ће повећати дефицит за око 0,4% БДП. Ове мере и њихови износи су дизајнирани тако да не угрозе интензитет фискалне консолидације и темпо смањења јавног дуга, а са друге с</w:t>
      </w:r>
      <w:r>
        <w:rPr>
          <w:rFonts w:ascii="Times New Roman" w:eastAsia="Times New Roman" w:hAnsi="Times New Roman" w:cs="Times New Roman"/>
          <w:sz w:val="24"/>
        </w:rPr>
        <w:t>тране да подигну животни стандард делу становништва и стимулишу приватну потрошњу.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11. Фискални агрегати у периоду 2015–2019. године, % БДП</w:t>
      </w:r>
    </w:p>
    <w:p w:rsidR="00BE17C7" w:rsidRDefault="00BE17C7">
      <w:pPr>
        <w:keepNext/>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3963"/>
        <w:gridCol w:w="1122"/>
        <w:gridCol w:w="948"/>
        <w:gridCol w:w="888"/>
        <w:gridCol w:w="888"/>
        <w:gridCol w:w="889"/>
      </w:tblGrid>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sz w:val="20"/>
              </w:rPr>
              <w:t>опис</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sz w:val="20"/>
              </w:rPr>
              <w:t>извршење</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sz w:val="20"/>
              </w:rPr>
              <w:t>процена</w:t>
            </w:r>
          </w:p>
        </w:tc>
        <w:tc>
          <w:tcPr>
            <w:tcW w:w="2665"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pPr>
            <w:r>
              <w:rPr>
                <w:rFonts w:ascii="Times New Roman" w:eastAsia="Times New Roman" w:hAnsi="Times New Roman" w:cs="Times New Roman"/>
                <w:sz w:val="20"/>
              </w:rPr>
              <w:t>пројекција</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 </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rPr>
              <w:t>2015</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rPr>
              <w:t>2016</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rPr>
              <w:t>2017</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rPr>
              <w:t>2018</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right"/>
            </w:pPr>
            <w:r>
              <w:rPr>
                <w:rFonts w:ascii="Times New Roman" w:eastAsia="Times New Roman" w:hAnsi="Times New Roman" w:cs="Times New Roman"/>
              </w:rPr>
              <w:t>2019</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Јавни приходи</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41,9</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43,3</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42,4</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41,6</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41,1</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Јавни расходи</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45,6</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45,4</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44,1</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42,9</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42,1</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од чега фискални простор</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0,3</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0,8</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Консолидовани фискални резултат</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-3,7</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-2,1</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-1,7</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-1,3</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-1,0</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Примарни консолидовани резултат</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-0,5</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1,2</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1,4</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1,6</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1,7</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keepNext/>
              <w:spacing w:after="0" w:line="240" w:lineRule="auto"/>
              <w:ind w:left="115" w:right="115"/>
              <w:jc w:val="both"/>
              <w:rPr>
                <w:rFonts w:ascii="Calibri" w:eastAsia="Calibri" w:hAnsi="Calibri" w:cs="Calibri"/>
              </w:rPr>
            </w:pP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ind w:left="115" w:right="115"/>
              <w:jc w:val="right"/>
              <w:rPr>
                <w:rFonts w:ascii="Calibri" w:eastAsia="Calibri" w:hAnsi="Calibri" w:cs="Calibri"/>
              </w:rPr>
            </w:pP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Дуг опште државе</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76,0</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74,6</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73,9</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70,7</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67,0</w:t>
            </w:r>
          </w:p>
        </w:tc>
      </w:tr>
      <w:tr w:rsidR="00BE17C7">
        <w:tblPrEx>
          <w:tblCellMar>
            <w:top w:w="0" w:type="dxa"/>
            <w:bottom w:w="0" w:type="dxa"/>
          </w:tblCellMar>
        </w:tblPrEx>
        <w:trPr>
          <w:trHeight w:val="37"/>
        </w:trPr>
        <w:tc>
          <w:tcPr>
            <w:tcW w:w="396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ind w:left="115" w:right="115"/>
              <w:jc w:val="both"/>
            </w:pPr>
            <w:r>
              <w:rPr>
                <w:rFonts w:ascii="Times New Roman" w:eastAsia="Times New Roman" w:hAnsi="Times New Roman" w:cs="Times New Roman"/>
              </w:rPr>
              <w:t>Реална стопа раста БДП</w:t>
            </w:r>
          </w:p>
        </w:tc>
        <w:tc>
          <w:tcPr>
            <w:tcW w:w="11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0,8%</w:t>
            </w:r>
          </w:p>
        </w:tc>
        <w:tc>
          <w:tcPr>
            <w:tcW w:w="94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2,7%</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3,0%</w:t>
            </w:r>
          </w:p>
        </w:tc>
        <w:tc>
          <w:tcPr>
            <w:tcW w:w="8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3,5%</w:t>
            </w:r>
          </w:p>
        </w:tc>
        <w:tc>
          <w:tcPr>
            <w:tcW w:w="8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ind w:left="115" w:right="115"/>
              <w:jc w:val="right"/>
            </w:pPr>
            <w:r>
              <w:rPr>
                <w:rFonts w:ascii="Times New Roman" w:eastAsia="Times New Roman" w:hAnsi="Times New Roman" w:cs="Times New Roman"/>
              </w:rPr>
              <w:t>3,5%</w:t>
            </w:r>
          </w:p>
        </w:tc>
      </w:tr>
    </w:tbl>
    <w:p w:rsidR="00BE17C7" w:rsidRDefault="00843F0B">
      <w:pPr>
        <w:keepNext/>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keepNext/>
        <w:spacing w:after="0" w:line="240" w:lineRule="auto"/>
        <w:jc w:val="both"/>
        <w:rPr>
          <w:rFonts w:ascii="Times New Roman" w:eastAsia="Times New Roman" w:hAnsi="Times New Roman" w:cs="Times New Roman"/>
          <w:sz w:val="18"/>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Путања јавног дуга је преокренута и већ од 2016. године, учешће јавног дуга у БДП је почело да се смањује. У последње две године, захваљујући фискалним и структурним мерама раст дуга је прво успорен, а ове године је први пут дошло до пада учешћа јавног дуг</w:t>
      </w:r>
      <w:r>
        <w:rPr>
          <w:rFonts w:ascii="Times New Roman" w:eastAsia="Times New Roman" w:hAnsi="Times New Roman" w:cs="Times New Roman"/>
          <w:sz w:val="24"/>
        </w:rPr>
        <w:t xml:space="preserve">а у БДП. Смањење дуга је уско везано за снижавање дефицита као главног фактора задуживања, тако да динамика спуштања дефицита опредељује и промену кретања дуга. Процењује се да је за снижавање дуга у дугорочном периоду оптимално да фискални дефицит износи </w:t>
      </w:r>
      <w:r>
        <w:rPr>
          <w:rFonts w:ascii="Times New Roman" w:eastAsia="Times New Roman" w:hAnsi="Times New Roman" w:cs="Times New Roman"/>
          <w:sz w:val="24"/>
        </w:rPr>
        <w:t>око 1% БДП, с тим да што је дугорочни ниво дефицита нижи брже је и смањивање нивоа јавног дуга. Финансијске трансакције, као што је замена скупог дуга јефтинијим, као и боља позиција државе на међународном финансијском тржишту, такође ће допринети даљем сн</w:t>
      </w:r>
      <w:r>
        <w:rPr>
          <w:rFonts w:ascii="Times New Roman" w:eastAsia="Times New Roman" w:hAnsi="Times New Roman" w:cs="Times New Roman"/>
          <w:sz w:val="24"/>
        </w:rPr>
        <w:t>ижавању дуга.</w:t>
      </w:r>
    </w:p>
    <w:p w:rsidR="00BE17C7" w:rsidRDefault="00BE17C7">
      <w:pPr>
        <w:spacing w:after="0" w:line="240" w:lineRule="auto"/>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2017. години наставиће се консолидација јавних финансија. У процесу рационализације броја запослених у оквиру опште државе предвиђено је смањење за око пет хиљада људи. Наставиће се и процес реструктурирања јавних и некадашњих друштвених предузећа како б</w:t>
      </w:r>
      <w:r>
        <w:rPr>
          <w:rFonts w:ascii="Times New Roman" w:eastAsia="Times New Roman" w:hAnsi="Times New Roman" w:cs="Times New Roman"/>
          <w:sz w:val="24"/>
        </w:rPr>
        <w:t>и се смањило оптерећење јавних финансија и целе привреде које ова предузећа тренутно представљају. Законом о финансирању локалних самоуправа прерасподељен је приход по основу пореза на зараде у корист буџета Републике у износу од око 5 млрд динара. Осим см</w:t>
      </w:r>
      <w:r>
        <w:rPr>
          <w:rFonts w:ascii="Times New Roman" w:eastAsia="Times New Roman" w:hAnsi="Times New Roman" w:cs="Times New Roman"/>
          <w:sz w:val="24"/>
        </w:rPr>
        <w:t xml:space="preserve">ањења дефицита опште државе, циљ ове мере је да се </w:t>
      </w:r>
      <w:r>
        <w:rPr>
          <w:rFonts w:ascii="Times New Roman" w:eastAsia="Times New Roman" w:hAnsi="Times New Roman" w:cs="Times New Roman"/>
          <w:sz w:val="24"/>
        </w:rPr>
        <w:lastRenderedPageBreak/>
        <w:t>подстакну локалне самоуправе да унапреде прикупљање прихода у својој надлежности, пре свега пореза на имовину, и побољшају стање својих финансија.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Снажнији раст привредне активности утицаће на опоравак при</w:t>
      </w:r>
      <w:r>
        <w:rPr>
          <w:rFonts w:ascii="Times New Roman" w:eastAsia="Times New Roman" w:hAnsi="Times New Roman" w:cs="Times New Roman"/>
          <w:sz w:val="24"/>
        </w:rPr>
        <w:t>ходне стране буџета. Посматрано према учешћу у БДП, укупни приходи сектора државе, без индиректних корисника, имају опадајући тренд, с обзиром да је номинални раст БДП бржи од раста прихода. Наиме, порески приходи у највећој мери зависе од кретања приватне</w:t>
      </w:r>
      <w:r>
        <w:rPr>
          <w:rFonts w:ascii="Times New Roman" w:eastAsia="Times New Roman" w:hAnsi="Times New Roman" w:cs="Times New Roman"/>
          <w:sz w:val="24"/>
        </w:rPr>
        <w:t xml:space="preserve"> потрошње чији је темпо раста спорији од пројектоване стопе расте номиналног БДП. Више стопе раста БДП у периоду од 2017. до 2019. године допринеће динамичнијем расту пореских прихода у односу на претходни период. Опоравак на тржишту рада, као и раст распо</w:t>
      </w:r>
      <w:r>
        <w:rPr>
          <w:rFonts w:ascii="Times New Roman" w:eastAsia="Times New Roman" w:hAnsi="Times New Roman" w:cs="Times New Roman"/>
          <w:sz w:val="24"/>
        </w:rPr>
        <w:t>ложивог дохотка становништва и приватне потрошње, уз наставак борбе против сиве економије и пореске евазије биће фактори који ће определити снажнији раст прихода.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Line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12. Укупни приходи и донације у периоду 2015–2019. године, % БДП</w:t>
      </w:r>
    </w:p>
    <w:tbl>
      <w:tblPr>
        <w:tblW w:w="0" w:type="auto"/>
        <w:tblInd w:w="-5" w:type="dxa"/>
        <w:tblCellMar>
          <w:left w:w="10" w:type="dxa"/>
          <w:right w:w="10" w:type="dxa"/>
        </w:tblCellMar>
        <w:tblLook w:val="0000"/>
      </w:tblPr>
      <w:tblGrid>
        <w:gridCol w:w="4060"/>
        <w:gridCol w:w="1255"/>
        <w:gridCol w:w="1189"/>
        <w:gridCol w:w="794"/>
        <w:gridCol w:w="794"/>
        <w:gridCol w:w="793"/>
      </w:tblGrid>
      <w:tr w:rsidR="00BE17C7">
        <w:tblPrEx>
          <w:tblCellMar>
            <w:top w:w="0" w:type="dxa"/>
            <w:bottom w:w="0" w:type="dxa"/>
          </w:tblCellMar>
        </w:tblPrEx>
        <w:trPr>
          <w:trHeight w:val="18"/>
        </w:trPr>
        <w:tc>
          <w:tcPr>
            <w:tcW w:w="406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sz w:val="20"/>
              </w:rPr>
              <w:t> опис</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sz w:val="20"/>
              </w:rPr>
              <w:t>извршење</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sz w:val="20"/>
              </w:rPr>
              <w:t>процена</w:t>
            </w:r>
          </w:p>
        </w:tc>
        <w:tc>
          <w:tcPr>
            <w:tcW w:w="2381"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pPr>
            <w:r>
              <w:rPr>
                <w:rFonts w:ascii="Times New Roman" w:eastAsia="Times New Roman" w:hAnsi="Times New Roman" w:cs="Times New Roman"/>
                <w:sz w:val="20"/>
              </w:rPr>
              <w:t>пројекција</w:t>
            </w:r>
          </w:p>
        </w:tc>
      </w:tr>
      <w:tr w:rsidR="00BE17C7">
        <w:tblPrEx>
          <w:tblCellMar>
            <w:top w:w="0" w:type="dxa"/>
            <w:bottom w:w="0" w:type="dxa"/>
          </w:tblCellMar>
        </w:tblPrEx>
        <w:trPr>
          <w:trHeight w:val="18"/>
        </w:trPr>
        <w:tc>
          <w:tcPr>
            <w:tcW w:w="4060"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2015</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2016</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2017</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2018</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2019</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ЈАВНИ ПРИХОДИ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41,9</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43,3</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42,4</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41,6</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41,1</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Текући приходи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41,7</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43,0</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42,1</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41,3</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40,9</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 xml:space="preserve"> Порески приходи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36,2</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37,4</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37,3</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36,7</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36,5</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Порез на доходак грађана</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3,6</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3,7</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 xml:space="preserve">Порез на добит </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1,6</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1,9</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1,8</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1,8</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1,8</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Порез на додату вредност</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10,3</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10,6</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10,6</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10,4</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10,3</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Акцизе</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5,8</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6,3</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6,2</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6,0</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5,7</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Царине</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0,8</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0,9</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0,9</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0,9</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Остали порески приходи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1,6</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1,5</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1,5</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1,4</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1,3</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Доприноси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12,5</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12,5</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12,6</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12,6</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12,7</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 xml:space="preserve"> Непорески приходи</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5,5</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5,6</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4,8</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4,6</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4,4</w:t>
            </w:r>
          </w:p>
        </w:tc>
      </w:tr>
      <w:tr w:rsidR="00BE17C7">
        <w:tblPrEx>
          <w:tblCellMar>
            <w:top w:w="0" w:type="dxa"/>
            <w:bottom w:w="0" w:type="dxa"/>
          </w:tblCellMar>
        </w:tblPrEx>
        <w:trPr>
          <w:trHeight w:val="18"/>
        </w:trPr>
        <w:tc>
          <w:tcPr>
            <w:tcW w:w="406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both"/>
            </w:pPr>
            <w:r>
              <w:rPr>
                <w:rFonts w:ascii="Times New Roman" w:eastAsia="Times New Roman" w:hAnsi="Times New Roman" w:cs="Times New Roman"/>
              </w:rPr>
              <w:t>Донације</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0,2</w:t>
            </w:r>
          </w:p>
        </w:tc>
        <w:tc>
          <w:tcPr>
            <w:tcW w:w="118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0,2</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0,3</w:t>
            </w:r>
          </w:p>
        </w:tc>
        <w:tc>
          <w:tcPr>
            <w:tcW w:w="79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0,2</w:t>
            </w:r>
          </w:p>
        </w:tc>
        <w:tc>
          <w:tcPr>
            <w:tcW w:w="79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Lines/>
              <w:spacing w:after="0" w:line="240" w:lineRule="auto"/>
              <w:jc w:val="right"/>
            </w:pPr>
            <w:r>
              <w:rPr>
                <w:rFonts w:ascii="Times New Roman" w:eastAsia="Times New Roman" w:hAnsi="Times New Roman" w:cs="Times New Roman"/>
              </w:rPr>
              <w:t>0,2</w:t>
            </w:r>
          </w:p>
        </w:tc>
      </w:tr>
    </w:tbl>
    <w:p w:rsidR="00BE17C7" w:rsidRDefault="00843F0B">
      <w:pPr>
        <w:keepLines/>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keepNext/>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Пројекција прихода у периоду од 2017. до 2019. године израђена је на основу: </w:t>
      </w:r>
    </w:p>
    <w:p w:rsidR="00BE17C7" w:rsidRDefault="00843F0B">
      <w:pPr>
        <w:numPr>
          <w:ilvl w:val="0"/>
          <w:numId w:val="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важеће пореске политике;</w:t>
      </w:r>
    </w:p>
    <w:p w:rsidR="00BE17C7" w:rsidRDefault="00843F0B">
      <w:pPr>
        <w:numPr>
          <w:ilvl w:val="0"/>
          <w:numId w:val="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пројекције кретања најважнијих макроекономских показатеља: БДП и његових компоненти, инфлације, девизног курса, кретања спољнотрговинске размене, процене кретања запослености и зарада; </w:t>
      </w:r>
    </w:p>
    <w:p w:rsidR="00BE17C7" w:rsidRDefault="00843F0B">
      <w:pPr>
        <w:numPr>
          <w:ilvl w:val="0"/>
          <w:numId w:val="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процењених ефеката преосталих мера фискалне консолидације, конкретно р</w:t>
      </w:r>
      <w:r>
        <w:rPr>
          <w:rFonts w:ascii="Times New Roman" w:eastAsia="Times New Roman" w:hAnsi="Times New Roman" w:cs="Times New Roman"/>
          <w:sz w:val="24"/>
        </w:rPr>
        <w:t>ационализације броја запослених у јавном сектору и реструктурирања јавних и бивших друштвених предузећа.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Нису предвиђене значајне промене пореске политике и висина постојећих пореских стопа. То омогућава већу поузданост у процени прихода, јер је увек потре</w:t>
      </w:r>
      <w:r>
        <w:rPr>
          <w:rFonts w:ascii="Times New Roman" w:eastAsia="Times New Roman" w:hAnsi="Times New Roman" w:cs="Times New Roman"/>
          <w:sz w:val="24"/>
        </w:rPr>
        <w:t>бно одређено време да нове стопе почну да делују пуним интензитетом и да субјекти пореског система прилагоде своје понашање. Пројекција прихода, такође, подразумева одржавање постојећег степена наплате свих структурних облика укупних прихода.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Порез на дохо</w:t>
      </w:r>
      <w:r>
        <w:rPr>
          <w:rFonts w:ascii="Times New Roman" w:eastAsia="Times New Roman" w:hAnsi="Times New Roman" w:cs="Times New Roman"/>
          <w:sz w:val="24"/>
        </w:rPr>
        <w:t>дак одсликава кретање зарада и запослености у привреди. Порез на доходак пројектован је на нивоу од око 3,7% БДП током целог средњорочног периода. Пројектовани износи су у складу са политиком зарада у јавном сектору, предвиђеним нивоом рационализације број</w:t>
      </w:r>
      <w:r>
        <w:rPr>
          <w:rFonts w:ascii="Times New Roman" w:eastAsia="Times New Roman" w:hAnsi="Times New Roman" w:cs="Times New Roman"/>
          <w:sz w:val="24"/>
        </w:rPr>
        <w:t xml:space="preserve">а запослених код корисника јавних средстава и позитивним предвиђеним кретањима запослености и просечних зарада у приватном сектору, у складу </w:t>
      </w:r>
      <w:r>
        <w:rPr>
          <w:rFonts w:ascii="Times New Roman" w:eastAsia="Times New Roman" w:hAnsi="Times New Roman" w:cs="Times New Roman"/>
          <w:sz w:val="24"/>
        </w:rPr>
        <w:lastRenderedPageBreak/>
        <w:t>са опоравком привредне активности. Преовлађујући облик пореза на доходак је порез на зараде, тако да су кретање мас</w:t>
      </w:r>
      <w:r>
        <w:rPr>
          <w:rFonts w:ascii="Times New Roman" w:eastAsia="Times New Roman" w:hAnsi="Times New Roman" w:cs="Times New Roman"/>
          <w:sz w:val="24"/>
        </w:rPr>
        <w:t>е зарада и запослености главни фактори који утичу на кретање овог пореског облика. Други део укупних пореза на доходак чине порез на дивиденде, порез на приходе од камата, годишњи порез на доходак итд. Један од разлога пада ове категорије су нижи приходи о</w:t>
      </w:r>
      <w:r>
        <w:rPr>
          <w:rFonts w:ascii="Times New Roman" w:eastAsia="Times New Roman" w:hAnsi="Times New Roman" w:cs="Times New Roman"/>
          <w:sz w:val="24"/>
        </w:rPr>
        <w:t>д пореза на камате узроковани општим смањењем каматних стопа и последичним падом прихода по основу штедње. Приходи од дивиденди и осталих облика пореза на доходак прате кретање опште економске активности и зарада. Одређени ниво ризика у наплати пореза на з</w:t>
      </w:r>
      <w:r>
        <w:rPr>
          <w:rFonts w:ascii="Times New Roman" w:eastAsia="Times New Roman" w:hAnsi="Times New Roman" w:cs="Times New Roman"/>
          <w:sz w:val="24"/>
        </w:rPr>
        <w:t xml:space="preserve">араде постоји уколико изостане номинални раст зарада у приватном сектору или ако тај раст буде нижи од предвиђеног. Код ове пореске категорије кључна је борба против сиве економије с обзиром на велики број непријављених радника и исплате зарада „на рукеˮ. </w:t>
      </w:r>
      <w:r>
        <w:rPr>
          <w:rFonts w:ascii="Times New Roman" w:eastAsia="Times New Roman" w:hAnsi="Times New Roman" w:cs="Times New Roman"/>
          <w:sz w:val="24"/>
        </w:rPr>
        <w:t>Током 2015. и 2016. године интензивиране су контроле и појачане санкције што је дало значајне резултате у сузбијању сиве економије у области рада и запошљавања, али је врло битно да се на овом пољу настави са оваквим ангажманом и у наредном периоду.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Пројек</w:t>
      </w:r>
      <w:r>
        <w:rPr>
          <w:rFonts w:ascii="Times New Roman" w:eastAsia="Times New Roman" w:hAnsi="Times New Roman" w:cs="Times New Roman"/>
          <w:sz w:val="24"/>
        </w:rPr>
        <w:t>товано је стабилно учешће доприноса за обавезно социјално осигурање у БДП за наредни средњорочни период. Кретање учешћа овог јавног прихода у БДП има сличну путању као и кретање учешћа пореза на зараде, с обзиром да су за њихову пројекцију коришћене исте п</w:t>
      </w:r>
      <w:r>
        <w:rPr>
          <w:rFonts w:ascii="Times New Roman" w:eastAsia="Times New Roman" w:hAnsi="Times New Roman" w:cs="Times New Roman"/>
          <w:sz w:val="24"/>
        </w:rPr>
        <w:t>ретпоставке о кретању зарада и запослености у наредном средњорочном периоду. Једину разлику представљају доприноси који се наплаћују по основу осигурања пољопривредника и предузетника. Доприноси су пореска категорија код које је најизраженија пореска недис</w:t>
      </w:r>
      <w:r>
        <w:rPr>
          <w:rFonts w:ascii="Times New Roman" w:eastAsia="Times New Roman" w:hAnsi="Times New Roman" w:cs="Times New Roman"/>
          <w:sz w:val="24"/>
        </w:rPr>
        <w:t>циплина и регистрован највећи дуг пореских обвезника. Иако је у протеклом периоду било измена стопа по којима се обрачунавају и наплаћују социјални доприноси (током 2013. године повећана је стопа за ПИО доприносе са 22% на 24%, уз смањење стопе пореза на з</w:t>
      </w:r>
      <w:r>
        <w:rPr>
          <w:rFonts w:ascii="Times New Roman" w:eastAsia="Times New Roman" w:hAnsi="Times New Roman" w:cs="Times New Roman"/>
          <w:sz w:val="24"/>
        </w:rPr>
        <w:t xml:space="preserve">араде са 12% на 10%, док је у 2014. години стопа ПИО доприноса повећана са 24% на 26%, и истовремено смањена стопа доприноса за здравствено осигурање са 12,3% на 10,3%), у наредном периоду нису предвиђене даље измене у висини стопа.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Пројектовани су стабил</w:t>
      </w:r>
      <w:r>
        <w:rPr>
          <w:rFonts w:ascii="Times New Roman" w:eastAsia="Times New Roman" w:hAnsi="Times New Roman" w:cs="Times New Roman"/>
          <w:sz w:val="24"/>
        </w:rPr>
        <w:t>ни приходи од пореза на добит у периоду 2017–2019. године (1,8% БДП). Реализација прихода од пореза на добит у предстојећем трогодишњем периоду зависиће од очекиваног привредног опоравка, стабилности курса динара и опште профитабилности привреде. Процену п</w:t>
      </w:r>
      <w:r>
        <w:rPr>
          <w:rFonts w:ascii="Times New Roman" w:eastAsia="Times New Roman" w:hAnsi="Times New Roman" w:cs="Times New Roman"/>
          <w:sz w:val="24"/>
        </w:rPr>
        <w:t>рихода по овом основу карактерише висока неизвесност приликом пројектовања како због економских фактора тако и због могућности коришћења пореског кредита или повраћаја. Средњорочном пројекцијом нису предвиђене веће измене законских прописа и начело опрезно</w:t>
      </w:r>
      <w:r>
        <w:rPr>
          <w:rFonts w:ascii="Times New Roman" w:eastAsia="Times New Roman" w:hAnsi="Times New Roman" w:cs="Times New Roman"/>
          <w:sz w:val="24"/>
        </w:rPr>
        <w:t xml:space="preserve">сти је утицало да пројекција будуће наплате овог пореског облика буде врло конзервативна. Томе иде у прилог и чињеница да ефекти укидања пореских олакшица из 2013. године, услед постојања прелазног периода од неколико година, нису укључени у пројекцију те </w:t>
      </w:r>
      <w:r>
        <w:rPr>
          <w:rFonts w:ascii="Times New Roman" w:eastAsia="Times New Roman" w:hAnsi="Times New Roman" w:cs="Times New Roman"/>
          <w:sz w:val="24"/>
        </w:rPr>
        <w:t xml:space="preserve">постоји могућност већег остварења овог пореског прихода.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Кретање прихода од пореза на додату вредност карактерише благи пад учешћа у БДП, с обзиром да је пројектован спорији раст приватне потрошње у односу на номинални раст БДП. Главна детерминанта кретањ</w:t>
      </w:r>
      <w:r>
        <w:rPr>
          <w:rFonts w:ascii="Times New Roman" w:eastAsia="Times New Roman" w:hAnsi="Times New Roman" w:cs="Times New Roman"/>
          <w:sz w:val="24"/>
        </w:rPr>
        <w:t>а ПДВ је домаћа тражња вођена расположивим дохотком становништва. Расположиви доходак као детерминанта потрошње зависи од кретања зарада у јавном сектору, пензија, социјалне помоћи, кретања масе зарада у приватном сектору и осталих облика доходака, укључуј</w:t>
      </w:r>
      <w:r>
        <w:rPr>
          <w:rFonts w:ascii="Times New Roman" w:eastAsia="Times New Roman" w:hAnsi="Times New Roman" w:cs="Times New Roman"/>
          <w:sz w:val="24"/>
        </w:rPr>
        <w:t xml:space="preserve">ући и дознаке, као и динамику кредитне активности банака према становништву. Релаксација мера фискалне консолидације у домену зарада у јавном сектору и пензија допринеће расту расположивог </w:t>
      </w:r>
      <w:r>
        <w:rPr>
          <w:rFonts w:ascii="Times New Roman" w:eastAsia="Times New Roman" w:hAnsi="Times New Roman" w:cs="Times New Roman"/>
          <w:sz w:val="24"/>
        </w:rPr>
        <w:lastRenderedPageBreak/>
        <w:t>дохотка становништва, али са друге стране паралелно се спроводи зав</w:t>
      </w:r>
      <w:r>
        <w:rPr>
          <w:rFonts w:ascii="Times New Roman" w:eastAsia="Times New Roman" w:hAnsi="Times New Roman" w:cs="Times New Roman"/>
          <w:sz w:val="24"/>
        </w:rPr>
        <w:t>ршетак процеса реструктурирања и рационализација у јавном сектору, који умањују ове ефекте. Номинални раст зарада и запослености у приватном сектору, услед предвиђеног убрзања привредне активности, кретање дознака и кредитне активности за крајњи резултат ћ</w:t>
      </w:r>
      <w:r>
        <w:rPr>
          <w:rFonts w:ascii="Times New Roman" w:eastAsia="Times New Roman" w:hAnsi="Times New Roman" w:cs="Times New Roman"/>
          <w:sz w:val="24"/>
        </w:rPr>
        <w:t>е имати бржи номинални раст приватне потрошње у наредном периоду. Ипак, услед ребалансирања привреде предвиђено је постепено смањење учешћа прихода од ПДВ у укупном БДП са 10,6% БДП у 2016. години, на 10,3% колико се очекује у 2019. години. Такође, пројект</w:t>
      </w:r>
      <w:r>
        <w:rPr>
          <w:rFonts w:ascii="Times New Roman" w:eastAsia="Times New Roman" w:hAnsi="Times New Roman" w:cs="Times New Roman"/>
          <w:sz w:val="24"/>
        </w:rPr>
        <w:t xml:space="preserve">овани раст извоза у наредном периоду утицаће и на раст повраћаја ПДВ, а самим тим и на ниво наплаћеног ПДВ. Ризици за остварење пројекције ПДВ у наредном периоду су слични као и код пореза на доходак и односе се на кретање зарада у приватном сектору, раст </w:t>
      </w:r>
      <w:r>
        <w:rPr>
          <w:rFonts w:ascii="Times New Roman" w:eastAsia="Times New Roman" w:hAnsi="Times New Roman" w:cs="Times New Roman"/>
          <w:sz w:val="24"/>
        </w:rPr>
        <w:t>привредне активности, као и на степен сиве економије, односно ефикасности у њеном смањењу. Додатни приходи по основу мера за сузбијање сиве економије нису укључени у пројекцију, чиме је остављена могућност да садашња процена прихода буде премашена.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Резулта</w:t>
      </w:r>
      <w:r>
        <w:rPr>
          <w:rFonts w:ascii="Times New Roman" w:eastAsia="Times New Roman" w:hAnsi="Times New Roman" w:cs="Times New Roman"/>
          <w:sz w:val="24"/>
        </w:rPr>
        <w:t>ти ефикасније наплате и контроле пореских обвезника су евидентни и очекује се да ће тај тренд бити настављен у наредном периоду, с тим што ефекти борбе против сиве економије нису експлицитно укључени у средњорочну пројекцију јавних прихода. Повећање степен</w:t>
      </w:r>
      <w:r>
        <w:rPr>
          <w:rFonts w:ascii="Times New Roman" w:eastAsia="Times New Roman" w:hAnsi="Times New Roman" w:cs="Times New Roman"/>
          <w:sz w:val="24"/>
        </w:rPr>
        <w:t>а ПДВ наплате, у смислу спровођења независних антиевазионих мера у области пореза на додату вредност, у протеклом периоду дало је одређене резултате. У овом сегменту постоји простор за унапређење. Наставиће се даље јачање пореске администрације доследним с</w:t>
      </w:r>
      <w:r>
        <w:rPr>
          <w:rFonts w:ascii="Times New Roman" w:eastAsia="Times New Roman" w:hAnsi="Times New Roman" w:cs="Times New Roman"/>
          <w:sz w:val="24"/>
        </w:rPr>
        <w:t>провођењем Програма трансформације Пореске управе у циљу побољшања наплате прихода. Прогнозира се да би побољшање ефикасности наплате, у наредном четворогодишњем периоду, омогућило повећања прихода од ПДВ од 1,8%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Пројекција прихода од акциза сачињена </w:t>
      </w:r>
      <w:r>
        <w:rPr>
          <w:rFonts w:ascii="Times New Roman" w:eastAsia="Times New Roman" w:hAnsi="Times New Roman" w:cs="Times New Roman"/>
          <w:sz w:val="24"/>
        </w:rPr>
        <w:t>је на основу важеће акцизне политике и пројектоване потрошње акцизних производа (нафтни деривати, дуванске прерађевине, алкохол, кафа и електрична енергија). У оквиру акцизне политике код дуванских производа, у наредном средњорочном периоду очекује се даље</w:t>
      </w:r>
      <w:r>
        <w:rPr>
          <w:rFonts w:ascii="Times New Roman" w:eastAsia="Times New Roman" w:hAnsi="Times New Roman" w:cs="Times New Roman"/>
          <w:sz w:val="24"/>
        </w:rPr>
        <w:t xml:space="preserve"> постепено усклађивање са директивама ЕУ. То подразумева доношење средњорочног плана поступног повећавања акцизног оптерећења. Код цигарета оно ће бити усмерено кроз постепено повећање акциза, како би се у прихватљивом временском року достигао ЕУ минимум о</w:t>
      </w:r>
      <w:r>
        <w:rPr>
          <w:rFonts w:ascii="Times New Roman" w:eastAsia="Times New Roman" w:hAnsi="Times New Roman" w:cs="Times New Roman"/>
          <w:sz w:val="24"/>
        </w:rPr>
        <w:t>д 1,8 евра по паклици. Неопходно је да ове промене буду пажљиво дизајниране, како би се избегле промене у структури и обиму потрошње које би угрозиле буџетске приходе, али и како не би биле супротне циљевима јавне здравствене политике. У наредном периоду ј</w:t>
      </w:r>
      <w:r>
        <w:rPr>
          <w:rFonts w:ascii="Times New Roman" w:eastAsia="Times New Roman" w:hAnsi="Times New Roman" w:cs="Times New Roman"/>
          <w:sz w:val="24"/>
        </w:rPr>
        <w:t>е за потребе пројекције прихода од акциза, услед опрезности, предвиђен даљи пад легалног тржишта дуванских производа у просеку од око 3% годишње. Уколико дође до наставка побољшања услова на тржишту дуванских производа и смањења сиве економије постоји одре</w:t>
      </w:r>
      <w:r>
        <w:rPr>
          <w:rFonts w:ascii="Times New Roman" w:eastAsia="Times New Roman" w:hAnsi="Times New Roman" w:cs="Times New Roman"/>
          <w:sz w:val="24"/>
        </w:rPr>
        <w:t xml:space="preserve">ђени „позитивни ризик” у погледу наплате овог облика прихода.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 разлику од дуванских производа ситуација на тржишту нафтних деривата је знатно мање волатилна. Боља контрола и ефекти маркирања нафтних деривата и приближавање цена деривата ценама у региону</w:t>
      </w:r>
      <w:r>
        <w:rPr>
          <w:rFonts w:ascii="Times New Roman" w:eastAsia="Times New Roman" w:hAnsi="Times New Roman" w:cs="Times New Roman"/>
          <w:sz w:val="24"/>
        </w:rPr>
        <w:t xml:space="preserve"> сузбили су могућност и исплативост нелегалних активности. У наредним годинама, услед опрезности, није претпостављен наставак раста потрошње нафтних деривата, међутим, може се очекивати да ће раст приватне потрошње и убрзање економске активности допринети </w:t>
      </w:r>
      <w:r>
        <w:rPr>
          <w:rFonts w:ascii="Times New Roman" w:eastAsia="Times New Roman" w:hAnsi="Times New Roman" w:cs="Times New Roman"/>
          <w:sz w:val="24"/>
        </w:rPr>
        <w:t xml:space="preserve">расту потрошње, што већ потврђују подаци о наплати акциза у 2016. години. И у овом случају постоји одређени </w:t>
      </w:r>
      <w:r>
        <w:rPr>
          <w:rFonts w:ascii="Times New Roman" w:eastAsia="Times New Roman" w:hAnsi="Times New Roman" w:cs="Times New Roman"/>
          <w:sz w:val="24"/>
        </w:rPr>
        <w:lastRenderedPageBreak/>
        <w:t xml:space="preserve">„позитивни ризик” по питању наплате прихода уколико се настави тренд раста тржишта нафтних деривата.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од акциза на алкохолна пића, кафу и ел</w:t>
      </w:r>
      <w:r>
        <w:rPr>
          <w:rFonts w:ascii="Times New Roman" w:eastAsia="Times New Roman" w:hAnsi="Times New Roman" w:cs="Times New Roman"/>
          <w:sz w:val="24"/>
        </w:rPr>
        <w:t xml:space="preserve">ектричну енергију су пројектовани у складу са постојећом структуром потрошње. Тренутни номинални износи акциза на алкохолна пића и кафу усклађени су са очекиваним износима стопе инфлације у средњорочном периоду. Током 2015. године уведена је </w:t>
      </w:r>
      <w:r>
        <w:rPr>
          <w:rFonts w:ascii="Times New Roman" w:eastAsia="Times New Roman" w:hAnsi="Times New Roman" w:cs="Times New Roman"/>
          <w:i/>
          <w:sz w:val="24"/>
        </w:rPr>
        <w:t>ad valorem</w:t>
      </w:r>
      <w:r>
        <w:rPr>
          <w:rFonts w:ascii="Times New Roman" w:eastAsia="Times New Roman" w:hAnsi="Times New Roman" w:cs="Times New Roman"/>
          <w:sz w:val="24"/>
        </w:rPr>
        <w:t xml:space="preserve"> акциза од 7,5% на вредносно изражену потрошњу електричне енергије. За период 2017–2019. године приход од ове акцизе на годишњем нивоу планиран је у износу од око 15 млрд динара узимајући у обзир тренутну годишњу потрошњу и важеће цене.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Главне детерминант</w:t>
      </w:r>
      <w:r>
        <w:rPr>
          <w:rFonts w:ascii="Times New Roman" w:eastAsia="Times New Roman" w:hAnsi="Times New Roman" w:cs="Times New Roman"/>
          <w:sz w:val="24"/>
        </w:rPr>
        <w:t>е за пројекцију прихода од царина су кретање увоза и девизног курса. Приходи од царина у 2016. години чине 0,9% БДП и може се очекивати да се у будућности задрже на овом нивоу. Имајући у виду очекивано кретање потрошње, девизног курса, као и завршетак проц</w:t>
      </w:r>
      <w:r>
        <w:rPr>
          <w:rFonts w:ascii="Times New Roman" w:eastAsia="Times New Roman" w:hAnsi="Times New Roman" w:cs="Times New Roman"/>
          <w:sz w:val="24"/>
        </w:rPr>
        <w:t>еса усклађивања царинских тарифа услед примене Споразума о стабилизацији и придруживању планирано је постепено номинално повећање ових прихода, док се не предвиђа промена учешћа прихода од царина у БДП у предстојећем периоду.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Најзначајнији порески облик ме</w:t>
      </w:r>
      <w:r>
        <w:rPr>
          <w:rFonts w:ascii="Times New Roman" w:eastAsia="Times New Roman" w:hAnsi="Times New Roman" w:cs="Times New Roman"/>
          <w:sz w:val="24"/>
        </w:rPr>
        <w:t xml:space="preserve">ђу осталим пореским приходима чини порез на имовину, чије учешће износи 70% у овој групи пореских прихода. Ови приходи, које чине и порези на употребу, држање и ношење добара, други облици пореза на локалном нивоу итд. пројектовани су у складу са кретањем </w:t>
      </w:r>
      <w:r>
        <w:rPr>
          <w:rFonts w:ascii="Times New Roman" w:eastAsia="Times New Roman" w:hAnsi="Times New Roman" w:cs="Times New Roman"/>
          <w:sz w:val="24"/>
        </w:rPr>
        <w:t>инфлације, будући да је инфлаторна компонента уграђена у значајан део ових пореских облика. Ниво ових прихода је релативно стабилан и реакције на пад економске активности нису у већој мери изражене. У наредном средњорочном периоду учешће осталих пореских п</w:t>
      </w:r>
      <w:r>
        <w:rPr>
          <w:rFonts w:ascii="Times New Roman" w:eastAsia="Times New Roman" w:hAnsi="Times New Roman" w:cs="Times New Roman"/>
          <w:sz w:val="24"/>
        </w:rPr>
        <w:t xml:space="preserve">рихода се стабилизује.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Непорески приходи су врло хетерогена категорија са различитим кретањима по појединим облицима. Непорески приходи смањују учешће у БДП током средњорочног периода, након скока у 2015. и 2016. години. Овај скок је резултат уплате средс</w:t>
      </w:r>
      <w:r>
        <w:rPr>
          <w:rFonts w:ascii="Times New Roman" w:eastAsia="Times New Roman" w:hAnsi="Times New Roman" w:cs="Times New Roman"/>
          <w:sz w:val="24"/>
        </w:rPr>
        <w:t xml:space="preserve">тава по основу смањења зарада у јавном сектору (јавна предузећа и локалне самоуправе), већих прихода од дивиденди и добити од јавних предузећа, као и увођење накнаде за обавезне резерве нафте. Предвиђено је смањење учешћа непореских прихода у БДП, са 5,6% </w:t>
      </w:r>
      <w:r>
        <w:rPr>
          <w:rFonts w:ascii="Times New Roman" w:eastAsia="Times New Roman" w:hAnsi="Times New Roman" w:cs="Times New Roman"/>
          <w:sz w:val="24"/>
        </w:rPr>
        <w:t>БДП колико се очекује у 2016. години на 4,4% колико се очекује да ће износити у 2019. години. Разлози за пад пројектованог учешћа у наредном периоду су искључење из базне 2016. године свих оних прихода који се не сматрају структурним тј. трајним, што се на</w:t>
      </w:r>
      <w:r>
        <w:rPr>
          <w:rFonts w:ascii="Times New Roman" w:eastAsia="Times New Roman" w:hAnsi="Times New Roman" w:cs="Times New Roman"/>
          <w:sz w:val="24"/>
        </w:rPr>
        <w:t xml:space="preserve">јвише односи на ванредне категорије непореских прихода. Поједини непорески приходи индексирају се са оствареном инфлацијом у претходној години, остали прате промену у вредности основе на које се примењују и услед тога се коригују пројектованом инфлацијом, </w:t>
      </w:r>
      <w:r>
        <w:rPr>
          <w:rFonts w:ascii="Times New Roman" w:eastAsia="Times New Roman" w:hAnsi="Times New Roman" w:cs="Times New Roman"/>
          <w:sz w:val="24"/>
        </w:rPr>
        <w:t>док део чине једнократне уплате у буџет (ванредни непорески приходи). Редовни непорески приходи обухватају различите таксе, накнаде, казне, приходе органа и организација и све остале приходе који се остварују устаљеном динамиком током године, у приближно с</w:t>
      </w:r>
      <w:r>
        <w:rPr>
          <w:rFonts w:ascii="Times New Roman" w:eastAsia="Times New Roman" w:hAnsi="Times New Roman" w:cs="Times New Roman"/>
          <w:sz w:val="24"/>
        </w:rPr>
        <w:t xml:space="preserve">личним износима на месечном нивоу уз одређене сезонске варијације. Ванредни непорески приходи су углавном једнократни, у одређеној мери неизвесни, како по питању износа, тако и по питању тренутка уплате. Највећи део ових прихода представљају уплате добити </w:t>
      </w:r>
      <w:r>
        <w:rPr>
          <w:rFonts w:ascii="Times New Roman" w:eastAsia="Times New Roman" w:hAnsi="Times New Roman" w:cs="Times New Roman"/>
          <w:sz w:val="24"/>
        </w:rPr>
        <w:t xml:space="preserve">јавних предузећа и агенција, дивиденде буџета, приходи по основу наплаћених потраживања Агенције за осигурање депозита, емисионе премије, итд. </w:t>
      </w:r>
    </w:p>
    <w:p w:rsidR="00BE17C7" w:rsidRDefault="00843F0B">
      <w:pPr>
        <w:spacing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Процесом приближавања државе чланству у ЕУ повећавају се средства из ИПА фондова која могу да се користе, тако д</w:t>
      </w:r>
      <w:r>
        <w:rPr>
          <w:rFonts w:ascii="Times New Roman" w:eastAsia="Times New Roman" w:hAnsi="Times New Roman" w:cs="Times New Roman"/>
          <w:sz w:val="24"/>
        </w:rPr>
        <w:t xml:space="preserve">а ова средства чине преовлађујући део прихода од </w:t>
      </w:r>
      <w:r>
        <w:rPr>
          <w:rFonts w:ascii="Times New Roman" w:eastAsia="Times New Roman" w:hAnsi="Times New Roman" w:cs="Times New Roman"/>
          <w:sz w:val="24"/>
        </w:rPr>
        <w:lastRenderedPageBreak/>
        <w:t>донација. У пројектоване износе по основу донација укључена су и средства по основу секторске буџетске подршке ЕУ.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Рестриктивна фискална политика у комбинацији са добрим макроекономским перформансама довела</w:t>
      </w:r>
      <w:r>
        <w:rPr>
          <w:rFonts w:ascii="Times New Roman" w:eastAsia="Times New Roman" w:hAnsi="Times New Roman" w:cs="Times New Roman"/>
          <w:sz w:val="24"/>
        </w:rPr>
        <w:t xml:space="preserve"> је до стварања фискалног простора у периоду од 2017. до 2019. године који се, између осталог, може искористити за нове политике на расходној страни. Главни елемент фискалне консолидације била је корекција расходне стране. Највећи део прилагођавања односио</w:t>
      </w:r>
      <w:r>
        <w:rPr>
          <w:rFonts w:ascii="Times New Roman" w:eastAsia="Times New Roman" w:hAnsi="Times New Roman" w:cs="Times New Roman"/>
          <w:sz w:val="24"/>
        </w:rPr>
        <w:t xml:space="preserve"> се на расходе за запослене и пензије с обзиром да ове две ставке чине више од 50% укупних расхода. Добри резултати консолидације огледају се и у смањењу расхода за камате с обзиром на мање потребе за задуживањем. Осим тога, смањењу расхода допринеће заврш</w:t>
      </w:r>
      <w:r>
        <w:rPr>
          <w:rFonts w:ascii="Times New Roman" w:eastAsia="Times New Roman" w:hAnsi="Times New Roman" w:cs="Times New Roman"/>
          <w:sz w:val="24"/>
        </w:rPr>
        <w:t>етак процеса реструктурирања друштвених предузећа, решавање питања неефикасних јавних предузећа и стабилизација финансијског сектора. Свакако би било значајно да се један део расположивих средстава искористи за повећање капиталних инвестиција као битне ком</w:t>
      </w:r>
      <w:r>
        <w:rPr>
          <w:rFonts w:ascii="Times New Roman" w:eastAsia="Times New Roman" w:hAnsi="Times New Roman" w:cs="Times New Roman"/>
          <w:sz w:val="24"/>
        </w:rPr>
        <w:t>поненте развоја привреде.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Фискална кретања у протекле две године и изгледи у наредном периоду дозвољавају промену структуре расхода у корист развојне компоненте буџета, пре свега повећање капиталних издатака. Структура расхода је тренутно неповољна с обзир</w:t>
      </w:r>
      <w:r>
        <w:rPr>
          <w:rFonts w:ascii="Times New Roman" w:eastAsia="Times New Roman" w:hAnsi="Times New Roman" w:cs="Times New Roman"/>
          <w:sz w:val="24"/>
        </w:rPr>
        <w:t>ом да значајан део чине обавезе проистекле из неефикасног пословања сегмената јавног сектора, као што су субвенције и отплате по основу гаранција, затим високе камате, а недовољна је реализација капиталних инвестиција. Социјална компонента буџета се може п</w:t>
      </w:r>
      <w:r>
        <w:rPr>
          <w:rFonts w:ascii="Times New Roman" w:eastAsia="Times New Roman" w:hAnsi="Times New Roman" w:cs="Times New Roman"/>
          <w:sz w:val="24"/>
        </w:rPr>
        <w:t xml:space="preserve">обољшати бољим таргетирањем програма социјалне помоћи и већим издвајањем за функције здравства и просвете. До 2019. године плате и пензије ће се стабилизовати у смислу учешћа у БДП што ће бити још један од фактора који ће омогућити праведнију прерасподелу </w:t>
      </w:r>
      <w:r>
        <w:rPr>
          <w:rFonts w:ascii="Times New Roman" w:eastAsia="Times New Roman" w:hAnsi="Times New Roman" w:cs="Times New Roman"/>
          <w:sz w:val="24"/>
        </w:rPr>
        <w:t xml:space="preserve">дохотка уз смањење притиска на јавне финансије.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13. Укупни расходи у периоду 2015–2019. године, % БДП</w:t>
      </w:r>
    </w:p>
    <w:tbl>
      <w:tblPr>
        <w:tblW w:w="0" w:type="auto"/>
        <w:tblInd w:w="-5" w:type="dxa"/>
        <w:tblCellMar>
          <w:left w:w="10" w:type="dxa"/>
          <w:right w:w="10" w:type="dxa"/>
        </w:tblCellMar>
        <w:tblLook w:val="0000"/>
      </w:tblPr>
      <w:tblGrid>
        <w:gridCol w:w="3236"/>
        <w:gridCol w:w="1450"/>
        <w:gridCol w:w="1134"/>
        <w:gridCol w:w="821"/>
        <w:gridCol w:w="1016"/>
        <w:gridCol w:w="1020"/>
      </w:tblGrid>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pPr>
            <w:r>
              <w:rPr>
                <w:rFonts w:ascii="Times New Roman" w:eastAsia="Times New Roman" w:hAnsi="Times New Roman" w:cs="Times New Roman"/>
                <w:sz w:val="20"/>
              </w:rPr>
              <w:t>опис</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pPr>
            <w:r>
              <w:rPr>
                <w:rFonts w:ascii="Times New Roman" w:eastAsia="Times New Roman" w:hAnsi="Times New Roman" w:cs="Times New Roman"/>
                <w:sz w:val="20"/>
              </w:rPr>
              <w:t>извршење</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pPr>
            <w:r>
              <w:rPr>
                <w:rFonts w:ascii="Times New Roman" w:eastAsia="Times New Roman" w:hAnsi="Times New Roman" w:cs="Times New Roman"/>
                <w:sz w:val="20"/>
              </w:rPr>
              <w:t>процена</w:t>
            </w:r>
          </w:p>
        </w:tc>
        <w:tc>
          <w:tcPr>
            <w:tcW w:w="2857"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pPr>
            <w:r>
              <w:rPr>
                <w:rFonts w:ascii="Times New Roman" w:eastAsia="Times New Roman" w:hAnsi="Times New Roman" w:cs="Times New Roman"/>
                <w:sz w:val="20"/>
              </w:rPr>
              <w:t>пројекција</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2016</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2017</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right"/>
            </w:pPr>
            <w:r>
              <w:rPr>
                <w:rFonts w:ascii="Times New Roman" w:eastAsia="Times New Roman" w:hAnsi="Times New Roman" w:cs="Times New Roman"/>
              </w:rPr>
              <w:t>2019</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ЈАВНИ РАСХОДИ</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45,4</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44,1</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42,9</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42,1</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xml:space="preserve"> Текући расходи</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41,3</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40,0</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38,5</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37,4</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Расходи за запослене</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10,1</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9,9</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9,3</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9,2</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Куповина робе и услуга</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Отплата камата</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Субвенције</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Социјална помоћ и трансфери</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17,0</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16,5</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15,8</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15,4</w:t>
            </w:r>
          </w:p>
        </w:tc>
      </w:tr>
      <w:tr w:rsidR="00BE17C7">
        <w:tblPrEx>
          <w:tblCellMar>
            <w:top w:w="0" w:type="dxa"/>
            <w:bottom w:w="0" w:type="dxa"/>
          </w:tblCellMar>
        </w:tblPrEx>
        <w:trPr>
          <w:trHeight w:val="87"/>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од чега пензије</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11,8</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10,8</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Остали текући расходи</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1,2</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xml:space="preserve"> Капитални расходи</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xml:space="preserve"> Нето буџетске позајмице</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xml:space="preserve"> Отплата по основу гаранција</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r>
      <w:tr w:rsidR="00BE17C7">
        <w:tblPrEx>
          <w:tblCellMar>
            <w:top w:w="0" w:type="dxa"/>
            <w:bottom w:w="0" w:type="dxa"/>
          </w:tblCellMar>
        </w:tblPrEx>
        <w:trPr>
          <w:trHeight w:val="41"/>
        </w:trPr>
        <w:tc>
          <w:tcPr>
            <w:tcW w:w="32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keepNext/>
              <w:spacing w:after="0" w:line="240" w:lineRule="auto"/>
              <w:jc w:val="both"/>
            </w:pPr>
            <w:r>
              <w:rPr>
                <w:rFonts w:ascii="Times New Roman" w:eastAsia="Times New Roman" w:hAnsi="Times New Roman" w:cs="Times New Roman"/>
              </w:rPr>
              <w:t xml:space="preserve"> Фискални простор</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0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Смањење зарада, забрана запошљавања и рационализација броја запослених у јавном сектору су мере које су највише допринеле смањењу расхода и успеху фискалне консолидације. Примена ових мера деловала је на снижавања учешћа зарада у БДП са око 12% у 2014. год</w:t>
      </w:r>
      <w:r>
        <w:rPr>
          <w:rFonts w:ascii="Times New Roman" w:eastAsia="Times New Roman" w:hAnsi="Times New Roman" w:cs="Times New Roman"/>
          <w:sz w:val="24"/>
        </w:rPr>
        <w:t xml:space="preserve">ини на 10% у 2016. години, а у наредном периоду и на скоро 9% БДП. Законом о буџетском систему предвиђено је снижавање нивоа зарада до 7% БДП, међутим </w:t>
      </w:r>
      <w:r>
        <w:rPr>
          <w:rFonts w:ascii="Times New Roman" w:eastAsia="Times New Roman" w:hAnsi="Times New Roman" w:cs="Times New Roman"/>
          <w:sz w:val="24"/>
        </w:rPr>
        <w:lastRenderedPageBreak/>
        <w:t>чини се да је тако таргетиран ниво зарада постављен доста ниско. Просечан ниво зарада опште државе у ЕУ ј</w:t>
      </w:r>
      <w:r>
        <w:rPr>
          <w:rFonts w:ascii="Times New Roman" w:eastAsia="Times New Roman" w:hAnsi="Times New Roman" w:cs="Times New Roman"/>
          <w:sz w:val="24"/>
        </w:rPr>
        <w:t>е око 10% БДП, а најнижи 8%, те је за Србију адекватно учешће зарада од 9–9,5% БДП, што би било достигнуто већ 2018.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Вишак и неповољна структура запослених проблеми су који су дуго узроковали неефикасност јавног сектора и представљали терет за читаву привреду. Почетни план рационализације запослених у јавном сектору предвиђао је смањење броја запослених за 75.000 закључн</w:t>
      </w:r>
      <w:r>
        <w:rPr>
          <w:rFonts w:ascii="Times New Roman" w:eastAsia="Times New Roman" w:hAnsi="Times New Roman" w:cs="Times New Roman"/>
          <w:sz w:val="24"/>
        </w:rPr>
        <w:t>о са 2017. годином. Након опсежних анализа броја и структуре запослених у свакој од области јавног сектора план је ревидиран на смањење броја запослених за 25.000–30.000. Последњи податак је да је број запослених смањен за око 22.000 у односу на крај 2014.</w:t>
      </w:r>
      <w:r>
        <w:rPr>
          <w:rFonts w:ascii="Times New Roman" w:eastAsia="Times New Roman" w:hAnsi="Times New Roman" w:cs="Times New Roman"/>
          <w:sz w:val="24"/>
        </w:rPr>
        <w:t xml:space="preserve"> године, а за 2017. годину предвиђено је смањење броја запослених за још око 5.000. У 2018. години није предвиђено додатно смањење броја запослених, али ће постојати пренети ефекти рационализације из 2017. године. Током 2016. године започета је свеобухватн</w:t>
      </w:r>
      <w:r>
        <w:rPr>
          <w:rFonts w:ascii="Times New Roman" w:eastAsia="Times New Roman" w:hAnsi="Times New Roman" w:cs="Times New Roman"/>
          <w:sz w:val="24"/>
        </w:rPr>
        <w:t xml:space="preserve">а реформа система зарада која за циљ има обезбеђење правичности и смањење разлика између запослених у јавном сектору, али не би значајно требало да утиче на укупну масу зарада. Очекује се да се до краја 2017. године усвоје пратећи прописи који уређују ову </w:t>
      </w:r>
      <w:r>
        <w:rPr>
          <w:rFonts w:ascii="Times New Roman" w:eastAsia="Times New Roman" w:hAnsi="Times New Roman" w:cs="Times New Roman"/>
          <w:sz w:val="24"/>
        </w:rPr>
        <w:t>област. Плате делу запослених у јавном сектору биће повећане за 3–6% у 2017. години. Ради се о запосленима у здравству, просвети, војсци, полицији, култури и делу запослених у правосуђу. Ефекат ове мере је око 0,2% БДП на дефицит опште државе.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Учешће расхода за робе и услуге већ годинама се креће у распону између 6,3% и 6,8% БДП. У 2016. години је висок ниво ових издатака резултат методолошких промена на нивоу локалних самоуправа којима је проширен обухват за део прихода и припадајућих расхода. </w:t>
      </w:r>
      <w:r>
        <w:rPr>
          <w:rFonts w:ascii="Times New Roman" w:eastAsia="Times New Roman" w:hAnsi="Times New Roman" w:cs="Times New Roman"/>
          <w:sz w:val="24"/>
        </w:rPr>
        <w:t>За ову категорију расхода предвиђена је стабилизација учешћа на 6,8% БДП до 2019. године. Достизање овог циља олакшаће и нови Закон о финансирању локалне самоуправе којим би се највише обезбедиле уштеде управо на овој расходној ставци, почевши од 2017. год</w:t>
      </w:r>
      <w:r>
        <w:rPr>
          <w:rFonts w:ascii="Times New Roman" w:eastAsia="Times New Roman" w:hAnsi="Times New Roman" w:cs="Times New Roman"/>
          <w:sz w:val="24"/>
        </w:rPr>
        <w:t>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Смањење расхода за камате један је од најбољих показатеља успеха фискалне консолидације. Изузетно висок ниво јавног дуга и високи фискални дефицити довели су до тога да камате постану једна од најзначајнијих расходних ставки, а свакако ставка са најбр</w:t>
      </w:r>
      <w:r>
        <w:rPr>
          <w:rFonts w:ascii="Times New Roman" w:eastAsia="Times New Roman" w:hAnsi="Times New Roman" w:cs="Times New Roman"/>
          <w:sz w:val="24"/>
        </w:rPr>
        <w:t>жим растом. Очекује се да ће ниво камата достићи врхунац ове године и након тога ће почети постепено смањивање њиховог учешће у БДП. У 2019. години ниво расхода за камате ће пасти испод 3% БДП. Добри резултати у 2015. и 2016. години, у смислу нижих дефицит</w:t>
      </w:r>
      <w:r>
        <w:rPr>
          <w:rFonts w:ascii="Times New Roman" w:eastAsia="Times New Roman" w:hAnsi="Times New Roman" w:cs="Times New Roman"/>
          <w:sz w:val="24"/>
        </w:rPr>
        <w:t>а, омогућили су мање потребе за задуживањем. Дошло је до преокретања тренда кретања камата тако да се већ у 2017. години може очекивати и номинално снижење расхода за камате. Побољшање позиције Србије на међународном финансијском тржишту довешће до даљег с</w:t>
      </w:r>
      <w:r>
        <w:rPr>
          <w:rFonts w:ascii="Times New Roman" w:eastAsia="Times New Roman" w:hAnsi="Times New Roman" w:cs="Times New Roman"/>
          <w:sz w:val="24"/>
        </w:rPr>
        <w:t>мањивања износа камата.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Социјална помоћ и трансфери становништву представљају највећу расходну категорију буџета опште државе. Смањење износа пензија и реформа пензионог система дали су значајан допринос смањењу учешћа расхода за пензије у БДП. Њихово учеш</w:t>
      </w:r>
      <w:r>
        <w:rPr>
          <w:rFonts w:ascii="Times New Roman" w:eastAsia="Times New Roman" w:hAnsi="Times New Roman" w:cs="Times New Roman"/>
          <w:sz w:val="24"/>
        </w:rPr>
        <w:t xml:space="preserve">ће у БДП пашће са 13% у 2014. години на око 10,8% у 2019. години. Осим номиналног смањења пензија оваквој путањи допринео је и изостанак индексације, као и измене пензионог система које су усвојене током 2014. године. У 2016. години пензије су повећане за </w:t>
      </w:r>
      <w:r>
        <w:rPr>
          <w:rFonts w:ascii="Times New Roman" w:eastAsia="Times New Roman" w:hAnsi="Times New Roman" w:cs="Times New Roman"/>
          <w:sz w:val="24"/>
        </w:rPr>
        <w:t>1,25%, а у 2017. години биће веће за 1,5%. Ефекат повећања пензија у 2017. години износи око 0,2% БДП. Од 2018. године пензије ће бити индексиране у складу са Законом о буџетском систему. Према овом закону пензије би требало да буду на нивоу од 11% БДП што</w:t>
      </w:r>
      <w:r>
        <w:rPr>
          <w:rFonts w:ascii="Times New Roman" w:eastAsia="Times New Roman" w:hAnsi="Times New Roman" w:cs="Times New Roman"/>
          <w:sz w:val="24"/>
        </w:rPr>
        <w:t xml:space="preserve"> потврђује и овај фискални оквир. Остали облици социјалних давања и трансфера становништву у наредном периоду усклађиваће се применом прописане </w:t>
      </w:r>
      <w:r>
        <w:rPr>
          <w:rFonts w:ascii="Times New Roman" w:eastAsia="Times New Roman" w:hAnsi="Times New Roman" w:cs="Times New Roman"/>
          <w:sz w:val="24"/>
        </w:rPr>
        <w:lastRenderedPageBreak/>
        <w:t>индексације, текућих и планираних измена политика у овој области и са пројектованим бројем корисника. Током 2015</w:t>
      </w:r>
      <w:r>
        <w:rPr>
          <w:rFonts w:ascii="Times New Roman" w:eastAsia="Times New Roman" w:hAnsi="Times New Roman" w:cs="Times New Roman"/>
          <w:sz w:val="24"/>
        </w:rPr>
        <w:t>. и 2016. године повећано је трошење средстава за одређене видове социјалне помоћи с обзиром на спровођење мера фискалне консолидације. Ово подразумева средства за отпремнине, веће накнаде за незапосленост и могуће веће издвајање за пензије. И у 2017. годи</w:t>
      </w:r>
      <w:r>
        <w:rPr>
          <w:rFonts w:ascii="Times New Roman" w:eastAsia="Times New Roman" w:hAnsi="Times New Roman" w:cs="Times New Roman"/>
          <w:sz w:val="24"/>
        </w:rPr>
        <w:t xml:space="preserve">ни предвиђен је део средстава за ове намене. Учешће расхода за социјална давања опада са 17,6% БДП, колико је износило у 2015. години на 15,4% у 2019. години.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Фискално прилагођавање у посматраном периоду добрим делом ће се спровести смањењем средстава за </w:t>
      </w:r>
      <w:r>
        <w:rPr>
          <w:rFonts w:ascii="Times New Roman" w:eastAsia="Times New Roman" w:hAnsi="Times New Roman" w:cs="Times New Roman"/>
          <w:sz w:val="24"/>
        </w:rPr>
        <w:t>субвенције. У 2016. години укинуто је субвенционисање земљишта површине веће од 20 хектара, као и државног земљишта које је издато у закуп. У наредном трогодишњем периоду предвиђено је и смањење субвенција за ,,Железнице Србије” а.д, односно „Инфраструктур</w:t>
      </w:r>
      <w:r>
        <w:rPr>
          <w:rFonts w:ascii="Times New Roman" w:eastAsia="Times New Roman" w:hAnsi="Times New Roman" w:cs="Times New Roman"/>
          <w:sz w:val="24"/>
        </w:rPr>
        <w:t>а железнице Србије” а.д. и „Србија Воз” а.д. по основу реструктурирања ових предузећа и рационализације броја запослених. У 2017. години очекује се затварање једног броја рудника који послују у саставу ЈП ПЕУ ,,Ресавица”, те последично и смањење броја запо</w:t>
      </w:r>
      <w:r>
        <w:rPr>
          <w:rFonts w:ascii="Times New Roman" w:eastAsia="Times New Roman" w:hAnsi="Times New Roman" w:cs="Times New Roman"/>
          <w:sz w:val="24"/>
        </w:rPr>
        <w:t>слених у овом предузећу. Ово предузеће ће следеће године добити субвенције у износу од 5,1 млрд динара, од чега се 0,6 млрд динара односи на трошкове затварања рудника. Након тога ће доћи до смањења износа субвенција, а у случају проналаска адекватног реше</w:t>
      </w:r>
      <w:r>
        <w:rPr>
          <w:rFonts w:ascii="Times New Roman" w:eastAsia="Times New Roman" w:hAnsi="Times New Roman" w:cs="Times New Roman"/>
          <w:sz w:val="24"/>
        </w:rPr>
        <w:t>ња за ово предузеће, и до потпуног укидања његовог субвенционисања. С обзиром на процес реструктурирања јавних предузећа и некадашњих друштвених предузећа смањења субвенција ће бити и по овом основу. Смањење субвенција које служе као помоћ неефикасним сегм</w:t>
      </w:r>
      <w:r>
        <w:rPr>
          <w:rFonts w:ascii="Times New Roman" w:eastAsia="Times New Roman" w:hAnsi="Times New Roman" w:cs="Times New Roman"/>
          <w:sz w:val="24"/>
        </w:rPr>
        <w:t>ентима јавног сектора омогућило би повећање оног дела субвенција које представљају праве подстицаје привреди и које би довеле до убрзања привредних активности.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Категорије осталих текућих расхода чине различити издаци, као што су дотације невладиним организ</w:t>
      </w:r>
      <w:r>
        <w:rPr>
          <w:rFonts w:ascii="Times New Roman" w:eastAsia="Times New Roman" w:hAnsi="Times New Roman" w:cs="Times New Roman"/>
          <w:sz w:val="24"/>
        </w:rPr>
        <w:t>ацијама, политичким партијама, верским и спортским организацијама, казне, накнада штете итд. У протеклом периоду ниво ове категорије је био око 1% БДП, једино је у 2014. години учешће ових расхода у БДП повећано на 1,4% због накнаде штете узроковане катаст</w:t>
      </w:r>
      <w:r>
        <w:rPr>
          <w:rFonts w:ascii="Times New Roman" w:eastAsia="Times New Roman" w:hAnsi="Times New Roman" w:cs="Times New Roman"/>
          <w:sz w:val="24"/>
        </w:rPr>
        <w:t>рофалним поплавама. Ефекти Закона о финансирању локалне самоуправе би требало да се одразе у већој мери и на ову расходну категорију. До 2019. године ови расходи ће бити на нивоу од 1,2%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Капиталне инвестиције су расходна категорија која има највећи ут</w:t>
      </w:r>
      <w:r>
        <w:rPr>
          <w:rFonts w:ascii="Times New Roman" w:eastAsia="Times New Roman" w:hAnsi="Times New Roman" w:cs="Times New Roman"/>
          <w:sz w:val="24"/>
        </w:rPr>
        <w:t>ицај на привредну активност и представљају приоритетну област. Ниво учешћа капиталних инвестиција у БДП који је у претходном периоду био око 3% се сматра недовољним и пожељно је повећање на бар 4%. Смањењем текуће потрошње сектора државе створио се фискалн</w:t>
      </w:r>
      <w:r>
        <w:rPr>
          <w:rFonts w:ascii="Times New Roman" w:eastAsia="Times New Roman" w:hAnsi="Times New Roman" w:cs="Times New Roman"/>
          <w:sz w:val="24"/>
        </w:rPr>
        <w:t>и простор који би се морао делом искористити за повећање инвестиција. Код капиталних издатака присутно је неефикасно и недовољно коришћење средстава из потписаних међународних кредита који се не повлаче у довољној мери. Најзначајнији инфраструктурни радови</w:t>
      </w:r>
      <w:r>
        <w:rPr>
          <w:rFonts w:ascii="Times New Roman" w:eastAsia="Times New Roman" w:hAnsi="Times New Roman" w:cs="Times New Roman"/>
          <w:sz w:val="24"/>
        </w:rPr>
        <w:t xml:space="preserve"> су на Коридорима 10 и 11 који се углавном финансирају из међународних кредита. Искоришћењем дела фискалног простора за капиталне инвестиције њихов ниво би могао бити и већи од 3,6% БДП колико је тренутно предвиђено у 2019. години.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Буџетске позајмице предс</w:t>
      </w:r>
      <w:r>
        <w:rPr>
          <w:rFonts w:ascii="Times New Roman" w:eastAsia="Times New Roman" w:hAnsi="Times New Roman" w:cs="Times New Roman"/>
          <w:sz w:val="24"/>
        </w:rPr>
        <w:t>тављају средства која се, у највећој мери, дају за обезбеђење ликвидности и докапитализацију државних предузећа и банака. Ови расходи су значајно повећани у периоду од 2012. до 2014. године због решавања проблема државних банака. Овоме треба додати и преуз</w:t>
      </w:r>
      <w:r>
        <w:rPr>
          <w:rFonts w:ascii="Times New Roman" w:eastAsia="Times New Roman" w:hAnsi="Times New Roman" w:cs="Times New Roman"/>
          <w:sz w:val="24"/>
        </w:rPr>
        <w:t xml:space="preserve">имање дуга авио компаније ЈАТ и обезбеђење ликвидности ЈП „Србијагас”. Новина у 2017. години су издаци за текућу </w:t>
      </w:r>
      <w:r>
        <w:rPr>
          <w:rFonts w:ascii="Times New Roman" w:eastAsia="Times New Roman" w:hAnsi="Times New Roman" w:cs="Times New Roman"/>
          <w:sz w:val="24"/>
        </w:rPr>
        <w:lastRenderedPageBreak/>
        <w:t>ликвидност РТБ Бор у износу од 2 млрд динара. С обзиром да се не очекују нови проблеми у банкарском сектору и да је један од приоритета у наред</w:t>
      </w:r>
      <w:r>
        <w:rPr>
          <w:rFonts w:ascii="Times New Roman" w:eastAsia="Times New Roman" w:hAnsi="Times New Roman" w:cs="Times New Roman"/>
          <w:sz w:val="24"/>
        </w:rPr>
        <w:t>ном периоду реформа јавних предузећа, очекује се стабилизација ових расхода на нивоу од 0,05%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Отплата по основу издатих гаранција и плаћање гаранција по комерцијалним трансакцијама представљају обавезе по основу дуга јавних предузећа које је републичк</w:t>
      </w:r>
      <w:r>
        <w:rPr>
          <w:rFonts w:ascii="Times New Roman" w:eastAsia="Times New Roman" w:hAnsi="Times New Roman" w:cs="Times New Roman"/>
          <w:sz w:val="24"/>
        </w:rPr>
        <w:t>и буџет преузео на себе, с обзиром да те компаније нису могле да их извршавају. Ови расходи представљају велики терет за буџет с обзиром на дугогодишње неефикасно пословање великог броја државних предузећа и привредних друштава. Највећи издаци по овом осно</w:t>
      </w:r>
      <w:r>
        <w:rPr>
          <w:rFonts w:ascii="Times New Roman" w:eastAsia="Times New Roman" w:hAnsi="Times New Roman" w:cs="Times New Roman"/>
          <w:sz w:val="24"/>
        </w:rPr>
        <w:t>ву односе се на ЈП „Србијагас”, „Железнице Србије” а.д, Железару Смедерево а.д, ЈАТ и Галенику а.д. Треба напоменути да се значајна средства по овом основу плаћају и за ЈП „Путеви Србијеˮ, али да се ови издаци класификују као класична отплата дуга с обзиро</w:t>
      </w:r>
      <w:r>
        <w:rPr>
          <w:rFonts w:ascii="Times New Roman" w:eastAsia="Times New Roman" w:hAnsi="Times New Roman" w:cs="Times New Roman"/>
          <w:sz w:val="24"/>
        </w:rPr>
        <w:t xml:space="preserve">м да је ово предузеће део опште државе. Слично као и код буџетских позајмица и овде ће доћи до снижавања значаја ових расхода уколико се на прави начин реше проблеми неефикасности јавних предузећа. Планом отплате предвиђено је значајно смањење већ у 2017. </w:t>
      </w:r>
      <w:r>
        <w:rPr>
          <w:rFonts w:ascii="Times New Roman" w:eastAsia="Times New Roman" w:hAnsi="Times New Roman" w:cs="Times New Roman"/>
          <w:sz w:val="24"/>
        </w:rPr>
        <w:t xml:space="preserve">години, док ће у 2019. години ови расходи износити само око 0,3% БДП.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7"/>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Фискални ризици</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Србија се у претходним годинама суочила са значајним расходима који су резултат реализованих фискалних ризика. Реч је пре свега о отплатама по основу отплата по основу</w:t>
      </w:r>
      <w:r>
        <w:rPr>
          <w:rFonts w:ascii="Times New Roman" w:eastAsia="Times New Roman" w:hAnsi="Times New Roman" w:cs="Times New Roman"/>
          <w:sz w:val="24"/>
        </w:rPr>
        <w:t xml:space="preserve"> гаранција, исплатама по основу судских одлука, решавање питања државних финансијских институција, преузимање негарантованих дугова јавних предузећа у јавни дуг и сл.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Фискални ризици представљају изложеност јавних финансија одређеним околностима које могу</w:t>
      </w:r>
      <w:r>
        <w:rPr>
          <w:rFonts w:ascii="Times New Roman" w:eastAsia="Times New Roman" w:hAnsi="Times New Roman" w:cs="Times New Roman"/>
          <w:sz w:val="24"/>
        </w:rPr>
        <w:t xml:space="preserve"> проузроковати краткорочна и средњорочна одступања од пројектованог фискалног оквира. До одступања може доћи у приходима, расходима, фискалном резултату, као и у имовини и обавезама државе, у односу на оно што је планирано и очекивано.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Идентификација најв</w:t>
      </w:r>
      <w:r>
        <w:rPr>
          <w:rFonts w:ascii="Times New Roman" w:eastAsia="Times New Roman" w:hAnsi="Times New Roman" w:cs="Times New Roman"/>
          <w:sz w:val="24"/>
        </w:rPr>
        <w:t>ећих фискалних ризика који могу утицати на државне финансије у средњем року полазна је тачка у бољем управљању фискалним ризицима. О одређеним фискалним ризицима постоје детаљни подаци и лако се може идентификовати да ли ће и са коликом вероватноћом утицат</w:t>
      </w:r>
      <w:r>
        <w:rPr>
          <w:rFonts w:ascii="Times New Roman" w:eastAsia="Times New Roman" w:hAnsi="Times New Roman" w:cs="Times New Roman"/>
          <w:sz w:val="24"/>
        </w:rPr>
        <w:t xml:space="preserve">и на фискалне агрегате у средњем року. За друге пак, не постоје довољно детаљни подаци, али и само њихово идентификовање подиже свест о могућности да у наредном периоду доведу до одступања од планираног фискалног оквира. </w:t>
      </w:r>
    </w:p>
    <w:p w:rsidR="00BE17C7" w:rsidRDefault="00BE17C7">
      <w:pPr>
        <w:spacing w:after="0" w:line="240" w:lineRule="auto"/>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Макроекономске претпоставке и осе</w:t>
      </w:r>
      <w:r>
        <w:rPr>
          <w:rFonts w:ascii="Times New Roman" w:eastAsia="Times New Roman" w:hAnsi="Times New Roman" w:cs="Times New Roman"/>
          <w:i/>
          <w:sz w:val="24"/>
        </w:rPr>
        <w:t>тљивост фискалних агрегата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Одступања макроекономских претпоставки од основног сценарија могу довести до одступања фискалних агрегата од пројектованог нивоа.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Негативни сценарио који у наредном периоду подразумева пад привредне активности или мањи раст, до</w:t>
      </w:r>
      <w:r>
        <w:rPr>
          <w:rFonts w:ascii="Times New Roman" w:eastAsia="Times New Roman" w:hAnsi="Times New Roman" w:cs="Times New Roman"/>
          <w:sz w:val="24"/>
        </w:rPr>
        <w:t>вео би до значајног смањења прилива капитала и смањења спољнотрговинске размене. У том случају дошло би до мањих прихода, и последично већег дефицита, уколико се не би ишло на додатно прилагођавање на расходној страни. У складу са оценама осетљивости фиска</w:t>
      </w:r>
      <w:r>
        <w:rPr>
          <w:rFonts w:ascii="Times New Roman" w:eastAsia="Times New Roman" w:hAnsi="Times New Roman" w:cs="Times New Roman"/>
          <w:sz w:val="24"/>
        </w:rPr>
        <w:t xml:space="preserve">лног баланса, свака промена реалног раста за 1 п.п. </w:t>
      </w:r>
      <w:r>
        <w:rPr>
          <w:rFonts w:ascii="Times New Roman" w:eastAsia="Times New Roman" w:hAnsi="Times New Roman" w:cs="Times New Roman"/>
          <w:sz w:val="24"/>
        </w:rPr>
        <w:lastRenderedPageBreak/>
        <w:t>БДП доводи до промене фискалног резултата од око 0,36% БДП. У случају да се у наредном трогодишњем периоду остваре ниже стопе реалног раста БДП (по 1 п.п. мање просечно годишње) од планираних, кумулативно</w:t>
      </w:r>
      <w:r>
        <w:rPr>
          <w:rFonts w:ascii="Times New Roman" w:eastAsia="Times New Roman" w:hAnsi="Times New Roman" w:cs="Times New Roman"/>
          <w:sz w:val="24"/>
        </w:rPr>
        <w:t xml:space="preserve"> повећање фискалног дефицита би износило преко 40 млрд динара.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Инфлација је основна детерминанта опште макроекономске стабилности. Услед модификације фискалних правила о индексацији плата и пензија, у наредном периоду инфлација ће у мањој мери опредељивати кретање укупног нивоа расхода, него што је то био случај у ран</w:t>
      </w:r>
      <w:r>
        <w:rPr>
          <w:rFonts w:ascii="Times New Roman" w:eastAsia="Times New Roman" w:hAnsi="Times New Roman" w:cs="Times New Roman"/>
          <w:sz w:val="24"/>
        </w:rPr>
        <w:t>ијем периоду. Што се тиче приходне стране утицај инфлације на индиректне порезе може бити краткорочно повољан, али услед неминовног прилагођавања реалног нивоа потрошње тај ефекат се губи уколико је ниво дохотка ограничен. Сличан краткорочни ефекат има и д</w:t>
      </w:r>
      <w:r>
        <w:rPr>
          <w:rFonts w:ascii="Times New Roman" w:eastAsia="Times New Roman" w:hAnsi="Times New Roman" w:cs="Times New Roman"/>
          <w:sz w:val="24"/>
        </w:rPr>
        <w:t xml:space="preserve">евизни курс. Поједине приходне ставке се усклађују годишње са инфлацијом (углавном непорески приходи и висина појединих акцизних стопа), па са те стране постоји одређени ризик, али услед ниских пројектованих вредности инфлације он није висок. Инфлација са </w:t>
      </w:r>
      <w:r>
        <w:rPr>
          <w:rFonts w:ascii="Times New Roman" w:eastAsia="Times New Roman" w:hAnsi="Times New Roman" w:cs="Times New Roman"/>
          <w:sz w:val="24"/>
        </w:rPr>
        <w:t>друге стране може индиректно да утиче на висину дефицита и јавног дуга. У случају да се креће значајно изнад таргетираних вредности, током процеса усклађивања релевантних каматних стопа, може доћи до повећања каматних стопа на јавни дуг. Са друге стране ин</w:t>
      </w:r>
      <w:r>
        <w:rPr>
          <w:rFonts w:ascii="Times New Roman" w:eastAsia="Times New Roman" w:hAnsi="Times New Roman" w:cs="Times New Roman"/>
          <w:sz w:val="24"/>
        </w:rPr>
        <w:t xml:space="preserve">декс потрошачких цена великим делом утиче на кретање укупног дефлатора БДП, самим тим и на висину номиналног БДП, као имениоца учешћа дефицита и јавног дуга у бруто домаћем производу.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издатке за камате, осим висине и структуре јавног дуга утичу и факто</w:t>
      </w:r>
      <w:r>
        <w:rPr>
          <w:rFonts w:ascii="Times New Roman" w:eastAsia="Times New Roman" w:hAnsi="Times New Roman" w:cs="Times New Roman"/>
          <w:sz w:val="24"/>
        </w:rPr>
        <w:t>ри као што су девизни курс и каматне стопе на међународном и домаћем тржишту. С обзиром на непредвидивост кретања појединих варијабли, могуће је повећање потребних средстава за камате у наредном периоду. Каматна политика коју воде одређене међународне инст</w:t>
      </w:r>
      <w:r>
        <w:rPr>
          <w:rFonts w:ascii="Times New Roman" w:eastAsia="Times New Roman" w:hAnsi="Times New Roman" w:cs="Times New Roman"/>
          <w:sz w:val="24"/>
        </w:rPr>
        <w:t xml:space="preserve">итуције (ФЕД, ЕЦБ итд.) може утицати на општи ниво каматних стопа на међународном тржишту, што за Републику Србију као малу отворену економију представља додатни фискални ризик.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Државне гаранције</w:t>
      </w:r>
    </w:p>
    <w:p w:rsidR="00BE17C7" w:rsidRDefault="00BE17C7">
      <w:pPr>
        <w:spacing w:after="0" w:line="240" w:lineRule="auto"/>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Гаранције издате од стране државе утичу на висину јавног </w:t>
      </w:r>
      <w:r>
        <w:rPr>
          <w:rFonts w:ascii="Times New Roman" w:eastAsia="Times New Roman" w:hAnsi="Times New Roman" w:cs="Times New Roman"/>
          <w:sz w:val="24"/>
        </w:rPr>
        <w:t>дуга, али и на висину дефицита, уколико отплату по кредиту уместо првобитног дужника преузме држава. Издате гаранције су према дефиницији одређеној Законом о јавном дугу део индиректних обавеза и у укупном износу се укључују у јавни дуг. Индиректне обавезе</w:t>
      </w:r>
      <w:r>
        <w:rPr>
          <w:rFonts w:ascii="Times New Roman" w:eastAsia="Times New Roman" w:hAnsi="Times New Roman" w:cs="Times New Roman"/>
          <w:sz w:val="24"/>
        </w:rPr>
        <w:t xml:space="preserve"> (издате гаранције од стране Републике Србије) су учествовале са 9,7% у укупном јавном дугу, према националној методологији, на крају 2015. године. Највеће учешће ових обавеза у јавном дугу, нешто изнад 14% у просеку забележено је између 2009. и 2013. годи</w:t>
      </w:r>
      <w:r>
        <w:rPr>
          <w:rFonts w:ascii="Times New Roman" w:eastAsia="Times New Roman" w:hAnsi="Times New Roman" w:cs="Times New Roman"/>
          <w:sz w:val="24"/>
        </w:rPr>
        <w:t>не.</w:t>
      </w: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крају 2015. године стање дуга по основу издатих гаранција износило је 2,4 млрд евра, односно 7,2% БДП. Стање дуга по овом основу смањено је за нешто више од 300 милиона евра.</w:t>
      </w:r>
    </w:p>
    <w:p w:rsidR="00BE17C7" w:rsidRDefault="00BE17C7">
      <w:pPr>
        <w:spacing w:after="0" w:line="240" w:lineRule="auto"/>
        <w:ind w:firstLine="720"/>
        <w:jc w:val="both"/>
        <w:rPr>
          <w:rFonts w:ascii="Times New Roman" w:eastAsia="Times New Roman" w:hAnsi="Times New Roman" w:cs="Times New Roman"/>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14. Стање дуга по основу издатих гаранција у мил. евра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5700"/>
        <w:gridCol w:w="1520"/>
        <w:gridCol w:w="1457"/>
      </w:tblGrid>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Корисник</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31.12.2015.</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30.09.2016.</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ЈП Србијагас </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644,8</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480,5</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Путеви Србије</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456,8</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433,9</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Железнице Србије а.д.</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346,0</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311,3</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Air Serbia a.d. Beograd</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32,7</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27,0</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Галеника а.д.</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57,5</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44,8</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ЕМС</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45,7</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42,1</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ЕПС</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172,7</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179,0</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Грађевинска дирекција Србије</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РТБ Бор</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140,6</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122,8</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Агенција за контролу летења Србије и Црне Горе</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25,9</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18,7</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Југоимпорт - СДПР</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38,0</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33,5</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ФИАТ доо</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127,3</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111,7</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Аеродром „Никола Теслаˮ</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7,3</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ЈАТ Техника д.о.о.</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ЈП Емисиона техника и везе </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12,8</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16,6</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Јединице локалне власти (градови и општине)</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243,5</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244,1</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Фонд за развој Републике Србије</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21,3</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АОФИ</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19,6</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w:t>
            </w:r>
          </w:p>
        </w:tc>
      </w:tr>
      <w:tr w:rsidR="00BE17C7">
        <w:tblPrEx>
          <w:tblCellMar>
            <w:top w:w="0" w:type="dxa"/>
            <w:bottom w:w="0" w:type="dxa"/>
          </w:tblCellMar>
        </w:tblPrEx>
        <w:trPr>
          <w:trHeight w:val="20"/>
        </w:trPr>
        <w:tc>
          <w:tcPr>
            <w:tcW w:w="5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152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2.397,1</w:t>
            </w:r>
          </w:p>
        </w:tc>
        <w:tc>
          <w:tcPr>
            <w:tcW w:w="14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2.091,2</w:t>
            </w:r>
          </w:p>
        </w:tc>
      </w:tr>
    </w:tbl>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Укупна планирана отплата по овом основу у 2016. години износи 61 млрд динара. Рачуноводствена методологија, до 2014. године, није у расходе укључивала отплате по основу гаранција. Од 2014. године део ових расхода је укључен у расходе буџета. Независно од б</w:t>
      </w:r>
      <w:r>
        <w:rPr>
          <w:rFonts w:ascii="Times New Roman" w:eastAsia="Times New Roman" w:hAnsi="Times New Roman" w:cs="Times New Roman"/>
          <w:sz w:val="24"/>
        </w:rPr>
        <w:t>уџетског и рачуноводственог приказа, дуг који уместо главног дужника плаћа држава повећава укупне потребе за задуживањем.</w:t>
      </w: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15. Укупно плаћене обавезе по основу гаранција по корисницима,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3076"/>
        <w:gridCol w:w="1053"/>
        <w:gridCol w:w="896"/>
        <w:gridCol w:w="896"/>
        <w:gridCol w:w="1053"/>
        <w:gridCol w:w="896"/>
        <w:gridCol w:w="896"/>
      </w:tblGrid>
      <w:tr w:rsidR="00BE17C7">
        <w:tblPrEx>
          <w:tblCellMar>
            <w:top w:w="0" w:type="dxa"/>
            <w:bottom w:w="0" w:type="dxa"/>
          </w:tblCellMar>
        </w:tblPrEx>
        <w:trPr>
          <w:trHeight w:val="175"/>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2845"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2015</w:t>
            </w:r>
          </w:p>
        </w:tc>
        <w:tc>
          <w:tcPr>
            <w:tcW w:w="2845" w:type="dxa"/>
            <w:gridSpan w:val="3"/>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2016 (до 30.9.)</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Корисник</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 xml:space="preserve">Главница </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Камата</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 xml:space="preserve">Укупно </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 xml:space="preserve">Главница </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Камата</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center"/>
            </w:pPr>
            <w:r>
              <w:rPr>
                <w:rFonts w:ascii="Times New Roman" w:eastAsia="Times New Roman" w:hAnsi="Times New Roman" w:cs="Times New Roman"/>
              </w:rPr>
              <w:t xml:space="preserve">Укупно </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ЈП Србијагас </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17,6</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21,3</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17,8</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20,3</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Путеви Србије</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5,6</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Железнице Србије а.д.</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ЈАТ</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Галеника а.д.</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Локална самоуправа</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Железара Смедерево</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РТБ Бор</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Други корисници</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r w:rsidR="00BE17C7">
        <w:tblPrEx>
          <w:tblCellMar>
            <w:top w:w="0" w:type="dxa"/>
            <w:bottom w:w="0" w:type="dxa"/>
          </w:tblCellMar>
        </w:tblPrEx>
        <w:trPr>
          <w:trHeight w:val="20"/>
        </w:trPr>
        <w:tc>
          <w:tcPr>
            <w:tcW w:w="307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39,8</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47,2</w:t>
            </w:r>
          </w:p>
        </w:tc>
        <w:tc>
          <w:tcPr>
            <w:tcW w:w="105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32,2</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w:t>
            </w:r>
          </w:p>
        </w:tc>
        <w:tc>
          <w:tcPr>
            <w:tcW w:w="8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37,4</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Растући индиректни дуг, те укључивање дела отплата по основу гаранција у буџетске расходе, и повећање дефицита по том основу, повећали су свест о растућим фискалним ризицима који произилазе из издатих гаранција. С тога су предузете активности које огранича</w:t>
      </w:r>
      <w:r>
        <w:rPr>
          <w:rFonts w:ascii="Times New Roman" w:eastAsia="Times New Roman" w:hAnsi="Times New Roman" w:cs="Times New Roman"/>
          <w:sz w:val="24"/>
        </w:rPr>
        <w:t xml:space="preserve">вају издавање нових гаранција. Изменама Закона о јавном дугу забрањено је издавање нових гаранција за кредите за потребе ликвидности. Изменама </w:t>
      </w:r>
      <w:r>
        <w:rPr>
          <w:rFonts w:ascii="Times New Roman" w:eastAsia="Times New Roman" w:hAnsi="Times New Roman" w:cs="Times New Roman"/>
          <w:sz w:val="24"/>
        </w:rPr>
        <w:lastRenderedPageBreak/>
        <w:t>Закона о Фонду за развој Републике Србије онемогућено је даље давање контрагаранција за гаранције издате од стран</w:t>
      </w:r>
      <w:r>
        <w:rPr>
          <w:rFonts w:ascii="Times New Roman" w:eastAsia="Times New Roman" w:hAnsi="Times New Roman" w:cs="Times New Roman"/>
          <w:sz w:val="24"/>
        </w:rPr>
        <w:t>е Фонда за развој Републике Србије.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Поред ограничења у издавању државних гаранција кључни корак у смањењу и отклањању фискалних ризика по овом основу је у реформи државних и јавних предузећа, корисника гаранција, како би били способни да отплаћују своје кр</w:t>
      </w:r>
      <w:r>
        <w:rPr>
          <w:rFonts w:ascii="Times New Roman" w:eastAsia="Times New Roman" w:hAnsi="Times New Roman" w:cs="Times New Roman"/>
          <w:sz w:val="24"/>
        </w:rPr>
        <w:t>едите. Већи број предузећа, која су и највећи корисници гаранција, налазе се у процесу реструктурирања, односно спровођења планова реструктурирања урађених у сарадњи са међународним финансијским институцијама. Нове гаранције у 2015. издаване су ограничено,</w:t>
      </w:r>
      <w:r>
        <w:rPr>
          <w:rFonts w:ascii="Times New Roman" w:eastAsia="Times New Roman" w:hAnsi="Times New Roman" w:cs="Times New Roman"/>
          <w:sz w:val="24"/>
        </w:rPr>
        <w:t xml:space="preserve"> само за кредите који су у функцији јавних инвестиција. Гаранције су издате предузећу ЈП „Србијагасˮ за изградњу гасовода Александровац–Тутин у износу од 20 мил. евра и ЈП ЕПС за финансијско реструктурирање у износу од 200 мил. евра. Годишњим буџетом за 20</w:t>
      </w:r>
      <w:r>
        <w:rPr>
          <w:rFonts w:ascii="Times New Roman" w:eastAsia="Times New Roman" w:hAnsi="Times New Roman" w:cs="Times New Roman"/>
          <w:sz w:val="24"/>
        </w:rPr>
        <w:t xml:space="preserve">16. годину планирано је издавање гаранција највише до 140 мил. евра, и то за кредите за инфраструктурне пројекте.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16. План издавања гаранција у 2016. години</w:t>
      </w:r>
    </w:p>
    <w:p w:rsidR="00BE17C7" w:rsidRDefault="00BE17C7">
      <w:pPr>
        <w:spacing w:after="0" w:line="240" w:lineRule="auto"/>
        <w:jc w:val="center"/>
        <w:rPr>
          <w:rFonts w:ascii="Times New Roman" w:eastAsia="Times New Roman" w:hAnsi="Times New Roman" w:cs="Times New Roman"/>
          <w:sz w:val="24"/>
        </w:rPr>
      </w:pPr>
    </w:p>
    <w:tbl>
      <w:tblPr>
        <w:tblW w:w="0" w:type="auto"/>
        <w:jc w:val="center"/>
        <w:tblCellMar>
          <w:left w:w="10" w:type="dxa"/>
          <w:right w:w="10" w:type="dxa"/>
        </w:tblCellMar>
        <w:tblLook w:val="0000"/>
      </w:tblPr>
      <w:tblGrid>
        <w:gridCol w:w="702"/>
        <w:gridCol w:w="3342"/>
        <w:gridCol w:w="1565"/>
        <w:gridCol w:w="1443"/>
        <w:gridCol w:w="1542"/>
      </w:tblGrid>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Ред.</w:t>
            </w:r>
          </w:p>
          <w:p w:rsidR="00BE17C7" w:rsidRDefault="00843F0B">
            <w:pPr>
              <w:spacing w:after="0" w:line="240" w:lineRule="auto"/>
              <w:jc w:val="both"/>
            </w:pPr>
            <w:r>
              <w:rPr>
                <w:rFonts w:ascii="Times New Roman" w:eastAsia="Times New Roman" w:hAnsi="Times New Roman" w:cs="Times New Roman"/>
                <w:sz w:val="20"/>
              </w:rPr>
              <w:t>број</w:t>
            </w: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Times New Roman" w:eastAsia="Times New Roman" w:hAnsi="Times New Roman" w:cs="Times New Roman"/>
                <w:sz w:val="20"/>
              </w:rPr>
            </w:pPr>
          </w:p>
          <w:p w:rsidR="00BE17C7" w:rsidRDefault="00BE17C7">
            <w:pPr>
              <w:spacing w:after="0" w:line="240" w:lineRule="auto"/>
            </w:pP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Износ</w:t>
            </w:r>
          </w:p>
          <w:p w:rsidR="00BE17C7" w:rsidRDefault="00843F0B">
            <w:pPr>
              <w:spacing w:after="0" w:line="240" w:lineRule="auto"/>
            </w:pPr>
            <w:r>
              <w:rPr>
                <w:rFonts w:ascii="Times New Roman" w:eastAsia="Times New Roman" w:hAnsi="Times New Roman" w:cs="Times New Roman"/>
                <w:sz w:val="20"/>
              </w:rPr>
              <w:t>у динарима</w:t>
            </w: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Оригинална</w:t>
            </w:r>
          </w:p>
          <w:p w:rsidR="00BE17C7" w:rsidRDefault="00843F0B">
            <w:pPr>
              <w:spacing w:after="0" w:line="240" w:lineRule="auto"/>
            </w:pPr>
            <w:r>
              <w:rPr>
                <w:rFonts w:ascii="Times New Roman" w:eastAsia="Times New Roman" w:hAnsi="Times New Roman" w:cs="Times New Roman"/>
                <w:sz w:val="20"/>
              </w:rPr>
              <w:t>валута</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Износ у оригиналној валути</w:t>
            </w:r>
          </w:p>
        </w:tc>
      </w:tr>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Немачкој развојној банци (KfW)</w:t>
            </w: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r>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1.</w:t>
            </w: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Електропривреда Србије – Измена система за транспорт пепела и шљаке, ТЕНТ А</w:t>
            </w: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5.512.500.000</w:t>
            </w: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евро</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45.000.000</w:t>
            </w:r>
          </w:p>
        </w:tc>
      </w:tr>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2. </w:t>
            </w: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Електропривреда Србије – Програм за обновљиву енергију – Ветропарк Костолац</w:t>
            </w: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9.800.000.000</w:t>
            </w: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евро</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80.000.000</w:t>
            </w:r>
          </w:p>
        </w:tc>
      </w:tr>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3.</w:t>
            </w: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ЈП Електромрежа Србије а.д. – </w:t>
            </w:r>
          </w:p>
          <w:p w:rsidR="00BE17C7" w:rsidRDefault="00843F0B">
            <w:pPr>
              <w:spacing w:after="0" w:line="240" w:lineRule="auto"/>
              <w:jc w:val="both"/>
            </w:pPr>
            <w:r>
              <w:rPr>
                <w:rFonts w:ascii="Times New Roman" w:eastAsia="Times New Roman" w:hAnsi="Times New Roman" w:cs="Times New Roman"/>
              </w:rPr>
              <w:t>Енергетска ефикасност у преносним системима (Фаза I- Трансбалкански коридор)</w:t>
            </w: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1.837.500.000</w:t>
            </w: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евро</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15.000.000</w:t>
            </w:r>
          </w:p>
        </w:tc>
      </w:tr>
      <w:tr w:rsidR="00BE17C7">
        <w:tblPrEx>
          <w:tblCellMar>
            <w:top w:w="0" w:type="dxa"/>
            <w:bottom w:w="0" w:type="dxa"/>
          </w:tblCellMar>
        </w:tblPrEx>
        <w:trPr>
          <w:trHeight w:val="12"/>
          <w:jc w:val="center"/>
        </w:trPr>
        <w:tc>
          <w:tcPr>
            <w:tcW w:w="70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c>
          <w:tcPr>
            <w:tcW w:w="33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УКУПНО:</w:t>
            </w:r>
          </w:p>
        </w:tc>
        <w:tc>
          <w:tcPr>
            <w:tcW w:w="15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17.150.000.000</w:t>
            </w:r>
          </w:p>
        </w:tc>
        <w:tc>
          <w:tcPr>
            <w:tcW w:w="14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евро</w:t>
            </w:r>
          </w:p>
        </w:tc>
        <w:tc>
          <w:tcPr>
            <w:tcW w:w="154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140.000.000</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План отплате по основу гаранција (укупно главница и камата) у 2016. години износи 61 млрд динара, од чега се у расходе који утичу на дефицит укључује 32 млрд динара за отплату главнице по гаранцијама. Структура издатака за отплату главнице по основу гаранц</w:t>
      </w:r>
      <w:r>
        <w:rPr>
          <w:rFonts w:ascii="Times New Roman" w:eastAsia="Times New Roman" w:hAnsi="Times New Roman" w:cs="Times New Roman"/>
          <w:sz w:val="24"/>
        </w:rPr>
        <w:t>ија који се укључују у расходе буџета приказана је у следећој табели.</w:t>
      </w: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17. План отплате по основу гаранција у 2016. години (део укључен у расходе буџета) у млрд динара</w:t>
      </w:r>
    </w:p>
    <w:tbl>
      <w:tblPr>
        <w:tblW w:w="0" w:type="auto"/>
        <w:tblInd w:w="-5" w:type="dxa"/>
        <w:tblCellMar>
          <w:left w:w="10" w:type="dxa"/>
          <w:right w:w="10" w:type="dxa"/>
        </w:tblCellMar>
        <w:tblLook w:val="0000"/>
      </w:tblPr>
      <w:tblGrid>
        <w:gridCol w:w="4306"/>
        <w:gridCol w:w="4306"/>
      </w:tblGrid>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Корисник</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износ</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Фонд за развој РС (Железара Смедерево)</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ЈАТ</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Галеника а.д.</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Железнице Србије а.д.</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Србијагас</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17,8</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Други корисници</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r>
      <w:tr w:rsidR="00BE17C7">
        <w:tblPrEx>
          <w:tblCellMar>
            <w:top w:w="0" w:type="dxa"/>
            <w:bottom w:w="0" w:type="dxa"/>
          </w:tblCellMar>
        </w:tblPrEx>
        <w:trPr>
          <w:trHeight w:val="19"/>
        </w:trPr>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43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32,3</w:t>
            </w:r>
          </w:p>
        </w:tc>
      </w:tr>
    </w:tbl>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18"/>
        </w:rPr>
        <w:t>Извор: МФИН, Управа за јавни дуг, Закон о буџету за 2016. годину</w:t>
      </w:r>
      <w:r>
        <w:rPr>
          <w:rFonts w:ascii="Times New Roman" w:eastAsia="Times New Roman" w:hAnsi="Times New Roman" w:cs="Times New Roman"/>
          <w:sz w:val="24"/>
        </w:rPr>
        <w:t xml:space="preserve">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Отплата по основу гаранција ће одступити у односу на износ планиране буџетом за 2016. годину. Извршење буџета по овом основу у септембру је достигло планирани износ. Узрок оваквог кретања је позитивне природе, а односи се на превремену отплату гарантованог</w:t>
      </w:r>
      <w:r>
        <w:rPr>
          <w:rFonts w:ascii="Times New Roman" w:eastAsia="Times New Roman" w:hAnsi="Times New Roman" w:cs="Times New Roman"/>
          <w:sz w:val="24"/>
        </w:rPr>
        <w:t xml:space="preserve"> износа дуга (дугови предузећа „Галеникаˮ а.д. и ЈП „Србијагасˮ) чиме се остварују значајније уштеде на страни расхода за камате у наредном периоду. Планом је предвиђено да ЈП „Србијагасˮ самостално отплаћује део дуга према својим повериоцима, што се није </w:t>
      </w:r>
      <w:r>
        <w:rPr>
          <w:rFonts w:ascii="Times New Roman" w:eastAsia="Times New Roman" w:hAnsi="Times New Roman" w:cs="Times New Roman"/>
          <w:sz w:val="24"/>
        </w:rPr>
        <w:t xml:space="preserve">у потпуности остварило. Поред побољшања ликвидносне позиције овог предузећа оно још није у могућности да потпуно самостално извршава своје обавезе.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Стање и структура јавног дуга по основу индиректних обавеза, те растући буџетски трошкови по основу гаранци</w:t>
      </w:r>
      <w:r>
        <w:rPr>
          <w:rFonts w:ascii="Times New Roman" w:eastAsia="Times New Roman" w:hAnsi="Times New Roman" w:cs="Times New Roman"/>
          <w:sz w:val="24"/>
        </w:rPr>
        <w:t>ја указују да постоје значајни фискални ризици који се могу материјализовати у наредних неколико година. У наредним годинама такође је планирана отплата по основу гаранција, али са опадајућим трендом тако да њихово учешће у БДП опада са 0,9% БДП у 2016. го</w:t>
      </w:r>
      <w:r>
        <w:rPr>
          <w:rFonts w:ascii="Times New Roman" w:eastAsia="Times New Roman" w:hAnsi="Times New Roman" w:cs="Times New Roman"/>
          <w:sz w:val="24"/>
        </w:rPr>
        <w:t>дини на 0,3% БДП у 2019. години. Захваљујући предузетим мерама у претходном периоду, као и преговорима са домаћим пословним банкама у којима су снижене каматне стопе по основу гарантованих обавеза ЈП „Србијагасˮ и „Галеникаˮ а.д, смањена је изложеност српс</w:t>
      </w:r>
      <w:r>
        <w:rPr>
          <w:rFonts w:ascii="Times New Roman" w:eastAsia="Times New Roman" w:hAnsi="Times New Roman" w:cs="Times New Roman"/>
          <w:sz w:val="24"/>
        </w:rPr>
        <w:t xml:space="preserve">ких јавних финансија према овом ризику.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Структурне реформе јавних и државних предузећа, њихово оспособљавање за тржишну утакмицу и финансијску одрживост, с једне стране, и ограничено и циљано издавање нових гаранција, с друге стране, допринеће умањењу фис</w:t>
      </w:r>
      <w:r>
        <w:rPr>
          <w:rFonts w:ascii="Times New Roman" w:eastAsia="Times New Roman" w:hAnsi="Times New Roman" w:cs="Times New Roman"/>
          <w:sz w:val="24"/>
        </w:rPr>
        <w:t xml:space="preserve">калних ризика по овом основу и одржавању расхода у планираним, тј. пројектованим оквирима у наредном средњорочном периоду. </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Преузимање обавеза у јавни дуг Републике Србије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Значајан извор ризика за јавне финансије представља преузимање обавеза државних и јавних предузећа што директно утиче на раст јавног дуга и дефицита државе. У претходном периоду у више наврата долазило је до преузимања обавеза јавних и државних предузећа. </w:t>
      </w:r>
      <w:r>
        <w:rPr>
          <w:rFonts w:ascii="Times New Roman" w:eastAsia="Times New Roman" w:hAnsi="Times New Roman" w:cs="Times New Roman"/>
          <w:sz w:val="24"/>
        </w:rPr>
        <w:t xml:space="preserve">Преузимање обавеза, директно повећава јавни дуг у износу у коме су преузете обавезе дужника. Истовремено, тај износ постаје расход буџета и тако утиче на повећање дефицита опште државе.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Поред преузимања обавеза јавних и државних предузећа, на повећање јав</w:t>
      </w:r>
      <w:r>
        <w:rPr>
          <w:rFonts w:ascii="Times New Roman" w:eastAsia="Times New Roman" w:hAnsi="Times New Roman" w:cs="Times New Roman"/>
          <w:sz w:val="24"/>
        </w:rPr>
        <w:t>ног дуга и дефицита по овом основу утицале су и судске одлуке, али и неадекватно планирање одређених расхода (субвенција). У претходној години на повећање дуга и дефицита утицале су и одлука Уставног суда о повећању пензија војним пензионерима, те неадеква</w:t>
      </w:r>
      <w:r>
        <w:rPr>
          <w:rFonts w:ascii="Times New Roman" w:eastAsia="Times New Roman" w:hAnsi="Times New Roman" w:cs="Times New Roman"/>
          <w:sz w:val="24"/>
        </w:rPr>
        <w:t xml:space="preserve">тно планирање субвенција пољопривредницима, што је проузроковало да се дуг по овом основу укључи у јавни дуг и у ратама исплати пољопривредницима.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18. Преузимање обавеза у јавни дуг, млрд динара</w:t>
      </w:r>
    </w:p>
    <w:tbl>
      <w:tblPr>
        <w:tblW w:w="0" w:type="auto"/>
        <w:jc w:val="center"/>
        <w:tblCellMar>
          <w:left w:w="10" w:type="dxa"/>
          <w:right w:w="10" w:type="dxa"/>
        </w:tblCellMar>
        <w:tblLook w:val="0000"/>
      </w:tblPr>
      <w:tblGrid>
        <w:gridCol w:w="5877"/>
        <w:gridCol w:w="1380"/>
      </w:tblGrid>
      <w:tr w:rsidR="00BE17C7">
        <w:tblPrEx>
          <w:tblCellMar>
            <w:top w:w="0" w:type="dxa"/>
            <w:bottom w:w="0" w:type="dxa"/>
          </w:tblCellMar>
        </w:tblPrEx>
        <w:trPr>
          <w:trHeight w:val="198"/>
          <w:jc w:val="center"/>
        </w:trPr>
        <w:tc>
          <w:tcPr>
            <w:tcW w:w="5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опис</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r>
      <w:tr w:rsidR="00BE17C7">
        <w:tblPrEx>
          <w:tblCellMar>
            <w:top w:w="0" w:type="dxa"/>
            <w:bottom w:w="0" w:type="dxa"/>
          </w:tblCellMar>
        </w:tblPrEx>
        <w:trPr>
          <w:trHeight w:val="198"/>
          <w:jc w:val="center"/>
        </w:trPr>
        <w:tc>
          <w:tcPr>
            <w:tcW w:w="5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ЈП Србијагас</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23,4</w:t>
            </w:r>
          </w:p>
        </w:tc>
      </w:tr>
      <w:tr w:rsidR="00BE17C7">
        <w:tblPrEx>
          <w:tblCellMar>
            <w:top w:w="0" w:type="dxa"/>
            <w:bottom w:w="0" w:type="dxa"/>
          </w:tblCellMar>
        </w:tblPrEx>
        <w:trPr>
          <w:trHeight w:val="198"/>
          <w:jc w:val="center"/>
        </w:trPr>
        <w:tc>
          <w:tcPr>
            <w:tcW w:w="5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Војни пензионери</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10,0</w:t>
            </w:r>
          </w:p>
        </w:tc>
      </w:tr>
      <w:tr w:rsidR="00BE17C7">
        <w:tblPrEx>
          <w:tblCellMar>
            <w:top w:w="0" w:type="dxa"/>
            <w:bottom w:w="0" w:type="dxa"/>
          </w:tblCellMar>
        </w:tblPrEx>
        <w:trPr>
          <w:trHeight w:val="198"/>
          <w:jc w:val="center"/>
        </w:trPr>
        <w:tc>
          <w:tcPr>
            <w:tcW w:w="5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 за пољопривреду</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10,1</w:t>
            </w:r>
          </w:p>
        </w:tc>
      </w:tr>
      <w:tr w:rsidR="00BE17C7">
        <w:tblPrEx>
          <w:tblCellMar>
            <w:top w:w="0" w:type="dxa"/>
            <w:bottom w:w="0" w:type="dxa"/>
          </w:tblCellMar>
        </w:tblPrEx>
        <w:trPr>
          <w:trHeight w:val="198"/>
          <w:jc w:val="center"/>
        </w:trPr>
        <w:tc>
          <w:tcPr>
            <w:tcW w:w="587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lastRenderedPageBreak/>
              <w:t>УКУПНО</w:t>
            </w:r>
          </w:p>
        </w:tc>
        <w:tc>
          <w:tcPr>
            <w:tcW w:w="138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43,5</w:t>
            </w:r>
          </w:p>
        </w:tc>
      </w:tr>
    </w:tbl>
    <w:p w:rsidR="00BE17C7" w:rsidRDefault="00843F0B">
      <w:pPr>
        <w:spacing w:after="0" w:line="240" w:lineRule="auto"/>
        <w:ind w:firstLine="720"/>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18"/>
        </w:rPr>
      </w:pPr>
    </w:p>
    <w:p w:rsidR="00BE17C7" w:rsidRDefault="00BE17C7">
      <w:pPr>
        <w:spacing w:after="0" w:line="240" w:lineRule="auto"/>
        <w:ind w:firstLine="720"/>
        <w:jc w:val="both"/>
        <w:rPr>
          <w:rFonts w:ascii="Times New Roman" w:eastAsia="Times New Roman" w:hAnsi="Times New Roman" w:cs="Times New Roman"/>
          <w:sz w:val="18"/>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До краја 2016. године, у склопу финансијског реструктурирања ХИП „Петрохемијеˮ планирано је преузимање обавеза ове компаније у јавни дуг у износу од 105 мил. евра, што је и договорено у оквиру програма са ММФ. Преузимањем дуга уз финансијско реструктурирањ</w:t>
      </w:r>
      <w:r>
        <w:rPr>
          <w:rFonts w:ascii="Times New Roman" w:eastAsia="Times New Roman" w:hAnsi="Times New Roman" w:cs="Times New Roman"/>
          <w:sz w:val="24"/>
        </w:rPr>
        <w:t xml:space="preserve">е компаније, елиминишу се могући фискални ризици и будући буџетски трошкови за подршку овом предузећу. </w:t>
      </w:r>
    </w:p>
    <w:p w:rsidR="00BE17C7" w:rsidRDefault="00BE17C7">
      <w:pPr>
        <w:spacing w:after="0" w:line="240" w:lineRule="auto"/>
        <w:jc w:val="center"/>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Јавна предузећа</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Пословање јавних предузећа представља значајан извор фискалних ризика, како на страни буџетских прихода, тако и на страни расхода. Јавна предузећа се у пословању суочавају са бројним проблемима, од наплате потраживања, до редовног измиривање обавеза према </w:t>
      </w:r>
      <w:r>
        <w:rPr>
          <w:rFonts w:ascii="Times New Roman" w:eastAsia="Times New Roman" w:hAnsi="Times New Roman" w:cs="Times New Roman"/>
          <w:sz w:val="24"/>
        </w:rPr>
        <w:t>повериоцима, држави и запосленима и сл. Држава као оснивач и њихов једини власник је одговорна за пословање и њихово је последње уточиште у случају неликвидности. Постоји неколико канала кроз које се могу материјализовати фискални ризици везани за пословањ</w:t>
      </w:r>
      <w:r>
        <w:rPr>
          <w:rFonts w:ascii="Times New Roman" w:eastAsia="Times New Roman" w:hAnsi="Times New Roman" w:cs="Times New Roman"/>
          <w:sz w:val="24"/>
        </w:rPr>
        <w:t xml:space="preserve">е јавних предузећа. Највећи, али не и једини ризик, су државне гаранције дате за кредите јавних предузећа. Одрживост, ефикасност и профитабилност јавних предузећа утичу на приходе буџета, односно на износ добити коју уплаћују у буџет. Квалитет производа и </w:t>
      </w:r>
      <w:r>
        <w:rPr>
          <w:rFonts w:ascii="Times New Roman" w:eastAsia="Times New Roman" w:hAnsi="Times New Roman" w:cs="Times New Roman"/>
          <w:sz w:val="24"/>
        </w:rPr>
        <w:t xml:space="preserve">услуга које обезбеђују јавна предузећа утичу на ефикасност и профитабилност приватног сектора и у крајњој инстанци на ниво пореза које уплаћују у буџет.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Јавна предузећа представљају значајан сегмент српске привреде, који запошљава близу 79 хиљада људи. Ја</w:t>
      </w:r>
      <w:r>
        <w:rPr>
          <w:rFonts w:ascii="Times New Roman" w:eastAsia="Times New Roman" w:hAnsi="Times New Roman" w:cs="Times New Roman"/>
          <w:sz w:val="24"/>
        </w:rPr>
        <w:t xml:space="preserve">вна предузећа се оснивају као друштва за обављање делатности од општег интереса. Њихов рад уређен је новим Законом о јавним предузећима, усвојеним у фебруару 2016. године, као и подсекторским законима који дефинишу специфична подручја која нису обухваћена </w:t>
      </w:r>
      <w:r>
        <w:rPr>
          <w:rFonts w:ascii="Times New Roman" w:eastAsia="Times New Roman" w:hAnsi="Times New Roman" w:cs="Times New Roman"/>
          <w:sz w:val="24"/>
        </w:rPr>
        <w:t>Законом о јавним предузећима (Закон о енергетици, Закон о привредним друштвима и др).</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циљу умањења фискалних ризика повезаних са пословањем јавних предузећа покренути су процеси реструктурирања највећих јавних предузећа („Железнице Србијеˮ а.д, ЈП ЕПС и </w:t>
      </w:r>
      <w:r>
        <w:rPr>
          <w:rFonts w:ascii="Times New Roman" w:eastAsia="Times New Roman" w:hAnsi="Times New Roman" w:cs="Times New Roman"/>
          <w:sz w:val="24"/>
        </w:rPr>
        <w:t xml:space="preserve">ЈП „Србијагасˮ). Целокупан процес се спроводи у сарадњи за водећим светским финансијским институцијама – ММФ-ом, Светском банком и Европском банком за обнову и развој, како би се ова предузећа поставила на здраве основе и почела да функционишу по тржишном </w:t>
      </w:r>
      <w:r>
        <w:rPr>
          <w:rFonts w:ascii="Times New Roman" w:eastAsia="Times New Roman" w:hAnsi="Times New Roman" w:cs="Times New Roman"/>
          <w:sz w:val="24"/>
        </w:rPr>
        <w:t xml:space="preserve">принципу, те умањили потенцијални фискални трошкови који могу проистећи из њиховог пословања. </w:t>
      </w: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Кључни финансијски показатељи пословања јавних предузећа</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i/>
          <w:sz w:val="24"/>
        </w:rPr>
      </w:pPr>
      <w:r>
        <w:rPr>
          <w:rFonts w:ascii="Times New Roman" w:eastAsia="Times New Roman" w:hAnsi="Times New Roman" w:cs="Times New Roman"/>
          <w:i/>
          <w:sz w:val="24"/>
        </w:rPr>
        <w:t>Резултати пословања јавних предузећа у 2015. години</w:t>
      </w:r>
    </w:p>
    <w:p w:rsidR="00BE17C7" w:rsidRDefault="00BE17C7">
      <w:pPr>
        <w:spacing w:after="0" w:line="240" w:lineRule="auto"/>
        <w:ind w:firstLine="720"/>
        <w:jc w:val="both"/>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Укупан капитал републичких јавних предузећа н</w:t>
      </w:r>
      <w:r>
        <w:rPr>
          <w:rFonts w:ascii="Times New Roman" w:eastAsia="Times New Roman" w:hAnsi="Times New Roman" w:cs="Times New Roman"/>
          <w:sz w:val="24"/>
        </w:rPr>
        <w:t>а крају 2015. године износио је 1.530 млрд динара, док је нето губитак у 2015. години реализован у износу од 3,6 млрд динара.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19. Главни финансијски показатељи пословања јавних предузећа*, млрд динара</w:t>
      </w:r>
    </w:p>
    <w:tbl>
      <w:tblPr>
        <w:tblW w:w="0" w:type="auto"/>
        <w:jc w:val="center"/>
        <w:tblCellMar>
          <w:left w:w="10" w:type="dxa"/>
          <w:right w:w="10" w:type="dxa"/>
        </w:tblCellMar>
        <w:tblLook w:val="0000"/>
      </w:tblPr>
      <w:tblGrid>
        <w:gridCol w:w="6204"/>
        <w:gridCol w:w="1206"/>
        <w:gridCol w:w="1159"/>
      </w:tblGrid>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опис</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2014</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Укупна имовина</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2.400,0 </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2.487,1</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Сопствени капитал</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1.557,0 </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1.530,2</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Укупни приходи</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465,9 </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498,8 </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Нето добит (губитак)</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-65,3</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-3,6</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26,4 </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23,6 </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 без ЈП „Путеви Србијеˮ</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19,0 </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16,7 </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Принос на сопствени капитал (ROE), у %</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Принос на укупна средства (ROA), у %</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78"/>
          <w:jc w:val="center"/>
        </w:trPr>
        <w:tc>
          <w:tcPr>
            <w:tcW w:w="62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Субвенције, као % укупних прихода</w:t>
            </w:r>
          </w:p>
        </w:tc>
        <w:tc>
          <w:tcPr>
            <w:tcW w:w="120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w:t>
            </w:r>
          </w:p>
        </w:tc>
        <w:tc>
          <w:tcPr>
            <w:tcW w:w="11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Званични финансијски извештаји објављени на сајту АПР</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18"/>
        </w:rPr>
        <w:t>*збирни подаци се односе на предузећа наведена у табели 20.</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Пословање републичких јавних предузећа је значајно унапређено у 2015. години. Иако је реализован нето губитак у износу од 3,6 млрд динара, он је знатно нижи у односу на претходну годину, када је износио 65,3 млрд динара.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Број предузећа која примају субвен</w:t>
      </w:r>
      <w:r>
        <w:rPr>
          <w:rFonts w:ascii="Times New Roman" w:eastAsia="Times New Roman" w:hAnsi="Times New Roman" w:cs="Times New Roman"/>
          <w:sz w:val="24"/>
        </w:rPr>
        <w:t>ције смањен је са 21 на 20. Примљене субвенције смањиле су учешће у структури прихода јавних предузећа и у 2015. години чине 4,7% укупних прихода. Одређене субвенције имају капитални карактер као што су субвенције за „Путеве Србијеˮ, у износу од 6,9 млрд д</w:t>
      </w:r>
      <w:r>
        <w:rPr>
          <w:rFonts w:ascii="Times New Roman" w:eastAsia="Times New Roman" w:hAnsi="Times New Roman" w:cs="Times New Roman"/>
          <w:sz w:val="24"/>
        </w:rPr>
        <w:t>инара, које су намењене реконструкцији путне инфраструктуре.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20. Преглед појединих позиција финансијских извештаја за 2015. годину</w:t>
      </w:r>
    </w:p>
    <w:p w:rsidR="00BE17C7" w:rsidRDefault="00BE17C7">
      <w:pPr>
        <w:keepNext/>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2830"/>
        <w:gridCol w:w="1329"/>
        <w:gridCol w:w="1600"/>
        <w:gridCol w:w="1647"/>
        <w:gridCol w:w="879"/>
        <w:gridCol w:w="869"/>
      </w:tblGrid>
      <w:tr w:rsidR="00BE17C7">
        <w:tblPrEx>
          <w:tblCellMar>
            <w:top w:w="0" w:type="dxa"/>
            <w:bottom w:w="0" w:type="dxa"/>
          </w:tblCellMar>
        </w:tblPrEx>
        <w:trPr>
          <w:trHeight w:val="469"/>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Јавно предузеће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Нето резултат, </w:t>
            </w:r>
            <w:r>
              <w:rPr>
                <w:rFonts w:ascii="Times New Roman" w:eastAsia="Times New Roman" w:hAnsi="Times New Roman" w:cs="Times New Roman"/>
                <w:sz w:val="20"/>
              </w:rPr>
              <w:br/>
              <w:t>хиљаде динара</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Укупна имовина, </w:t>
            </w:r>
            <w:r>
              <w:rPr>
                <w:rFonts w:ascii="Times New Roman" w:eastAsia="Times New Roman" w:hAnsi="Times New Roman" w:cs="Times New Roman"/>
                <w:sz w:val="20"/>
              </w:rPr>
              <w:br/>
              <w:t>хиљаде динара</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Капитал, </w:t>
            </w:r>
            <w:r>
              <w:rPr>
                <w:rFonts w:ascii="Times New Roman" w:eastAsia="Times New Roman" w:hAnsi="Times New Roman" w:cs="Times New Roman"/>
                <w:sz w:val="20"/>
              </w:rPr>
              <w:br/>
              <w:t>хиљаде динара</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RoA, %</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RoE, %</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ЕПС (група)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6.986.344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1.091.126.511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781.376.116</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Србијагас</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2.963.854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128.958.465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-68.559.132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Србија Карго а.д.</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63.223</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26.570.817</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18.882.612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Србија Воз а.д.</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-876.158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32.575.413</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27.518.264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Инфраструктура ЖС а.д.</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-1.975.962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241.383.339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216.471.307</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Железница Србије а.д.*</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-8.483.272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24.673.946</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-55.672.075</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Путеви Србије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-9.597.720</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528.624.223</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404.150.235</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Коридори Србије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90.943.731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500</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 xml:space="preserve">ЈП Електромрежа Србије </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2.846.912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92.927.409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58.912.336</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ПЕУ Ресавица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-1.435.652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8.368.833</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-5.353.310</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-17,8</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Пошта Србије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3.128.267</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34.115.664</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25.825.335</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12,2</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Југоимпорт СДПР</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2.008.291</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32.447.664</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7.986.711</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Транснафта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125.528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4.714.235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4.483.276</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Србијашуме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384.596</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64.618.535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60.595.448</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Србијаводе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14.368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18.703.079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5.229.832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Скијалишта Србије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54.329</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10.281.839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2.578.563</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Државна лутрија Србије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40.116</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2.130.965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1.106.092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lastRenderedPageBreak/>
              <w:t>ДИПОС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168.427</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895.315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721.352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24,6</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Службени гласник</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11.623</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3.043.958</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2.507.104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Завод за уџбенике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2.533</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3.221.962</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3.021.313</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Емисиона техника и везе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2.222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5.169.717</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1.867.336</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ЈАТ Техника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18.411</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2.507.750</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937.483</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за склоништа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-180.452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14.505.322</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13.390.228</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Стара планина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26.989</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4.587.861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3.195.548</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Нуклеарни објекти Србије</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374.862</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201.202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НП Тара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14.854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8.158.041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8.031.044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НП Фрушка Гора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3.159</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2.381.181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2.190.497</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НП Ђердап</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6.444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4.784.235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4.691.254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НП Копаоник</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7.955</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3.655.518</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3.615.207</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Парк природе Мокра гора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191.879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9.962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Резерват Увац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41.871</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12.404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Просветни преглед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19.050</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61.693</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52.135</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35,9</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43,1</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Мрежа мост</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8.344</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29.959</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13.334</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29,0</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78,8</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Парк Палић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2.110</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152.516</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2.781</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104,9</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НИЈП Панорама Приштина</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1.248</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Тврђава Голубачки град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4.648</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550</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40"/>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Метохија д.о.о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1.491</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14.486</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5.486</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31,5</w:t>
            </w:r>
          </w:p>
        </w:tc>
      </w:tr>
      <w:tr w:rsidR="00BE17C7">
        <w:tblPrEx>
          <w:tblCellMar>
            <w:top w:w="0" w:type="dxa"/>
            <w:bottom w:w="0" w:type="dxa"/>
          </w:tblCellMar>
        </w:tblPrEx>
        <w:trPr>
          <w:trHeight w:val="203"/>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ЈП Танјуг</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34.119</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179.975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158.252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25.9</w:t>
            </w:r>
          </w:p>
        </w:tc>
      </w:tr>
      <w:tr w:rsidR="00BE17C7">
        <w:tblPrEx>
          <w:tblCellMar>
            <w:top w:w="0" w:type="dxa"/>
            <w:bottom w:w="0" w:type="dxa"/>
          </w:tblCellMar>
        </w:tblPrEx>
        <w:trPr>
          <w:trHeight w:val="214"/>
        </w:trPr>
        <w:tc>
          <w:tcPr>
            <w:tcW w:w="283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Укупно</w:t>
            </w:r>
          </w:p>
        </w:tc>
        <w:tc>
          <w:tcPr>
            <w:tcW w:w="132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-3.604.648</w:t>
            </w:r>
          </w:p>
        </w:tc>
        <w:tc>
          <w:tcPr>
            <w:tcW w:w="16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2.487.128.665</w:t>
            </w:r>
          </w:p>
        </w:tc>
        <w:tc>
          <w:tcPr>
            <w:tcW w:w="164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1.530.156..632</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bl>
    <w:p w:rsidR="00BE17C7" w:rsidRDefault="00843F0B">
      <w:pPr>
        <w:keepNext/>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 </w:t>
      </w:r>
      <w:r>
        <w:rPr>
          <w:rFonts w:ascii="Times New Roman" w:eastAsia="Times New Roman" w:hAnsi="Times New Roman" w:cs="Times New Roman"/>
          <w:sz w:val="18"/>
        </w:rPr>
        <w:t>Нето резултат „Железнице Србијеˮ а.д. садржи у себи нето резултат заједничког предузећа до 10. августа 2015. и нето резултат издвојеног четвртог предузећа „Железнице Србијеˮ а.д. од 10. августа 2015. до 31. децембра 2015. године</w:t>
      </w:r>
    </w:p>
    <w:p w:rsidR="00BE17C7" w:rsidRDefault="00843F0B">
      <w:pPr>
        <w:keepNext/>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18"/>
        </w:rPr>
        <w:t>Извор: Званични финансијски</w:t>
      </w:r>
      <w:r>
        <w:rPr>
          <w:rFonts w:ascii="Times New Roman" w:eastAsia="Times New Roman" w:hAnsi="Times New Roman" w:cs="Times New Roman"/>
          <w:sz w:val="18"/>
        </w:rPr>
        <w:t xml:space="preserve"> извештаји објављени на сајту АПР</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i/>
          <w:sz w:val="24"/>
        </w:rPr>
      </w:pPr>
      <w:r>
        <w:rPr>
          <w:rFonts w:ascii="Times New Roman" w:eastAsia="Times New Roman" w:hAnsi="Times New Roman" w:cs="Times New Roman"/>
          <w:i/>
          <w:sz w:val="24"/>
        </w:rPr>
        <w:t>Резултати пословања јавних предузећа у 2016. години</w:t>
      </w:r>
    </w:p>
    <w:p w:rsidR="00BE17C7" w:rsidRDefault="00BE17C7">
      <w:pPr>
        <w:spacing w:after="0" w:line="240" w:lineRule="auto"/>
        <w:ind w:firstLine="720"/>
        <w:jc w:val="both"/>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2016. години је настављен позитиван тренд пословања републичких јавних предузећа, збирно посматрано.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следећој табели су приказани прелиминарни резултати пословања за првих 9 месеци 2016.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21. Прелиминарни резултати пословања јавних предузећа* за првих девет месеци 2016. године,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jc w:val="center"/>
        <w:tblCellMar>
          <w:left w:w="10" w:type="dxa"/>
          <w:right w:w="10" w:type="dxa"/>
        </w:tblCellMar>
        <w:tblLook w:val="0000"/>
      </w:tblPr>
      <w:tblGrid>
        <w:gridCol w:w="3212"/>
        <w:gridCol w:w="1700"/>
      </w:tblGrid>
      <w:tr w:rsidR="00BE17C7">
        <w:tblPrEx>
          <w:tblCellMar>
            <w:top w:w="0" w:type="dxa"/>
            <w:bottom w:w="0" w:type="dxa"/>
          </w:tblCellMar>
        </w:tblPrEx>
        <w:trPr>
          <w:trHeight w:val="443"/>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Показатељи пословања</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 xml:space="preserve">30.09.2016 </w:t>
            </w:r>
            <w:r>
              <w:rPr>
                <w:rFonts w:ascii="Times New Roman" w:eastAsia="Times New Roman" w:hAnsi="Times New Roman" w:cs="Times New Roman"/>
                <w:sz w:val="20"/>
              </w:rPr>
              <w:br/>
              <w:t>реализација</w:t>
            </w:r>
          </w:p>
        </w:tc>
      </w:tr>
      <w:tr w:rsidR="00BE17C7">
        <w:tblPrEx>
          <w:tblCellMar>
            <w:top w:w="0" w:type="dxa"/>
            <w:bottom w:w="0" w:type="dxa"/>
          </w:tblCellMar>
        </w:tblPrEx>
        <w:trPr>
          <w:trHeight w:val="138"/>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По</w:t>
            </w:r>
            <w:r>
              <w:rPr>
                <w:rFonts w:ascii="Times New Roman" w:eastAsia="Times New Roman" w:hAnsi="Times New Roman" w:cs="Times New Roman"/>
              </w:rPr>
              <w:t>словни приходи</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317,9 </w:t>
            </w:r>
          </w:p>
        </w:tc>
      </w:tr>
      <w:tr w:rsidR="00BE17C7">
        <w:tblPrEx>
          <w:tblCellMar>
            <w:top w:w="0" w:type="dxa"/>
            <w:bottom w:w="0" w:type="dxa"/>
          </w:tblCellMar>
        </w:tblPrEx>
        <w:trPr>
          <w:trHeight w:val="221"/>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Оперативни трошкови</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229,3 </w:t>
            </w:r>
          </w:p>
        </w:tc>
      </w:tr>
      <w:tr w:rsidR="00BE17C7">
        <w:tblPrEx>
          <w:tblCellMar>
            <w:top w:w="0" w:type="dxa"/>
            <w:bottom w:w="0" w:type="dxa"/>
          </w:tblCellMar>
        </w:tblPrEx>
        <w:trPr>
          <w:trHeight w:val="221"/>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EBITDA</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88,6 </w:t>
            </w:r>
          </w:p>
        </w:tc>
      </w:tr>
      <w:tr w:rsidR="00BE17C7">
        <w:tblPrEx>
          <w:tblCellMar>
            <w:top w:w="0" w:type="dxa"/>
            <w:bottom w:w="0" w:type="dxa"/>
          </w:tblCellMar>
        </w:tblPrEx>
        <w:trPr>
          <w:trHeight w:val="221"/>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Амортизација</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40,8 </w:t>
            </w:r>
          </w:p>
        </w:tc>
      </w:tr>
      <w:tr w:rsidR="00BE17C7">
        <w:tblPrEx>
          <w:tblCellMar>
            <w:top w:w="0" w:type="dxa"/>
            <w:bottom w:w="0" w:type="dxa"/>
          </w:tblCellMar>
        </w:tblPrEx>
        <w:trPr>
          <w:trHeight w:val="226"/>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Пословни резултат (EBIT)</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47,8 </w:t>
            </w:r>
          </w:p>
        </w:tc>
      </w:tr>
      <w:tr w:rsidR="00BE17C7">
        <w:tblPrEx>
          <w:tblCellMar>
            <w:top w:w="0" w:type="dxa"/>
            <w:bottom w:w="0" w:type="dxa"/>
          </w:tblCellMar>
        </w:tblPrEx>
        <w:trPr>
          <w:trHeight w:val="221"/>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Резултат пре пореза</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31,1 </w:t>
            </w:r>
          </w:p>
        </w:tc>
      </w:tr>
      <w:tr w:rsidR="00BE17C7">
        <w:tblPrEx>
          <w:tblCellMar>
            <w:top w:w="0" w:type="dxa"/>
            <w:bottom w:w="0" w:type="dxa"/>
          </w:tblCellMar>
        </w:tblPrEx>
        <w:trPr>
          <w:trHeight w:val="221"/>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Нето резултат</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22,5 </w:t>
            </w:r>
          </w:p>
        </w:tc>
      </w:tr>
      <w:tr w:rsidR="00BE17C7">
        <w:tblPrEx>
          <w:tblCellMar>
            <w:top w:w="0" w:type="dxa"/>
            <w:bottom w:w="0" w:type="dxa"/>
          </w:tblCellMar>
        </w:tblPrEx>
        <w:trPr>
          <w:trHeight w:val="86"/>
          <w:jc w:val="center"/>
        </w:trPr>
        <w:tc>
          <w:tcPr>
            <w:tcW w:w="321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Примљене субвенције</w:t>
            </w:r>
          </w:p>
        </w:tc>
        <w:tc>
          <w:tcPr>
            <w:tcW w:w="170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18,7 </w:t>
            </w:r>
          </w:p>
        </w:tc>
      </w:tr>
    </w:tbl>
    <w:p w:rsidR="00BE17C7" w:rsidRDefault="00843F0B">
      <w:pPr>
        <w:spacing w:after="0" w:line="240" w:lineRule="auto"/>
        <w:ind w:left="1440" w:firstLine="720"/>
        <w:jc w:val="both"/>
        <w:rPr>
          <w:rFonts w:ascii="Times New Roman" w:eastAsia="Times New Roman" w:hAnsi="Times New Roman" w:cs="Times New Roman"/>
          <w:sz w:val="18"/>
        </w:rPr>
      </w:pPr>
      <w:r>
        <w:rPr>
          <w:rFonts w:ascii="Times New Roman" w:eastAsia="Times New Roman" w:hAnsi="Times New Roman" w:cs="Times New Roman"/>
          <w:sz w:val="18"/>
        </w:rPr>
        <w:t>*збирни подаци се односе на предузећа наведена у табели 20.</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Реализовани резултати пословања су значајно бољи, како у односу на план, тако и у односу на исти период претходне године. Нето резултат утврђен за првих девет месеци је добит у износу од 22,5 млрд динара. Највећи утицај на све посматране величине има ЈП „Е</w:t>
      </w:r>
      <w:r>
        <w:rPr>
          <w:rFonts w:ascii="Times New Roman" w:eastAsia="Times New Roman" w:hAnsi="Times New Roman" w:cs="Times New Roman"/>
          <w:sz w:val="24"/>
        </w:rPr>
        <w:t xml:space="preserve">лектропривреда Србијеˮ, као највеће јавно предузеће по свим параметрима. Ово предузеће је за првих девет месеци остварило добит у висини од 15,3 млрд динара.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Уплата добити у буџет Републике</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Уплата добити од стране јавних предузећа и дивиденде друштава к</w:t>
      </w:r>
      <w:r>
        <w:rPr>
          <w:rFonts w:ascii="Times New Roman" w:eastAsia="Times New Roman" w:hAnsi="Times New Roman" w:cs="Times New Roman"/>
          <w:sz w:val="24"/>
        </w:rPr>
        <w:t>апитала у којима држава има власништво представљају значајан део непореских прихода. Од успешности пословања ових предузећа зависи и висина прихода буџета по овом основу. Уплата редовне добити и дивиденди је редован буџетски непорески приход, док се уплате</w:t>
      </w:r>
      <w:r>
        <w:rPr>
          <w:rFonts w:ascii="Times New Roman" w:eastAsia="Times New Roman" w:hAnsi="Times New Roman" w:cs="Times New Roman"/>
          <w:sz w:val="24"/>
        </w:rPr>
        <w:t xml:space="preserve"> из нераспоређене добити третирају као приход са једнократним карактером и не представљају трајни извор прихода.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Приходи буџета по основу уплате добити јавних предузећа, како редовне, тако и из нераспоређене добити претходних година, у 2015. години износил</w:t>
      </w:r>
      <w:r>
        <w:rPr>
          <w:rFonts w:ascii="Times New Roman" w:eastAsia="Times New Roman" w:hAnsi="Times New Roman" w:cs="Times New Roman"/>
          <w:sz w:val="24"/>
        </w:rPr>
        <w:t xml:space="preserve">а су 1,1% укупних буџетских прихода. Буџетом за 2015. годину, одређено је да су републичка јавна предузећа дужна да уплате у буџет 50% од остварене добити у претходној години. Иста обавеза постоји и за друштва капитала за припадајући део добити држави као </w:t>
      </w:r>
      <w:r>
        <w:rPr>
          <w:rFonts w:ascii="Times New Roman" w:eastAsia="Times New Roman" w:hAnsi="Times New Roman" w:cs="Times New Roman"/>
          <w:sz w:val="24"/>
        </w:rPr>
        <w:t>једном од власника. Поред редовне добити Влада је захтевала исплату нераспоређене добити која потиче из периода пре 2013. године, до износа који не би угрозио редовно пословање јавних предузећа. По овом основу (добит јавних предузећа) у буџет је у 2015. го</w:t>
      </w:r>
      <w:r>
        <w:rPr>
          <w:rFonts w:ascii="Times New Roman" w:eastAsia="Times New Roman" w:hAnsi="Times New Roman" w:cs="Times New Roman"/>
          <w:sz w:val="24"/>
        </w:rPr>
        <w:t>дини уплаћено око 6,5 млрд динара.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22. Нето добит ЈП уплаћена у буџет, у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jc w:val="center"/>
        <w:tblCellMar>
          <w:left w:w="10" w:type="dxa"/>
          <w:right w:w="10" w:type="dxa"/>
        </w:tblCellMar>
        <w:tblLook w:val="0000"/>
      </w:tblPr>
      <w:tblGrid>
        <w:gridCol w:w="5670"/>
        <w:gridCol w:w="1440"/>
        <w:gridCol w:w="1321"/>
      </w:tblGrid>
      <w:tr w:rsidR="00BE17C7">
        <w:tblPrEx>
          <w:tblCellMar>
            <w:top w:w="0" w:type="dxa"/>
            <w:bottom w:w="0" w:type="dxa"/>
          </w:tblCellMar>
        </w:tblPrEx>
        <w:trPr>
          <w:trHeight w:val="143"/>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both"/>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2014</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2015</w:t>
            </w:r>
          </w:p>
        </w:tc>
      </w:tr>
      <w:tr w:rsidR="00BE17C7">
        <w:tblPrEx>
          <w:tblCellMar>
            <w:top w:w="0" w:type="dxa"/>
            <w:bottom w:w="0" w:type="dxa"/>
          </w:tblCellMar>
        </w:tblPrEx>
        <w:trPr>
          <w:trHeight w:val="180"/>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Уплата текуће добити</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w:t>
            </w:r>
          </w:p>
        </w:tc>
      </w:tr>
      <w:tr w:rsidR="00BE17C7">
        <w:tblPrEx>
          <w:tblCellMar>
            <w:top w:w="0" w:type="dxa"/>
            <w:bottom w:w="0" w:type="dxa"/>
          </w:tblCellMar>
        </w:tblPrEx>
        <w:trPr>
          <w:trHeight w:val="180"/>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Уплата нераспоређене добити</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w:t>
            </w:r>
          </w:p>
        </w:tc>
      </w:tr>
      <w:tr w:rsidR="00BE17C7">
        <w:tblPrEx>
          <w:tblCellMar>
            <w:top w:w="0" w:type="dxa"/>
            <w:bottom w:w="0" w:type="dxa"/>
          </w:tblCellMar>
        </w:tblPrEx>
        <w:trPr>
          <w:trHeight w:val="180"/>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10,6</w:t>
            </w:r>
          </w:p>
        </w:tc>
      </w:tr>
      <w:tr w:rsidR="00BE17C7">
        <w:tblPrEx>
          <w:tblCellMar>
            <w:top w:w="0" w:type="dxa"/>
            <w:bottom w:w="0" w:type="dxa"/>
          </w:tblCellMar>
        </w:tblPrEx>
        <w:trPr>
          <w:trHeight w:val="180"/>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од укупних прихода буџета</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r>
      <w:tr w:rsidR="00BE17C7">
        <w:tblPrEx>
          <w:tblCellMar>
            <w:top w:w="0" w:type="dxa"/>
            <w:bottom w:w="0" w:type="dxa"/>
          </w:tblCellMar>
        </w:tblPrEx>
        <w:trPr>
          <w:trHeight w:val="180"/>
          <w:jc w:val="center"/>
        </w:trPr>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од БДП</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Обавеза за јавна предузећа да уплате најмање 50% добити остварене у претходној години прописана је и Законом о буџету Републике Србије за 2016. годину. Само по овом основу планирана је уплата у буџет у 2016. години у износу од око 5 млрд динара. Првобитни </w:t>
      </w:r>
      <w:r>
        <w:rPr>
          <w:rFonts w:ascii="Times New Roman" w:eastAsia="Times New Roman" w:hAnsi="Times New Roman" w:cs="Times New Roman"/>
          <w:sz w:val="24"/>
        </w:rPr>
        <w:t>план је премашен и у буџет је закључно са септембром уплаћено 5,5 млрд динара.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Ублажавање потенцијалних ризика, који настају као последица пословања јавних предузећа, обухвата низ мера везаних за одговорност, профитабилност и транспарентност у пословању ов</w:t>
      </w:r>
      <w:r>
        <w:rPr>
          <w:rFonts w:ascii="Times New Roman" w:eastAsia="Times New Roman" w:hAnsi="Times New Roman" w:cs="Times New Roman"/>
          <w:sz w:val="24"/>
        </w:rPr>
        <w:t>их предузећа. Наиме, почетком 2016. године је усвојен нови Закон о јавним предузећима који ће ојачати структуру управљања и одговорности јавних предузећа. Процеси реструктурирања покренути су у ЈП ЕПС, ЈП „Србијагасˮ и „Железнице Србије” а.д, при чему ће о</w:t>
      </w:r>
      <w:r>
        <w:rPr>
          <w:rFonts w:ascii="Times New Roman" w:eastAsia="Times New Roman" w:hAnsi="Times New Roman" w:cs="Times New Roman"/>
          <w:sz w:val="24"/>
        </w:rPr>
        <w:t>д успешности самог процеса реструктурирања и брзине спровођења усвојених мера зависити ефикасност пословања у будућности.</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Банкарски систем и осигурање депозита</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Осигурање депозита је механизам очувања финансијске стабилности и заштите депонената. Систем осигурања депозита обезбеђује да се сваком заштићеном депоненту исплати целокупан износ улога у свакој банци до осигураног износа од 50.000 евра у случају стечаја </w:t>
      </w:r>
      <w:r>
        <w:rPr>
          <w:rFonts w:ascii="Times New Roman" w:eastAsia="Times New Roman" w:hAnsi="Times New Roman" w:cs="Times New Roman"/>
          <w:sz w:val="24"/>
        </w:rPr>
        <w:t xml:space="preserve">или ликвидације банке. Осигурање депозита регулисано је Законом о осигурању депозита.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систему осигурања депозита Република Србија је ултимативни гарант исплате осигураних депозита. У сврху обезбеђивања средстава за осигурање депозита Агенција наплаћује </w:t>
      </w:r>
      <w:r>
        <w:rPr>
          <w:rFonts w:ascii="Times New Roman" w:eastAsia="Times New Roman" w:hAnsi="Times New Roman" w:cs="Times New Roman"/>
          <w:sz w:val="24"/>
        </w:rPr>
        <w:t>премију осигурања депозита од банака за рачун Фонда за осигурање депозита, управља имовином фонда и исплаћује депозите до осигуране суме у случају стечаја или ликвидације банке. У случају недостајућих средстава у фонду за осигурање депозита, Република Срби</w:t>
      </w:r>
      <w:r>
        <w:rPr>
          <w:rFonts w:ascii="Times New Roman" w:eastAsia="Times New Roman" w:hAnsi="Times New Roman" w:cs="Times New Roman"/>
          <w:sz w:val="24"/>
        </w:rPr>
        <w:t xml:space="preserve">ја обезбеђује исплату било средствима из буџета, било давањем гаранције за задуживање Агенције за осигурање депозита.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Гаранција исплате осигураних депозита од стране државе, било директно средствима из буџета, или индиректно издавањем гаранција за задужив</w:t>
      </w:r>
      <w:r>
        <w:rPr>
          <w:rFonts w:ascii="Times New Roman" w:eastAsia="Times New Roman" w:hAnsi="Times New Roman" w:cs="Times New Roman"/>
          <w:sz w:val="24"/>
        </w:rPr>
        <w:t xml:space="preserve">ање Агенције за осигурање депозита, извор је фискалних ризика и могућих фискалних трошкова. У 2014. години управо је дошло до остварења оваквог фискалног ризика када је држава обезбедила недостајућа средства за исплату осигураних депозита Универзал банке.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Умањење фискалних ризика по овом основу зависи од стабилности и одрживости банкарског система. Надзор над банкарским системом, обазривост у пласирању средстава и унапређење квалитета имовине банака су основни стубови стабилног банкарског система.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Реформа</w:t>
      </w:r>
      <w:r>
        <w:rPr>
          <w:rFonts w:ascii="Times New Roman" w:eastAsia="Times New Roman" w:hAnsi="Times New Roman" w:cs="Times New Roman"/>
          <w:sz w:val="24"/>
        </w:rPr>
        <w:t xml:space="preserve"> прописа који уређују српски финансијски систем, спроведена фебруара 2015. године. Једна од карактеристика те реформе јесте и пренос надлежности праћења резултата пословања и рада органа управљања у банкама, друштвима за осигурање и другим финансијским инс</w:t>
      </w:r>
      <w:r>
        <w:rPr>
          <w:rFonts w:ascii="Times New Roman" w:eastAsia="Times New Roman" w:hAnsi="Times New Roman" w:cs="Times New Roman"/>
          <w:sz w:val="24"/>
        </w:rPr>
        <w:t>титуцијама чији је акционар Републике Србије, као и организовање и спровођење поступка продаје акција у њима, са Агенције за осигурање депозита на Министарство финансија, почев од 1. априла 2015. године. Такође, реформом прописа је у домаћу регулативу тран</w:t>
      </w:r>
      <w:r>
        <w:rPr>
          <w:rFonts w:ascii="Times New Roman" w:eastAsia="Times New Roman" w:hAnsi="Times New Roman" w:cs="Times New Roman"/>
          <w:sz w:val="24"/>
        </w:rPr>
        <w:t>спонована и Директива о реструктурирању банака (</w:t>
      </w:r>
      <w:r>
        <w:rPr>
          <w:rFonts w:ascii="Times New Roman" w:eastAsia="Times New Roman" w:hAnsi="Times New Roman" w:cs="Times New Roman"/>
          <w:i/>
          <w:sz w:val="24"/>
        </w:rPr>
        <w:t>Bank Recovery and Resolution Directive</w:t>
      </w:r>
      <w:r>
        <w:rPr>
          <w:rFonts w:ascii="Times New Roman" w:eastAsia="Times New Roman" w:hAnsi="Times New Roman" w:cs="Times New Roman"/>
          <w:sz w:val="24"/>
        </w:rPr>
        <w:t xml:space="preserve"> – BRRD) и функција реструктурирања банака поверена је НБС.</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Остварени резултати банкарског сектора Србије на крају четвртог тромесечја 2015. године указују на тренд умереног опоравка профитабилности банака. На крају 2015. године на нивоу банкарског сектора Србије је остварен позитиван нето финансијски резултат пре </w:t>
      </w:r>
      <w:r>
        <w:rPr>
          <w:rFonts w:ascii="Times New Roman" w:eastAsia="Times New Roman" w:hAnsi="Times New Roman" w:cs="Times New Roman"/>
          <w:sz w:val="24"/>
        </w:rPr>
        <w:t>опорезивања у износу од 9,7 млрд динара, што је за 6,2 млрд динара више од износа нето добитка пре опорезивања оствареног у претходној години.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Банкарски сектор у Србији је адекватно капитализован, како са становишта оствареног нивоа показатеља адекватности</w:t>
      </w:r>
      <w:r>
        <w:rPr>
          <w:rFonts w:ascii="Times New Roman" w:eastAsia="Times New Roman" w:hAnsi="Times New Roman" w:cs="Times New Roman"/>
          <w:sz w:val="24"/>
        </w:rPr>
        <w:t xml:space="preserve"> капитала, тако и са становништва структуре регулаторног капитала. На крају четвртог тромесечја 2015. године показатељ адекватности капитала за банкарски сектор Србије износи 20,89%, што је далеко изнад регулаторног минимума (12%), као и минимума по Базелс</w:t>
      </w:r>
      <w:r>
        <w:rPr>
          <w:rFonts w:ascii="Times New Roman" w:eastAsia="Times New Roman" w:hAnsi="Times New Roman" w:cs="Times New Roman"/>
          <w:sz w:val="24"/>
        </w:rPr>
        <w:t>ким стандардима (8%).</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Остварени резултати банкарског сектора Србије на крају другог тромесечја 2016. године указују на наставак тренда побољшања профитабилности банака. На дан 30. јун 2016. године на нивоу банкарског сектора Србије је остварен позитиван не</w:t>
      </w:r>
      <w:r>
        <w:rPr>
          <w:rFonts w:ascii="Times New Roman" w:eastAsia="Times New Roman" w:hAnsi="Times New Roman" w:cs="Times New Roman"/>
          <w:sz w:val="24"/>
        </w:rPr>
        <w:t xml:space="preserve">то финансијски </w:t>
      </w:r>
      <w:r>
        <w:rPr>
          <w:rFonts w:ascii="Times New Roman" w:eastAsia="Times New Roman" w:hAnsi="Times New Roman" w:cs="Times New Roman"/>
          <w:sz w:val="24"/>
        </w:rPr>
        <w:lastRenderedPageBreak/>
        <w:t>резултат пре опорезивања у износу од 20,4 млрд динара, што је за 3,5 млрд динара више од износа нето добитка пре опорезивања оствареног у истом периоду претходне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Један од ограничавајућих фактора раста кредитне активности представља и</w:t>
      </w:r>
      <w:r>
        <w:rPr>
          <w:rFonts w:ascii="Times New Roman" w:eastAsia="Times New Roman" w:hAnsi="Times New Roman" w:cs="Times New Roman"/>
          <w:sz w:val="24"/>
        </w:rPr>
        <w:t xml:space="preserve"> релативно висок ниво проблематичних кредита. У августу 2015. године усвојена је Стратегија за решавање проблематичних кредита која се спроводи имплементацијом два акциона плана један припремљен од стране Владе и један припремљен од стране НБС, у циљу спуш</w:t>
      </w:r>
      <w:r>
        <w:rPr>
          <w:rFonts w:ascii="Times New Roman" w:eastAsia="Times New Roman" w:hAnsi="Times New Roman" w:cs="Times New Roman"/>
          <w:sz w:val="24"/>
        </w:rPr>
        <w:t>тања нивоа проблематичних кредита. Кључне области имплементације подразумевају јачање капацитета банака за решавање проблематичних кредита, унапређење регулативе за процену вредности средстава обезбеђења, развој тржишта проблематичних кредита и др.</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Имплеме</w:t>
      </w:r>
      <w:r>
        <w:rPr>
          <w:rFonts w:ascii="Times New Roman" w:eastAsia="Times New Roman" w:hAnsi="Times New Roman" w:cs="Times New Roman"/>
          <w:sz w:val="24"/>
        </w:rPr>
        <w:t>нтација мера за решавање питања проблематичних кредита даје резултате. Укупни бруто проблематични кредити банкарског сектора су током другог тромесечја 2016. године смањени за 2,2 млрд динaра и на крају јуна износе 404,3 млрд динaра. Смањење бруто по основ</w:t>
      </w:r>
      <w:r>
        <w:rPr>
          <w:rFonts w:ascii="Times New Roman" w:eastAsia="Times New Roman" w:hAnsi="Times New Roman" w:cs="Times New Roman"/>
          <w:sz w:val="24"/>
        </w:rPr>
        <w:t>у наплате износило је 19,0 млрд динара а по основу уступања 5,1 млрд динара. Имплементација мера из Стратегије за решавање проблематичних кредита значајно је утицала на измену профила трансакција уступања проблематичних кредита. Релативно је повећан обим у</w:t>
      </w:r>
      <w:r>
        <w:rPr>
          <w:rFonts w:ascii="Times New Roman" w:eastAsia="Times New Roman" w:hAnsi="Times New Roman" w:cs="Times New Roman"/>
          <w:sz w:val="24"/>
        </w:rPr>
        <w:t xml:space="preserve">ступања проблематичних кредита и приметно је промењена структура лица којима се ти кредити уступају (измештање из банкарског сектора).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Смањење ризика и фискалних трошкова повезаних са шемом осигурања депозита подразумева потпуно усаглашавање са европским </w:t>
      </w:r>
      <w:r>
        <w:rPr>
          <w:rFonts w:ascii="Times New Roman" w:eastAsia="Times New Roman" w:hAnsi="Times New Roman" w:cs="Times New Roman"/>
          <w:sz w:val="24"/>
        </w:rPr>
        <w:t xml:space="preserve">стандардима у овој области.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Остали фискални ризици</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Поред наведених фискалних ризика постоје и друге околности које уколико се реализују могу довести до фискалних трошкова. За поједине ризике не постоје систематизовани подаци, али имајући у виду да су се</w:t>
      </w:r>
      <w:r>
        <w:rPr>
          <w:rFonts w:ascii="Times New Roman" w:eastAsia="Times New Roman" w:hAnsi="Times New Roman" w:cs="Times New Roman"/>
          <w:sz w:val="24"/>
        </w:rPr>
        <w:t xml:space="preserve"> поједини остварили у ближој прошлости може се сагледати величина њиховог утицаја на јавне финансије. Само њихово идентификовање помаже сагледавању могућих утицаја на фискалну позицију земље у наредном периоду.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Постоје значајни фискални ризици по основу с</w:t>
      </w:r>
      <w:r>
        <w:rPr>
          <w:rFonts w:ascii="Times New Roman" w:eastAsia="Times New Roman" w:hAnsi="Times New Roman" w:cs="Times New Roman"/>
          <w:sz w:val="24"/>
        </w:rPr>
        <w:t xml:space="preserve">удских одлука, домаћих и међународних судова, казни, накнади штете од стране државних органа. Република Србија је по основу судских одлука у периоду 2009–2015. године из буџета платила 47 млрд динара. Дуг војним пензионерима који је преузет у 2015. години </w:t>
      </w:r>
      <w:r>
        <w:rPr>
          <w:rFonts w:ascii="Times New Roman" w:eastAsia="Times New Roman" w:hAnsi="Times New Roman" w:cs="Times New Roman"/>
          <w:sz w:val="24"/>
        </w:rPr>
        <w:t xml:space="preserve">у износу од 10 млрд динара, иако по судској одлуци није евидентиран на овим рачунима, рачуноводствено је третиран као отплата дуга, док је у извештајима о фискалним агрегатима опште државе распоређен као расход за социјалну заштиту (пензије). Независно од </w:t>
      </w:r>
      <w:r>
        <w:rPr>
          <w:rFonts w:ascii="Times New Roman" w:eastAsia="Times New Roman" w:hAnsi="Times New Roman" w:cs="Times New Roman"/>
          <w:sz w:val="24"/>
        </w:rPr>
        <w:t>начина евидентирања овај расход представља реализован фискални ризик по основу судских пресуда. Потенцијалне обавезе могу проистећи и из пресуда међународног суда у Стразбуру по основу тужби радника некадашњих друштвених предузећа (за неисплаћене плате и д</w:t>
      </w:r>
      <w:r>
        <w:rPr>
          <w:rFonts w:ascii="Times New Roman" w:eastAsia="Times New Roman" w:hAnsi="Times New Roman" w:cs="Times New Roman"/>
          <w:sz w:val="24"/>
        </w:rPr>
        <w:t xml:space="preserve">оприносе), за исплату старе девизне штедње грађанима Босне и Херцеговине и др.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Стално присутан ризик од елементарних непогода и природних катастрофа обавезује улагање у програме превенције како би се умањили потенцијални фискални трошкови за отклањање ште</w:t>
      </w:r>
      <w:r>
        <w:rPr>
          <w:rFonts w:ascii="Times New Roman" w:eastAsia="Times New Roman" w:hAnsi="Times New Roman" w:cs="Times New Roman"/>
          <w:sz w:val="24"/>
        </w:rPr>
        <w:t>те настале по том основу. Србија се у 2014. години суочила са катастрофалним последицама поплава. Укупна штета (са губицима) процењена је на више од 1,7 млрд евра. У складу са Законом о отклањању последица поплава у Републици Србији средства за обнову обез</w:t>
      </w:r>
      <w:r>
        <w:rPr>
          <w:rFonts w:ascii="Times New Roman" w:eastAsia="Times New Roman" w:hAnsi="Times New Roman" w:cs="Times New Roman"/>
          <w:sz w:val="24"/>
        </w:rPr>
        <w:t xml:space="preserve">беђивала су се из буџетских извора, на свим нивоима </w:t>
      </w:r>
      <w:r>
        <w:rPr>
          <w:rFonts w:ascii="Times New Roman" w:eastAsia="Times New Roman" w:hAnsi="Times New Roman" w:cs="Times New Roman"/>
          <w:sz w:val="24"/>
        </w:rPr>
        <w:lastRenderedPageBreak/>
        <w:t>власти, донација, прилога и поклона, задуживањем, финансијском помоћи ЕУ и др. За обнову су обезбеђена бесповратна средства у износу од 220,7 мил. евра и око 300 мил. америчких долара средстава из кредита</w:t>
      </w:r>
      <w:r>
        <w:rPr>
          <w:rFonts w:ascii="Times New Roman" w:eastAsia="Times New Roman" w:hAnsi="Times New Roman" w:cs="Times New Roman"/>
          <w:sz w:val="24"/>
        </w:rPr>
        <w:t xml:space="preserve"> Светске банке. Имајући у виду стално присутне ризике од елементарних непогода, смањење фискалних ризика који могу настати по овом основу подразумева улагање у превентивне програме. Влада је у децембру 2014. године усвојила Национални програм за управљање </w:t>
      </w:r>
      <w:r>
        <w:rPr>
          <w:rFonts w:ascii="Times New Roman" w:eastAsia="Times New Roman" w:hAnsi="Times New Roman" w:cs="Times New Roman"/>
          <w:sz w:val="24"/>
        </w:rPr>
        <w:t xml:space="preserve">ризицима од елементарних непогода, који ће бити реализован у сарадњи са Светском банком, УН и ЕУ. За реализацију програма превенције обезбеђено је, до сада, 70 мил. евра.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8"/>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Циклично прилагођени фискални биланс</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Циклично прилагођени фискални биланс је фискални биланс из кога је искључен изоловани утицај привредног циклуса, а идентитет од кога се полази је следећи:</w:t>
      </w: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B = CB + CAB</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Део фискалног биланса (B) који се аутоматски прилагођава цикличним флуктуацијама назива </w:t>
      </w:r>
      <w:r>
        <w:rPr>
          <w:rFonts w:ascii="Times New Roman" w:eastAsia="Times New Roman" w:hAnsi="Times New Roman" w:cs="Times New Roman"/>
          <w:sz w:val="24"/>
        </w:rPr>
        <w:t>се циклично прилагођени фискални биланс (CAB), а циљ ове процедуре је изоловање цикличне компоненте фискалног биланса (CB) која је резултат дејства производног јаза. Стварни фискални биланс биће једнак циклично прилагођеном у случају да је производни јаз ј</w:t>
      </w:r>
      <w:r>
        <w:rPr>
          <w:rFonts w:ascii="Times New Roman" w:eastAsia="Times New Roman" w:hAnsi="Times New Roman" w:cs="Times New Roman"/>
          <w:sz w:val="24"/>
        </w:rPr>
        <w:t>еднак нули, тј. ако је стопа раста реалног БДП једнака потенцијалној.</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 оцењивање циклично прилагођеног дефицита коришћен је приступ ОЕЦД и то дезагрегирани приступ, што подразумева оцењивање еластичности појединачних категорија циклично осетљивих прихода</w:t>
      </w:r>
      <w:r>
        <w:rPr>
          <w:rFonts w:ascii="Times New Roman" w:eastAsia="Times New Roman" w:hAnsi="Times New Roman" w:cs="Times New Roman"/>
          <w:sz w:val="24"/>
        </w:rPr>
        <w:t xml:space="preserve"> и расхода. У анализу је укључена и оцена структурног примарног биланса, добијена корекцијом циклично прилагођеног примарног биланса за приходе и расходе који су оцењени као једнократни и неструктурни. Добијени резултати и њихово тумачење у великој мери за</w:t>
      </w:r>
      <w:r>
        <w:rPr>
          <w:rFonts w:ascii="Times New Roman" w:eastAsia="Times New Roman" w:hAnsi="Times New Roman" w:cs="Times New Roman"/>
          <w:sz w:val="24"/>
        </w:rPr>
        <w:t>висе од дужине коришћене серије у економетријској оцени еластичности, поузданости статистичких података, постојања структурних ломова у серији, промена методологије и обухвата. У пракси се користе разноврсни алати за оцену производног јаза, теоријски метод</w:t>
      </w:r>
      <w:r>
        <w:rPr>
          <w:rFonts w:ascii="Times New Roman" w:eastAsia="Times New Roman" w:hAnsi="Times New Roman" w:cs="Times New Roman"/>
          <w:sz w:val="24"/>
        </w:rPr>
        <w:t>и (</w:t>
      </w:r>
      <w:r>
        <w:rPr>
          <w:rFonts w:ascii="Times New Roman" w:eastAsia="Times New Roman" w:hAnsi="Times New Roman" w:cs="Times New Roman"/>
          <w:i/>
          <w:sz w:val="24"/>
        </w:rPr>
        <w:t>Cobb-Douglas</w:t>
      </w:r>
      <w:r>
        <w:rPr>
          <w:rFonts w:ascii="Times New Roman" w:eastAsia="Times New Roman" w:hAnsi="Times New Roman" w:cs="Times New Roman"/>
          <w:sz w:val="24"/>
        </w:rPr>
        <w:t xml:space="preserve"> производна функција) и различити економетријски филтери (</w:t>
      </w:r>
      <w:r>
        <w:rPr>
          <w:rFonts w:ascii="Times New Roman" w:eastAsia="Times New Roman" w:hAnsi="Times New Roman" w:cs="Times New Roman"/>
          <w:i/>
          <w:sz w:val="24"/>
        </w:rPr>
        <w:t>Hodrick-Prescott, Band-Pass, Кalman</w:t>
      </w:r>
      <w:r>
        <w:rPr>
          <w:rFonts w:ascii="Times New Roman" w:eastAsia="Times New Roman" w:hAnsi="Times New Roman" w:cs="Times New Roman"/>
          <w:sz w:val="24"/>
        </w:rPr>
        <w:t xml:space="preserve"> итд.). Избор одређеног метода зависи од доступности, квалитета и дужине серије података итд. Сваки од наведених метода може да произведе у мањој ил</w:t>
      </w:r>
      <w:r>
        <w:rPr>
          <w:rFonts w:ascii="Times New Roman" w:eastAsia="Times New Roman" w:hAnsi="Times New Roman" w:cs="Times New Roman"/>
          <w:sz w:val="24"/>
        </w:rPr>
        <w:t>и већој мери другачије резултате, како у погледу величине, временске динамике тако и самог предзнака производног јаза. У сваком случају производни јаз није величина која се може објективно израчунати, већ само оценити, при чему је за правилну анализу поред</w:t>
      </w:r>
      <w:r>
        <w:rPr>
          <w:rFonts w:ascii="Times New Roman" w:eastAsia="Times New Roman" w:hAnsi="Times New Roman" w:cs="Times New Roman"/>
          <w:sz w:val="24"/>
        </w:rPr>
        <w:t xml:space="preserve"> наведених метода, потребно искористити постулате економске теорије и расположиве информације о економским кретањима. Оцена цикличног фискалног резултата је стога под великим утицајем избора метода и начина за оцену производног јаза. И поред тога, циклично</w:t>
      </w:r>
      <w:r>
        <w:rPr>
          <w:rFonts w:ascii="Times New Roman" w:eastAsia="Times New Roman" w:hAnsi="Times New Roman" w:cs="Times New Roman"/>
          <w:sz w:val="24"/>
        </w:rPr>
        <w:t xml:space="preserve"> прилагођени фискални биланс је незаменљив алат у економској анализи и оцени трајне фискалне позиције земље. За потребе ове анализе коришћен је производни јаз добијен употребом </w:t>
      </w:r>
      <w:r>
        <w:rPr>
          <w:rFonts w:ascii="Times New Roman" w:eastAsia="Times New Roman" w:hAnsi="Times New Roman" w:cs="Times New Roman"/>
          <w:i/>
          <w:sz w:val="24"/>
        </w:rPr>
        <w:t>Hodrick-Prescott</w:t>
      </w:r>
      <w:r>
        <w:rPr>
          <w:rFonts w:ascii="Times New Roman" w:eastAsia="Times New Roman" w:hAnsi="Times New Roman" w:cs="Times New Roman"/>
          <w:sz w:val="24"/>
        </w:rPr>
        <w:t xml:space="preserve"> филтера.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Циклично прилагођени односно структурни фискални резу</w:t>
      </w:r>
      <w:r>
        <w:rPr>
          <w:rFonts w:ascii="Times New Roman" w:eastAsia="Times New Roman" w:hAnsi="Times New Roman" w:cs="Times New Roman"/>
          <w:sz w:val="24"/>
        </w:rPr>
        <w:t xml:space="preserve">лтат је најбоља мера оцене укупне фискалне позиције земље. Утицај циклуса на фискална кретања није у потпуности могуће искључити, а као што је речено свака од примењиваних метода за оцену производног јаза даје нешто другачије резултате. Ипак, једино се на </w:t>
      </w:r>
      <w:r>
        <w:rPr>
          <w:rFonts w:ascii="Times New Roman" w:eastAsia="Times New Roman" w:hAnsi="Times New Roman" w:cs="Times New Roman"/>
          <w:sz w:val="24"/>
        </w:rPr>
        <w:t xml:space="preserve">овај начин може сагледати како порески систем и политика расхода трајно утичу на фискалну </w:t>
      </w:r>
      <w:r>
        <w:rPr>
          <w:rFonts w:ascii="Times New Roman" w:eastAsia="Times New Roman" w:hAnsi="Times New Roman" w:cs="Times New Roman"/>
          <w:sz w:val="24"/>
        </w:rPr>
        <w:lastRenderedPageBreak/>
        <w:t>позицију земље. Анализа циклуса пружа могућност објективног сагледавања тренутне фискалне позиције земље, и омогућава носиоцима економске политике правовремену реакци</w:t>
      </w:r>
      <w:r>
        <w:rPr>
          <w:rFonts w:ascii="Times New Roman" w:eastAsia="Times New Roman" w:hAnsi="Times New Roman" w:cs="Times New Roman"/>
          <w:sz w:val="24"/>
        </w:rPr>
        <w:t xml:space="preserve">ју.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Примарни фискални биланс искључује расходе за камате као облик непродуктивног расхода без дејства на кретања у реалном сектору, а кретање циклично прилагођеног примарног биланса користи се за оцену карактера фискалне политике. Величина расхода за кама</w:t>
      </w:r>
      <w:r>
        <w:rPr>
          <w:rFonts w:ascii="Times New Roman" w:eastAsia="Times New Roman" w:hAnsi="Times New Roman" w:cs="Times New Roman"/>
          <w:sz w:val="24"/>
        </w:rPr>
        <w:t>те у пракси често има контрациклично дејство услед ефекта истискивања приватног сектора са тржишта капитала. Фискални импулс добијен је као разлика између циклично прилагођеног примарног биланса у текућој и претходној години. При томе, позитиван предзнак о</w:t>
      </w:r>
      <w:r>
        <w:rPr>
          <w:rFonts w:ascii="Times New Roman" w:eastAsia="Times New Roman" w:hAnsi="Times New Roman" w:cs="Times New Roman"/>
          <w:sz w:val="24"/>
        </w:rPr>
        <w:t>значава експанзиван, а негативан предзнак рестриктиван карактер фискалне политике. На графикону Карактер и ефекти фискалне политике у периоду 2006–2019. године могу се уочити периоди експанзивне и рестриктивне фискалне политике, као и величина самог импулс</w:t>
      </w:r>
      <w:r>
        <w:rPr>
          <w:rFonts w:ascii="Times New Roman" w:eastAsia="Times New Roman" w:hAnsi="Times New Roman" w:cs="Times New Roman"/>
          <w:sz w:val="24"/>
        </w:rPr>
        <w:t>а. Фискални импулс представља релативну промену биланса, и има за циљ да анализира дејство фискалне политике на кретање производног јаза и оцену фискалних мултипликатора.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Табела 23. Фискални биланс и компоненте за обрачун циклично прилагођеног биланса </w:t>
      </w:r>
      <w:r>
        <w:rPr>
          <w:rFonts w:ascii="Times New Roman" w:eastAsia="Times New Roman" w:hAnsi="Times New Roman" w:cs="Times New Roman"/>
          <w:sz w:val="24"/>
        </w:rPr>
        <w:t>у периоду 2005–2019. године, % БДП*</w:t>
      </w:r>
    </w:p>
    <w:tbl>
      <w:tblPr>
        <w:tblW w:w="0" w:type="auto"/>
        <w:tblInd w:w="-5" w:type="dxa"/>
        <w:tblCellMar>
          <w:left w:w="10" w:type="dxa"/>
          <w:right w:w="10" w:type="dxa"/>
        </w:tblCellMar>
        <w:tblLook w:val="0000"/>
      </w:tblPr>
      <w:tblGrid>
        <w:gridCol w:w="559"/>
        <w:gridCol w:w="1148"/>
        <w:gridCol w:w="965"/>
        <w:gridCol w:w="989"/>
        <w:gridCol w:w="1232"/>
        <w:gridCol w:w="1208"/>
        <w:gridCol w:w="1206"/>
        <w:gridCol w:w="1117"/>
        <w:gridCol w:w="951"/>
      </w:tblGrid>
      <w:tr w:rsidR="00BE17C7">
        <w:tblPrEx>
          <w:tblCellMar>
            <w:top w:w="0" w:type="dxa"/>
            <w:bottom w:w="0" w:type="dxa"/>
          </w:tblCellMar>
        </w:tblPrEx>
        <w:trPr>
          <w:trHeight w:val="111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rPr>
                <w:rFonts w:ascii="Calibri" w:eastAsia="Calibri" w:hAnsi="Calibri" w:cs="Calibri"/>
              </w:rPr>
            </w:pP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Производни јаз</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Фискални </w:t>
            </w:r>
            <w:r>
              <w:rPr>
                <w:rFonts w:ascii="Times New Roman" w:eastAsia="Times New Roman" w:hAnsi="Times New Roman" w:cs="Times New Roman"/>
                <w:sz w:val="20"/>
              </w:rPr>
              <w:br/>
              <w:t>биланс</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Примарни фискални биланс</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Циклична компонентна</w:t>
            </w:r>
            <w:r>
              <w:rPr>
                <w:rFonts w:ascii="Times New Roman" w:eastAsia="Times New Roman" w:hAnsi="Times New Roman" w:cs="Times New Roman"/>
                <w:sz w:val="20"/>
              </w:rPr>
              <w:br/>
              <w:t>фискалног</w:t>
            </w:r>
            <w:r>
              <w:rPr>
                <w:rFonts w:ascii="Times New Roman" w:eastAsia="Times New Roman" w:hAnsi="Times New Roman" w:cs="Times New Roman"/>
                <w:sz w:val="20"/>
              </w:rPr>
              <w:br/>
              <w:t>биланса</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Циклично </w:t>
            </w:r>
            <w:r>
              <w:rPr>
                <w:rFonts w:ascii="Times New Roman" w:eastAsia="Times New Roman" w:hAnsi="Times New Roman" w:cs="Times New Roman"/>
                <w:sz w:val="20"/>
              </w:rPr>
              <w:br/>
              <w:t>прилагођени фискални биланс</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 xml:space="preserve">Циклично </w:t>
            </w:r>
            <w:r>
              <w:rPr>
                <w:rFonts w:ascii="Times New Roman" w:eastAsia="Times New Roman" w:hAnsi="Times New Roman" w:cs="Times New Roman"/>
                <w:sz w:val="20"/>
              </w:rPr>
              <w:br/>
              <w:t>прилагођени примарни фискални биланс</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Структурни примарни фискални биланс**</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Карактер фискалне политике - фискални импулс</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2005</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tabs>
                <w:tab w:val="left" w:pos="700"/>
              </w:tabs>
              <w:spacing w:after="0" w:line="240" w:lineRule="auto"/>
              <w:jc w:val="right"/>
            </w:pPr>
            <w:r>
              <w:rPr>
                <w:rFonts w:ascii="Times New Roman" w:eastAsia="Times New Roman" w:hAnsi="Times New Roman" w:cs="Times New Roman"/>
              </w:rPr>
              <w:t>0,2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2006</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2007</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2008</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2009</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2010</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2011</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-4,8</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2012</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-5,0</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2013</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2014</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2015</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2016</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-1,9</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2017</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2018</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74"/>
        </w:trPr>
        <w:tc>
          <w:tcPr>
            <w:tcW w:w="6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2019</w:t>
            </w:r>
          </w:p>
        </w:tc>
        <w:tc>
          <w:tcPr>
            <w:tcW w:w="121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105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128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128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17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w:t>
            </w:r>
          </w:p>
        </w:tc>
        <w:tc>
          <w:tcPr>
            <w:tcW w:w="103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За период од 2016 - 2019. године приказане су пројектоване вредности.</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 </w:t>
      </w:r>
      <w:r>
        <w:rPr>
          <w:rFonts w:ascii="Times New Roman" w:eastAsia="Times New Roman" w:hAnsi="Times New Roman" w:cs="Times New Roman"/>
          <w:sz w:val="18"/>
        </w:rPr>
        <w:t>Структурни примарни биланс добијен искључивањем процењених једнократних прихода и расхода. Резултати који приказују промену структурног примарног дефицита не искључују експлицитно ефекте повећања ефикасности наплате прихода, па оцена структурног прилагођав</w:t>
      </w:r>
      <w:r>
        <w:rPr>
          <w:rFonts w:ascii="Times New Roman" w:eastAsia="Times New Roman" w:hAnsi="Times New Roman" w:cs="Times New Roman"/>
          <w:sz w:val="18"/>
        </w:rPr>
        <w:t>ања у 2015. и 2016. години се делимично разликује од претходно приказаних ефеката.</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Позитиван ефекат привредног циклуса видљив је у 2007, 2008. и 2013. години, где је присутан позитиван производни јаз. Дејство циклуса је такво да доводи до фискалног резултата који је бољи него што би био да је привреда била на путањи потенцијалног раста. </w:t>
      </w:r>
      <w:r>
        <w:rPr>
          <w:rFonts w:ascii="Times New Roman" w:eastAsia="Times New Roman" w:hAnsi="Times New Roman" w:cs="Times New Roman"/>
          <w:sz w:val="24"/>
        </w:rPr>
        <w:t>Обрнуто, у периоду најизраженије кризе од 2009. до 2012. године утицај циклуса је негативан, производни јаз бележи негативне вредности, а стварни фискални биланс је виши него циклично прилагођени. У 2014. и 2015. години, производни јаз достиже релативно ви</w:t>
      </w:r>
      <w:r>
        <w:rPr>
          <w:rFonts w:ascii="Times New Roman" w:eastAsia="Times New Roman" w:hAnsi="Times New Roman" w:cs="Times New Roman"/>
          <w:sz w:val="24"/>
        </w:rPr>
        <w:t xml:space="preserve">соке негативне вредности који се након тога смањују, а након 2017. године производни јаз се затвара.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Циклично прилагођен примарни дефицит се смањује од 2012. године. У 2015. години фискални биланс достиже најнижу вредност у последњих неколико година и кон</w:t>
      </w:r>
      <w:r>
        <w:rPr>
          <w:rFonts w:ascii="Times New Roman" w:eastAsia="Times New Roman" w:hAnsi="Times New Roman" w:cs="Times New Roman"/>
          <w:sz w:val="24"/>
        </w:rPr>
        <w:t>ачно у 2016. години оствариће се примарни суфицит. Структурне промене у пореском и у систему расхода током 2012. и 2013. године су почеле да дају резултате и процес фискалне консолидације је тада ефективно почео. Мере фискалне консолидације донете током 20</w:t>
      </w:r>
      <w:r>
        <w:rPr>
          <w:rFonts w:ascii="Times New Roman" w:eastAsia="Times New Roman" w:hAnsi="Times New Roman" w:cs="Times New Roman"/>
          <w:sz w:val="24"/>
        </w:rPr>
        <w:t>15. значајно су поправиле фискалну позицију земље. Када се у анализу укључи структурни примарни биланс могу се изоловати, пре свега, једнократни ефекти на страни расхода иако у појединим годинама нису безначајни ни једнократни ефекти на приходној страни. С</w:t>
      </w:r>
      <w:r>
        <w:rPr>
          <w:rFonts w:ascii="Times New Roman" w:eastAsia="Times New Roman" w:hAnsi="Times New Roman" w:cs="Times New Roman"/>
          <w:sz w:val="24"/>
        </w:rPr>
        <w:t xml:space="preserve">труктурни примарни биланс оцењен на овај начин је ефикасан алат за коначну оцену фискалне позиције, а посебно у периоду од 2014. до 2016. године када је фискална позиција значајно побољшана. </w:t>
      </w:r>
    </w:p>
    <w:p w:rsidR="00BE17C7" w:rsidRDefault="00BE17C7">
      <w:pPr>
        <w:spacing w:after="0" w:line="240" w:lineRule="auto"/>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18"/>
        </w:rPr>
      </w:pPr>
      <w:r>
        <w:rPr>
          <w:rFonts w:ascii="Times New Roman" w:eastAsia="Times New Roman" w:hAnsi="Times New Roman" w:cs="Times New Roman"/>
          <w:sz w:val="18"/>
        </w:rPr>
        <w:t>* За период од 2017 - 2019. године приказане су пројектоване вр</w:t>
      </w:r>
      <w:r>
        <w:rPr>
          <w:rFonts w:ascii="Times New Roman" w:eastAsia="Times New Roman" w:hAnsi="Times New Roman" w:cs="Times New Roman"/>
          <w:sz w:val="18"/>
        </w:rPr>
        <w:t>едности.</w:t>
      </w: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18"/>
        </w:rPr>
      </w:pPr>
      <w:r>
        <w:rPr>
          <w:rFonts w:ascii="Times New Roman" w:eastAsia="Times New Roman" w:hAnsi="Times New Roman" w:cs="Times New Roman"/>
          <w:sz w:val="18"/>
        </w:rPr>
        <w:t>* За период од 2017 - 2019. године приказане су пројектоване вредности.</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Контрациклична политика је вођена током 2012. године, током трајања кризе, имајући у виду релативно експанзивну фискалну политику у условима високог негативног производног </w:t>
      </w:r>
      <w:r>
        <w:rPr>
          <w:rFonts w:ascii="Times New Roman" w:eastAsia="Times New Roman" w:hAnsi="Times New Roman" w:cs="Times New Roman"/>
          <w:sz w:val="24"/>
        </w:rPr>
        <w:t>јаза и обрнуто у 2013. години. Економска логика на први поглед налаже овакво понашање, иако је оно углавном последица структуре пореског и система јавних расхода, тј. под утицајем дејства аутоматских стабилизатора. Ипак, ако експанзивна политика за резулта</w:t>
      </w:r>
      <w:r>
        <w:rPr>
          <w:rFonts w:ascii="Times New Roman" w:eastAsia="Times New Roman" w:hAnsi="Times New Roman" w:cs="Times New Roman"/>
          <w:sz w:val="24"/>
        </w:rPr>
        <w:t>т нема убрзање раста, и када се само мерама фискалне политике не могу уклонити дубински разлози за постојање негативног производног јаза, продубљују се и стварни и циклично прилагођени биланс, а јавни дуг улази у фазу експанзије. Ово је чест случај у ситуа</w:t>
      </w:r>
      <w:r>
        <w:rPr>
          <w:rFonts w:ascii="Times New Roman" w:eastAsia="Times New Roman" w:hAnsi="Times New Roman" w:cs="Times New Roman"/>
          <w:sz w:val="24"/>
        </w:rPr>
        <w:t xml:space="preserve">цијама кад су вредности фискалних мултипликатора ниске, какав је случај у Србији. </w:t>
      </w: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Мере које су усвојене у претходном периоду, као и мере фискалне консолидације спроведене током 2015. године, утицале су на структурно унапређење фискалне позиције земље. Н</w:t>
      </w:r>
      <w:r>
        <w:rPr>
          <w:rFonts w:ascii="Times New Roman" w:eastAsia="Times New Roman" w:hAnsi="Times New Roman" w:cs="Times New Roman"/>
          <w:sz w:val="24"/>
        </w:rPr>
        <w:t>егативан фискални импулс у 2016. години делимично је ублажен релаксацијом фискалне политике у виду повећања пензија и дела зарада у јавном сектору. У периоду од 2016. до 2019. године ефекти реформе јавног сектора, завршетак процеса реструктурирања и укидањ</w:t>
      </w:r>
      <w:r>
        <w:rPr>
          <w:rFonts w:ascii="Times New Roman" w:eastAsia="Times New Roman" w:hAnsi="Times New Roman" w:cs="Times New Roman"/>
          <w:sz w:val="24"/>
        </w:rPr>
        <w:t xml:space="preserve">е појединих субвенција имаће за резултат трајне уштеде на расходној страни. Истовремено, отвара се простор за даљу релаксацију фискалне политике прво на расходној, а након тога и на приходној страни.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Негативан производни јаз није онемогућио успешно спрово</w:t>
      </w:r>
      <w:r>
        <w:rPr>
          <w:rFonts w:ascii="Times New Roman" w:eastAsia="Times New Roman" w:hAnsi="Times New Roman" w:cs="Times New Roman"/>
          <w:sz w:val="24"/>
        </w:rPr>
        <w:t xml:space="preserve">ђење фискалне консолидације у периоду од 2014. до 2016. године. Одређени унутрашњи и спољни </w:t>
      </w:r>
      <w:r>
        <w:rPr>
          <w:rFonts w:ascii="Times New Roman" w:eastAsia="Times New Roman" w:hAnsi="Times New Roman" w:cs="Times New Roman"/>
          <w:sz w:val="24"/>
        </w:rPr>
        <w:lastRenderedPageBreak/>
        <w:t>фактори су ублажили ефекте фискалне консолидације. Као најважнији фактори могу се навести: 1) значајно побољшање ефикасности наплате пореских прихода, 2) наплата је</w:t>
      </w:r>
      <w:r>
        <w:rPr>
          <w:rFonts w:ascii="Times New Roman" w:eastAsia="Times New Roman" w:hAnsi="Times New Roman" w:cs="Times New Roman"/>
          <w:sz w:val="24"/>
        </w:rPr>
        <w:t>днократних непореских прихода који су у великој мери неутралисали издвајања по основу једнократних расхода, 3) повољно међународно окружење (цена нафте, економски раст спољнотрговинских партнера, политика ЕЦБ), 4) акомодирајућа монетарна политика НБС, 5) р</w:t>
      </w:r>
      <w:r>
        <w:rPr>
          <w:rFonts w:ascii="Times New Roman" w:eastAsia="Times New Roman" w:hAnsi="Times New Roman" w:cs="Times New Roman"/>
          <w:sz w:val="24"/>
        </w:rPr>
        <w:t xml:space="preserve">елативно ниске вредности фискалних мултипликатора.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У периоду 2017–2019. године, фискални импулс је практично неутралан. Одређени минималан степен рестриктивности потиче од побољшања ефикасности наплате на централном и локалном нивоу. Приближавање остваре</w:t>
      </w:r>
      <w:r>
        <w:rPr>
          <w:rFonts w:ascii="Times New Roman" w:eastAsia="Times New Roman" w:hAnsi="Times New Roman" w:cs="Times New Roman"/>
          <w:sz w:val="24"/>
        </w:rPr>
        <w:t>них стопа раста потенцијалном нивоу у знатној мери смањује потребу за рестриктивном фискалном политиком. У контексту стабилизације нивоа јавног дуга, ефекти мера у посматраном периоду, доводе до његове стагнације и благог пада, али за озбиљније смањење уче</w:t>
      </w:r>
      <w:r>
        <w:rPr>
          <w:rFonts w:ascii="Times New Roman" w:eastAsia="Times New Roman" w:hAnsi="Times New Roman" w:cs="Times New Roman"/>
          <w:sz w:val="24"/>
        </w:rPr>
        <w:t>шћа јавног дуга у БДП неопходно је одржавање постигнутих ефеката фискалне консолидације и након 2018. године. Реални раст БДП изнад потенцијалног у дужем року омогућио би да тај процес буде олакшан.</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9"/>
        </w:num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Програм за смањење дуга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складу са принципом фискалне </w:t>
      </w:r>
      <w:r>
        <w:rPr>
          <w:rFonts w:ascii="Times New Roman" w:eastAsia="Times New Roman" w:hAnsi="Times New Roman" w:cs="Times New Roman"/>
          <w:sz w:val="24"/>
        </w:rPr>
        <w:t>одговорности, уколико дуг опште државе пређе 45% БДП, Влада је дужна да предложи мере којима ће се дуг приближити циљаном нивоу и вратити у одрживе оквире. Истовремено, Пактом за стабилност и раст је прописана горња граница учешћа јавног дуга у БДП од 60%,</w:t>
      </w:r>
      <w:r>
        <w:rPr>
          <w:rFonts w:ascii="Times New Roman" w:eastAsia="Times New Roman" w:hAnsi="Times New Roman" w:cs="Times New Roman"/>
          <w:sz w:val="24"/>
        </w:rPr>
        <w:t xml:space="preserve"> као и обавеза за земље чланице ЕУ да званичним документом представе кредибилан план достизања прописаног нивоа задовољавајућом брзином, уколико је ова граница прекорачена.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периоду од 2008. до 2014. године дефицит опште државе порастао је са 2,6% на 6,6</w:t>
      </w:r>
      <w:r>
        <w:rPr>
          <w:rFonts w:ascii="Times New Roman" w:eastAsia="Times New Roman" w:hAnsi="Times New Roman" w:cs="Times New Roman"/>
          <w:sz w:val="24"/>
        </w:rPr>
        <w:t>% БДП, док је истовремено јавни дуг ушао у експлозивну путању раста, при чему је однос дуга и БДП више него удвостручен. Економска криза која је започела крајем 2008. године имала је за последицу пад или успорење раста буџетских прихода и раст расхода који</w:t>
      </w:r>
      <w:r>
        <w:rPr>
          <w:rFonts w:ascii="Times New Roman" w:eastAsia="Times New Roman" w:hAnsi="Times New Roman" w:cs="Times New Roman"/>
          <w:sz w:val="24"/>
        </w:rPr>
        <w:t>ма се ублажавају последице кризе. У условима изостанка или недовољног нивоа структурних мера дошло је до увећања годишњег нивоа фискалног дефицита. Јавни дуг са око 30% БДП крајем 2008. године је достигао 71,8% БДП на крају 2014. године. Мере фискалне конс</w:t>
      </w:r>
      <w:r>
        <w:rPr>
          <w:rFonts w:ascii="Times New Roman" w:eastAsia="Times New Roman" w:hAnsi="Times New Roman" w:cs="Times New Roman"/>
          <w:sz w:val="24"/>
        </w:rPr>
        <w:t xml:space="preserve">олидације усвојене крајем 2012. и током 2013. године делимично су ублажиле овај тренд, али је ниво јавног дуга и даље значајно растао.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Смањивање примарног дефицита у периоду од 2012–2014. године није било довољно да стабилизује учешће нивоа јавног дуга у БДП. Ефекти првог таласа фискалне консолидације, која се односила углавном на приходну страну изостали су, услед повећаног обима сиве ек</w:t>
      </w:r>
      <w:r>
        <w:rPr>
          <w:rFonts w:ascii="Times New Roman" w:eastAsia="Times New Roman" w:hAnsi="Times New Roman" w:cs="Times New Roman"/>
          <w:sz w:val="24"/>
        </w:rPr>
        <w:t xml:space="preserve">ономије. Ниво јавног дуга, а нарочито динамика његовог кретања у претходном периоду, нису били фискално одрживи. На расходној страни, високе камате и одређени једнократни расходи даље погоршавају фискалну позицију.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Мере фискалне консолидације започете ток</w:t>
      </w:r>
      <w:r>
        <w:rPr>
          <w:rFonts w:ascii="Times New Roman" w:eastAsia="Times New Roman" w:hAnsi="Times New Roman" w:cs="Times New Roman"/>
          <w:sz w:val="24"/>
        </w:rPr>
        <w:t xml:space="preserve">ом 2015. године спустиле су примарни дефицит на 0,5% БДП и успориле раст јавног дуга. Примарни суфицит биће остварен у 2016. години а путања јавног дуга преокренута.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Смањење јавног дуга у БДП што је примарни циљ програма фискалне консолидације оствариће с</w:t>
      </w:r>
      <w:r>
        <w:rPr>
          <w:rFonts w:ascii="Times New Roman" w:eastAsia="Times New Roman" w:hAnsi="Times New Roman" w:cs="Times New Roman"/>
          <w:sz w:val="24"/>
        </w:rPr>
        <w:t xml:space="preserve">е годину дана раније него што је било предвиђено аранжманом са ММФ. Предвиђено је да учешће нивоа јавног дуга достигне 74,6% БДП у 2016. години </w:t>
      </w:r>
      <w:r>
        <w:rPr>
          <w:rFonts w:ascii="Times New Roman" w:eastAsia="Times New Roman" w:hAnsi="Times New Roman" w:cs="Times New Roman"/>
          <w:sz w:val="24"/>
        </w:rPr>
        <w:lastRenderedPageBreak/>
        <w:t>наспрам 76% БДП на крају 2015. године. Поред примарног суфицита, убрзање привредног раста утицаће позитивно на к</w:t>
      </w:r>
      <w:r>
        <w:rPr>
          <w:rFonts w:ascii="Times New Roman" w:eastAsia="Times New Roman" w:hAnsi="Times New Roman" w:cs="Times New Roman"/>
          <w:sz w:val="24"/>
        </w:rPr>
        <w:t xml:space="preserve">ретање учешћа јавног дуга у БДП.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Фискални дефицит, иако пресудан, није једини фактор који утиче на висину јавног дуга и стога је неопходно спровести мере које додатно унапређују управљање и одрживост јавног дуга:</w:t>
      </w:r>
    </w:p>
    <w:p w:rsidR="00BE17C7" w:rsidRDefault="00843F0B">
      <w:pPr>
        <w:numPr>
          <w:ilvl w:val="0"/>
          <w:numId w:val="10"/>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ограничење издавања нових гаранција; </w:t>
      </w:r>
    </w:p>
    <w:p w:rsidR="00BE17C7" w:rsidRDefault="00843F0B">
      <w:pPr>
        <w:numPr>
          <w:ilvl w:val="0"/>
          <w:numId w:val="10"/>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ограничење закључивања нових пројектних зајмова у случајевима да претходно одобрени зајмови нису ефикасно коришћени;</w:t>
      </w:r>
    </w:p>
    <w:p w:rsidR="00BE17C7" w:rsidRDefault="00843F0B">
      <w:pPr>
        <w:numPr>
          <w:ilvl w:val="0"/>
          <w:numId w:val="10"/>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откуп једног дела скупог дуга коришћењем средстава из повољнијих зајмова или приватизационих прихода уколико за то постоје могућности; </w:t>
      </w:r>
    </w:p>
    <w:p w:rsidR="00BE17C7" w:rsidRDefault="00843F0B">
      <w:pPr>
        <w:numPr>
          <w:ilvl w:val="0"/>
          <w:numId w:val="10"/>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иде</w:t>
      </w:r>
      <w:r>
        <w:rPr>
          <w:rFonts w:ascii="Times New Roman" w:eastAsia="Times New Roman" w:hAnsi="Times New Roman" w:cs="Times New Roman"/>
          <w:sz w:val="24"/>
        </w:rPr>
        <w:t>нтификација и боље управљање фискалним ризицима.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складу са фискалним правилима неопходно је програмом предвидети динамику спуштања нивоа јавног дуга на 45% БДП. Поред тога, програм мера за смањење фискалног дефицита и фискални оквир у периоду 2017–2019. </w:t>
      </w:r>
      <w:r>
        <w:rPr>
          <w:rFonts w:ascii="Times New Roman" w:eastAsia="Times New Roman" w:hAnsi="Times New Roman" w:cs="Times New Roman"/>
          <w:sz w:val="24"/>
        </w:rPr>
        <w:t>године, којим је предвиђен пад консолидованог фискалног дефицита на 1% у 2019. години, представљају основни сценарио и саставни су део овог програма за смањење јавног дуга. У овом програму дата је симулација спуштања нивоа дуга на законски ниво до 2027. го</w:t>
      </w:r>
      <w:r>
        <w:rPr>
          <w:rFonts w:ascii="Times New Roman" w:eastAsia="Times New Roman" w:hAnsi="Times New Roman" w:cs="Times New Roman"/>
          <w:sz w:val="24"/>
        </w:rPr>
        <w:t xml:space="preserve">дине, динамика достизања границе од 60% и претпоставке на којима се заснива. Дужи временски период прилагођавања је нужан како би се умањиле негативне импликације фискалне консолидације по становништво и привреду.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Претпоставке у основном сценарију су:</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w:t>
      </w:r>
      <w:r>
        <w:rPr>
          <w:rFonts w:ascii="Times New Roman" w:eastAsia="Times New Roman" w:hAnsi="Times New Roman" w:cs="Times New Roman"/>
          <w:sz w:val="24"/>
        </w:rPr>
        <w:t xml:space="preserve">кално прилагођавање у периоду након 2019. године је на нижем нивоу у односу на период 2015–2019. године; </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достизање фискалног дефицита од 0,5% БДП у 2020. години и његово благо смањење у периоду након тога;</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спорији раст фискалних прихода у односу на номина</w:t>
      </w:r>
      <w:r>
        <w:rPr>
          <w:rFonts w:ascii="Times New Roman" w:eastAsia="Times New Roman" w:hAnsi="Times New Roman" w:cs="Times New Roman"/>
          <w:sz w:val="24"/>
        </w:rPr>
        <w:t xml:space="preserve">лни БДП услед промене структуре привреде, јачања инвестиционе активности и раста извоза. Ово важи под условима да нема значајнијих промена у пореској политици и да се значајније не погоршава обим сиве економије; </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без нето прираста издатих гаранција након 2</w:t>
      </w:r>
      <w:r>
        <w:rPr>
          <w:rFonts w:ascii="Times New Roman" w:eastAsia="Times New Roman" w:hAnsi="Times New Roman" w:cs="Times New Roman"/>
          <w:sz w:val="24"/>
        </w:rPr>
        <w:t xml:space="preserve">019. године; </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просечна стопа реалног раста БДП од 3,5% у дугом року;</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годишња инфлација од око 3% просечно у посматраном периоду;</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реално непромењен курс динара;</w:t>
      </w:r>
    </w:p>
    <w:p w:rsidR="00BE17C7" w:rsidRDefault="00843F0B">
      <w:pPr>
        <w:numPr>
          <w:ilvl w:val="0"/>
          <w:numId w:val="11"/>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без значајних прилива од приватизације у периоду 2020–2027.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24. Симулација нивоа</w:t>
      </w:r>
      <w:r>
        <w:rPr>
          <w:rFonts w:ascii="Times New Roman" w:eastAsia="Times New Roman" w:hAnsi="Times New Roman" w:cs="Times New Roman"/>
          <w:sz w:val="24"/>
        </w:rPr>
        <w:t xml:space="preserve"> укупног дуга у основном сценарију до 2027. године, % БДП</w:t>
      </w:r>
    </w:p>
    <w:tbl>
      <w:tblPr>
        <w:tblW w:w="0" w:type="auto"/>
        <w:jc w:val="center"/>
        <w:tblCellMar>
          <w:left w:w="10" w:type="dxa"/>
          <w:right w:w="10" w:type="dxa"/>
        </w:tblCellMar>
        <w:tblLook w:val="0000"/>
      </w:tblPr>
      <w:tblGrid>
        <w:gridCol w:w="1653"/>
        <w:gridCol w:w="553"/>
        <w:gridCol w:w="597"/>
        <w:gridCol w:w="597"/>
        <w:gridCol w:w="597"/>
        <w:gridCol w:w="597"/>
        <w:gridCol w:w="597"/>
        <w:gridCol w:w="597"/>
        <w:gridCol w:w="597"/>
        <w:gridCol w:w="597"/>
        <w:gridCol w:w="597"/>
        <w:gridCol w:w="597"/>
        <w:gridCol w:w="597"/>
        <w:gridCol w:w="597"/>
      </w:tblGrid>
      <w:tr w:rsidR="00BE17C7">
        <w:tblPrEx>
          <w:tblCellMar>
            <w:top w:w="0" w:type="dxa"/>
            <w:bottom w:w="0" w:type="dxa"/>
          </w:tblCellMar>
        </w:tblPrEx>
        <w:trPr>
          <w:trHeight w:val="305"/>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sz w:val="20"/>
              </w:rPr>
              <w:t>Основни сценарио</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2027</w:t>
            </w:r>
          </w:p>
        </w:tc>
      </w:tr>
      <w:tr w:rsidR="00BE17C7">
        <w:tblPrEx>
          <w:tblCellMar>
            <w:top w:w="0" w:type="dxa"/>
            <w:bottom w:w="0" w:type="dxa"/>
          </w:tblCellMar>
        </w:tblPrEx>
        <w:trPr>
          <w:trHeight w:val="280"/>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Приходи</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40,3</w:t>
            </w:r>
          </w:p>
        </w:tc>
      </w:tr>
      <w:tr w:rsidR="00BE17C7">
        <w:tblPrEx>
          <w:tblCellMar>
            <w:top w:w="0" w:type="dxa"/>
            <w:bottom w:w="0" w:type="dxa"/>
          </w:tblCellMar>
        </w:tblPrEx>
        <w:trPr>
          <w:trHeight w:val="280"/>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Расходи</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40,8</w:t>
            </w:r>
          </w:p>
        </w:tc>
      </w:tr>
      <w:tr w:rsidR="00BE17C7">
        <w:tblPrEx>
          <w:tblCellMar>
            <w:top w:w="0" w:type="dxa"/>
            <w:bottom w:w="0" w:type="dxa"/>
          </w:tblCellMar>
        </w:tblPrEx>
        <w:trPr>
          <w:trHeight w:val="280"/>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пад учешћа расхода</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r w:rsidR="00BE17C7">
        <w:tblPrEx>
          <w:tblCellMar>
            <w:top w:w="0" w:type="dxa"/>
            <w:bottom w:w="0" w:type="dxa"/>
          </w:tblCellMar>
        </w:tblPrEx>
        <w:trPr>
          <w:trHeight w:val="280"/>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 xml:space="preserve">Фискални резултат </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-2,1</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r>
      <w:tr w:rsidR="00BE17C7">
        <w:tblPrEx>
          <w:tblCellMar>
            <w:top w:w="0" w:type="dxa"/>
            <w:bottom w:w="0" w:type="dxa"/>
          </w:tblCellMar>
        </w:tblPrEx>
        <w:trPr>
          <w:trHeight w:val="280"/>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Јавни дуг у БДП</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76,0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74,6</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73,9</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57,8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52,2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47,2</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45,1</w:t>
            </w:r>
          </w:p>
        </w:tc>
      </w:tr>
      <w:tr w:rsidR="00BE17C7">
        <w:tblPrEx>
          <w:tblCellMar>
            <w:top w:w="0" w:type="dxa"/>
            <w:bottom w:w="0" w:type="dxa"/>
          </w:tblCellMar>
        </w:tblPrEx>
        <w:trPr>
          <w:trHeight w:val="296"/>
          <w:jc w:val="center"/>
        </w:trPr>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pPr>
            <w:r>
              <w:rPr>
                <w:rFonts w:ascii="Times New Roman" w:eastAsia="Times New Roman" w:hAnsi="Times New Roman" w:cs="Times New Roman"/>
              </w:rPr>
              <w:t>БДП реални раст %</w:t>
            </w:r>
          </w:p>
        </w:tc>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w:t>
      </w:r>
    </w:p>
    <w:p w:rsidR="00BE17C7" w:rsidRDefault="00BE17C7">
      <w:pPr>
        <w:spacing w:after="0" w:line="240" w:lineRule="auto"/>
        <w:ind w:firstLine="720"/>
        <w:jc w:val="both"/>
        <w:rPr>
          <w:rFonts w:ascii="Times New Roman" w:eastAsia="Times New Roman" w:hAnsi="Times New Roman" w:cs="Times New Roman"/>
          <w:sz w:val="18"/>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Основни сценарио претпоставља да се ниво јавног дуга спусти на око 60% БДП крајем 2021. године. Законска граница од 45% БДП, под датим претпоставкама се достиже у 2027. години. </w:t>
      </w: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BE17C7" w:rsidRDefault="00BE17C7">
      <w:pPr>
        <w:spacing w:after="0" w:line="240" w:lineRule="auto"/>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графикону су приказане симулације алтернативних сценарија кретања јавног</w:t>
      </w:r>
      <w:r>
        <w:rPr>
          <w:rFonts w:ascii="Times New Roman" w:eastAsia="Times New Roman" w:hAnsi="Times New Roman" w:cs="Times New Roman"/>
          <w:sz w:val="24"/>
        </w:rPr>
        <w:t xml:space="preserve"> дуга, у зависности од промена одређених претпоставки у основном сценарију. Ради бољег поређења извршена је варијација само једне варијабле, као фактора ризика који утиче на ниво дуга. У стварности су могуће многобројне комбинације кретања различитих факто</w:t>
      </w:r>
      <w:r>
        <w:rPr>
          <w:rFonts w:ascii="Times New Roman" w:eastAsia="Times New Roman" w:hAnsi="Times New Roman" w:cs="Times New Roman"/>
          <w:sz w:val="24"/>
        </w:rPr>
        <w:t xml:space="preserve">ра који делују на јавни дуг.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Сценарио „успорени раст након 2019” подразумева просечан реални раст БДП од око 0,9% у посматраном периоду, уз исти ниво фискалног дефицита у односу на основни сценарио. Ово не подразумева и исти ниво фискалног прилагођавања ј</w:t>
      </w:r>
      <w:r>
        <w:rPr>
          <w:rFonts w:ascii="Times New Roman" w:eastAsia="Times New Roman" w:hAnsi="Times New Roman" w:cs="Times New Roman"/>
          <w:sz w:val="24"/>
        </w:rPr>
        <w:t>ер је потребна већа акомодација на расходној страни у ситуацијама када се бележи нижи привредни раст. На крају периода јавни дуг према овом сценарију достиже ниво од 54,9% БДП. Једна од опасности коју носи сценарио продуженог успореног раста, лежи у томе ш</w:t>
      </w:r>
      <w:r>
        <w:rPr>
          <w:rFonts w:ascii="Times New Roman" w:eastAsia="Times New Roman" w:hAnsi="Times New Roman" w:cs="Times New Roman"/>
          <w:sz w:val="24"/>
        </w:rPr>
        <w:t>то и поред одређеног нивоа фискалног прилагођавања на страни дефицита, ниво јавног дуга не пада довољно брзо. Са друге стране, успорени раст путем аутоматских стабилизатора, продукује више нивое фискалног дефицита, па су неопходна већа смањења расхода како</w:t>
      </w:r>
      <w:r>
        <w:rPr>
          <w:rFonts w:ascii="Times New Roman" w:eastAsia="Times New Roman" w:hAnsi="Times New Roman" w:cs="Times New Roman"/>
          <w:sz w:val="24"/>
        </w:rPr>
        <w:t xml:space="preserve"> би се задржала опадајућа путања учешћа јавног дуга. Присутан је ризик улазака у спиралу успореног раста услед високог дефицита и неопходности мера штедње. И поред ових ризика, сценарио омогућава постепено смањење учешћа јавног дуга и достизање нивоа од 60</w:t>
      </w:r>
      <w:r>
        <w:rPr>
          <w:rFonts w:ascii="Times New Roman" w:eastAsia="Times New Roman" w:hAnsi="Times New Roman" w:cs="Times New Roman"/>
          <w:sz w:val="24"/>
        </w:rPr>
        <w:t xml:space="preserve">% у 2024. години, при осталим истим претпоставкама.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Сценарио „нема даље консолидације након 2019. године” подразумева попуштање мера на смањењу фискалног дефицита, тако да се у посматраном периоду не спушта испод 1,5% БДП. У овом случају смањење нивоа уче</w:t>
      </w:r>
      <w:r>
        <w:rPr>
          <w:rFonts w:ascii="Times New Roman" w:eastAsia="Times New Roman" w:hAnsi="Times New Roman" w:cs="Times New Roman"/>
          <w:sz w:val="24"/>
        </w:rPr>
        <w:t>шћа јавног дуга је нешто спорије и поред претходно спроведених мера фискалног прилагођавања у периоду од 2015–2019. године. Јавни дуг не достиже законску границу од 45% у посматраном периоду, иако је његова путања опадајућа. Границу од 60% учешћа у овом сц</w:t>
      </w:r>
      <w:r>
        <w:rPr>
          <w:rFonts w:ascii="Times New Roman" w:eastAsia="Times New Roman" w:hAnsi="Times New Roman" w:cs="Times New Roman"/>
          <w:sz w:val="24"/>
        </w:rPr>
        <w:t xml:space="preserve">енарију, јавни дуг достиже две године касније у односу на основни сценарио.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Сценарио „више издате гаранције” подразумева напуштање мере која се односи на прираст нето издатих гаранција. У овом случају уведена је претпоставка о годишњем нето прирасту издат</w:t>
      </w:r>
      <w:r>
        <w:rPr>
          <w:rFonts w:ascii="Times New Roman" w:eastAsia="Times New Roman" w:hAnsi="Times New Roman" w:cs="Times New Roman"/>
          <w:sz w:val="24"/>
        </w:rPr>
        <w:t>их гаранција од око 0,7% БДП. На крају посматраног периода ниво јавног дуга виши је за око 6,8% БДП у односу на основни сценарио. Евидентно је да се бројни позитивни ефекти могу остварити бољом контролом и увођењем строжијих критеријума за издавање нових г</w:t>
      </w:r>
      <w:r>
        <w:rPr>
          <w:rFonts w:ascii="Times New Roman" w:eastAsia="Times New Roman" w:hAnsi="Times New Roman" w:cs="Times New Roman"/>
          <w:sz w:val="24"/>
        </w:rPr>
        <w:t xml:space="preserve">аранција.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Сценарио који комбинује мањи реални раст и задржавање нивоа фискалног дефицита на 1,5% БДП има најнеповољнију путању јавног дуга. При томе једино у овом сценарију дуг не пада испод 60% у посматраном периоду. Учешће нивоа јавног дуга је скоро кон</w:t>
      </w:r>
      <w:r>
        <w:rPr>
          <w:rFonts w:ascii="Times New Roman" w:eastAsia="Times New Roman" w:hAnsi="Times New Roman" w:cs="Times New Roman"/>
          <w:sz w:val="24"/>
        </w:rPr>
        <w:t>стантно током посматраног периода.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III. СТРАТЕГИЈА УПРАВЉАЊА ЈАВНИМ ДУГОМ ОД 2017. ДО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Закону о јавном дугу, као правном основу задуживања Републике Србије, јавни дуг чине све директне обавезе Републике по основу задуживања, као и гаран</w:t>
      </w:r>
      <w:r>
        <w:rPr>
          <w:rFonts w:ascii="Times New Roman" w:eastAsia="Times New Roman" w:hAnsi="Times New Roman" w:cs="Times New Roman"/>
          <w:sz w:val="24"/>
        </w:rPr>
        <w:t xml:space="preserve">ције издате од Републике за задуживање јавних предузећа и локалних власти. Република се </w:t>
      </w:r>
      <w:r>
        <w:rPr>
          <w:rFonts w:ascii="Times New Roman" w:eastAsia="Times New Roman" w:hAnsi="Times New Roman" w:cs="Times New Roman"/>
          <w:sz w:val="24"/>
        </w:rPr>
        <w:lastRenderedPageBreak/>
        <w:t>може задуживати у домаћој и страној валути, ради финансирања буџетског дефицита, дефицита текуће ликвидности, рефинансирања неизмиреног дуга, за финансирање инвестицион</w:t>
      </w:r>
      <w:r>
        <w:rPr>
          <w:rFonts w:ascii="Times New Roman" w:eastAsia="Times New Roman" w:hAnsi="Times New Roman" w:cs="Times New Roman"/>
          <w:sz w:val="24"/>
        </w:rPr>
        <w:t xml:space="preserve">их пројеката, као и за извршавање обавеза по датим гаранцијама. Одредбама Закона о јавном дугу назначено је да јавни дуг представља безусловну и неопозиву обавезу Републике Србије у односу на отплату главнице, камате и осталих припадајућих трошкова.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Основ</w:t>
      </w:r>
      <w:r>
        <w:rPr>
          <w:rFonts w:ascii="Times New Roman" w:eastAsia="Times New Roman" w:hAnsi="Times New Roman" w:cs="Times New Roman"/>
          <w:sz w:val="24"/>
        </w:rPr>
        <w:t xml:space="preserve">ни принцип управљања јавним дугом представља обезбеђивање редовног сервисирања буџетских потреба по најнижим могућим трошковима уз прихватљив ниво ризика.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 формулисање Стратегије за управљање јавним дугом коришћен је квантитативни приступ, идентификујућ</w:t>
      </w:r>
      <w:r>
        <w:rPr>
          <w:rFonts w:ascii="Times New Roman" w:eastAsia="Times New Roman" w:hAnsi="Times New Roman" w:cs="Times New Roman"/>
          <w:sz w:val="24"/>
        </w:rPr>
        <w:t>и могућа ограничења кроз макроекономске показатеље, анализу трошкова и ризика и тржишних услова који утичу на управљање јавним дугом. У сврху анализе коришћени су инструменти финансирања доступни на домаћем и међународном финансијском тржишту. Стратегија у</w:t>
      </w:r>
      <w:r>
        <w:rPr>
          <w:rFonts w:ascii="Times New Roman" w:eastAsia="Times New Roman" w:hAnsi="Times New Roman" w:cs="Times New Roman"/>
          <w:sz w:val="24"/>
        </w:rPr>
        <w:t>прављања јавним дугом заснива се на принципима који дефинишу потребу за транспарентним и предвидивим процесом задуживања, уз перманентан развој тржишта државних хартија од вредности и прихватљив ниво изложености финансијским ризицима.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Анализирајући могуће </w:t>
      </w:r>
      <w:r>
        <w:rPr>
          <w:rFonts w:ascii="Times New Roman" w:eastAsia="Times New Roman" w:hAnsi="Times New Roman" w:cs="Times New Roman"/>
          <w:sz w:val="24"/>
        </w:rPr>
        <w:t xml:space="preserve">стратегије задуживања, модел Светске банке Medium Term Debt Strategy Model – MTDS указује да структура задуживања која се заснива на хартијама од вредности емитованим у динарима и еврима представља најбољу опцију са аспекта трошкова (ризика). Модел у коме </w:t>
      </w:r>
      <w:r>
        <w:rPr>
          <w:rFonts w:ascii="Times New Roman" w:eastAsia="Times New Roman" w:hAnsi="Times New Roman" w:cs="Times New Roman"/>
          <w:sz w:val="24"/>
        </w:rPr>
        <w:t>су анализиране стратегије задуживања показује да у ситуацијама када се могу обезбедити концесионални извори финансирања треба искористити та средства, јер се на тај начин смањују трошкови финансирања уз прихватљив ризик, чиме се остварује основни циљ управ</w:t>
      </w:r>
      <w:r>
        <w:rPr>
          <w:rFonts w:ascii="Times New Roman" w:eastAsia="Times New Roman" w:hAnsi="Times New Roman" w:cs="Times New Roman"/>
          <w:sz w:val="24"/>
        </w:rPr>
        <w:t>љања јавним дугом.</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Фискална стратегија предвиђа кретање јавног дуга општег нивоа државе у наредном периоду до 2019. године испод нивоа од 70% БДП са јасном тенденцијом смањења након 2016. године, при чему се у складу са Смерницама управљања јавним дугом де</w:t>
      </w:r>
      <w:r>
        <w:rPr>
          <w:rFonts w:ascii="Times New Roman" w:eastAsia="Times New Roman" w:hAnsi="Times New Roman" w:cs="Times New Roman"/>
          <w:sz w:val="24"/>
        </w:rPr>
        <w:t>финисаним од стране Светске банке и Међународног монетарног фонда, у оквиру Стратегије управљања јавним дугом врши стрес-сценарио анализа утицаја промене девизног курса домаће валуте у односу на валуте у којима је деноминован јавни дуг Републике Србије.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w:t>
      </w:r>
      <w:r>
        <w:rPr>
          <w:rFonts w:ascii="Times New Roman" w:eastAsia="Times New Roman" w:hAnsi="Times New Roman" w:cs="Times New Roman"/>
          <w:sz w:val="24"/>
        </w:rPr>
        <w:t>последње четири године учињен је значајан напредак у погледу повећања просечне рочности динарских државних хартија од вредности и смањења трошкова финансирања по основу овог вида задуживања, чиме је смањена изложеност ризику рефинансирања. Стратегијом упра</w:t>
      </w:r>
      <w:r>
        <w:rPr>
          <w:rFonts w:ascii="Times New Roman" w:eastAsia="Times New Roman" w:hAnsi="Times New Roman" w:cs="Times New Roman"/>
          <w:sz w:val="24"/>
        </w:rPr>
        <w:t>вљања јавним дугом се дефинишу основне мере за даљи наставак развоја динарског тржишта државних хартија од вредности, јер ће се развојем овог тржишта створити један од неопходних предусловa за повећање кредитног рејтинга Републике Србије и смањење изложено</w:t>
      </w:r>
      <w:r>
        <w:rPr>
          <w:rFonts w:ascii="Times New Roman" w:eastAsia="Times New Roman" w:hAnsi="Times New Roman" w:cs="Times New Roman"/>
          <w:sz w:val="24"/>
        </w:rPr>
        <w:t>сти јавног дуга према девизном ризику.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12"/>
        </w:num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Стање и структура јавног дуга у периоду 2013. године – 30. септембар 2016.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крају септембра 2016. године укупно стање јавног дуга општег нивоа државе износило је 3.022,8 млрд динара, односно 72% БДП. Од тог</w:t>
      </w:r>
      <w:r>
        <w:rPr>
          <w:rFonts w:ascii="Times New Roman" w:eastAsia="Times New Roman" w:hAnsi="Times New Roman" w:cs="Times New Roman"/>
          <w:sz w:val="24"/>
        </w:rPr>
        <w:t xml:space="preserve">а се на директне обавезе односило 2.718,2 млрд динара, на индиректне обавезе 257,8 млрд динара, док се 45,8 млрд </w:t>
      </w:r>
      <w:r>
        <w:rPr>
          <w:rFonts w:ascii="Times New Roman" w:eastAsia="Times New Roman" w:hAnsi="Times New Roman" w:cs="Times New Roman"/>
          <w:sz w:val="24"/>
        </w:rPr>
        <w:lastRenderedPageBreak/>
        <w:t>динара односи на негарантовани дуг јединица локалне власти и 1 млрд динара на негарантовани дуг ЈП ,,Путеви Србије”.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25. Јавни дуг општег нивоа државе Републике Србије у периоду крај 2013. године – 30. септембар 2016. године</w:t>
      </w:r>
    </w:p>
    <w:tbl>
      <w:tblPr>
        <w:tblW w:w="0" w:type="auto"/>
        <w:tblInd w:w="-5" w:type="dxa"/>
        <w:tblCellMar>
          <w:left w:w="10" w:type="dxa"/>
          <w:right w:w="10" w:type="dxa"/>
        </w:tblCellMar>
        <w:tblLook w:val="0000"/>
      </w:tblPr>
      <w:tblGrid>
        <w:gridCol w:w="3765"/>
        <w:gridCol w:w="1237"/>
        <w:gridCol w:w="1237"/>
        <w:gridCol w:w="1237"/>
        <w:gridCol w:w="1237"/>
      </w:tblGrid>
      <w:tr w:rsidR="00BE17C7">
        <w:tblPrEx>
          <w:tblCellMar>
            <w:top w:w="0" w:type="dxa"/>
            <w:bottom w:w="0" w:type="dxa"/>
          </w:tblCellMar>
        </w:tblPrEx>
        <w:trPr>
          <w:trHeight w:val="14"/>
        </w:trPr>
        <w:tc>
          <w:tcPr>
            <w:tcW w:w="37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2013</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2014</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2016/IX</w:t>
            </w:r>
          </w:p>
        </w:tc>
      </w:tr>
      <w:tr w:rsidR="00BE17C7">
        <w:tblPrEx>
          <w:tblCellMar>
            <w:top w:w="0" w:type="dxa"/>
            <w:bottom w:w="0" w:type="dxa"/>
          </w:tblCellMar>
        </w:tblPrEx>
        <w:trPr>
          <w:trHeight w:val="14"/>
        </w:trPr>
        <w:tc>
          <w:tcPr>
            <w:tcW w:w="37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(у млрд динара)</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2.369,0 </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2.808,2 </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3.072,3 </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3.022,8</w:t>
            </w:r>
          </w:p>
        </w:tc>
      </w:tr>
      <w:tr w:rsidR="00BE17C7">
        <w:tblPrEx>
          <w:tblCellMar>
            <w:top w:w="0" w:type="dxa"/>
            <w:bottom w:w="0" w:type="dxa"/>
          </w:tblCellMar>
        </w:tblPrEx>
        <w:trPr>
          <w:trHeight w:val="14"/>
        </w:trPr>
        <w:tc>
          <w:tcPr>
            <w:tcW w:w="37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(у мил. евра)</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20.664,5</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23.216,0</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25.260,1</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24.517,6</w:t>
            </w:r>
          </w:p>
        </w:tc>
      </w:tr>
      <w:tr w:rsidR="00BE17C7">
        <w:tblPrEx>
          <w:tblCellMar>
            <w:top w:w="0" w:type="dxa"/>
            <w:bottom w:w="0" w:type="dxa"/>
          </w:tblCellMar>
        </w:tblPrEx>
        <w:trPr>
          <w:trHeight w:val="14"/>
        </w:trPr>
        <w:tc>
          <w:tcPr>
            <w:tcW w:w="376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(у мил. долара)</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28.498,4</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28.233,0</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27.616,9</w:t>
            </w:r>
          </w:p>
        </w:tc>
        <w:tc>
          <w:tcPr>
            <w:tcW w:w="123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27.506,3</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првих девет месеци 2016. године приметно је смањење јавног дуга централног нивоа власти по основу готово свих валута у којима је оригинално деноминован. Јавни дуг деноминован у америчким доларима за првих девет месеци 2016. године смањен је за 0,9 милион</w:t>
      </w:r>
      <w:r>
        <w:rPr>
          <w:rFonts w:ascii="Times New Roman" w:eastAsia="Times New Roman" w:hAnsi="Times New Roman" w:cs="Times New Roman"/>
          <w:sz w:val="24"/>
        </w:rPr>
        <w:t>а америчких долара, док се јавни дуг деноминован у еврима смањио за 38,9 милиона евра, а јавни дуг деноминован у динарима смањио за 33,5 млрд динара у односу на крај 2015.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26. Стање јавног дуга централног нивоа државе по оригиналним валутам</w:t>
      </w:r>
      <w:r>
        <w:rPr>
          <w:rFonts w:ascii="Times New Roman" w:eastAsia="Times New Roman" w:hAnsi="Times New Roman" w:cs="Times New Roman"/>
          <w:sz w:val="24"/>
        </w:rPr>
        <w:t>а у периоду од 2013. године – 30. септембар 2016. године, у милионима</w:t>
      </w:r>
    </w:p>
    <w:tbl>
      <w:tblPr>
        <w:tblW w:w="0" w:type="auto"/>
        <w:tblInd w:w="-5" w:type="dxa"/>
        <w:tblCellMar>
          <w:left w:w="10" w:type="dxa"/>
          <w:right w:w="10" w:type="dxa"/>
        </w:tblCellMar>
        <w:tblLook w:val="0000"/>
      </w:tblPr>
      <w:tblGrid>
        <w:gridCol w:w="3038"/>
        <w:gridCol w:w="1450"/>
        <w:gridCol w:w="1192"/>
        <w:gridCol w:w="1450"/>
        <w:gridCol w:w="1466"/>
      </w:tblGrid>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2013</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2014</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2016/IX</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Специјална права вучења</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832,9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801,2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760,2</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721,2</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EUR</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9.226,2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9.493,4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9.885,4</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9.846,5</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USD</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7.675,6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8.717,8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8.934,6</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8.933,7</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ЦХФ</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225,7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199,1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173,2</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146,4</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РСД</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466.366,6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588.570,0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668.939,4</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635.473,8</w:t>
            </w:r>
          </w:p>
        </w:tc>
      </w:tr>
      <w:tr w:rsidR="00BE17C7">
        <w:tblPrEx>
          <w:tblCellMar>
            <w:top w:w="0" w:type="dxa"/>
            <w:bottom w:w="0" w:type="dxa"/>
          </w:tblCellMar>
        </w:tblPrEx>
        <w:trPr>
          <w:trHeight w:val="170"/>
        </w:trPr>
        <w:tc>
          <w:tcPr>
            <w:tcW w:w="30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Друге валуте ( у РСД)</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13.142,8 </w:t>
            </w:r>
          </w:p>
        </w:tc>
        <w:tc>
          <w:tcPr>
            <w:tcW w:w="119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13.776,4 </w:t>
            </w:r>
          </w:p>
        </w:tc>
        <w:tc>
          <w:tcPr>
            <w:tcW w:w="145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16.613,5</w:t>
            </w:r>
          </w:p>
        </w:tc>
        <w:tc>
          <w:tcPr>
            <w:tcW w:w="146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17.335,1</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складу са тежњом да се смањи изложеност валутном ризику, продужи рочност и настави са развојем нових инструмената задуживања на домаћем финансијском тржишту, основни извор финансирања у периоду 2013–2016. године су емисије динарских хартија од вредности,</w:t>
      </w:r>
      <w:r>
        <w:rPr>
          <w:rFonts w:ascii="Times New Roman" w:eastAsia="Times New Roman" w:hAnsi="Times New Roman" w:cs="Times New Roman"/>
          <w:sz w:val="24"/>
        </w:rPr>
        <w:t xml:space="preserve"> што је утицало на повећање учешћа јавног дуга у динарима са 20,5% на крају 2013. године на 21,4% јавног дуга Републике Србије на крају септембра 2016. године, односно са 469,1 млрд динара колико је износио јавни дуг у динарима на крају 2013. године на 635</w:t>
      </w:r>
      <w:r>
        <w:rPr>
          <w:rFonts w:ascii="Times New Roman" w:eastAsia="Times New Roman" w:hAnsi="Times New Roman" w:cs="Times New Roman"/>
          <w:sz w:val="24"/>
        </w:rPr>
        <w:t>,5 млрд динара на крају септембра 2016.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подацима од 30. септембра 2016. године, највећи део јавног дуга општег нивоа државе Републике Србије је и даље деноминован у еврима и износи 41,3%. Затим су највише заступљени амерички долар са 32,5% и динар са 21,4%. Остатак дуга је деноминован у сп</w:t>
      </w:r>
      <w:r>
        <w:rPr>
          <w:rFonts w:ascii="Times New Roman" w:eastAsia="Times New Roman" w:hAnsi="Times New Roman" w:cs="Times New Roman"/>
          <w:sz w:val="24"/>
        </w:rPr>
        <w:t>ецијалним правима вучења 3,7% и осталим валутама 1,1%.</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дан 30. септембар 2016. године, највећи део јавног дуга општег нивоа државе Републике Србије је са фиксном каматном стопом – 78,1%, док се на јавни дуг са варијабилном каматном стопом односи 21,9</w:t>
      </w:r>
      <w:r>
        <w:rPr>
          <w:rFonts w:ascii="Times New Roman" w:eastAsia="Times New Roman" w:hAnsi="Times New Roman" w:cs="Times New Roman"/>
          <w:sz w:val="24"/>
        </w:rPr>
        <w:t xml:space="preserve">% укупног јавног дуга. Међу варијабилним </w:t>
      </w:r>
      <w:r>
        <w:rPr>
          <w:rFonts w:ascii="Times New Roman" w:eastAsia="Times New Roman" w:hAnsi="Times New Roman" w:cs="Times New Roman"/>
          <w:sz w:val="24"/>
        </w:rPr>
        <w:lastRenderedPageBreak/>
        <w:t>каматним стопама највише су заступљени EURIBOR и LIBOR на евро који чине 68,4%, затим LIBOR на амерички долар који чини 10,8%, док се на обавезе везане за референтну каматну стопу НБС односи 7,2%, а на остале обавез</w:t>
      </w:r>
      <w:r>
        <w:rPr>
          <w:rFonts w:ascii="Times New Roman" w:eastAsia="Times New Roman" w:hAnsi="Times New Roman" w:cs="Times New Roman"/>
          <w:sz w:val="24"/>
        </w:rPr>
        <w:t xml:space="preserve">е 13,6% (највећим делом на варијабилну каматну стопу за специјална права вучења).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Током 2016. године дошло је до даљег пада трошкова задуживања Републике Србије по основу динарских и евро деноминованих хартија од вредности захваљујући паду кредитног ри</w:t>
      </w:r>
      <w:r>
        <w:rPr>
          <w:rFonts w:ascii="Times New Roman" w:eastAsia="Times New Roman" w:hAnsi="Times New Roman" w:cs="Times New Roman"/>
          <w:sz w:val="24"/>
        </w:rPr>
        <w:t xml:space="preserve">зика земље односно смањењу премије ризика, ниској стопи инфлације и паду референтне каматне стопе НБС, која тренутно износи 4%, чиме је настављен тренд започет у последњем кварталу 2012. године.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sz w:val="24"/>
        </w:rPr>
      </w:pPr>
      <w:r>
        <w:rPr>
          <w:rFonts w:ascii="Times New Roman" w:eastAsia="Times New Roman" w:hAnsi="Times New Roman" w:cs="Times New Roman"/>
          <w:sz w:val="24"/>
        </w:rPr>
        <w:t>Сервисирање јавног дуга Републике Србије (централни н</w:t>
      </w:r>
      <w:r>
        <w:rPr>
          <w:rFonts w:ascii="Times New Roman" w:eastAsia="Times New Roman" w:hAnsi="Times New Roman" w:cs="Times New Roman"/>
          <w:sz w:val="24"/>
        </w:rPr>
        <w:t>иво власти) у периоду 2016–2019. годинe</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27. Пројекције отплате камата и главница до 2019. године, у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4667"/>
        <w:gridCol w:w="1001"/>
        <w:gridCol w:w="1001"/>
        <w:gridCol w:w="1003"/>
        <w:gridCol w:w="1005"/>
      </w:tblGrid>
      <w:tr w:rsidR="00BE17C7">
        <w:tblPrEx>
          <w:tblCellMar>
            <w:top w:w="0" w:type="dxa"/>
            <w:bottom w:w="0" w:type="dxa"/>
          </w:tblCellMar>
        </w:tblPrEx>
        <w:trPr>
          <w:trHeight w:val="170"/>
        </w:trPr>
        <w:tc>
          <w:tcPr>
            <w:tcW w:w="46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2016п</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2017п</w:t>
            </w:r>
          </w:p>
        </w:tc>
        <w:tc>
          <w:tcPr>
            <w:tcW w:w="10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2018п</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2019п</w:t>
            </w:r>
          </w:p>
        </w:tc>
      </w:tr>
      <w:tr w:rsidR="00BE17C7">
        <w:tblPrEx>
          <w:tblCellMar>
            <w:top w:w="0" w:type="dxa"/>
            <w:bottom w:w="0" w:type="dxa"/>
          </w:tblCellMar>
        </w:tblPrEx>
        <w:trPr>
          <w:trHeight w:val="170"/>
        </w:trPr>
        <w:tc>
          <w:tcPr>
            <w:tcW w:w="46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Главница</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537,5</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686,4</w:t>
            </w:r>
          </w:p>
        </w:tc>
        <w:tc>
          <w:tcPr>
            <w:tcW w:w="10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608,0</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580,4</w:t>
            </w:r>
          </w:p>
        </w:tc>
      </w:tr>
      <w:tr w:rsidR="00BE17C7">
        <w:tblPrEx>
          <w:tblCellMar>
            <w:top w:w="0" w:type="dxa"/>
            <w:bottom w:w="0" w:type="dxa"/>
          </w:tblCellMar>
        </w:tblPrEx>
        <w:trPr>
          <w:trHeight w:val="170"/>
        </w:trPr>
        <w:tc>
          <w:tcPr>
            <w:tcW w:w="46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Камата</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129,0</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134,0</w:t>
            </w:r>
          </w:p>
        </w:tc>
        <w:tc>
          <w:tcPr>
            <w:tcW w:w="10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132,5</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127,7</w:t>
            </w:r>
          </w:p>
        </w:tc>
      </w:tr>
      <w:tr w:rsidR="00BE17C7">
        <w:tblPrEx>
          <w:tblCellMar>
            <w:top w:w="0" w:type="dxa"/>
            <w:bottom w:w="0" w:type="dxa"/>
          </w:tblCellMar>
        </w:tblPrEx>
        <w:trPr>
          <w:trHeight w:val="170"/>
        </w:trPr>
        <w:tc>
          <w:tcPr>
            <w:tcW w:w="46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666,5</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820,3</w:t>
            </w:r>
          </w:p>
        </w:tc>
        <w:tc>
          <w:tcPr>
            <w:tcW w:w="10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740,4</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708,1</w:t>
            </w:r>
          </w:p>
        </w:tc>
      </w:tr>
      <w:tr w:rsidR="00BE17C7">
        <w:tblPrEx>
          <w:tblCellMar>
            <w:top w:w="0" w:type="dxa"/>
            <w:bottom w:w="0" w:type="dxa"/>
          </w:tblCellMar>
        </w:tblPrEx>
        <w:trPr>
          <w:trHeight w:val="170"/>
        </w:trPr>
        <w:tc>
          <w:tcPr>
            <w:tcW w:w="466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rPr>
              <w:t>У односу на јавни дуг на дан 30.09.2016. године,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22,4</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27,6</w:t>
            </w:r>
          </w:p>
        </w:tc>
        <w:tc>
          <w:tcPr>
            <w:tcW w:w="100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24,9</w:t>
            </w:r>
          </w:p>
        </w:tc>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23,8</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28. Пројекције отплате камата и главница до 2019. године</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3654"/>
        <w:gridCol w:w="1255"/>
        <w:gridCol w:w="1255"/>
        <w:gridCol w:w="1255"/>
        <w:gridCol w:w="1258"/>
      </w:tblGrid>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2016п</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2017п</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2018п</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2019п</w:t>
            </w:r>
          </w:p>
        </w:tc>
      </w:tr>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5023"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tabs>
                <w:tab w:val="left" w:pos="3942"/>
              </w:tabs>
              <w:spacing w:after="0" w:line="240" w:lineRule="auto"/>
              <w:jc w:val="right"/>
            </w:pPr>
            <w:r>
              <w:rPr>
                <w:rFonts w:ascii="Times New Roman" w:eastAsia="Times New Roman" w:hAnsi="Times New Roman" w:cs="Times New Roman"/>
              </w:rPr>
              <w:tab/>
            </w:r>
          </w:p>
        </w:tc>
      </w:tr>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БДП, млрд динара</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4.203,5</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4.396,7</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4.678,1</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4.987,5</w:t>
            </w:r>
          </w:p>
        </w:tc>
      </w:tr>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Главница, % БДП</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12,8</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15,6</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13,0</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w:t>
            </w:r>
          </w:p>
        </w:tc>
      </w:tr>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Камата, % БДП</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r>
      <w:tr w:rsidR="00BE17C7">
        <w:tblPrEx>
          <w:tblCellMar>
            <w:top w:w="0" w:type="dxa"/>
            <w:bottom w:w="0" w:type="dxa"/>
          </w:tblCellMar>
        </w:tblPrEx>
        <w:trPr>
          <w:trHeight w:val="170"/>
        </w:trPr>
        <w:tc>
          <w:tcPr>
            <w:tcW w:w="36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Укупно, % БДП</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15,9</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18,7</w:t>
            </w:r>
          </w:p>
        </w:tc>
        <w:tc>
          <w:tcPr>
            <w:tcW w:w="12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15,8</w:t>
            </w:r>
          </w:p>
        </w:tc>
        <w:tc>
          <w:tcPr>
            <w:tcW w:w="125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14,2</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 xml:space="preserve">Пројекција стања јавног дуга општег нивоа државе у периоду 2016 </w:t>
      </w:r>
      <w:r>
        <w:rPr>
          <w:rFonts w:ascii="Times New Roman" w:eastAsia="Times New Roman" w:hAnsi="Times New Roman" w:cs="Times New Roman"/>
          <w:sz w:val="24"/>
        </w:rPr>
        <w:t>–</w:t>
      </w:r>
      <w:r>
        <w:rPr>
          <w:rFonts w:ascii="Times New Roman" w:eastAsia="Times New Roman" w:hAnsi="Times New Roman" w:cs="Times New Roman"/>
          <w:i/>
          <w:sz w:val="24"/>
        </w:rPr>
        <w:t>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Имајући у виду пројектовани примарни дефицит буџета Републике Србије за период 2016–2019. године, укључујући и обим повлачења кредитних средстава за пројектно финансирање од буџетских корисника, ефекте промене девизног курса динара према евру и америчком д</w:t>
      </w:r>
      <w:r>
        <w:rPr>
          <w:rFonts w:ascii="Times New Roman" w:eastAsia="Times New Roman" w:hAnsi="Times New Roman" w:cs="Times New Roman"/>
          <w:sz w:val="24"/>
        </w:rPr>
        <w:t xml:space="preserve">олару, у основном макроекономском сценарију, стање дуга </w:t>
      </w:r>
      <w:r>
        <w:rPr>
          <w:rFonts w:ascii="Times New Roman" w:eastAsia="Times New Roman" w:hAnsi="Times New Roman" w:cs="Times New Roman"/>
          <w:sz w:val="24"/>
        </w:rPr>
        <w:lastRenderedPageBreak/>
        <w:t>централног нивоа државе требало би да буде на нивоу од 65,9% БДП на крају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29. Основна пројекција стања јавног дуга општег нивоа државе до 2019. године</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4990"/>
        <w:gridCol w:w="922"/>
        <w:gridCol w:w="922"/>
        <w:gridCol w:w="922"/>
        <w:gridCol w:w="921"/>
      </w:tblGrid>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2016п</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2017п</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2018п</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2019п</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3687"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БДП, млрд динара</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4.203,5</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4.396,7</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4.678,1</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4.987,5</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Примарни суфицит (централни ниво власти), млрд динара</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54,6</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64,9</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83,1</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91,9</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Камате (централни ниво власти), млрд динара</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129,0</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134,0</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132,5</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127,7</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(централни ниво власти), млрд динара</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3.089,2</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3.201,8</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3.256,4</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3.287,2</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централне државе, % БДП</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73,5</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72,8</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69,6</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65,9</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Негарантовани дуг локалне власти, % БДП</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w:t>
            </w:r>
          </w:p>
        </w:tc>
      </w:tr>
      <w:tr w:rsidR="00BE17C7">
        <w:tblPrEx>
          <w:tblCellMar>
            <w:top w:w="0" w:type="dxa"/>
            <w:bottom w:w="0" w:type="dxa"/>
          </w:tblCellMar>
        </w:tblPrEx>
        <w:trPr>
          <w:trHeight w:val="20"/>
        </w:trPr>
        <w:tc>
          <w:tcPr>
            <w:tcW w:w="499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опште државе, % БДП</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74,6</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73,9</w:t>
            </w:r>
          </w:p>
        </w:tc>
        <w:tc>
          <w:tcPr>
            <w:tcW w:w="922"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70,7</w:t>
            </w:r>
          </w:p>
        </w:tc>
        <w:tc>
          <w:tcPr>
            <w:tcW w:w="92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67,0</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2016. години се очекује пад рација који показује учешће јавног дуга општег нивоа државе у БДП на 74,6%, док се у 2017. години очекује пад на 73,9%, а пуни ефекти фискалне консолидације и предузетих мера ће дати резултате у 2019. години када се очекује па</w:t>
      </w:r>
      <w:r>
        <w:rPr>
          <w:rFonts w:ascii="Times New Roman" w:eastAsia="Times New Roman" w:hAnsi="Times New Roman" w:cs="Times New Roman"/>
          <w:sz w:val="24"/>
        </w:rPr>
        <w:t xml:space="preserve">д рација на 67%. Предвиђа се да ће негарантовани дуг локалног нивоа власти у наредном периоду бити на релативном нивоу од око 1,1% БДП.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Стање јавног дуга према критеријумима из Мастрихта</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Важно је напоменути да, према националној методологији, у стање јавног дуга улазе директне обавезе централног нивоа власти, као и све индиректне обавезе, односно гарантовани дуг у корист јавних предузећа, локалних власти и других правних лица чији је оснив</w:t>
      </w:r>
      <w:r>
        <w:rPr>
          <w:rFonts w:ascii="Times New Roman" w:eastAsia="Times New Roman" w:hAnsi="Times New Roman" w:cs="Times New Roman"/>
          <w:sz w:val="24"/>
        </w:rPr>
        <w:t>ач Република Србија. У такво стање улазе све гаранције, без обзира да ли ће бити плаћања по основу њих у наредном периоду.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 обзиром на то да је један од главних економских и политичких циљева Републике Србије прикључење ЕУ, као предуслов се намеће усклађи</w:t>
      </w:r>
      <w:r>
        <w:rPr>
          <w:rFonts w:ascii="Times New Roman" w:eastAsia="Times New Roman" w:hAnsi="Times New Roman" w:cs="Times New Roman"/>
          <w:sz w:val="24"/>
        </w:rPr>
        <w:t>вање домаће методологије у складу са европским стандардима. Из тог разлога, стање јавног дуга се анализира редовно и на основу критеријума постављених Уговором из Мастрихта, који представља систематизоване смернице у циљу одрживости јавног дуга и фискалног</w:t>
      </w:r>
      <w:r>
        <w:rPr>
          <w:rFonts w:ascii="Times New Roman" w:eastAsia="Times New Roman" w:hAnsi="Times New Roman" w:cs="Times New Roman"/>
          <w:sz w:val="24"/>
        </w:rPr>
        <w:t xml:space="preserve"> система, односно макроекономске стабилности. Према овим критеријумима, у стање јавног дуга треба укључити, поред директних обавеза централног нивоа власти и негарантовани дуг локалних власти, али искључити дуг по основу директних и индиректних обавеза за </w:t>
      </w:r>
      <w:r>
        <w:rPr>
          <w:rFonts w:ascii="Times New Roman" w:eastAsia="Times New Roman" w:hAnsi="Times New Roman" w:cs="Times New Roman"/>
          <w:sz w:val="24"/>
        </w:rPr>
        <w:t>које се од стране Републике (централног нивоа власти) не врше плаћања.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Овај дуг се мери по номиналној вредности једнакој уговореним износима дуга који Влада треба да врати кредиторима о року доспећа, што значи да јавни дуг није под утицајем промене тржишни</w:t>
      </w:r>
      <w:r>
        <w:rPr>
          <w:rFonts w:ascii="Times New Roman" w:eastAsia="Times New Roman" w:hAnsi="Times New Roman" w:cs="Times New Roman"/>
          <w:sz w:val="24"/>
        </w:rPr>
        <w:t>х приноса и искључује неплаћену обрачунску камату.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30. Структура и пројекција стања јавног дуга према Мастрихт критеријуму до 2019. године, у млрд динара</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3451"/>
        <w:gridCol w:w="904"/>
        <w:gridCol w:w="904"/>
        <w:gridCol w:w="905"/>
        <w:gridCol w:w="904"/>
        <w:gridCol w:w="904"/>
        <w:gridCol w:w="905"/>
      </w:tblGrid>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lastRenderedPageBreak/>
              <w:t> </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IX 2016.</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2016п</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2017п</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2018п</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2019п</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1808"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80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809"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Укупне директне обавезе</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2.626,5</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2.615,0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2.707,5</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2.828,4</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2.869,0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2.898,9</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Гарантовани дуг</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187,1</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161,4</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149,0</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116,2</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91,2</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73,0</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дуг сектора државе</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1,4</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0,4</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локалне власти</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81,9</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75,9</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77,1</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78,5</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80,0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81,7</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институција социјалног осигурања</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0,0</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Републике Србије</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2.896,9</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2.853,2</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2.934,3</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3.023,5</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3.040,7</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3.054,0</w:t>
            </w:r>
          </w:p>
        </w:tc>
      </w:tr>
      <w:tr w:rsidR="00BE17C7">
        <w:tblPrEx>
          <w:tblCellMar>
            <w:top w:w="0" w:type="dxa"/>
            <w:bottom w:w="0" w:type="dxa"/>
          </w:tblCellMar>
        </w:tblPrEx>
        <w:trPr>
          <w:trHeight w:val="227"/>
        </w:trPr>
        <w:tc>
          <w:tcPr>
            <w:tcW w:w="3451"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Јавни дуг Републике Србије, % БДП</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71,6</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67,9</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69,8</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68,8</w:t>
            </w:r>
          </w:p>
        </w:tc>
        <w:tc>
          <w:tcPr>
            <w:tcW w:w="90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65,0</w:t>
            </w:r>
          </w:p>
        </w:tc>
        <w:tc>
          <w:tcPr>
            <w:tcW w:w="90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61,2</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Принципи управљања јавним дугом</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Према Закону о јавном дугу, примарни циљ задуживања Републике Србије и управљања јавним дугом је да се осигурају средства потребна за финансирање буџетских издатака, са минималним трошковима финансирања на средњи и дуги рок и прихватљивим нивоом ризика. Ми</w:t>
      </w:r>
      <w:r>
        <w:rPr>
          <w:rFonts w:ascii="Times New Roman" w:eastAsia="Times New Roman" w:hAnsi="Times New Roman" w:cs="Times New Roman"/>
          <w:sz w:val="24"/>
        </w:rPr>
        <w:t>нимизација дугорочних трошкова сервисирања јавног дуга је ограничена структуром дуга и остваривање смањења трошкова ће бити условљено низом фактора и ризика. На основу тога, Стратегија управљања јавним дугом Републике Србије дефинише следеће опште циљеве и</w:t>
      </w:r>
      <w:r>
        <w:rPr>
          <w:rFonts w:ascii="Times New Roman" w:eastAsia="Times New Roman" w:hAnsi="Times New Roman" w:cs="Times New Roman"/>
          <w:sz w:val="24"/>
        </w:rPr>
        <w:t xml:space="preserve"> принципе: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1) Потребно је осигурати финансирање фискалног дефицита и редовно сервисирање обавеза по основу јавног дуга Републике Србије;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2) </w:t>
      </w:r>
      <w:r>
        <w:rPr>
          <w:rFonts w:ascii="Times New Roman" w:eastAsia="Times New Roman" w:hAnsi="Times New Roman" w:cs="Times New Roman"/>
          <w:sz w:val="24"/>
        </w:rPr>
        <w:t>Потребно је дефинисати прихватљив ниво ризика који треба да буде одређен у условима циљане структуре портфолија дуга у смислу валутне структуре дуга, структуре каматних стопа, структуре рочности и структуре дуга према инструментима;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3) Потребно је развијат</w:t>
      </w:r>
      <w:r>
        <w:rPr>
          <w:rFonts w:ascii="Times New Roman" w:eastAsia="Times New Roman" w:hAnsi="Times New Roman" w:cs="Times New Roman"/>
          <w:sz w:val="24"/>
        </w:rPr>
        <w:t>и тржишта државних хартија од вредности које се емитују на домаћем и међународном тржишту, како би развијено тржиште помогло у смањењу трошкова задуживања у средњем и дугом року;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4) Потребно је омогућити транспарентност и предвидивост процеса задуживања.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w:t>
      </w:r>
      <w:r>
        <w:rPr>
          <w:rFonts w:ascii="Times New Roman" w:eastAsia="Times New Roman" w:hAnsi="Times New Roman" w:cs="Times New Roman"/>
          <w:sz w:val="24"/>
        </w:rPr>
        <w:t>тратегија управљања јавним дугом треба да буде подржана и конзистентна са општим Владиним средњорочним макроекономским и фискалним оквиром.</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Стратегија управљања јавним дугом у наредном средњорочном периоду базираће се на финансирању издатака буџета Републи</w:t>
      </w:r>
      <w:r>
        <w:rPr>
          <w:rFonts w:ascii="Times New Roman" w:eastAsia="Times New Roman" w:hAnsi="Times New Roman" w:cs="Times New Roman"/>
          <w:sz w:val="24"/>
        </w:rPr>
        <w:t>ке Србије претежно путем емисије државних хартија од вредности на домаћем и међународном тржишту капитала. Тржиште државних хартија од вредности је још увек у развоју и један од принципа управљања јавним дугом је нужност постојања флексибилности, како би ф</w:t>
      </w:r>
      <w:r>
        <w:rPr>
          <w:rFonts w:ascii="Times New Roman" w:eastAsia="Times New Roman" w:hAnsi="Times New Roman" w:cs="Times New Roman"/>
          <w:sz w:val="24"/>
        </w:rPr>
        <w:t>инансирање издатака буџета Републике Србије било обезбеђено. Флексибилност ће се огледати у домену избора тржишта на коме ће се вршити задуживање, валуте задуживања и инструмента финансирања. Избор структуре финансирања узимаће у обзир тренутно стање и тре</w:t>
      </w:r>
      <w:r>
        <w:rPr>
          <w:rFonts w:ascii="Times New Roman" w:eastAsia="Times New Roman" w:hAnsi="Times New Roman" w:cs="Times New Roman"/>
          <w:sz w:val="24"/>
        </w:rPr>
        <w:t>нд развоја домаћег и међународног финансијског тржишта (ниво каматних стопа, премије ризика, криву приноса, девизне курсеве референтних валута) и прихватљив ниво изложености финансијским ризицима.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Циљ је да се у наредном дугорочном периоду финансирање обав</w:t>
      </w:r>
      <w:r>
        <w:rPr>
          <w:rFonts w:ascii="Times New Roman" w:eastAsia="Times New Roman" w:hAnsi="Times New Roman" w:cs="Times New Roman"/>
          <w:sz w:val="24"/>
        </w:rPr>
        <w:t xml:space="preserve">ља пре свега емитовањем динарских хартија од вредности на домаћем тржишту. Тренутна ситуација упућује на то да, упркос чврстој одлучности ка развоју домаћег тржишта државних хартија од вредности, један део финансирања мора бити обезбеђен на међународном </w:t>
      </w:r>
      <w:r>
        <w:rPr>
          <w:rFonts w:ascii="Times New Roman" w:eastAsia="Times New Roman" w:hAnsi="Times New Roman" w:cs="Times New Roman"/>
          <w:sz w:val="24"/>
        </w:rPr>
        <w:lastRenderedPageBreak/>
        <w:t>фи</w:t>
      </w:r>
      <w:r>
        <w:rPr>
          <w:rFonts w:ascii="Times New Roman" w:eastAsia="Times New Roman" w:hAnsi="Times New Roman" w:cs="Times New Roman"/>
          <w:sz w:val="24"/>
        </w:rPr>
        <w:t>нансијском тржишту у средњорочном периоду. Смернице за финансирање на међународном тржишту у ино-валути, обезбеђивање приступа великом броју инвеститора на различитим деловима међународног финансијског тржишта и задуживање у ино-валути (у мери у којој је т</w:t>
      </w:r>
      <w:r>
        <w:rPr>
          <w:rFonts w:ascii="Times New Roman" w:eastAsia="Times New Roman" w:hAnsi="Times New Roman" w:cs="Times New Roman"/>
          <w:sz w:val="24"/>
        </w:rPr>
        <w:t>о могуће) дефинише се у складу са отплатама дуга деноминованог у страној валути.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Позајмљивање у страној валути, као нпр. у америчким доларима, за собом повлачи и девизни ризик услед промене курсева динар – евро и евро – амерички долар, те је из тог разлога</w:t>
      </w:r>
      <w:r>
        <w:rPr>
          <w:rFonts w:ascii="Times New Roman" w:eastAsia="Times New Roman" w:hAnsi="Times New Roman" w:cs="Times New Roman"/>
          <w:sz w:val="24"/>
        </w:rPr>
        <w:t xml:space="preserve"> неопходно размотрити и користити могућност хеџинга уколико се позајмљивање не врши у динарима.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Политика управљања јавним дугом мора да узме у обзир дугорочну перспективу, али се одлука о финансирању буџетских издатака мора доносити годишње. Одлука о годи</w:t>
      </w:r>
      <w:r>
        <w:rPr>
          <w:rFonts w:ascii="Times New Roman" w:eastAsia="Times New Roman" w:hAnsi="Times New Roman" w:cs="Times New Roman"/>
          <w:sz w:val="24"/>
        </w:rPr>
        <w:t>шњем задуживању се доноси у оквиру закона о буџету за одређену фискалну годину. У зависности од промене основних фискалних агрегата могућа је корекција плана задуживања током фискалне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Финансијски ризици и мере за управљање финансијским ризицима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Фин</w:t>
      </w:r>
      <w:r>
        <w:rPr>
          <w:rFonts w:ascii="Times New Roman" w:eastAsia="Times New Roman" w:hAnsi="Times New Roman" w:cs="Times New Roman"/>
          <w:sz w:val="24"/>
        </w:rPr>
        <w:t xml:space="preserve">ансијски и фискални ризици могу довести до већег раста јавног дуга него што га предвиђа основни сценарио. Ризици који су присутни и који могу да доведу до раста задужености и трошкова сервисирања јавног дуга су: ризик рефинансирања, девизни ризик, тржишни </w:t>
      </w:r>
      <w:r>
        <w:rPr>
          <w:rFonts w:ascii="Times New Roman" w:eastAsia="Times New Roman" w:hAnsi="Times New Roman" w:cs="Times New Roman"/>
          <w:sz w:val="24"/>
        </w:rPr>
        <w:t xml:space="preserve">ризик (ризик каматних стопа, ризик инфлације), ризик ликвидности, кредитни и оперативни ризици и ризици везани за дистрибуцију трошкова сервисирања (структура дуга, концентрација обавеза).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смањења изложености финансијским ризицима потребно је спров</w:t>
      </w:r>
      <w:r>
        <w:rPr>
          <w:rFonts w:ascii="Times New Roman" w:eastAsia="Times New Roman" w:hAnsi="Times New Roman" w:cs="Times New Roman"/>
          <w:sz w:val="24"/>
        </w:rPr>
        <w:t xml:space="preserve">одити следеће мере: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ризик рефинансирања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повећање учешћа средњорочних и дугорочних финансијских инструмената деноминованих у динарима на домаћем финансијском тржишту;</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равномерна расподела обавеза по основу јавног дуга на годишњем нивоу и током фискалне го</w:t>
      </w:r>
      <w:r>
        <w:rPr>
          <w:rFonts w:ascii="Times New Roman" w:eastAsia="Times New Roman" w:hAnsi="Times New Roman" w:cs="Times New Roman"/>
          <w:sz w:val="24"/>
        </w:rPr>
        <w:t>дине у наредном дугорочном периоду;</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продужавање просечне рочности дуга који се емитује у хартијама од вредности;</w:t>
      </w: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девизни ризик </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настојање да се смањи учешће дуга деноминованог у ино-валути уз уважавање трошкова новог дуга (трошкови динаризације дуга);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коришћење финансијских деривата у циљу лимитирања ефеката промене курсева референтних валута;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настојање да спољни дуг буде претежно у еврима и да се доларски дуг користи само ако је финансирање на међународном тржишту у америчким доларима јефтиније уз кори</w:t>
      </w:r>
      <w:r>
        <w:rPr>
          <w:rFonts w:ascii="Times New Roman" w:eastAsia="Times New Roman" w:hAnsi="Times New Roman" w:cs="Times New Roman"/>
          <w:sz w:val="24"/>
        </w:rPr>
        <w:t>шћење финансијских деривата за лимитирање ризика;</w:t>
      </w: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тржишни ризик (ризик каматних стопа, ризик инфлације)</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настојање да се продужи просечна рочност домаћег дуга у динарима;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емитовање индексираних обвезница (индексација каматних стопа);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настојање да ризик по о</w:t>
      </w:r>
      <w:r>
        <w:rPr>
          <w:rFonts w:ascii="Times New Roman" w:eastAsia="Times New Roman" w:hAnsi="Times New Roman" w:cs="Times New Roman"/>
          <w:sz w:val="24"/>
        </w:rPr>
        <w:t xml:space="preserve">снову каматних стопа на спољни дуг не угрожава дугорочни циљ минимизације трошкова јавног дуга; </w:t>
      </w: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ризик ликвидности</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перманентно одржавање нивоа готовине на рачунима Републике Србије на нивоу који омогућава несметано финансирање обавеза у минимуму од четири </w:t>
      </w:r>
      <w:r>
        <w:rPr>
          <w:rFonts w:ascii="Times New Roman" w:eastAsia="Times New Roman" w:hAnsi="Times New Roman" w:cs="Times New Roman"/>
          <w:sz w:val="24"/>
        </w:rPr>
        <w:t>месеца и на нивоу који омогућава апсорпцију евентуалних мањих прилива по основу задуживања у односу на план;</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адекватно управљање слободним готовинским средствима на рачунима Републике Србије у складу са принципима </w:t>
      </w:r>
      <w:r>
        <w:rPr>
          <w:rFonts w:ascii="Times New Roman" w:eastAsia="Times New Roman" w:hAnsi="Times New Roman" w:cs="Times New Roman"/>
          <w:i/>
          <w:sz w:val="24"/>
        </w:rPr>
        <w:t>asset-liability management</w:t>
      </w:r>
      <w:r>
        <w:rPr>
          <w:rFonts w:ascii="Times New Roman" w:eastAsia="Times New Roman" w:hAnsi="Times New Roman" w:cs="Times New Roman"/>
          <w:sz w:val="24"/>
        </w:rPr>
        <w:t xml:space="preserve"> у складу са мог</w:t>
      </w:r>
      <w:r>
        <w:rPr>
          <w:rFonts w:ascii="Times New Roman" w:eastAsia="Times New Roman" w:hAnsi="Times New Roman" w:cs="Times New Roman"/>
          <w:sz w:val="24"/>
        </w:rPr>
        <w:t>ућностима;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консолидација, поред динарских, и девизних средстава у оквиру консолидованог система трезора који се води код НБС и коришћење девизних средстава за активно управљање са ликвидношћу и на девизном рачуну извршења буџета;</w:t>
      </w: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кредитни и оперативни ризи</w:t>
      </w:r>
      <w:r>
        <w:rPr>
          <w:rFonts w:ascii="Times New Roman" w:eastAsia="Times New Roman" w:hAnsi="Times New Roman" w:cs="Times New Roman"/>
          <w:sz w:val="24"/>
        </w:rPr>
        <w:t>ци</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спровођење трансакција са финансијским дериватима само са финансијским институцијама које имају висок кредитни рејтинг;</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коришћење финансијских инструмената који лимитирају кредитни ризик;</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давање гаранција и одобравање новог дуга локалним властима и јавн</w:t>
      </w:r>
      <w:r>
        <w:rPr>
          <w:rFonts w:ascii="Times New Roman" w:eastAsia="Times New Roman" w:hAnsi="Times New Roman" w:cs="Times New Roman"/>
          <w:sz w:val="24"/>
        </w:rPr>
        <w:t>им предузећима само ако постоји адекватна анализа о релативно ниском степену вероватноће да се реализује гаранција у средњорочном периоду;</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увођење адекватне контроле у свим пословним активностима у Управи за јавни дуг и унапређење знања запослених, за шта </w:t>
      </w:r>
      <w:r>
        <w:rPr>
          <w:rFonts w:ascii="Times New Roman" w:eastAsia="Times New Roman" w:hAnsi="Times New Roman" w:cs="Times New Roman"/>
          <w:sz w:val="24"/>
        </w:rPr>
        <w:t>је потребно повећати лимит броја запослених и одобрити адекватна буџетска средства;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креирање новог информационог система за праћење јавног дуга и операција са њим;</w:t>
      </w:r>
    </w:p>
    <w:p w:rsidR="00BE17C7" w:rsidRDefault="00843F0B">
      <w:pPr>
        <w:numPr>
          <w:ilvl w:val="0"/>
          <w:numId w:val="13"/>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ризици везани за дистрибуцију трошкова сервисирања</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адекватно планирање задуживања на годишње</w:t>
      </w:r>
      <w:r>
        <w:rPr>
          <w:rFonts w:ascii="Times New Roman" w:eastAsia="Times New Roman" w:hAnsi="Times New Roman" w:cs="Times New Roman"/>
          <w:sz w:val="24"/>
        </w:rPr>
        <w:t>м нивоу и равномерна расподела у наредним годинама и током фискалне године, како би се избегао ризик велике концентрације обавеза за рефинансирање;</w:t>
      </w:r>
    </w:p>
    <w:p w:rsidR="00BE17C7" w:rsidRDefault="00843F0B">
      <w:pPr>
        <w:numPr>
          <w:ilvl w:val="0"/>
          <w:numId w:val="13"/>
        </w:numPr>
        <w:spacing w:after="0" w:line="240" w:lineRule="auto"/>
        <w:ind w:left="1800" w:hanging="360"/>
        <w:jc w:val="both"/>
        <w:rPr>
          <w:rFonts w:ascii="Times New Roman" w:eastAsia="Times New Roman" w:hAnsi="Times New Roman" w:cs="Times New Roman"/>
          <w:sz w:val="24"/>
        </w:rPr>
      </w:pPr>
      <w:r>
        <w:rPr>
          <w:rFonts w:ascii="Times New Roman" w:eastAsia="Times New Roman" w:hAnsi="Times New Roman" w:cs="Times New Roman"/>
          <w:sz w:val="24"/>
        </w:rPr>
        <w:t>избегавање концентрације обавеза по основу јавног дуга на месечном нивоу, који не би могао бити амортизован слободним новчаним средствима на рачунима Републике Србије.</w:t>
      </w:r>
    </w:p>
    <w:p w:rsidR="00BE17C7" w:rsidRDefault="00BE17C7">
      <w:pPr>
        <w:spacing w:after="0" w:line="240" w:lineRule="auto"/>
        <w:jc w:val="center"/>
        <w:rPr>
          <w:rFonts w:ascii="Times New Roman" w:eastAsia="Times New Roman" w:hAnsi="Times New Roman" w:cs="Times New Roman"/>
          <w:i/>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Анализе коришћене приликом израде Стратегије за управљање јавним дугом</w:t>
      </w:r>
    </w:p>
    <w:p w:rsidR="00BE17C7" w:rsidRDefault="00BE17C7">
      <w:pPr>
        <w:spacing w:after="0" w:line="240" w:lineRule="auto"/>
        <w:ind w:firstLine="720"/>
        <w:jc w:val="both"/>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Управа за јавни дуг је користила квантитативни приступ за формулисање Стратегије за управљање јавним дугом, идентификујући могућа ограничења кроз макроекономске показатеље, анализу трошкова и ризика и тржишних услова који утичу на управљање јавним дугом. П</w:t>
      </w:r>
      <w:r>
        <w:rPr>
          <w:rFonts w:ascii="Times New Roman" w:eastAsia="Times New Roman" w:hAnsi="Times New Roman" w:cs="Times New Roman"/>
          <w:sz w:val="24"/>
        </w:rPr>
        <w:t>риликом анализирања трошкова и ризика разматрају се све изводљиве алтернативе финансирања. Удео сваког инструмента у укупним потребама за финансирањем у датој години одређен је у складу са циљевима Стратегије.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сврху анализе коришћени су доле описани инст</w:t>
      </w:r>
      <w:r>
        <w:rPr>
          <w:rFonts w:ascii="Times New Roman" w:eastAsia="Times New Roman" w:hAnsi="Times New Roman" w:cs="Times New Roman"/>
          <w:sz w:val="24"/>
        </w:rPr>
        <w:t>рументи доступни на домаћем и међународном финансијском тржишту.</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Извори финансирања деноминовани у страној валути</w:t>
      </w:r>
    </w:p>
    <w:p w:rsidR="00BE17C7" w:rsidRDefault="00843F0B">
      <w:pPr>
        <w:numPr>
          <w:ilvl w:val="0"/>
          <w:numId w:val="14"/>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Зајмови страних влада и међународних финансијских институција - приказани као инструменти деноминовани у еврима или америчким доларима, са фи</w:t>
      </w:r>
      <w:r>
        <w:rPr>
          <w:rFonts w:ascii="Times New Roman" w:eastAsia="Times New Roman" w:hAnsi="Times New Roman" w:cs="Times New Roman"/>
          <w:sz w:val="24"/>
        </w:rPr>
        <w:t>ксном или варијабилном каматном стопом;</w:t>
      </w:r>
    </w:p>
    <w:p w:rsidR="00BE17C7" w:rsidRDefault="00843F0B">
      <w:pPr>
        <w:numPr>
          <w:ilvl w:val="0"/>
          <w:numId w:val="14"/>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Домаћи дуг деноминован у еврима исказан кроз два инструмента – државни записи и државне обвезнице емитоване на домаћем финансијском тржишту;</w:t>
      </w:r>
    </w:p>
    <w:p w:rsidR="00BE17C7" w:rsidRDefault="00843F0B">
      <w:pPr>
        <w:numPr>
          <w:ilvl w:val="0"/>
          <w:numId w:val="14"/>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Еврообвезница (</w:t>
      </w:r>
      <w:r>
        <w:rPr>
          <w:rFonts w:ascii="Times New Roman" w:eastAsia="Times New Roman" w:hAnsi="Times New Roman" w:cs="Times New Roman"/>
          <w:i/>
          <w:sz w:val="24"/>
        </w:rPr>
        <w:t>Eurobond</w:t>
      </w:r>
      <w:r>
        <w:rPr>
          <w:rFonts w:ascii="Times New Roman" w:eastAsia="Times New Roman" w:hAnsi="Times New Roman" w:cs="Times New Roman"/>
          <w:sz w:val="24"/>
        </w:rPr>
        <w:t>) - емитована у еврима или америчким доларима на међ</w:t>
      </w:r>
      <w:r>
        <w:rPr>
          <w:rFonts w:ascii="Times New Roman" w:eastAsia="Times New Roman" w:hAnsi="Times New Roman" w:cs="Times New Roman"/>
          <w:sz w:val="24"/>
        </w:rPr>
        <w:t>ународном финансијском тржишту.</w:t>
      </w:r>
    </w:p>
    <w:p w:rsidR="00BE17C7" w:rsidRDefault="00BE17C7">
      <w:pPr>
        <w:spacing w:after="0" w:line="240" w:lineRule="auto"/>
        <w:ind w:left="144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Извори финансирања у домаћој валути</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Све државне хартије од вредности деноминоване у динарима груписане су у неколико група, и то у краткорочне државне записе (са роковима доспећа до 53 недеље), двогодишње, трогодишње и дуг</w:t>
      </w:r>
      <w:r>
        <w:rPr>
          <w:rFonts w:ascii="Times New Roman" w:eastAsia="Times New Roman" w:hAnsi="Times New Roman" w:cs="Times New Roman"/>
          <w:sz w:val="24"/>
        </w:rPr>
        <w:t>орочне (петогодишње, седмогодишње и десетогодишње) државне обвезнице.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center"/>
        <w:rPr>
          <w:rFonts w:ascii="Times New Roman" w:eastAsia="Times New Roman" w:hAnsi="Times New Roman" w:cs="Times New Roman"/>
          <w:i/>
          <w:sz w:val="24"/>
        </w:rPr>
      </w:pPr>
      <w:r>
        <w:rPr>
          <w:rFonts w:ascii="Times New Roman" w:eastAsia="Times New Roman" w:hAnsi="Times New Roman" w:cs="Times New Roman"/>
          <w:i/>
          <w:sz w:val="24"/>
        </w:rPr>
        <w:t>Будуће тржишне каматне стопе и сценарио анализа</w:t>
      </w:r>
    </w:p>
    <w:p w:rsidR="00BE17C7" w:rsidRDefault="00BE17C7">
      <w:pPr>
        <w:spacing w:after="0" w:line="240" w:lineRule="auto"/>
        <w:ind w:firstLine="720"/>
        <w:jc w:val="both"/>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Приликом израде средњорочне стратегије управљања јавним дугом за период 2017–2019. године коришћене су квантитативне анализе трошкова и </w:t>
      </w:r>
      <w:r>
        <w:rPr>
          <w:rFonts w:ascii="Times New Roman" w:eastAsia="Times New Roman" w:hAnsi="Times New Roman" w:cs="Times New Roman"/>
          <w:sz w:val="24"/>
        </w:rPr>
        <w:t>ризика засноване на различитим сценаријима и пројекцијама.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Полази се од основног сценарија који се базира на највише вероватним тржишним условима. Затим, идентификоване су три групе тржишних варијабли: девизни курс, каматне стопе на међународном тржишту и </w:t>
      </w:r>
      <w:r>
        <w:rPr>
          <w:rFonts w:ascii="Times New Roman" w:eastAsia="Times New Roman" w:hAnsi="Times New Roman" w:cs="Times New Roman"/>
          <w:sz w:val="24"/>
        </w:rPr>
        <w:t>каматне стопе на динаре. Будуће тржишне стопе могу се извести анализом доступних предвиђања паритета куповне снаге или предвиђањем паритета каматних стопа. Претпостављено је кретање курса динара у односу на евро и у односу на амерички долар у складу са мак</w:t>
      </w:r>
      <w:r>
        <w:rPr>
          <w:rFonts w:ascii="Times New Roman" w:eastAsia="Times New Roman" w:hAnsi="Times New Roman" w:cs="Times New Roman"/>
          <w:sz w:val="24"/>
        </w:rPr>
        <w:t>роекономским оквиром у посматраном периоду и задржан је релативно стабилан однос евра и америчког долара, како би се добила чиста слика датог ефекта примењеног шока. У шоковима су тестирани ефекти промена тржишних каматних стопа. Приступ за динарске каматн</w:t>
      </w:r>
      <w:r>
        <w:rPr>
          <w:rFonts w:ascii="Times New Roman" w:eastAsia="Times New Roman" w:hAnsi="Times New Roman" w:cs="Times New Roman"/>
          <w:sz w:val="24"/>
        </w:rPr>
        <w:t>е стопе заснива се на тренутним стопама приноса оствареним током 2016. године.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Након дефинисања основног сценарија, у циљу стрес тестирања одабране су још три врсте сценарија – шокова.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Депрецијација динара у односу на амерички долар од 15%. При овој врсти</w:t>
      </w:r>
      <w:r>
        <w:rPr>
          <w:rFonts w:ascii="Times New Roman" w:eastAsia="Times New Roman" w:hAnsi="Times New Roman" w:cs="Times New Roman"/>
          <w:sz w:val="24"/>
        </w:rPr>
        <w:t xml:space="preserve"> шока не мења се однос евра и динара у пројекцији. Овакав сценарио има велики утицај на јавни дуг Републике Србије због удела дуга деноминованог у америчким доларима који је на крају септембра 2016. године чинио 33% јавног дуга централног нивоа власти Репу</w:t>
      </w:r>
      <w:r>
        <w:rPr>
          <w:rFonts w:ascii="Times New Roman" w:eastAsia="Times New Roman" w:hAnsi="Times New Roman" w:cs="Times New Roman"/>
          <w:sz w:val="24"/>
        </w:rPr>
        <w:t xml:space="preserve">блике Србије.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Депрецијација динара у односу на све валуте од 15%. У овом сценарију однос евра и америчког долара би остао стабилан, док би само динар депрецирао у односу на обе валуте. Макроекономске околности за такав сценарио би се односиле на велики те</w:t>
      </w:r>
      <w:r>
        <w:rPr>
          <w:rFonts w:ascii="Times New Roman" w:eastAsia="Times New Roman" w:hAnsi="Times New Roman" w:cs="Times New Roman"/>
          <w:sz w:val="24"/>
        </w:rPr>
        <w:t>кући дефицит платног биланса и низак прилив страних директних и портфолио инвестиција.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Повећање каматних стопа на међународном тржишту. Тренутне каматне стопе у свету су на историјски ниском нивоу. Уколико дође до опоравка светске економије каматне стопе ћ</w:t>
      </w:r>
      <w:r>
        <w:rPr>
          <w:rFonts w:ascii="Times New Roman" w:eastAsia="Times New Roman" w:hAnsi="Times New Roman" w:cs="Times New Roman"/>
          <w:sz w:val="24"/>
        </w:rPr>
        <w:t xml:space="preserve">е се вероватно повећати за око 2 п.п. у средњорочном року.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Повећање каматних стопа на домаћем тржишту до 4 п.п. Овакав сценарио био би могућ уколико инфлација буде изнад дозвољеног одступања навише у односу на циљану </w:t>
      </w:r>
      <w:r>
        <w:rPr>
          <w:rFonts w:ascii="Times New Roman" w:eastAsia="Times New Roman" w:hAnsi="Times New Roman" w:cs="Times New Roman"/>
          <w:sz w:val="24"/>
        </w:rPr>
        <w:lastRenderedPageBreak/>
        <w:t>инфлацију, као у периоду до 2012. годи</w:t>
      </w:r>
      <w:r>
        <w:rPr>
          <w:rFonts w:ascii="Times New Roman" w:eastAsia="Times New Roman" w:hAnsi="Times New Roman" w:cs="Times New Roman"/>
          <w:sz w:val="24"/>
        </w:rPr>
        <w:t xml:space="preserve">не и уколико буде присутна велика волатилност курса динара према евру услед повећања премије ризика земље.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Сваки од горе наведених стрес тестова или сценарија ризика је коришћен за преглед ефеката коштања разматраних стратегија.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Алтернативне стратегије задуживања за период 2017</w:t>
      </w:r>
      <w:r>
        <w:rPr>
          <w:rFonts w:ascii="Times New Roman" w:eastAsia="Times New Roman" w:hAnsi="Times New Roman" w:cs="Times New Roman"/>
          <w:sz w:val="24"/>
        </w:rPr>
        <w:t>–</w:t>
      </w:r>
      <w:r>
        <w:rPr>
          <w:rFonts w:ascii="Times New Roman" w:eastAsia="Times New Roman" w:hAnsi="Times New Roman" w:cs="Times New Roman"/>
          <w:i/>
          <w:sz w:val="24"/>
        </w:rPr>
        <w:t>2019. године</w:t>
      </w:r>
    </w:p>
    <w:p w:rsidR="00BE17C7" w:rsidRDefault="00BE17C7">
      <w:pPr>
        <w:spacing w:after="0" w:line="240" w:lineRule="auto"/>
        <w:ind w:firstLine="720"/>
        <w:jc w:val="both"/>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Оптимални избор између трошкова и ризика, на бази модела Светске банке MTDS, дефинисао је избор основне стратегије задуживања за наредни средњорочни период. Анализиране алтернативне стратегије</w:t>
      </w:r>
      <w:r>
        <w:rPr>
          <w:rFonts w:ascii="Times New Roman" w:eastAsia="Times New Roman" w:hAnsi="Times New Roman" w:cs="Times New Roman"/>
          <w:sz w:val="24"/>
        </w:rPr>
        <w:t xml:space="preserve"> задуживања су: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Основна стратегија (С1): представља стратегију која покрива потребе за финансирањем емисијама државних хартија од вредности у домаћој и страној валути на домаћем финансијском тржишту и емисијама еврообвезница у еврима са рочношћу пет и десе</w:t>
      </w:r>
      <w:r>
        <w:rPr>
          <w:rFonts w:ascii="Times New Roman" w:eastAsia="Times New Roman" w:hAnsi="Times New Roman" w:cs="Times New Roman"/>
          <w:sz w:val="24"/>
        </w:rPr>
        <w:t>т година.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Стратегија са обезбеђеним концесионалним зајмом (С2): у односу на стратегију С1, емитује се еврообвезница у еврима на рок од десет година, обезбеђује се повољни дугорочни зајам са фиксном каматном стопом од око 2% у америчким доларима, док се дод</w:t>
      </w:r>
      <w:r>
        <w:rPr>
          <w:rFonts w:ascii="Times New Roman" w:eastAsia="Times New Roman" w:hAnsi="Times New Roman" w:cs="Times New Roman"/>
          <w:sz w:val="24"/>
        </w:rPr>
        <w:t>атно финансирање на домаћем тржишту заснива највећим делом на динарским хартијама од вредности у структури, слично као код С1. Ова стратегија у односу на стратегију С1 има веће учешће екстерних извора финансирања.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Стратегија заснована на емисијама еврообве</w:t>
      </w:r>
      <w:r>
        <w:rPr>
          <w:rFonts w:ascii="Times New Roman" w:eastAsia="Times New Roman" w:hAnsi="Times New Roman" w:cs="Times New Roman"/>
          <w:sz w:val="24"/>
        </w:rPr>
        <w:t>зница (С3): стратегија С3, у односу на стратегију С1, предвиђа да се емисије еврообвезница рочности пет и десет година емитују у америчким доларима, док структура и обим емисија динарских државних хартија од вредности остају као код стратегије С1.</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Стратеги</w:t>
      </w:r>
      <w:r>
        <w:rPr>
          <w:rFonts w:ascii="Times New Roman" w:eastAsia="Times New Roman" w:hAnsi="Times New Roman" w:cs="Times New Roman"/>
          <w:sz w:val="24"/>
        </w:rPr>
        <w:t>ја додатне динаризације (С4): представља стратегију која целокупно финансирање заснива на емисијама динарских хартија од вредности.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Финансирање издатака буџета Републике Србије по свим стратегијама вршиће се претежно путем емисија државних хартија од вредн</w:t>
      </w:r>
      <w:r>
        <w:rPr>
          <w:rFonts w:ascii="Times New Roman" w:eastAsia="Times New Roman" w:hAnsi="Times New Roman" w:cs="Times New Roman"/>
          <w:sz w:val="24"/>
        </w:rPr>
        <w:t>ости на међународном и домаћем тржишту капитала, осим код стратегије С2, где се предвиђа знатније учешће концесионалних зајмова.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Поређење алтернативних стратегија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Квантитативна анализа представља учинке сваке од четири алтернативне стратегије задуживања,</w:t>
      </w:r>
      <w:r>
        <w:rPr>
          <w:rFonts w:ascii="Times New Roman" w:eastAsia="Times New Roman" w:hAnsi="Times New Roman" w:cs="Times New Roman"/>
          <w:sz w:val="24"/>
        </w:rPr>
        <w:t xml:space="preserve"> где се на вертикалној оси налази учешће дуга у БДП, односно трошка камата у БДП при основном макроекономском оквиру, док се на хоризонталној оси налази потенцијални трошак одређене стратегије задуживања (резултат стрес теста). Примењене су две мере трошко</w:t>
      </w:r>
      <w:r>
        <w:rPr>
          <w:rFonts w:ascii="Times New Roman" w:eastAsia="Times New Roman" w:hAnsi="Times New Roman" w:cs="Times New Roman"/>
          <w:sz w:val="24"/>
        </w:rPr>
        <w:t>ва: однос јавног дуга према БДП и номинална камата као проценат БДП. Први однос је индикатор стања, а други индикатор тока. У циљу поређења, пажња је усмерена на резултате разматраних стратегија на крају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jc w:val="center"/>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основу графикона јасно се уочав</w:t>
      </w:r>
      <w:r>
        <w:rPr>
          <w:rFonts w:ascii="Times New Roman" w:eastAsia="Times New Roman" w:hAnsi="Times New Roman" w:cs="Times New Roman"/>
          <w:sz w:val="24"/>
        </w:rPr>
        <w:t xml:space="preserve">ају трошкови које свака од разматраних стратегија носи са собом – стратегије С2 и С3 имају релативно већу изложеност ризику </w:t>
      </w:r>
      <w:r>
        <w:rPr>
          <w:rFonts w:ascii="Times New Roman" w:eastAsia="Times New Roman" w:hAnsi="Times New Roman" w:cs="Times New Roman"/>
          <w:sz w:val="24"/>
        </w:rPr>
        <w:lastRenderedPageBreak/>
        <w:t>девизног курса. Стратегија С1 услед комбиновања динарских и евро деноминованих хартија од вредности у тренутним пропорцијама има вел</w:t>
      </w:r>
      <w:r>
        <w:rPr>
          <w:rFonts w:ascii="Times New Roman" w:eastAsia="Times New Roman" w:hAnsi="Times New Roman" w:cs="Times New Roman"/>
          <w:sz w:val="24"/>
        </w:rPr>
        <w:t>ику изложеност могућим осцилацијама динарских каматних стопа на државне хартије од вредности, док се тај ниво изложености код стратегије С4 значајно повећава, јер се целокупно додатно финансирање обезбеђује емисијама динарских хартија од вредности. Са друг</w:t>
      </w:r>
      <w:r>
        <w:rPr>
          <w:rFonts w:ascii="Times New Roman" w:eastAsia="Times New Roman" w:hAnsi="Times New Roman" w:cs="Times New Roman"/>
          <w:sz w:val="24"/>
        </w:rPr>
        <w:t>е стране, стратегија С4 при основном макроекономском оквиру има, због релативно већег учешћа динара, стабилнији рацио учешћа дуга у БДП. Код стратегије С2, која се једним делом заснива на дугорочном концесионалном зајму у америчким доларима, присутан је на</w:t>
      </w:r>
      <w:r>
        <w:rPr>
          <w:rFonts w:ascii="Times New Roman" w:eastAsia="Times New Roman" w:hAnsi="Times New Roman" w:cs="Times New Roman"/>
          <w:sz w:val="24"/>
        </w:rPr>
        <w:t>јмањи ризик код каматних стопа у односу на све четири посматране стратегије услед ниског фиксног трошка концесионалног зајма. Стратегија С3 се показује као релативно доста ризична у погледу рација дуг/БДП, јер се додатно финансирање заснива на емисији обве</w:t>
      </w:r>
      <w:r>
        <w:rPr>
          <w:rFonts w:ascii="Times New Roman" w:eastAsia="Times New Roman" w:hAnsi="Times New Roman" w:cs="Times New Roman"/>
          <w:sz w:val="24"/>
        </w:rPr>
        <w:t>зница деноминованих у америчким доларима, док се стратегија С4 показује као релативно скупа с обзиром на високо учешће динарских хартија од вредности у овој стратегији.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Приликом анализе односа јавног дуга и БДП оцењено је да стратегија С2 представља најризичнији избор. Основна стратегија С1 има нешто више трошкове камата у односу на стратегију С2 услед већег учешћа динарских хартија од вредности. При основном макроекономс</w:t>
      </w:r>
      <w:r>
        <w:rPr>
          <w:rFonts w:ascii="Times New Roman" w:eastAsia="Times New Roman" w:hAnsi="Times New Roman" w:cs="Times New Roman"/>
          <w:sz w:val="24"/>
        </w:rPr>
        <w:t>ком оквиру стратегија С2 има ниске трошкове камата, јер се један део потреба за финансирањем обезбеђује из концесионалног зајма. На основу ових анализа евидентно је да ће се у наредном, средњорочном периоду основне операције задуживања заснивати на стратег</w:t>
      </w:r>
      <w:r>
        <w:rPr>
          <w:rFonts w:ascii="Times New Roman" w:eastAsia="Times New Roman" w:hAnsi="Times New Roman" w:cs="Times New Roman"/>
          <w:sz w:val="24"/>
        </w:rPr>
        <w:t>ијама С1 и С2, али уз јасну преференцију да ће се, уколико се укажу могућности за задуживање по концесионалним условима у већем обиму, дужничке операције заснивати на стратегији С2, с тим да би даље смањивање каматних стопа на динарске дугорочне хартије од</w:t>
      </w:r>
      <w:r>
        <w:rPr>
          <w:rFonts w:ascii="Times New Roman" w:eastAsia="Times New Roman" w:hAnsi="Times New Roman" w:cs="Times New Roman"/>
          <w:sz w:val="24"/>
        </w:rPr>
        <w:t xml:space="preserve"> вредности водило ка преференцији стратегије С1. Применом дисконтних стопа које одражавају гранични (маргинални) трошак задуживања Републике Србије на финансијском тржишту добија се да су и са аспекта нето садашње вредности најоптималније стратегије задужи</w:t>
      </w:r>
      <w:r>
        <w:rPr>
          <w:rFonts w:ascii="Times New Roman" w:eastAsia="Times New Roman" w:hAnsi="Times New Roman" w:cs="Times New Roman"/>
          <w:sz w:val="24"/>
        </w:rPr>
        <w:t>вања С1 и С2.</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31. Однос јавног дуга и БДП на крају 2019. године</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4816"/>
        <w:gridCol w:w="1036"/>
        <w:gridCol w:w="1036"/>
        <w:gridCol w:w="1036"/>
        <w:gridCol w:w="1036"/>
      </w:tblGrid>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Сценарији</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C3</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C4</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Основни сценарио</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61,7</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61,6</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61,7</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62,0</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Шок девизног курса (15% све валуте)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68,6</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68,6</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68,6</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67,9</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Каматни шок (сценарио 1)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62,8</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w:t>
            </w:r>
            <w:r>
              <w:rPr>
                <w:rFonts w:ascii="Times New Roman" w:eastAsia="Times New Roman" w:hAnsi="Times New Roman" w:cs="Times New Roman"/>
              </w:rPr>
              <w:t>Каматни шок (сценарио 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62,8</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63,5</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Комбиновани шок (15% USD и каматни шок1)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65,8</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Максимални ризик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jc w:val="both"/>
        <w:rPr>
          <w:rFonts w:ascii="Times New Roman" w:eastAsia="Times New Roman" w:hAnsi="Times New Roman" w:cs="Times New Roman"/>
          <w:sz w:val="18"/>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32. Однос плаћања по основу камата и БДП на крају 2019. године</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4816"/>
        <w:gridCol w:w="1036"/>
        <w:gridCol w:w="1036"/>
        <w:gridCol w:w="1036"/>
        <w:gridCol w:w="1036"/>
      </w:tblGrid>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Сценарији</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C3</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C4</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Основни сценарио</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Шок девизног курса (15% све валуте)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2,7</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Каматни шок (сценарио 1)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Каматни шок (сценарио 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3,4</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Комбиновани шок (15% USD и каматни шок1)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3,5</w:t>
            </w:r>
          </w:p>
        </w:tc>
      </w:tr>
      <w:tr w:rsidR="00BE17C7">
        <w:tblPrEx>
          <w:tblCellMar>
            <w:top w:w="0" w:type="dxa"/>
            <w:bottom w:w="0" w:type="dxa"/>
          </w:tblCellMar>
        </w:tblPrEx>
        <w:trPr>
          <w:trHeight w:val="225"/>
        </w:trPr>
        <w:tc>
          <w:tcPr>
            <w:tcW w:w="481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xml:space="preserve"> Максимални ризик </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0,8</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0,9</w:t>
            </w:r>
          </w:p>
        </w:tc>
        <w:tc>
          <w:tcPr>
            <w:tcW w:w="103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Наредна табела приказује кретања основних параметара јавног дуга по основу све четири разматране стратегије, што осликава горе поменуте карактеристике сваке стратегије: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33. Индикатори ризика за алтернативне стратегије</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2838"/>
        <w:gridCol w:w="3249"/>
        <w:gridCol w:w="724"/>
        <w:gridCol w:w="710"/>
        <w:gridCol w:w="710"/>
        <w:gridCol w:w="599"/>
      </w:tblGrid>
      <w:tr w:rsidR="00BE17C7">
        <w:tblPrEx>
          <w:tblCellMar>
            <w:top w:w="0" w:type="dxa"/>
            <w:bottom w:w="0" w:type="dxa"/>
          </w:tblCellMar>
        </w:tblPrEx>
        <w:trPr>
          <w:trHeight w:val="380"/>
        </w:trPr>
        <w:tc>
          <w:tcPr>
            <w:tcW w:w="608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Индикатори ризика</w:t>
            </w:r>
          </w:p>
        </w:tc>
        <w:tc>
          <w:tcPr>
            <w:tcW w:w="2743" w:type="dxa"/>
            <w:gridSpan w:val="4"/>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xml:space="preserve"> на крају 2019. године </w:t>
            </w:r>
          </w:p>
        </w:tc>
      </w:tr>
      <w:tr w:rsidR="00BE17C7">
        <w:tblPrEx>
          <w:tblCellMar>
            <w:top w:w="0" w:type="dxa"/>
            <w:bottom w:w="0" w:type="dxa"/>
          </w:tblCellMar>
        </w:tblPrEx>
        <w:trPr>
          <w:trHeight w:val="24"/>
        </w:trPr>
        <w:tc>
          <w:tcPr>
            <w:tcW w:w="28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С1 </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С2 </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С3 </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 xml:space="preserve"> С4 </w:t>
            </w:r>
          </w:p>
        </w:tc>
      </w:tr>
      <w:tr w:rsidR="00BE17C7">
        <w:tblPrEx>
          <w:tblCellMar>
            <w:top w:w="0" w:type="dxa"/>
            <w:bottom w:w="0" w:type="dxa"/>
          </w:tblCellMar>
        </w:tblPrEx>
        <w:trPr>
          <w:trHeight w:val="24"/>
        </w:trPr>
        <w:tc>
          <w:tcPr>
            <w:tcW w:w="28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Номинални дуг (% БДП)</w:t>
            </w: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61,7</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61,6</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61,7</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62,0</w:t>
            </w:r>
          </w:p>
        </w:tc>
      </w:tr>
      <w:tr w:rsidR="00BE17C7">
        <w:tblPrEx>
          <w:tblCellMar>
            <w:top w:w="0" w:type="dxa"/>
            <w:bottom w:w="0" w:type="dxa"/>
          </w:tblCellMar>
        </w:tblPrEx>
        <w:trPr>
          <w:trHeight w:val="24"/>
        </w:trPr>
        <w:tc>
          <w:tcPr>
            <w:tcW w:w="608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Нето садашња вредност (% БДП)*</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55,2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53,8</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59,2</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59,4</w:t>
            </w:r>
          </w:p>
        </w:tc>
      </w:tr>
      <w:tr w:rsidR="00BE17C7">
        <w:tblPrEx>
          <w:tblCellMar>
            <w:top w:w="0" w:type="dxa"/>
            <w:bottom w:w="0" w:type="dxa"/>
          </w:tblCellMar>
        </w:tblPrEx>
        <w:trPr>
          <w:trHeight w:val="24"/>
        </w:trPr>
        <w:tc>
          <w:tcPr>
            <w:tcW w:w="6087"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Примењена каматна стопа (%)</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4,7</w:t>
            </w:r>
          </w:p>
        </w:tc>
      </w:tr>
      <w:tr w:rsidR="00BE17C7">
        <w:tblPrEx>
          <w:tblCellMar>
            <w:top w:w="0" w:type="dxa"/>
            <w:bottom w:w="0" w:type="dxa"/>
          </w:tblCellMar>
        </w:tblPrEx>
        <w:trPr>
          <w:trHeight w:val="24"/>
        </w:trPr>
        <w:tc>
          <w:tcPr>
            <w:tcW w:w="283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Ризик</w:t>
            </w:r>
          </w:p>
          <w:p w:rsidR="00BE17C7" w:rsidRDefault="00843F0B">
            <w:pPr>
              <w:spacing w:after="0" w:line="240" w:lineRule="auto"/>
              <w:jc w:val="both"/>
            </w:pPr>
            <w:r>
              <w:rPr>
                <w:rFonts w:ascii="Times New Roman" w:eastAsia="Times New Roman" w:hAnsi="Times New Roman" w:cs="Times New Roman"/>
              </w:rPr>
              <w:t>рефинансирања</w:t>
            </w: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ATM спољни портфолио (у годинама)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6,3</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w:t>
            </w:r>
          </w:p>
        </w:tc>
      </w:tr>
      <w:tr w:rsidR="00BE17C7">
        <w:tblPrEx>
          <w:tblCellMar>
            <w:top w:w="0" w:type="dxa"/>
            <w:bottom w:w="0" w:type="dxa"/>
          </w:tblCellMar>
        </w:tblPrEx>
        <w:trPr>
          <w:trHeight w:val="24"/>
        </w:trPr>
        <w:tc>
          <w:tcPr>
            <w:tcW w:w="283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ATM домаћи портфолио (у годинама)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3,3</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r>
      <w:tr w:rsidR="00BE17C7">
        <w:tblPrEx>
          <w:tblCellMar>
            <w:top w:w="0" w:type="dxa"/>
            <w:bottom w:w="0" w:type="dxa"/>
          </w:tblCellMar>
        </w:tblPrEx>
        <w:trPr>
          <w:trHeight w:val="24"/>
        </w:trPr>
        <w:tc>
          <w:tcPr>
            <w:tcW w:w="283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ATM укупан портфолио (у годинама)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6,0</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5,1</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r>
      <w:tr w:rsidR="00BE17C7">
        <w:tblPrEx>
          <w:tblCellMar>
            <w:top w:w="0" w:type="dxa"/>
            <w:bottom w:w="0" w:type="dxa"/>
          </w:tblCellMar>
        </w:tblPrEx>
        <w:trPr>
          <w:trHeight w:val="24"/>
        </w:trPr>
        <w:tc>
          <w:tcPr>
            <w:tcW w:w="283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Ризик каматних стопа</w:t>
            </w: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АТR (у годинама)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5,4</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4,6</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4,1</w:t>
            </w:r>
          </w:p>
        </w:tc>
      </w:tr>
      <w:tr w:rsidR="00BE17C7">
        <w:tblPrEx>
          <w:tblCellMar>
            <w:top w:w="0" w:type="dxa"/>
            <w:bottom w:w="0" w:type="dxa"/>
          </w:tblCellMar>
        </w:tblPrEx>
        <w:trPr>
          <w:trHeight w:val="24"/>
        </w:trPr>
        <w:tc>
          <w:tcPr>
            <w:tcW w:w="283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Рефиксирање (% укупног дуга)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29,3</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29,3</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31,3</w:t>
            </w:r>
          </w:p>
        </w:tc>
      </w:tr>
      <w:tr w:rsidR="00BE17C7">
        <w:tblPrEx>
          <w:tblCellMar>
            <w:top w:w="0" w:type="dxa"/>
            <w:bottom w:w="0" w:type="dxa"/>
          </w:tblCellMar>
        </w:tblPrEx>
        <w:trPr>
          <w:trHeight w:val="24"/>
        </w:trPr>
        <w:tc>
          <w:tcPr>
            <w:tcW w:w="2838" w:type="dxa"/>
            <w:vMerge/>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rPr>
                <w:rFonts w:ascii="Calibri" w:eastAsia="Calibri" w:hAnsi="Calibri" w:cs="Calibri"/>
              </w:rPr>
            </w:pP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по фиксним стопама (% укупног дуга)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84,6</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85,2</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84,6</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83,7</w:t>
            </w:r>
          </w:p>
        </w:tc>
      </w:tr>
      <w:tr w:rsidR="00BE17C7">
        <w:tblPrEx>
          <w:tblCellMar>
            <w:top w:w="0" w:type="dxa"/>
            <w:bottom w:w="0" w:type="dxa"/>
          </w:tblCellMar>
        </w:tblPrEx>
        <w:trPr>
          <w:trHeight w:val="24"/>
        </w:trPr>
        <w:tc>
          <w:tcPr>
            <w:tcW w:w="2838"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Ризик девизног курса</w:t>
            </w:r>
          </w:p>
        </w:tc>
        <w:tc>
          <w:tcPr>
            <w:tcW w:w="324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Ино-валутни дуг (% укупног дуга)</w:t>
            </w:r>
          </w:p>
        </w:tc>
        <w:tc>
          <w:tcPr>
            <w:tcW w:w="72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68,6</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71,6</w:t>
            </w:r>
          </w:p>
        </w:tc>
        <w:tc>
          <w:tcPr>
            <w:tcW w:w="710"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68,5</w:t>
            </w:r>
          </w:p>
        </w:tc>
        <w:tc>
          <w:tcPr>
            <w:tcW w:w="599"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45,2</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 xml:space="preserve">* </w:t>
      </w:r>
      <w:r>
        <w:rPr>
          <w:rFonts w:ascii="Times New Roman" w:eastAsia="Times New Roman" w:hAnsi="Times New Roman" w:cs="Times New Roman"/>
          <w:sz w:val="18"/>
        </w:rPr>
        <w:t>Примењена дисконтна стопа одражава гранични трошак задуживања Републике Србије на финансијском тржишту</w:t>
      </w:r>
    </w:p>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Стрес-тест анализа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Фискално правило, дефинисано Законом о буџетском систему, прописује обавезу да јавни дуг општег нивоа државе не може бити већи од 45% БДП. У случају да износ дуга пређе тај ниво, Влада је дужна да донесе програм за смањење јавног дуга у односу на БДП, тј. </w:t>
      </w:r>
      <w:r>
        <w:rPr>
          <w:rFonts w:ascii="Times New Roman" w:eastAsia="Times New Roman" w:hAnsi="Times New Roman" w:cs="Times New Roman"/>
          <w:sz w:val="24"/>
        </w:rPr>
        <w:t xml:space="preserve">за враћање дуга у законски оквир.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 крају 2015. године стање дуга централног нивоа власти достигло је 74,7% БДП, а опште државе 76% БДП. Рацио јавни дуг/БДП централног нивоа власти на крају септембра 2016. године износио је 70,8% БДП, а опште државе 72% </w:t>
      </w:r>
      <w:r>
        <w:rPr>
          <w:rFonts w:ascii="Times New Roman" w:eastAsia="Times New Roman" w:hAnsi="Times New Roman" w:cs="Times New Roman"/>
          <w:sz w:val="24"/>
        </w:rPr>
        <w:t>. Очекује се благи раст до краја 2016. године и достизање удела од око 73,5% БДП на централном нивоу, односно 74,6% БДП на нивоу опште државе.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Због високог учешћа дуга деноминованог у страној валути (78,4%), евидентно је да ће девизни ризик детерминисати п</w:t>
      </w:r>
      <w:r>
        <w:rPr>
          <w:rFonts w:ascii="Times New Roman" w:eastAsia="Times New Roman" w:hAnsi="Times New Roman" w:cs="Times New Roman"/>
          <w:sz w:val="24"/>
        </w:rPr>
        <w:t>онашање рација јавни дуг/БДП у наредном периоду и битно условљавати успех мера фискалне политике на консолидацији јавних финансија и смањењу учешћа јавног дуга у БДП.</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 основу планираног макроекономског оквира, а у случају изостанка утицаја могућих ризика (првенствено девизног ризика), јавни дуг, без негарантованог дуга локалне власти, би до 2019. године требало да буде на нивоу од 65,9% БДП.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Основни фактори који утич</w:t>
      </w:r>
      <w:r>
        <w:rPr>
          <w:rFonts w:ascii="Times New Roman" w:eastAsia="Times New Roman" w:hAnsi="Times New Roman" w:cs="Times New Roman"/>
          <w:sz w:val="24"/>
        </w:rPr>
        <w:t xml:space="preserve">у на стабилизацију рација јавни дуг/БДП су раст БДП, примарни дефицит, курс динара према ино-валутама и висина камата. Планираним мерама </w:t>
      </w:r>
      <w:r>
        <w:rPr>
          <w:rFonts w:ascii="Times New Roman" w:eastAsia="Times New Roman" w:hAnsi="Times New Roman" w:cs="Times New Roman"/>
          <w:sz w:val="24"/>
        </w:rPr>
        <w:lastRenderedPageBreak/>
        <w:t xml:space="preserve">фискалне политике дефинисано је смањење примарног дефицита, па је тиме основни фактор раста дуга умањен. </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Табела 34. Д</w:t>
      </w:r>
      <w:r>
        <w:rPr>
          <w:rFonts w:ascii="Times New Roman" w:eastAsia="Times New Roman" w:hAnsi="Times New Roman" w:cs="Times New Roman"/>
          <w:sz w:val="24"/>
        </w:rPr>
        <w:t>оприноси основних макроекономских варијабли на промену рација јавни дуг (централног нивоа државе)/БДП, у %</w:t>
      </w:r>
    </w:p>
    <w:p w:rsidR="00BE17C7" w:rsidRDefault="00BE17C7">
      <w:pPr>
        <w:spacing w:after="0" w:line="240" w:lineRule="auto"/>
        <w:jc w:val="center"/>
        <w:rPr>
          <w:rFonts w:ascii="Times New Roman" w:eastAsia="Times New Roman" w:hAnsi="Times New Roman" w:cs="Times New Roman"/>
          <w:sz w:val="24"/>
        </w:rPr>
      </w:pPr>
    </w:p>
    <w:tbl>
      <w:tblPr>
        <w:tblW w:w="0" w:type="auto"/>
        <w:tblInd w:w="-5" w:type="dxa"/>
        <w:tblCellMar>
          <w:left w:w="10" w:type="dxa"/>
          <w:right w:w="10" w:type="dxa"/>
        </w:tblCellMar>
        <w:tblLook w:val="0000"/>
      </w:tblPr>
      <w:tblGrid>
        <w:gridCol w:w="3543"/>
        <w:gridCol w:w="855"/>
        <w:gridCol w:w="856"/>
        <w:gridCol w:w="856"/>
        <w:gridCol w:w="857"/>
        <w:gridCol w:w="856"/>
        <w:gridCol w:w="854"/>
      </w:tblGrid>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sz w:val="20"/>
              </w:rPr>
              <w:t> </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2014</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2015</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2016п</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2017п</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2018п</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sz w:val="20"/>
              </w:rPr>
              <w:t>2019п</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 </w:t>
            </w:r>
          </w:p>
        </w:tc>
        <w:tc>
          <w:tcPr>
            <w:tcW w:w="1711"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713"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BE17C7">
            <w:pPr>
              <w:spacing w:after="0" w:line="240" w:lineRule="auto"/>
              <w:jc w:val="right"/>
              <w:rPr>
                <w:rFonts w:ascii="Calibri" w:eastAsia="Calibri" w:hAnsi="Calibri" w:cs="Calibri"/>
              </w:rPr>
            </w:pP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Дуг централне државе у % БДП</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70,4</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74,7</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73,5</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72,8</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69,6</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65,9</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Промена у односу на претходну год.</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10,8</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-1,2</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-0,7</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-3,7</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Утицај примарног дефицита</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3,6</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-0,3</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-1,3</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-1,5</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-1,8</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Камата</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3,1</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3,0</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2,6</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Раст номиналног БДП</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-0,5</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-2,3</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-2,8</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-3,2</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-4,4</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-4,3</w:t>
            </w:r>
          </w:p>
        </w:tc>
      </w:tr>
      <w:tr w:rsidR="00BE17C7">
        <w:tblPrEx>
          <w:tblCellMar>
            <w:top w:w="0" w:type="dxa"/>
            <w:bottom w:w="0" w:type="dxa"/>
          </w:tblCellMar>
        </w:tblPrEx>
        <w:trPr>
          <w:trHeight w:val="227"/>
        </w:trPr>
        <w:tc>
          <w:tcPr>
            <w:tcW w:w="3543"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both"/>
            </w:pPr>
            <w:r>
              <w:rPr>
                <w:rFonts w:ascii="Times New Roman" w:eastAsia="Times New Roman" w:hAnsi="Times New Roman" w:cs="Times New Roman"/>
              </w:rPr>
              <w:t>Остали фактори који утичу на рацио</w:t>
            </w:r>
          </w:p>
        </w:tc>
        <w:tc>
          <w:tcPr>
            <w:tcW w:w="855"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4,9</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3,8</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57"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1,0</w:t>
            </w:r>
          </w:p>
        </w:tc>
        <w:tc>
          <w:tcPr>
            <w:tcW w:w="856"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c>
          <w:tcPr>
            <w:tcW w:w="854" w:type="dxa"/>
            <w:tcBorders>
              <w:top w:val="single" w:sz="4" w:space="0" w:color="000000"/>
              <w:left w:val="single" w:sz="4" w:space="0" w:color="000000"/>
              <w:bottom w:val="single" w:sz="4" w:space="0" w:color="000000"/>
              <w:right w:val="single" w:sz="4" w:space="0" w:color="000000"/>
            </w:tcBorders>
            <w:shd w:val="clear" w:color="000000" w:fill="FFFFFF"/>
            <w:tcMar>
              <w:left w:w="0" w:type="dxa"/>
              <w:right w:w="0" w:type="dxa"/>
            </w:tcMar>
            <w:vAlign w:val="center"/>
          </w:tcPr>
          <w:p w:rsidR="00BE17C7" w:rsidRDefault="00843F0B">
            <w:pPr>
              <w:spacing w:after="0" w:line="240" w:lineRule="auto"/>
              <w:jc w:val="right"/>
            </w:pPr>
            <w:r>
              <w:rPr>
                <w:rFonts w:ascii="Times New Roman" w:eastAsia="Times New Roman" w:hAnsi="Times New Roman" w:cs="Times New Roman"/>
              </w:rPr>
              <w:t>-0,1</w:t>
            </w:r>
          </w:p>
        </w:tc>
      </w:tr>
    </w:tbl>
    <w:p w:rsidR="00BE17C7" w:rsidRDefault="00843F0B">
      <w:pPr>
        <w:spacing w:after="0" w:line="240" w:lineRule="auto"/>
        <w:jc w:val="both"/>
        <w:rPr>
          <w:rFonts w:ascii="Times New Roman" w:eastAsia="Times New Roman" w:hAnsi="Times New Roman" w:cs="Times New Roman"/>
          <w:sz w:val="18"/>
        </w:rPr>
      </w:pPr>
      <w:r>
        <w:rPr>
          <w:rFonts w:ascii="Times New Roman" w:eastAsia="Times New Roman" w:hAnsi="Times New Roman" w:cs="Times New Roman"/>
          <w:sz w:val="18"/>
        </w:rPr>
        <w:t>Извор: МФИН, Управа за јавни дуг</w:t>
      </w:r>
    </w:p>
    <w:p w:rsidR="00BE17C7" w:rsidRDefault="00BE17C7">
      <w:pPr>
        <w:spacing w:after="0" w:line="240" w:lineRule="auto"/>
        <w:ind w:firstLine="720"/>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графикону је представљено кретање рација јавног дуга централног нивоа државе и БДП у зависности од промене курса динара према одређеној корпи валута. Приказана је основна пројекција са алтернативним сценаријима у зависности од апрецијације, односно де</w:t>
      </w:r>
      <w:r>
        <w:rPr>
          <w:rFonts w:ascii="Times New Roman" w:eastAsia="Times New Roman" w:hAnsi="Times New Roman" w:cs="Times New Roman"/>
          <w:sz w:val="24"/>
        </w:rPr>
        <w:t>прецијације курса динара у распону од 10% апрецијације до 20% депрецијације динара у односу на корпу валута. Применом наведених сценарија може се видети да би се рацио за 2019. годину кретао у распону од 60,8% до 76,2%, док би за основни сценарио био на ни</w:t>
      </w:r>
      <w:r>
        <w:rPr>
          <w:rFonts w:ascii="Times New Roman" w:eastAsia="Times New Roman" w:hAnsi="Times New Roman" w:cs="Times New Roman"/>
          <w:sz w:val="24"/>
        </w:rPr>
        <w:t>воу од 65,9%.</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Главни ризици за остварење Стратегије, поред горе наведених фактора који су квантификовани, су и стабилност макроекономске ситуације у Републици Србији, потребе за додатним задуживањем како би се регулисали дугови на другим нивоима власти, ја</w:t>
      </w:r>
      <w:r>
        <w:rPr>
          <w:rFonts w:ascii="Times New Roman" w:eastAsia="Times New Roman" w:hAnsi="Times New Roman" w:cs="Times New Roman"/>
          <w:sz w:val="24"/>
        </w:rPr>
        <w:t xml:space="preserve">вном сектору и финансијском сектору Републике Србије и датих гаранција.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Важно је напоменути да смањењу јавног дуга у односу на БДП доприноси и адекватна контрола издавања гаранција и унапређење процеса приоритизације инвестиционих пројеката, који се финан</w:t>
      </w:r>
      <w:r>
        <w:rPr>
          <w:rFonts w:ascii="Times New Roman" w:eastAsia="Times New Roman" w:hAnsi="Times New Roman" w:cs="Times New Roman"/>
          <w:sz w:val="24"/>
        </w:rPr>
        <w:t>сирају из кредитних линија мултилатералних и билатералних кредитора. Почев од 2015. године, гаранције се издају само за пројектне (инвестиционе) зајмове, односно прекинуто је издавање гаранција за зајмове за текућу ликвидност јавним предузећима, што је у 2</w:t>
      </w:r>
      <w:r>
        <w:rPr>
          <w:rFonts w:ascii="Times New Roman" w:eastAsia="Times New Roman" w:hAnsi="Times New Roman" w:cs="Times New Roman"/>
          <w:sz w:val="24"/>
        </w:rPr>
        <w:t>015. и 2016. години приметно смањило стање гарантованог јавног дуга.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Дугорочни стратешки оквир за управљање јавним дугом</w:t>
      </w:r>
    </w:p>
    <w:p w:rsidR="00BE17C7" w:rsidRDefault="00BE17C7">
      <w:pPr>
        <w:spacing w:after="0" w:line="240" w:lineRule="auto"/>
        <w:jc w:val="center"/>
        <w:rPr>
          <w:rFonts w:ascii="Times New Roman" w:eastAsia="Times New Roman" w:hAnsi="Times New Roman" w:cs="Times New Roman"/>
          <w:i/>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Основни стратешки циљеви којима је потребно тежити у наредном дугорочном периоду, како би се минимизирали ризици повећања задужености</w:t>
      </w:r>
      <w:r>
        <w:rPr>
          <w:rFonts w:ascii="Times New Roman" w:eastAsia="Times New Roman" w:hAnsi="Times New Roman" w:cs="Times New Roman"/>
          <w:sz w:val="24"/>
        </w:rPr>
        <w:t xml:space="preserve"> и трошкова сервисирања јавног дуга су:</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учешће дуга деноминованог у динарима износи око 20–25% укупног јавног дуга на средњи рок;</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учешће дуга деноминованог у еврима у јавном дугу износи најмање 60 % дуга у ино-валути, укључујући будућа задуживања и т</w:t>
      </w:r>
      <w:r>
        <w:rPr>
          <w:rFonts w:ascii="Times New Roman" w:eastAsia="Times New Roman" w:hAnsi="Times New Roman" w:cs="Times New Roman"/>
          <w:sz w:val="24"/>
        </w:rPr>
        <w:t>рансакције;</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да дође до смањења учешћа дуга са варијабилном каматном стопом на испод 20% у средњорочном интервалу;</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просечно време до промене каматне стопе (АТR) буде одржавано на нивоу од минимум 4,5 година, у складу са горе наведеном мером постепеног см</w:t>
      </w:r>
      <w:r>
        <w:rPr>
          <w:rFonts w:ascii="Times New Roman" w:eastAsia="Times New Roman" w:hAnsi="Times New Roman" w:cs="Times New Roman"/>
          <w:sz w:val="24"/>
        </w:rPr>
        <w:t>ањивања учешћа дуга са варијабилним каматним стопама;</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просечна пондерисана каматна стопа (WAIR) на унутрашњи јавни дуг не прелази 10% на краткорочна и средњорочна задуживања;</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учешће краткорочног дуга (чије је доспеће до годину дана) износи до 15 % ук</w:t>
      </w:r>
      <w:r>
        <w:rPr>
          <w:rFonts w:ascii="Times New Roman" w:eastAsia="Times New Roman" w:hAnsi="Times New Roman" w:cs="Times New Roman"/>
          <w:sz w:val="24"/>
        </w:rPr>
        <w:t>упног јавног дуга;</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да просечно време до доспећа (АТМ) унутрашњег дуга буде на нивоу од најмање 4 године на средњи рок; </w:t>
      </w:r>
    </w:p>
    <w:p w:rsidR="00BE17C7" w:rsidRDefault="00843F0B">
      <w:pPr>
        <w:numPr>
          <w:ilvl w:val="0"/>
          <w:numId w:val="15"/>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да се просечно време до доспећа (АТМ) спољног дуга одржава на нивоу од 6 ± 0,5 година у истом временском хоризонту.</w:t>
      </w:r>
    </w:p>
    <w:p w:rsidR="00BE17C7" w:rsidRDefault="00BE17C7">
      <w:pPr>
        <w:spacing w:after="0" w:line="240" w:lineRule="auto"/>
        <w:ind w:left="1440"/>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jc w:val="both"/>
        <w:rPr>
          <w:rFonts w:ascii="Times New Roman" w:eastAsia="Times New Roman" w:hAnsi="Times New Roman" w:cs="Times New Roman"/>
          <w:sz w:val="24"/>
        </w:rPr>
      </w:pP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Мере за унапређење тржишта динарских хартија од вредности у периоду 2016</w:t>
      </w:r>
      <w:r>
        <w:rPr>
          <w:rFonts w:ascii="Times New Roman" w:eastAsia="Times New Roman" w:hAnsi="Times New Roman" w:cs="Times New Roman"/>
          <w:sz w:val="24"/>
        </w:rPr>
        <w:t>–</w:t>
      </w:r>
      <w:r>
        <w:rPr>
          <w:rFonts w:ascii="Times New Roman" w:eastAsia="Times New Roman" w:hAnsi="Times New Roman" w:cs="Times New Roman"/>
          <w:i/>
          <w:sz w:val="24"/>
        </w:rPr>
        <w:t>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Тржиште државних хартија од вредности, у периоду од 2012. године до септембра 2016. године, карактерише испуњавање зацртаних стратешких циљева, првенствено у погледу инс</w:t>
      </w:r>
      <w:r>
        <w:rPr>
          <w:rFonts w:ascii="Times New Roman" w:eastAsia="Times New Roman" w:hAnsi="Times New Roman" w:cs="Times New Roman"/>
          <w:sz w:val="24"/>
        </w:rPr>
        <w:t>трумената финансирања, као и у развоју и одржавању стабилности диверсификоване базе инвеститора. Захваљујући вођењу развојне политике домаћег тржишта државних хартија од вредности, омогућено је успостављање континуитета у финансирању буџета Републике Србиј</w:t>
      </w:r>
      <w:r>
        <w:rPr>
          <w:rFonts w:ascii="Times New Roman" w:eastAsia="Times New Roman" w:hAnsi="Times New Roman" w:cs="Times New Roman"/>
          <w:sz w:val="24"/>
        </w:rPr>
        <w:t>е, као и унапређење обима финансирања путем емисија дугорочних динарских државних хартија од вредности на домаћем финансијском тржишту. Преласком са краткорочних извора финансирања који се везују за период до 2010. године, на средњорочне и дугорочне инстру</w:t>
      </w:r>
      <w:r>
        <w:rPr>
          <w:rFonts w:ascii="Times New Roman" w:eastAsia="Times New Roman" w:hAnsi="Times New Roman" w:cs="Times New Roman"/>
          <w:sz w:val="24"/>
        </w:rPr>
        <w:t>менте финансирања уз константно смањење трошкова задуживања, утиче се на смањење ризика рефинансирања, као једног од примарних ризика у процесу управљања јавним дугом. На крају 2013. године учешће дугорочних динарских инструмената по оригиналној рочности о</w:t>
      </w:r>
      <w:r>
        <w:rPr>
          <w:rFonts w:ascii="Times New Roman" w:eastAsia="Times New Roman" w:hAnsi="Times New Roman" w:cs="Times New Roman"/>
          <w:sz w:val="24"/>
        </w:rPr>
        <w:t xml:space="preserve">д три и више година износило је 37% у стању динарских хартија од вредности, док је на крају септембра 2016. године износило 67%.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Транспарентност у раду и извештавању, као и присутност на међународном тржишту капитала, утиче на информисаност, а тиме и на заинтересованост нерезидената да инвестирају капитал у дужничке инструменте, првенствено у државне динарске дугорочне хартије од вр</w:t>
      </w:r>
      <w:r>
        <w:rPr>
          <w:rFonts w:ascii="Times New Roman" w:eastAsia="Times New Roman" w:hAnsi="Times New Roman" w:cs="Times New Roman"/>
          <w:sz w:val="24"/>
        </w:rPr>
        <w:t>едности, чиме се остварује раст стабилне базе инвеститора. У 2014. години по први пут су емитоване десетогодишње обвезнице чиме се заокружио развој рочности на криви приноса, како динарских тако и евро деноминованих државних хартија од вредности. У фебруар</w:t>
      </w:r>
      <w:r>
        <w:rPr>
          <w:rFonts w:ascii="Times New Roman" w:eastAsia="Times New Roman" w:hAnsi="Times New Roman" w:cs="Times New Roman"/>
          <w:sz w:val="24"/>
        </w:rPr>
        <w:t>у 2015. године по први пут је емитована бенчмарк емисија на домаћем финансијском тржишту рочности седам година у износу од 50 млрд динара. Током 2015. године емитоване су и две трогодишње обвезнице у износу од по 50 млрд динара. Услед успешне реализације б</w:t>
      </w:r>
      <w:r>
        <w:rPr>
          <w:rFonts w:ascii="Times New Roman" w:eastAsia="Times New Roman" w:hAnsi="Times New Roman" w:cs="Times New Roman"/>
          <w:sz w:val="24"/>
        </w:rPr>
        <w:t xml:space="preserve">енчмарк емисија током 2015. године, са истом праксом је настављено током 2016. године. У фебруару и јулу 2016. године емитоване су бенчмарк трогодишња и седмогодишња обвезница обима емисије по 110 млрд динара. </w:t>
      </w:r>
      <w:r>
        <w:rPr>
          <w:rFonts w:ascii="Times New Roman" w:eastAsia="Times New Roman" w:hAnsi="Times New Roman" w:cs="Times New Roman"/>
          <w:sz w:val="24"/>
        </w:rPr>
        <w:lastRenderedPageBreak/>
        <w:t>Овим емисијама знатно је повећан обим секундар</w:t>
      </w:r>
      <w:r>
        <w:rPr>
          <w:rFonts w:ascii="Times New Roman" w:eastAsia="Times New Roman" w:hAnsi="Times New Roman" w:cs="Times New Roman"/>
          <w:sz w:val="24"/>
        </w:rPr>
        <w:t xml:space="preserve">ног трговања ових инструмената што је допринело и паду извршних стопа приноса на реотварањима поменутих емисија.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циљу даљег развоја секундарног тржишта државних хартија од вредности од 12. новембра 2015. године омогућено је трговање дугорочним државним </w:t>
      </w:r>
      <w:r>
        <w:rPr>
          <w:rFonts w:ascii="Times New Roman" w:eastAsia="Times New Roman" w:hAnsi="Times New Roman" w:cs="Times New Roman"/>
          <w:sz w:val="24"/>
        </w:rPr>
        <w:t xml:space="preserve">хартијама од вредности на Београдској берзи.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 У периоду за који се доноси ова Стратегија очекује се унапређење ефикасности примарног тржишта кроз концепт примарних дилера, као механизма продаје државних хартија од вредности који директно, у дужем року, до</w:t>
      </w:r>
      <w:r>
        <w:rPr>
          <w:rFonts w:ascii="Times New Roman" w:eastAsia="Times New Roman" w:hAnsi="Times New Roman" w:cs="Times New Roman"/>
          <w:sz w:val="24"/>
        </w:rPr>
        <w:t xml:space="preserve">приноси смањењу трошкова задуживања, као и смањењу ризика рефинансирања. Увођење система продаје државних хартија од вредности на домаћем финансијском тржишту преко примарних дилера, пружа добру основу за унапређење тржишне ефикасности секундарног тржишта </w:t>
      </w:r>
      <w:r>
        <w:rPr>
          <w:rFonts w:ascii="Times New Roman" w:eastAsia="Times New Roman" w:hAnsi="Times New Roman" w:cs="Times New Roman"/>
          <w:sz w:val="24"/>
        </w:rPr>
        <w:t>државних хартија од вредности. Развојем секундарног тржишта, временом ће се успоставити концепт тржишне ефикасности у процесу вредновања државних хартија од вредности. Увођењем бенчмарк емисија обвезница остварио се позитиван ефекат на обим и континуитет с</w:t>
      </w:r>
      <w:r>
        <w:rPr>
          <w:rFonts w:ascii="Times New Roman" w:eastAsia="Times New Roman" w:hAnsi="Times New Roman" w:cs="Times New Roman"/>
          <w:sz w:val="24"/>
        </w:rPr>
        <w:t>екундарног трговања, као и на унапређење тржишне ефикасности у поступку продаје државних хартија на примарном тржишту.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Као водеће факторе који утичу на криву приноса државних хартија од вредности потребно је издвојити фискални резултат, очекивану стопу инф</w:t>
      </w:r>
      <w:r>
        <w:rPr>
          <w:rFonts w:ascii="Times New Roman" w:eastAsia="Times New Roman" w:hAnsi="Times New Roman" w:cs="Times New Roman"/>
          <w:sz w:val="24"/>
        </w:rPr>
        <w:t xml:space="preserve">лације и девизни курс. Као посебну групу фактора потребно је издвојити макроекономска кретања и очекивања, као и промене на међународном финансијском тржишту, које се рефлектују на премију ризика земље.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 крају 2011. године просечна рочност динарских хар</w:t>
      </w:r>
      <w:r>
        <w:rPr>
          <w:rFonts w:ascii="Times New Roman" w:eastAsia="Times New Roman" w:hAnsi="Times New Roman" w:cs="Times New Roman"/>
          <w:sz w:val="24"/>
        </w:rPr>
        <w:t>тија од вредности је износила 272 дана (0,75 година), на крају 2012. године је износила 394 дана (1,1 година), на крају 2013. године је износила 469 дана (1,3 године), на крају 2014. године је износила 645 дана (1,8 година), на крају 2015. године је износи</w:t>
      </w:r>
      <w:r>
        <w:rPr>
          <w:rFonts w:ascii="Times New Roman" w:eastAsia="Times New Roman" w:hAnsi="Times New Roman" w:cs="Times New Roman"/>
          <w:sz w:val="24"/>
        </w:rPr>
        <w:t>ла је 749 дана (2,1 година), док је на дан 30. септембар 2016. године износила 789 дана (2,2 година). У периоду до 2018. године предвиђа се да просечна рочност буде у распону од 2 до 3 године. Развој домаћег тржишта државних хартија од вредности биће од ст</w:t>
      </w:r>
      <w:r>
        <w:rPr>
          <w:rFonts w:ascii="Times New Roman" w:eastAsia="Times New Roman" w:hAnsi="Times New Roman" w:cs="Times New Roman"/>
          <w:sz w:val="24"/>
        </w:rPr>
        <w:t>ране Републике Србије потпомогнут следећим мерама:</w:t>
      </w:r>
    </w:p>
    <w:p w:rsidR="00BE17C7" w:rsidRDefault="00843F0B">
      <w:pPr>
        <w:numPr>
          <w:ilvl w:val="0"/>
          <w:numId w:val="16"/>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Укључивањем државних хартија од вредности деноминованих у домаћој валути у неки од глобалних индекса државних обвезница земаља у успону (</w:t>
      </w:r>
      <w:r>
        <w:rPr>
          <w:rFonts w:ascii="Times New Roman" w:eastAsia="Times New Roman" w:hAnsi="Times New Roman" w:cs="Times New Roman"/>
          <w:i/>
          <w:sz w:val="24"/>
        </w:rPr>
        <w:t>Local Currency Government Bond Emerging Market Index</w:t>
      </w:r>
      <w:r>
        <w:rPr>
          <w:rFonts w:ascii="Times New Roman" w:eastAsia="Times New Roman" w:hAnsi="Times New Roman" w:cs="Times New Roman"/>
          <w:sz w:val="24"/>
        </w:rPr>
        <w:t>). Укључивање об</w:t>
      </w:r>
      <w:r>
        <w:rPr>
          <w:rFonts w:ascii="Times New Roman" w:eastAsia="Times New Roman" w:hAnsi="Times New Roman" w:cs="Times New Roman"/>
          <w:sz w:val="24"/>
        </w:rPr>
        <w:t>везница Републике Србије у неки од глобалних индекса значајно би повећало базу инвеститора и поспешило секундарно трговање, што би допринело даљем смањењу трошкова задуживања путем емисија државних хартија од вредности;</w:t>
      </w:r>
    </w:p>
    <w:p w:rsidR="00BE17C7" w:rsidRDefault="00843F0B">
      <w:pPr>
        <w:numPr>
          <w:ilvl w:val="0"/>
          <w:numId w:val="16"/>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циљу креирања што веће базе инвест</w:t>
      </w:r>
      <w:r>
        <w:rPr>
          <w:rFonts w:ascii="Times New Roman" w:eastAsia="Times New Roman" w:hAnsi="Times New Roman" w:cs="Times New Roman"/>
          <w:sz w:val="24"/>
        </w:rPr>
        <w:t>итора и развоја секундарног тржишта хартија од вредности емитованих на домаћем тржишту, креиран је једнак порески третман домаћих и страних инвеститора крајем 2011. године, и у наредном периоду тежиће се уклањању свих евентуалних препрека за слободан прото</w:t>
      </w:r>
      <w:r>
        <w:rPr>
          <w:rFonts w:ascii="Times New Roman" w:eastAsia="Times New Roman" w:hAnsi="Times New Roman" w:cs="Times New Roman"/>
          <w:sz w:val="24"/>
        </w:rPr>
        <w:t>к капитала. Размотриће се у наредном периоду могућност да се клиринг и салдирање трансакција са домаћим хартијама од вредности врши преко међународног клиринг система;</w:t>
      </w:r>
    </w:p>
    <w:p w:rsidR="00BE17C7" w:rsidRDefault="00843F0B">
      <w:pPr>
        <w:numPr>
          <w:ilvl w:val="0"/>
          <w:numId w:val="16"/>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наредном периоду радиће се на увођењу система примарних дилера;</w:t>
      </w:r>
    </w:p>
    <w:p w:rsidR="00BE17C7" w:rsidRDefault="00843F0B">
      <w:pPr>
        <w:numPr>
          <w:ilvl w:val="0"/>
          <w:numId w:val="16"/>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У циљу повећања улагањ</w:t>
      </w:r>
      <w:r>
        <w:rPr>
          <w:rFonts w:ascii="Times New Roman" w:eastAsia="Times New Roman" w:hAnsi="Times New Roman" w:cs="Times New Roman"/>
          <w:sz w:val="24"/>
        </w:rPr>
        <w:t xml:space="preserve">а домаћих физичких лица учиниће се додатни напори у домену едукације становништва Републике Србије и размотриће се емитовање тзв. </w:t>
      </w:r>
      <w:r>
        <w:rPr>
          <w:rFonts w:ascii="Times New Roman" w:eastAsia="Times New Roman" w:hAnsi="Times New Roman" w:cs="Times New Roman"/>
          <w:i/>
          <w:sz w:val="24"/>
        </w:rPr>
        <w:t xml:space="preserve">retail </w:t>
      </w:r>
      <w:r>
        <w:rPr>
          <w:rFonts w:ascii="Times New Roman" w:eastAsia="Times New Roman" w:hAnsi="Times New Roman" w:cs="Times New Roman"/>
          <w:sz w:val="24"/>
        </w:rPr>
        <w:t>обвезница.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Министарство финансија ће у наредном периоду модификацију аукцијске платформе вршити на основу предлога инве</w:t>
      </w:r>
      <w:r>
        <w:rPr>
          <w:rFonts w:ascii="Times New Roman" w:eastAsia="Times New Roman" w:hAnsi="Times New Roman" w:cs="Times New Roman"/>
          <w:sz w:val="24"/>
        </w:rPr>
        <w:t>ститора, како би на најбољи, и за обе стране прихватљив начин, интереси обе стране били задовољени.</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keepLine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IV.</w:t>
      </w:r>
      <w:r>
        <w:rPr>
          <w:rFonts w:ascii="Times New Roman" w:eastAsia="Times New Roman" w:hAnsi="Times New Roman" w:cs="Times New Roman"/>
          <w:sz w:val="24"/>
        </w:rPr>
        <w:tab/>
        <w:t>СТРУКТУРНЕ РЕФОРМЕ У ПЕРИОДУ ОД 2017. ДО 2019. ГОДИНЕ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Влада и Министарство финансија посвећени су остваривању циљева економске политике, зацртаних тро</w:t>
      </w:r>
      <w:r>
        <w:rPr>
          <w:rFonts w:ascii="Times New Roman" w:eastAsia="Times New Roman" w:hAnsi="Times New Roman" w:cs="Times New Roman"/>
          <w:sz w:val="24"/>
        </w:rPr>
        <w:t>годишњом Фискалном стратегијом и Меморандумом о економској и финансијској политици, договорених са ММФ. Кредибилан средњорочни план структурних реформи, заједно са мерама фискалне консолидације, са циљем привлачења страних инвестиција, подршке расту и реба</w:t>
      </w:r>
      <w:r>
        <w:rPr>
          <w:rFonts w:ascii="Times New Roman" w:eastAsia="Times New Roman" w:hAnsi="Times New Roman" w:cs="Times New Roman"/>
          <w:sz w:val="24"/>
        </w:rPr>
        <w:t>лансирању привреде на путу ка убрзању ЕУ интеграција представља кључни основ у (1) остваривању стабилизације јавних финансија смањивањем фискалног дефицита и јавног дуга, (2) покретању привредне активности на бази повећања инвестиција, извоза и запошљавања</w:t>
      </w:r>
      <w:r>
        <w:rPr>
          <w:rFonts w:ascii="Times New Roman" w:eastAsia="Times New Roman" w:hAnsi="Times New Roman" w:cs="Times New Roman"/>
          <w:sz w:val="24"/>
        </w:rPr>
        <w:t xml:space="preserve">. Структурним прилагођавањем привреде ствара се трајнија основа за бржи и одржив привредни раст, повећање запослености и стандарда становништва.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Са тим у вези, крајем 2015. године и у 2016. години спроведене су бројне реформе које имају за циљ развој прив</w:t>
      </w:r>
      <w:r>
        <w:rPr>
          <w:rFonts w:ascii="Times New Roman" w:eastAsia="Times New Roman" w:hAnsi="Times New Roman" w:cs="Times New Roman"/>
          <w:sz w:val="24"/>
        </w:rPr>
        <w:t>атног сектора и отварање нових радних места, побољшање пословног амбијента и конкурентности привреде:</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Започета је широка реформа државних и друштвених предузећа у циљу побољшања оперативне одрживости и ограничења фискалних ризика, као и смањења државне помоћи и акумулирања доцњи;</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Усвајањем новог Закона о улагањима, успостављена је Развојна агенција Србије </w:t>
      </w:r>
      <w:r>
        <w:rPr>
          <w:rFonts w:ascii="Times New Roman" w:eastAsia="Times New Roman" w:hAnsi="Times New Roman" w:cs="Times New Roman"/>
          <w:sz w:val="24"/>
        </w:rPr>
        <w:t>(у даљем тексту: РАС) спајањем Агенције за страна улагања и промоцију извоза и Националне агенције за регионални развој, тј. интегрисањем и унапређењем њиховог пословања. Агенција нуди широк спектар услуга, укључујући подршку директним улагањима и промоциј</w:t>
      </w:r>
      <w:r>
        <w:rPr>
          <w:rFonts w:ascii="Times New Roman" w:eastAsia="Times New Roman" w:hAnsi="Times New Roman" w:cs="Times New Roman"/>
          <w:sz w:val="24"/>
        </w:rPr>
        <w:t>и извоза, али и имплементацију пројеката који за циљ имају унапређење конкурентности, регионалног развоја и угледа Србије. Истим законом основан је и Савет за економски развој, који заједно са РАС треба да створи услове за јаснију поделу одговорности за пр</w:t>
      </w:r>
      <w:r>
        <w:rPr>
          <w:rFonts w:ascii="Times New Roman" w:eastAsia="Times New Roman" w:hAnsi="Times New Roman" w:cs="Times New Roman"/>
          <w:sz w:val="24"/>
        </w:rPr>
        <w:t>едлагање, спровођење и контролу спровођења политика Владе;</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фебруару 2016. године Влада је усвојила програм активности „Година предузетништва 2016” за подстицање предузетничког духа и олакшавања приступа кредитирању за мала и средња предузећа. Програм „Го</w:t>
      </w:r>
      <w:r>
        <w:rPr>
          <w:rFonts w:ascii="Times New Roman" w:eastAsia="Times New Roman" w:hAnsi="Times New Roman" w:cs="Times New Roman"/>
          <w:sz w:val="24"/>
        </w:rPr>
        <w:t>дина предузетништва 2016” заснива се на три главна стуба: унапређење пословног окружења, директна подршка предузетницима и развој предузетничког духа. Крајњи резултати програма се још увек обрађују, а према подацима из новембра 2016. године у програму је у</w:t>
      </w:r>
      <w:r>
        <w:rPr>
          <w:rFonts w:ascii="Times New Roman" w:eastAsia="Times New Roman" w:hAnsi="Times New Roman" w:cs="Times New Roman"/>
          <w:sz w:val="24"/>
        </w:rPr>
        <w:t>чествовало преко седам хиљада компанија, стартапова, локалних самоуправа и кластера. Планиран је наставак програма и у наредним годинама;</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Крајем 2015. године Република Србија и ЕУ потписале су споразум којим је потврђено учешће у програму ЕУ за мала и сред</w:t>
      </w:r>
      <w:r>
        <w:rPr>
          <w:rFonts w:ascii="Times New Roman" w:eastAsia="Times New Roman" w:hAnsi="Times New Roman" w:cs="Times New Roman"/>
          <w:sz w:val="24"/>
        </w:rPr>
        <w:t xml:space="preserve">ња предузећа „COSME” </w:t>
      </w:r>
      <w:r>
        <w:rPr>
          <w:rFonts w:ascii="Times New Roman" w:eastAsia="Times New Roman" w:hAnsi="Times New Roman" w:cs="Times New Roman"/>
          <w:sz w:val="24"/>
        </w:rPr>
        <w:lastRenderedPageBreak/>
        <w:t>који пружа подршку малим и средњим предузећима у следећим сегментима пословања: олакшан приступ изворима финансирања, подршка интернационализацији и приступу страним тржиштима, стварање повољног пословног окружења за развој конкурентно</w:t>
      </w:r>
      <w:r>
        <w:rPr>
          <w:rFonts w:ascii="Times New Roman" w:eastAsia="Times New Roman" w:hAnsi="Times New Roman" w:cs="Times New Roman"/>
          <w:sz w:val="24"/>
        </w:rPr>
        <w:t>сти, подстицање културе предузетништва;</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циљу јачања конкурентности привредних субјеката, унапређења њиховог пословања и интернационализације, као и креирања нових радних места Министарство привреде у сарадњи са РАС, одабраним пословним банкама и лизинг к</w:t>
      </w:r>
      <w:r>
        <w:rPr>
          <w:rFonts w:ascii="Times New Roman" w:eastAsia="Times New Roman" w:hAnsi="Times New Roman" w:cs="Times New Roman"/>
          <w:sz w:val="24"/>
        </w:rPr>
        <w:t>омпанијама реализује Програм подршке малим предузећима за набавку опреме у 2016. години;</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Министарство привреде од почетка 2016. године реализује Програм за подршку унапређења привредног амбијента у циљу привлачења инвестиција и отварање нових радних места.</w:t>
      </w:r>
      <w:r>
        <w:rPr>
          <w:rFonts w:ascii="Times New Roman" w:eastAsia="Times New Roman" w:hAnsi="Times New Roman" w:cs="Times New Roman"/>
          <w:sz w:val="24"/>
        </w:rPr>
        <w:t xml:space="preserve"> Намена Програма се реализује кроз опремање пословних зона у циљу привлачења инвестиција учешћем у финансирању реализације пројеката инфраструктурног опремања пословних зона, односно изградње нових објеката, реконструкције и санације постојећих објеката у </w:t>
      </w:r>
      <w:r>
        <w:rPr>
          <w:rFonts w:ascii="Times New Roman" w:eastAsia="Times New Roman" w:hAnsi="Times New Roman" w:cs="Times New Roman"/>
          <w:sz w:val="24"/>
        </w:rPr>
        <w:t xml:space="preserve">пословној зони, изградње објеката за пратеће садржаје који омогућавају успешно пословање у пословној зони, као и кроз учешће у финансирању пројеката изградње објеката саобраћајне инфраструктуре која обезбеђује доступност пословне зоне, објеката комуналне, </w:t>
      </w:r>
      <w:r>
        <w:rPr>
          <w:rFonts w:ascii="Times New Roman" w:eastAsia="Times New Roman" w:hAnsi="Times New Roman" w:cs="Times New Roman"/>
          <w:sz w:val="24"/>
        </w:rPr>
        <w:t>електроенергетске и остале инфраструктуре;</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Од 2016. године, у складу са Финансијским уговором „Зајам за општинску и регионалну инфраструктуру”, закљученим између Републике Србије и Европске инвестиционе банке, Министарство привреде реализује инфраструктурн</w:t>
      </w:r>
      <w:r>
        <w:rPr>
          <w:rFonts w:ascii="Times New Roman" w:eastAsia="Times New Roman" w:hAnsi="Times New Roman" w:cs="Times New Roman"/>
          <w:sz w:val="24"/>
        </w:rPr>
        <w:t>е пројекте локалног и регионалног развоја као подршку јединицама локалне самоуправе. Програм се реализује у циљу унапређења капацитета јединица локалних самоуправа кроз унапређење инфраструктуре, стандарда и квалитета живота грађана, а Министарство привред</w:t>
      </w:r>
      <w:r>
        <w:rPr>
          <w:rFonts w:ascii="Times New Roman" w:eastAsia="Times New Roman" w:hAnsi="Times New Roman" w:cs="Times New Roman"/>
          <w:sz w:val="24"/>
        </w:rPr>
        <w:t>е учествује у финансирању пројекта у висини до 50% вредности пројекта без ПДВ;</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децембру 2015. године усвојен је Национални програм за сузбијање сиве економије, са циљем смањења учешћа сиве економије у БДП, као и ефикаснијег надзора над токовима сиве екон</w:t>
      </w:r>
      <w:r>
        <w:rPr>
          <w:rFonts w:ascii="Times New Roman" w:eastAsia="Times New Roman" w:hAnsi="Times New Roman" w:cs="Times New Roman"/>
          <w:sz w:val="24"/>
        </w:rPr>
        <w:t>омије, унапређења функционисања фискалног система, смањења административног и парафискалног оптерећења за привреду и грађане и подизања свести грађана и привреде о значају сузбијања сиве економије и мотивација за поштовање прописа;</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Проширен је обухват акти</w:t>
      </w:r>
      <w:r>
        <w:rPr>
          <w:rFonts w:ascii="Times New Roman" w:eastAsia="Times New Roman" w:hAnsi="Times New Roman" w:cs="Times New Roman"/>
          <w:sz w:val="24"/>
        </w:rPr>
        <w:t>вних мера на тржишту рада и у току је реформа Националне службе за запошљавање, уз подршку пројекта Светске банке, како би се повећала ефикасност њених програма и побољшао квалитет услуга које пружа незапосленима и послодавцима;</w:t>
      </w:r>
    </w:p>
    <w:p w:rsidR="00BE17C7" w:rsidRDefault="00843F0B">
      <w:pPr>
        <w:numPr>
          <w:ilvl w:val="0"/>
          <w:numId w:val="17"/>
        </w:numPr>
        <w:spacing w:after="0" w:line="240" w:lineRule="auto"/>
        <w:ind w:left="1434" w:hanging="357"/>
        <w:jc w:val="both"/>
        <w:rPr>
          <w:rFonts w:ascii="Times New Roman" w:eastAsia="Times New Roman" w:hAnsi="Times New Roman" w:cs="Times New Roman"/>
          <w:sz w:val="24"/>
        </w:rPr>
      </w:pPr>
      <w:r>
        <w:rPr>
          <w:rFonts w:ascii="Times New Roman" w:eastAsia="Times New Roman" w:hAnsi="Times New Roman" w:cs="Times New Roman"/>
          <w:sz w:val="24"/>
        </w:rPr>
        <w:t>Усвојен је Национални акцио</w:t>
      </w:r>
      <w:r>
        <w:rPr>
          <w:rFonts w:ascii="Times New Roman" w:eastAsia="Times New Roman" w:hAnsi="Times New Roman" w:cs="Times New Roman"/>
          <w:sz w:val="24"/>
        </w:rPr>
        <w:t>ни план запошљавања за 2017. годину;</w:t>
      </w:r>
    </w:p>
    <w:p w:rsidR="00BE17C7" w:rsidRDefault="00843F0B">
      <w:pPr>
        <w:numPr>
          <w:ilvl w:val="0"/>
          <w:numId w:val="17"/>
        </w:numPr>
        <w:spacing w:after="0" w:line="240" w:lineRule="auto"/>
        <w:ind w:left="1434" w:hanging="357"/>
        <w:jc w:val="both"/>
        <w:rPr>
          <w:rFonts w:ascii="Times New Roman" w:eastAsia="Times New Roman" w:hAnsi="Times New Roman" w:cs="Times New Roman"/>
          <w:sz w:val="24"/>
        </w:rPr>
      </w:pPr>
      <w:r>
        <w:rPr>
          <w:rFonts w:ascii="Times New Roman" w:eastAsia="Times New Roman" w:hAnsi="Times New Roman" w:cs="Times New Roman"/>
          <w:sz w:val="24"/>
        </w:rPr>
        <w:t>Програм реформи политике запошљавања и социјалне политике, усвојен је у јуну 2016. године и представља главни механизам за дијалог о приоритетима у областима социјалне политике и запошљавања током процеса европских инте</w:t>
      </w:r>
      <w:r>
        <w:rPr>
          <w:rFonts w:ascii="Times New Roman" w:eastAsia="Times New Roman" w:hAnsi="Times New Roman" w:cs="Times New Roman"/>
          <w:sz w:val="24"/>
        </w:rPr>
        <w:t>грација;</w:t>
      </w:r>
    </w:p>
    <w:p w:rsidR="00BE17C7" w:rsidRDefault="00843F0B">
      <w:pPr>
        <w:numPr>
          <w:ilvl w:val="0"/>
          <w:numId w:val="17"/>
        </w:numPr>
        <w:spacing w:after="0" w:line="240" w:lineRule="auto"/>
        <w:ind w:left="1434" w:hanging="357"/>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Усвојена је Стратегија научног и технолошког развоја Републике Србије за период од 2016. до 2020. године – „истраживања за иновацијеˮ, која има за циљ успостављање делотворног националног истраживачког система интегрисаног у Европски истраживачки </w:t>
      </w:r>
      <w:r>
        <w:rPr>
          <w:rFonts w:ascii="Times New Roman" w:eastAsia="Times New Roman" w:hAnsi="Times New Roman" w:cs="Times New Roman"/>
          <w:sz w:val="24"/>
        </w:rPr>
        <w:t>простор, који кроз развој иновација доприноси економском расту, друштвеном и културном напретку, подизању стандарда грађана и квалитету живота;</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Усвојена је Стратегија за развој индустрије информационих технологија за период од 2017. до 2020. године, која с</w:t>
      </w:r>
      <w:r>
        <w:rPr>
          <w:rFonts w:ascii="Times New Roman" w:eastAsia="Times New Roman" w:hAnsi="Times New Roman" w:cs="Times New Roman"/>
          <w:sz w:val="24"/>
        </w:rPr>
        <w:t>адржи мере за унапређење раста ИТ производње и посредан утицај на укупан привредни раст, као и на смањење економског јаза између урбаних и руралних подручја;</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Како би се поједноставиле процедуре уписа непокретности и смањили трошкови у мају 2016. године пуш</w:t>
      </w:r>
      <w:r>
        <w:rPr>
          <w:rFonts w:ascii="Times New Roman" w:eastAsia="Times New Roman" w:hAnsi="Times New Roman" w:cs="Times New Roman"/>
          <w:sz w:val="24"/>
        </w:rPr>
        <w:t xml:space="preserve">тен је у рад Централни регистар планских докумената. Функционисање Централног регистра планских докумената, који је део система за електронско издавање грађевинских дозвола, доприноси стварању бољег амбијента за инвеститоре кроз брже издавање грађевинских </w:t>
      </w:r>
      <w:r>
        <w:rPr>
          <w:rFonts w:ascii="Times New Roman" w:eastAsia="Times New Roman" w:hAnsi="Times New Roman" w:cs="Times New Roman"/>
          <w:sz w:val="24"/>
        </w:rPr>
        <w:t>дозвола и бољи преглед потенцијалних локација за улагање. Како би се поједноставиле процедуре уписа непокретности и смањили трошкови уводи се дигитализовано праћење власништва у регистру;</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Усвојена је Стратегија развоја туризма за период од 2016. до 2025. г</w:t>
      </w:r>
      <w:r>
        <w:rPr>
          <w:rFonts w:ascii="Times New Roman" w:eastAsia="Times New Roman" w:hAnsi="Times New Roman" w:cs="Times New Roman"/>
          <w:sz w:val="24"/>
        </w:rPr>
        <w:t xml:space="preserve">одине, чијим спровођењем се очекује значајан пораст прихода од туристичких услуга и отварање радних места у сектору туризма; </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Усвојена је Стратегија развоја трговине до 2020. године, која предвиђа оснивање Националног савета за трговину и формирање информа</w:t>
      </w:r>
      <w:r>
        <w:rPr>
          <w:rFonts w:ascii="Times New Roman" w:eastAsia="Times New Roman" w:hAnsi="Times New Roman" w:cs="Times New Roman"/>
          <w:sz w:val="24"/>
        </w:rPr>
        <w:t xml:space="preserve">ционе базе о трговини и трговинској мрежи Републике Србије. Подаци из ове базе олакшаће анализу тржишта потенцијалним инвеститорима; </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Усвојен је Програм усаглашавања домаћег законодавства са Директивом о услугама 2006/123/ЕЗ са Акционим планом и Анексом, к</w:t>
      </w:r>
      <w:r>
        <w:rPr>
          <w:rFonts w:ascii="Times New Roman" w:eastAsia="Times New Roman" w:hAnsi="Times New Roman" w:cs="Times New Roman"/>
          <w:sz w:val="24"/>
        </w:rPr>
        <w:t>оји предвиђа унапређење пословног амбијента и укидање непотребних ограничења за обављање појединих услужних делатности, а уводи и могућност прекограничног пружања услуга. Услужне делатности у Србији су до сада биле уређене великим бројем секторских прописа</w:t>
      </w:r>
      <w:r>
        <w:rPr>
          <w:rFonts w:ascii="Times New Roman" w:eastAsia="Times New Roman" w:hAnsi="Times New Roman" w:cs="Times New Roman"/>
          <w:sz w:val="24"/>
        </w:rPr>
        <w:t>. Доношење овог програма допринеће уређењу сектора услуга на целовит и јединствен начин, као и стварању услова за примену Директиве о услугама ЕУ;</w:t>
      </w:r>
    </w:p>
    <w:p w:rsidR="00BE17C7" w:rsidRDefault="00843F0B">
      <w:pPr>
        <w:numPr>
          <w:ilvl w:val="0"/>
          <w:numId w:val="17"/>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циљу економског раста и стварања доброг пословног окружења за повећање инвестиција, броја запослених и равн</w:t>
      </w:r>
      <w:r>
        <w:rPr>
          <w:rFonts w:ascii="Times New Roman" w:eastAsia="Times New Roman" w:hAnsi="Times New Roman" w:cs="Times New Roman"/>
          <w:sz w:val="24"/>
        </w:rPr>
        <w:t>омернији регионални развој, унапређен је законски оквир. Законом о улагањима који је усвојен крајем 2015. године изједначавају се страни и домаћи инвеститори и унапређује инвестиционо окружење, а специфични третман је посвећен улагањима од посебног значаја</w:t>
      </w:r>
      <w:r>
        <w:rPr>
          <w:rFonts w:ascii="Times New Roman" w:eastAsia="Times New Roman" w:hAnsi="Times New Roman" w:cs="Times New Roman"/>
          <w:sz w:val="24"/>
        </w:rPr>
        <w:t xml:space="preserve"> у неразвијеним општинама. Донета је нова Уредба о утврђивању програма подстицања равномерног регионалног развоја у 2016. години као подршка равномерном регионалном и локалном развоју, јачању регионалних институционалних капацитета, повећању конкурентности</w:t>
      </w:r>
      <w:r>
        <w:rPr>
          <w:rFonts w:ascii="Times New Roman" w:eastAsia="Times New Roman" w:hAnsi="Times New Roman" w:cs="Times New Roman"/>
          <w:sz w:val="24"/>
        </w:rPr>
        <w:t xml:space="preserve"> региона, области и локалне самоуправе и унапређењу међуопштинске, међурегионалне, прекограничне и међународне сарадње. Донета је нова Уредба о условима и начину привлачења улагања, којом се ближе одређују критеријуми за улагања од посебног и локалног знач</w:t>
      </w:r>
      <w:r>
        <w:rPr>
          <w:rFonts w:ascii="Times New Roman" w:eastAsia="Times New Roman" w:hAnsi="Times New Roman" w:cs="Times New Roman"/>
          <w:sz w:val="24"/>
        </w:rPr>
        <w:t xml:space="preserve">аја, критеријуми, </w:t>
      </w:r>
      <w:r>
        <w:rPr>
          <w:rFonts w:ascii="Times New Roman" w:eastAsia="Times New Roman" w:hAnsi="Times New Roman" w:cs="Times New Roman"/>
          <w:sz w:val="24"/>
        </w:rPr>
        <w:lastRenderedPageBreak/>
        <w:t>услови и начин привлачења директних инвестиција у Републику Србију. У уредби је детаљно дефинисан процес праћења и контроле над реализацијом инвестиционих пројеката за који су средства подстицаја додељена по овој уредби. Такође одређују с</w:t>
      </w:r>
      <w:r>
        <w:rPr>
          <w:rFonts w:ascii="Times New Roman" w:eastAsia="Times New Roman" w:hAnsi="Times New Roman" w:cs="Times New Roman"/>
          <w:sz w:val="24"/>
        </w:rPr>
        <w:t>е поступак, висина и рок за остваривање олакшица и ослобађање од царинских и других дажбина на увоз опреме страног улагача, као и друга питања од значаја за доделу средстава подстицаја и реализацију инвестиционих пројеката у циљу подстицања директних улага</w:t>
      </w:r>
      <w:r>
        <w:rPr>
          <w:rFonts w:ascii="Times New Roman" w:eastAsia="Times New Roman" w:hAnsi="Times New Roman" w:cs="Times New Roman"/>
          <w:sz w:val="24"/>
        </w:rPr>
        <w:t xml:space="preserve">ња. </w:t>
      </w:r>
    </w:p>
    <w:p w:rsidR="00BE17C7" w:rsidRDefault="00843F0B">
      <w:pPr>
        <w:numPr>
          <w:ilvl w:val="0"/>
          <w:numId w:val="17"/>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Системско решавање проблема предузећа у реструктурирању, уз имплементацију структурних реформи из области радног законодавства и грађевинарства, повољно се одразило на пословни амбијент и напредак Србије на међународним листама конкурентности. Према И</w:t>
      </w:r>
      <w:r>
        <w:rPr>
          <w:rFonts w:ascii="Times New Roman" w:eastAsia="Times New Roman" w:hAnsi="Times New Roman" w:cs="Times New Roman"/>
          <w:sz w:val="24"/>
        </w:rPr>
        <w:t>ндексу глобалне конкурентности Светског економског форума Србија је напредовала за 4 позиције и са 94. места доспела на 90. место од 138 земаља, а највећи напредак је остварен у делу који се односи на макроекономско окружење. Светска банка је вредновала пр</w:t>
      </w:r>
      <w:r>
        <w:rPr>
          <w:rFonts w:ascii="Times New Roman" w:eastAsia="Times New Roman" w:hAnsi="Times New Roman" w:cs="Times New Roman"/>
          <w:sz w:val="24"/>
        </w:rPr>
        <w:t xml:space="preserve">оцес структурних реформи, тако што је сврстала Републику Србију на 47. место листе </w:t>
      </w:r>
      <w:r>
        <w:rPr>
          <w:rFonts w:ascii="Times New Roman" w:eastAsia="Times New Roman" w:hAnsi="Times New Roman" w:cs="Times New Roman"/>
          <w:i/>
          <w:sz w:val="24"/>
        </w:rPr>
        <w:t>Doing business</w:t>
      </w:r>
      <w:r>
        <w:rPr>
          <w:rFonts w:ascii="Times New Roman" w:eastAsia="Times New Roman" w:hAnsi="Times New Roman" w:cs="Times New Roman"/>
          <w:sz w:val="24"/>
        </w:rPr>
        <w:t xml:space="preserve"> 2017, која је сачињена према критеријуму лакоће пословања, при чему се Србија нашла у групи од 10 земаља са највећим оствареним напретком. Извршене реформе у </w:t>
      </w:r>
      <w:r>
        <w:rPr>
          <w:rFonts w:ascii="Times New Roman" w:eastAsia="Times New Roman" w:hAnsi="Times New Roman" w:cs="Times New Roman"/>
          <w:sz w:val="24"/>
        </w:rPr>
        <w:t>области издавања грађевинских дозвола Светска банка је на ранг листи вредновала напретком ове области од 116 места.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keepNext/>
        <w:keepLines/>
        <w:numPr>
          <w:ilvl w:val="0"/>
          <w:numId w:val="18"/>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Структурне реформе реалног сектора</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циљу јачања приватног сектора наставиће се са побољшањем пословне и инвестиционе климе ради смањења трошкова и ризика пословања и инвестирања у Републици Србији. Oбезбедиће се боља заштита конкуренције, подстицање бржег развоја малих и средњих предузећа </w:t>
      </w:r>
      <w:r>
        <w:rPr>
          <w:rFonts w:ascii="Times New Roman" w:eastAsia="Times New Roman" w:hAnsi="Times New Roman" w:cs="Times New Roman"/>
          <w:sz w:val="24"/>
        </w:rPr>
        <w:t>и предузетништва, отклањање ригидности на тржишту рада и ефикасније спровођење стечаја. Посебна пажња посветиће се структурним реформама које подстичу јачање капацитета привреде за повећање производње и ефикасности, извоза и запослености, што ће резултират</w:t>
      </w:r>
      <w:r>
        <w:rPr>
          <w:rFonts w:ascii="Times New Roman" w:eastAsia="Times New Roman" w:hAnsi="Times New Roman" w:cs="Times New Roman"/>
          <w:sz w:val="24"/>
        </w:rPr>
        <w:t>и побољшањем конкурентности привреде, уз посебан фокус на завршетак процеса реструктуирања државних предузећа.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Структурне реформе које унапређују пословно окружење</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numPr>
          <w:ilvl w:val="0"/>
          <w:numId w:val="19"/>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побољшања конкурентности и пословног окружења Републике Србије развиће се свеобухватан програм подршке инвестирању, отварању нових радних места и развоју приватног сектора. Програм ће осигурати да политике које подржавају раст буду добро координисан</w:t>
      </w:r>
      <w:r>
        <w:rPr>
          <w:rFonts w:ascii="Times New Roman" w:eastAsia="Times New Roman" w:hAnsi="Times New Roman" w:cs="Times New Roman"/>
          <w:sz w:val="24"/>
        </w:rPr>
        <w:t>е и циљане. Конкретне акције ће бити фокусиране на следеће области:</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Наставиће се подстицање развоја малих и средњих предузећа и предузетништва кроз имплементацију Стратегије за подршку развоја малих и средњих предузећа, предузетништва и конкурентности; </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На</w:t>
      </w:r>
      <w:r>
        <w:rPr>
          <w:rFonts w:ascii="Times New Roman" w:eastAsia="Times New Roman" w:hAnsi="Times New Roman" w:cs="Times New Roman"/>
          <w:sz w:val="24"/>
        </w:rPr>
        <w:t xml:space="preserve">кон успеха програма „Година предузетништва 2016ˮ и у наредном периоду ће се наставити деловање у правцу унапређења пословног </w:t>
      </w:r>
      <w:r>
        <w:rPr>
          <w:rFonts w:ascii="Times New Roman" w:eastAsia="Times New Roman" w:hAnsi="Times New Roman" w:cs="Times New Roman"/>
          <w:sz w:val="24"/>
        </w:rPr>
        <w:lastRenderedPageBreak/>
        <w:t xml:space="preserve">окружења и пружања директне финансијске и нефинансијске подршке сектору малих и средњих предузећа и предузетника; </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Имајући у виду з</w:t>
      </w:r>
      <w:r>
        <w:rPr>
          <w:rFonts w:ascii="Times New Roman" w:eastAsia="Times New Roman" w:hAnsi="Times New Roman" w:cs="Times New Roman"/>
          <w:sz w:val="24"/>
        </w:rPr>
        <w:t xml:space="preserve">начај малих и средњих предузећа за српску привреду и ограничен приступ овог сектора кредитима, увешће се оквир за функционисање недепозитних финансијских институција и кредитну подршку малим и средњим предузећима кроз кредитне линије Европске инвестиционе </w:t>
      </w:r>
      <w:r>
        <w:rPr>
          <w:rFonts w:ascii="Times New Roman" w:eastAsia="Times New Roman" w:hAnsi="Times New Roman" w:cs="Times New Roman"/>
          <w:sz w:val="24"/>
        </w:rPr>
        <w:t>банке („Апекс зајмовиˮ). Да би се побољшала ефикасност Апекс програма, припремљене су смернице које су дефинисане у складу са критеријумима ЕИБ, у вези са одређивањем приоритета за алокацију кредитних средстава;</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Наставиће се са спровођењем Националног прог</w:t>
      </w:r>
      <w:r>
        <w:rPr>
          <w:rFonts w:ascii="Times New Roman" w:eastAsia="Times New Roman" w:hAnsi="Times New Roman" w:cs="Times New Roman"/>
          <w:sz w:val="24"/>
        </w:rPr>
        <w:t>рама за сузбијање сиве економије, а 2017. и 2018. година су проглашене „Годинама борбе против сиве економијеˮ;</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 xml:space="preserve">Током 2017. године независни консултант ће извршити дијагностичку анализу Фонда за развој Републике Србије и Агенције за финансирање и осигурање </w:t>
      </w:r>
      <w:r>
        <w:rPr>
          <w:rFonts w:ascii="Times New Roman" w:eastAsia="Times New Roman" w:hAnsi="Times New Roman" w:cs="Times New Roman"/>
          <w:sz w:val="24"/>
        </w:rPr>
        <w:t>извоза, која ће бити праћена предлозима за унапређење њиховог управљања и побољшање оперативних процедура;</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наредном средњoрочном периоду новоосновани Министарски савет за информационе технологије ће радити на спровођењу различитих иницијатива које за циљ</w:t>
      </w:r>
      <w:r>
        <w:rPr>
          <w:rFonts w:ascii="Times New Roman" w:eastAsia="Times New Roman" w:hAnsi="Times New Roman" w:cs="Times New Roman"/>
          <w:sz w:val="24"/>
        </w:rPr>
        <w:t xml:space="preserve"> имају пораст извоза ИТ сектора што ће допринети отварању нових радних места и унапредити иновациону средину;</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припреми је Нацрт закона о накнадама који ће заменити постојеће законе и подзаконске акте и регулисати накнаде на свим нивоима државе, како би с</w:t>
      </w:r>
      <w:r>
        <w:rPr>
          <w:rFonts w:ascii="Times New Roman" w:eastAsia="Times New Roman" w:hAnsi="Times New Roman" w:cs="Times New Roman"/>
          <w:sz w:val="24"/>
        </w:rPr>
        <w:t>е омогућила већа предвидивост и транспарентност. Усвајање овог закона је планирано у 2017. години;</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Наставиће се унапређење ефикасности у управљању стечајним поступцима, а између осталог биће донете измене и допуне Закона о стечају;</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У циљу унапређења ефикас</w:t>
      </w:r>
      <w:r>
        <w:rPr>
          <w:rFonts w:ascii="Times New Roman" w:eastAsia="Times New Roman" w:hAnsi="Times New Roman" w:cs="Times New Roman"/>
          <w:sz w:val="24"/>
        </w:rPr>
        <w:t>ности јавних предузећа и стварања снажног оквира за надгледање њиховог пословања у току је рад на изради подзаконских аката Закона о јавним предузећима. Наставиће се рад на процесу увођења корпоративног управљања у јавним предузећима, са циљем обезбеђења н</w:t>
      </w:r>
      <w:r>
        <w:rPr>
          <w:rFonts w:ascii="Times New Roman" w:eastAsia="Times New Roman" w:hAnsi="Times New Roman" w:cs="Times New Roman"/>
          <w:sz w:val="24"/>
        </w:rPr>
        <w:t>епристрасности, транспарентности и одговорности у корпоративном понашању;</w:t>
      </w:r>
    </w:p>
    <w:p w:rsidR="00BE17C7" w:rsidRDefault="00843F0B">
      <w:pPr>
        <w:numPr>
          <w:ilvl w:val="0"/>
          <w:numId w:val="19"/>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Наставиће се рад на изради јединственог јавног регистра административних процедура и осталих услова пословања, како би се привредним субјектима и грађанима омогућило благовремено планирање трошкова пружања одређене услуге јавне управе.</w:t>
      </w:r>
    </w:p>
    <w:p w:rsidR="00BE17C7" w:rsidRDefault="00BE17C7">
      <w:pPr>
        <w:spacing w:after="0" w:line="240" w:lineRule="auto"/>
        <w:ind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 xml:space="preserve">Структурне реформе </w:t>
      </w:r>
      <w:r>
        <w:rPr>
          <w:rFonts w:ascii="Times New Roman" w:eastAsia="Times New Roman" w:hAnsi="Times New Roman" w:cs="Times New Roman"/>
          <w:i/>
          <w:sz w:val="24"/>
        </w:rPr>
        <w:t>које унапређују тржиште рада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numPr>
          <w:ilvl w:val="0"/>
          <w:numId w:val="20"/>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складу са општим циљем политике запошљавања до 2020. године, утврђеним Националном стратегијом запошљавања за период 2011–2020. године, наставиће се са реализацијом активности ради успостављања ефикасног, стабилног и одрживо</w:t>
      </w:r>
      <w:r>
        <w:rPr>
          <w:rFonts w:ascii="Times New Roman" w:eastAsia="Times New Roman" w:hAnsi="Times New Roman" w:cs="Times New Roman"/>
          <w:sz w:val="24"/>
        </w:rPr>
        <w:t>г тренда раста запослености до 2020. године.</w:t>
      </w:r>
    </w:p>
    <w:p w:rsidR="00BE17C7" w:rsidRDefault="00843F0B">
      <w:pPr>
        <w:numPr>
          <w:ilvl w:val="0"/>
          <w:numId w:val="20"/>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наредном периоду планира се реализација следећих активности:</w:t>
      </w:r>
    </w:p>
    <w:p w:rsidR="00BE17C7" w:rsidRDefault="00843F0B">
      <w:pPr>
        <w:numPr>
          <w:ilvl w:val="0"/>
          <w:numId w:val="20"/>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Унапређивање постојећег законодавног оквира политике запошљавања и боља реализација постојећих, као и увођење нових мера активне политике запошљавањ</w:t>
      </w:r>
      <w:r>
        <w:rPr>
          <w:rFonts w:ascii="Times New Roman" w:eastAsia="Times New Roman" w:hAnsi="Times New Roman" w:cs="Times New Roman"/>
          <w:sz w:val="24"/>
        </w:rPr>
        <w:t>а. Наставиће се успостављање Националног оквира квалификација (НОК), који је један од инструмената за повезивање образовног система са стварним потребама тржишта рада, односно утврђивање питања квалификација потребних тржишту рада;</w:t>
      </w:r>
    </w:p>
    <w:p w:rsidR="00BE17C7" w:rsidRDefault="00843F0B">
      <w:pPr>
        <w:numPr>
          <w:ilvl w:val="0"/>
          <w:numId w:val="20"/>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Побољшање услова на тржи</w:t>
      </w:r>
      <w:r>
        <w:rPr>
          <w:rFonts w:ascii="Times New Roman" w:eastAsia="Times New Roman" w:hAnsi="Times New Roman" w:cs="Times New Roman"/>
          <w:sz w:val="24"/>
        </w:rPr>
        <w:t>шту рада и унапређење институција тржишта рада, подстицање запошљавања и укључивање теже запошљивих лица на тржиште рада, подршка регионалној и локалној политици запошљавања и унапређење квалитета радне снаге и улагање у људски капитал;</w:t>
      </w:r>
    </w:p>
    <w:p w:rsidR="00BE17C7" w:rsidRDefault="00843F0B">
      <w:pPr>
        <w:numPr>
          <w:ilvl w:val="0"/>
          <w:numId w:val="20"/>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Интензивирање напор</w:t>
      </w:r>
      <w:r>
        <w:rPr>
          <w:rFonts w:ascii="Times New Roman" w:eastAsia="Times New Roman" w:hAnsi="Times New Roman" w:cs="Times New Roman"/>
          <w:sz w:val="24"/>
        </w:rPr>
        <w:t xml:space="preserve">а за отварање нових радних места, са посебним фокусом на сектор производње, информационих технологија, мала и средња предузећа, подстицање нових предузетника и побољшање приступа финансијама; </w:t>
      </w:r>
    </w:p>
    <w:p w:rsidR="00BE17C7" w:rsidRDefault="00843F0B">
      <w:pPr>
        <w:numPr>
          <w:ilvl w:val="0"/>
          <w:numId w:val="20"/>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Подстицање запошљавања у мање развијеним регионима уз развој ре</w:t>
      </w:r>
      <w:r>
        <w:rPr>
          <w:rFonts w:ascii="Times New Roman" w:eastAsia="Times New Roman" w:hAnsi="Times New Roman" w:cs="Times New Roman"/>
          <w:sz w:val="24"/>
        </w:rPr>
        <w:t>гионалних и локалних политика запошљавања, подизање квалитета људског капитала, развој институционалних капацитета и редукција дуалности на тржишту рада;</w:t>
      </w:r>
    </w:p>
    <w:p w:rsidR="00BE17C7" w:rsidRDefault="00843F0B">
      <w:pPr>
        <w:numPr>
          <w:ilvl w:val="0"/>
          <w:numId w:val="20"/>
        </w:numPr>
        <w:spacing w:after="0" w:line="240" w:lineRule="auto"/>
        <w:ind w:left="1440" w:hanging="360"/>
        <w:jc w:val="both"/>
        <w:rPr>
          <w:rFonts w:ascii="Times New Roman" w:eastAsia="Times New Roman" w:hAnsi="Times New Roman" w:cs="Times New Roman"/>
          <w:sz w:val="24"/>
        </w:rPr>
      </w:pPr>
      <w:r>
        <w:rPr>
          <w:rFonts w:ascii="Times New Roman" w:eastAsia="Times New Roman" w:hAnsi="Times New Roman" w:cs="Times New Roman"/>
          <w:sz w:val="24"/>
        </w:rPr>
        <w:t>Као део иницијативе за отварање нових радних места, наставиће се унапређење и проширење обухвата актив</w:t>
      </w:r>
      <w:r>
        <w:rPr>
          <w:rFonts w:ascii="Times New Roman" w:eastAsia="Times New Roman" w:hAnsi="Times New Roman" w:cs="Times New Roman"/>
          <w:sz w:val="24"/>
        </w:rPr>
        <w:t>них мера запошљавања, сходно ситуацији на тржишту рада и резултатима анализе ефеката реализованих мера, са посебним фокусом на младе и дугорочно незапослене.</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Финансијска стабилност</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numPr>
          <w:ilvl w:val="0"/>
          <w:numId w:val="21"/>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Како би се очувала финансијска стабилност и потпомогла способност банкарс</w:t>
      </w:r>
      <w:r>
        <w:rPr>
          <w:rFonts w:ascii="Times New Roman" w:eastAsia="Times New Roman" w:hAnsi="Times New Roman" w:cs="Times New Roman"/>
          <w:sz w:val="24"/>
        </w:rPr>
        <w:t>ког сектора да спремно одговори на евентуалне шокове из окружења, уз истовремено унапређење финансијског посредовања посебна пажња ће се посветити даљем решавању питања проблематичних кредита, политици резервисања и јачању надзора и регулаторног оквира у с</w:t>
      </w:r>
      <w:r>
        <w:rPr>
          <w:rFonts w:ascii="Times New Roman" w:eastAsia="Times New Roman" w:hAnsi="Times New Roman" w:cs="Times New Roman"/>
          <w:sz w:val="24"/>
        </w:rPr>
        <w:t>кладу са стандардима ЕУ.</w:t>
      </w:r>
    </w:p>
    <w:p w:rsidR="00BE17C7" w:rsidRDefault="00843F0B">
      <w:pPr>
        <w:numPr>
          <w:ilvl w:val="0"/>
          <w:numId w:val="21"/>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Остварен је напредак у спровођењу Стратегијe за решавање проблематичних кредита. У протеклом периоду НБС је спровела све активности предвиђене Акционим планом за решавање проблематичних кредита, показујући на тај начин посвећеност и опредељеност ка решавањ</w:t>
      </w:r>
      <w:r>
        <w:rPr>
          <w:rFonts w:ascii="Times New Roman" w:eastAsia="Times New Roman" w:hAnsi="Times New Roman" w:cs="Times New Roman"/>
          <w:sz w:val="24"/>
        </w:rPr>
        <w:t>у овог сложеног питања у складу са најбољом међународном праксом, а спроводећи активности из своје надлежности на начин који обезбеђује очување и јачање стабилности банкарског и финансијског система у целини. Новим регулаторним захтевима НБС појачавају се:</w:t>
      </w:r>
      <w:r>
        <w:rPr>
          <w:rFonts w:ascii="Times New Roman" w:eastAsia="Times New Roman" w:hAnsi="Times New Roman" w:cs="Times New Roman"/>
          <w:sz w:val="24"/>
        </w:rPr>
        <w:t xml:space="preserve"> обавезе банака у погледу извештавања о проблематичним кредитима, третман за реструктуриране кредите у складу са захтевима ЕУ и очекивања супервизора када је реч о управљању проблематичном активом. Такође, у току 2016. је завршена и израда смерница за обја</w:t>
      </w:r>
      <w:r>
        <w:rPr>
          <w:rFonts w:ascii="Times New Roman" w:eastAsia="Times New Roman" w:hAnsi="Times New Roman" w:cs="Times New Roman"/>
          <w:sz w:val="24"/>
        </w:rPr>
        <w:t>вљивање информација о квалитету активе банака, при чему су резултати посебних дијагностичких испитивања квалитета активе банака, која су спроведена по угледу на ЕЦБ, потврдила адекватну капитализованост свих банака чија је актива била обухваћена овим испит</w:t>
      </w:r>
      <w:r>
        <w:rPr>
          <w:rFonts w:ascii="Times New Roman" w:eastAsia="Times New Roman" w:hAnsi="Times New Roman" w:cs="Times New Roman"/>
          <w:sz w:val="24"/>
        </w:rPr>
        <w:t xml:space="preserve">ивањем. Затим, успостављена је база података о проценама вредности непокретности које су предмет хипотеке и о кредитима обезбеђеним хипотеком, за коју банке достављају НБС податке на месечном нивоу. </w:t>
      </w:r>
      <w:r>
        <w:rPr>
          <w:rFonts w:ascii="Times New Roman" w:eastAsia="Times New Roman" w:hAnsi="Times New Roman" w:cs="Times New Roman"/>
          <w:sz w:val="24"/>
        </w:rPr>
        <w:lastRenderedPageBreak/>
        <w:t>Паралелно са тим, у процедури је усвајање Закона о процен</w:t>
      </w:r>
      <w:r>
        <w:rPr>
          <w:rFonts w:ascii="Times New Roman" w:eastAsia="Times New Roman" w:hAnsi="Times New Roman" w:cs="Times New Roman"/>
          <w:sz w:val="24"/>
        </w:rPr>
        <w:t>итељима вредности непокретности. Као резултат свих наведених активности, учешће проблематичних кредита у укупним кредитима банака је у септембру пало на ниво од 19,5%, што је за 2,1 процентних поена ниже у односу на крај 2015. године и за 2,5 процентних по</w:t>
      </w:r>
      <w:r>
        <w:rPr>
          <w:rFonts w:ascii="Times New Roman" w:eastAsia="Times New Roman" w:hAnsi="Times New Roman" w:cs="Times New Roman"/>
          <w:sz w:val="24"/>
        </w:rPr>
        <w:t>ена ниже на међугодишњем нивоу.</w:t>
      </w:r>
    </w:p>
    <w:p w:rsidR="00BE17C7" w:rsidRDefault="00843F0B">
      <w:pPr>
        <w:numPr>
          <w:ilvl w:val="0"/>
          <w:numId w:val="21"/>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Базел III стандард ће се уводити у домаћу регулативу од краја јуна 2017. године. Од тог датума, смањиће се минимални захтеви за капиталом, а биће уведени нови заштитни слојеви капитала, у циљу ограничавања системских ризика.</w:t>
      </w:r>
      <w:r>
        <w:rPr>
          <w:rFonts w:ascii="Times New Roman" w:eastAsia="Times New Roman" w:hAnsi="Times New Roman" w:cs="Times New Roman"/>
          <w:sz w:val="24"/>
        </w:rPr>
        <w:t xml:space="preserve"> Регулаторне резерве за процењене кредитне губитке ће остати на снази до 2019. године, међутим, недавно усвојени регулаторни акти омогућавају банкама да смање регулаторне резерве у случају остварења прописаног смањења учешћа проблематичних кредита.</w:t>
      </w:r>
    </w:p>
    <w:p w:rsidR="00BE17C7" w:rsidRDefault="00843F0B">
      <w:pPr>
        <w:numPr>
          <w:ilvl w:val="0"/>
          <w:numId w:val="21"/>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циљу </w:t>
      </w:r>
      <w:r>
        <w:rPr>
          <w:rFonts w:ascii="Times New Roman" w:eastAsia="Times New Roman" w:hAnsi="Times New Roman" w:cs="Times New Roman"/>
          <w:sz w:val="24"/>
        </w:rPr>
        <w:t>очувања постигнуте финансијске стабилности НБС и Влада наставиће са спровођењем Стратегије динаризације. Стратегија се заснива на активностима које се могу објединити у три међусобно повезана стуба: 1) одржавање укупне макроекономске стабилности – што је у</w:t>
      </w:r>
      <w:r>
        <w:rPr>
          <w:rFonts w:ascii="Times New Roman" w:eastAsia="Times New Roman" w:hAnsi="Times New Roman" w:cs="Times New Roman"/>
          <w:sz w:val="24"/>
        </w:rPr>
        <w:t>једно и кључни стуб ове Стратегије и где се бележе кључни резултати који доприносе динаризацији; 2) стварање повољних услова за развој тржишта динарских инструмената и 3) промовисање инструмента заштите од постојећих девизних ризика у небанкарском сектору.</w:t>
      </w:r>
      <w:r>
        <w:rPr>
          <w:rFonts w:ascii="Times New Roman" w:eastAsia="Times New Roman" w:hAnsi="Times New Roman" w:cs="Times New Roman"/>
          <w:sz w:val="24"/>
        </w:rPr>
        <w:t xml:space="preserve"> Резултати Стратегије су већ видљиви, како на страни кредита становништву тако и депозита који бележе тренд раста, што је резултат ниске инфлације, релативно стабилног курса и знатно нижих каматних стопа на динарске кредите у односу на период пре три годин</w:t>
      </w:r>
      <w:r>
        <w:rPr>
          <w:rFonts w:ascii="Times New Roman" w:eastAsia="Times New Roman" w:hAnsi="Times New Roman" w:cs="Times New Roman"/>
          <w:sz w:val="24"/>
        </w:rPr>
        <w:t>е.</w:t>
      </w:r>
    </w:p>
    <w:p w:rsidR="00BE17C7" w:rsidRDefault="00BE17C7">
      <w:pPr>
        <w:numPr>
          <w:ilvl w:val="0"/>
          <w:numId w:val="21"/>
        </w:numPr>
        <w:spacing w:after="0" w:line="240" w:lineRule="auto"/>
        <w:ind w:left="576"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Унапређење саобраћајне инфраструктуре</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numPr>
          <w:ilvl w:val="0"/>
          <w:numId w:val="22"/>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документу Транспорт мастер план до 2027. године, који је урађен у сарадњи са ЕУ дефинисана су улагања у транспортну инфраструктуру по различитим видовима саобраћаја и приоритетима. Основни циљ мастер плана транс</w:t>
      </w:r>
      <w:r>
        <w:rPr>
          <w:rFonts w:ascii="Times New Roman" w:eastAsia="Times New Roman" w:hAnsi="Times New Roman" w:cs="Times New Roman"/>
          <w:sz w:val="24"/>
        </w:rPr>
        <w:t>порта за Србију је да пружи допринос у погледу остваривања боље и безбедније транспортне мреже која ће привући инвестиције у неразвијеније области, побољшати квалитет живота у тим областима и унапредити трговину. Просторним планом Републике Србије до 2020.</w:t>
      </w:r>
      <w:r>
        <w:rPr>
          <w:rFonts w:ascii="Times New Roman" w:eastAsia="Times New Roman" w:hAnsi="Times New Roman" w:cs="Times New Roman"/>
          <w:sz w:val="24"/>
        </w:rPr>
        <w:t xml:space="preserve"> године утврђују се основе организације, уређења, коришћења и заштите простора Републике Србије у циљу усаглашавања економског и социјалног развоја са природним потенцијалима.</w:t>
      </w:r>
    </w:p>
    <w:p w:rsidR="00BE17C7" w:rsidRDefault="00843F0B">
      <w:pPr>
        <w:numPr>
          <w:ilvl w:val="0"/>
          <w:numId w:val="22"/>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развоја саобраћајне инфраструктуре радиће се на развијању логистичких цен</w:t>
      </w:r>
      <w:r>
        <w:rPr>
          <w:rFonts w:ascii="Times New Roman" w:eastAsia="Times New Roman" w:hAnsi="Times New Roman" w:cs="Times New Roman"/>
          <w:sz w:val="24"/>
        </w:rPr>
        <w:t>тара регионалног и локалног карактера на мултимодалним Коридорима 10 и 7, у великим привредним регионалним чвориштима и њиховим гравитационим зонама. Истовремено, настављени су радови на аутопуту Е-80 (према граници са Бугарском - пројекат Исток), као и на</w:t>
      </w:r>
      <w:r>
        <w:rPr>
          <w:rFonts w:ascii="Times New Roman" w:eastAsia="Times New Roman" w:hAnsi="Times New Roman" w:cs="Times New Roman"/>
          <w:sz w:val="24"/>
        </w:rPr>
        <w:t xml:space="preserve"> обилазници око Београда и аутопуту Е-75 (према граници са Македонијом – пројекат Југ). Радови напредују и на тзв. Коридору 11, односно аутопуту Е-763 Београд–Јужни Јадран, а у току је и израда пројектне документације за аутопут Ниш–Приштина (који би преко</w:t>
      </w:r>
      <w:r>
        <w:rPr>
          <w:rFonts w:ascii="Times New Roman" w:eastAsia="Times New Roman" w:hAnsi="Times New Roman" w:cs="Times New Roman"/>
          <w:sz w:val="24"/>
        </w:rPr>
        <w:t xml:space="preserve"> Драча повезао Коридор 10 са Јадраном). Идејни пројекат за брзу саобраћајницу Нови Сад – Рума (Фрушкогорски коридор) је финализован, а у току је израда планова детаљне регулације. Целокупна техничка документација за Интермодални терминал и </w:t>
      </w:r>
      <w:r>
        <w:rPr>
          <w:rFonts w:ascii="Times New Roman" w:eastAsia="Times New Roman" w:hAnsi="Times New Roman" w:cs="Times New Roman"/>
          <w:sz w:val="24"/>
        </w:rPr>
        <w:lastRenderedPageBreak/>
        <w:t>логистички цента</w:t>
      </w:r>
      <w:r>
        <w:rPr>
          <w:rFonts w:ascii="Times New Roman" w:eastAsia="Times New Roman" w:hAnsi="Times New Roman" w:cs="Times New Roman"/>
          <w:sz w:val="24"/>
        </w:rPr>
        <w:t>р „Батајница” је завршена, а почетак изградње је планиран до краја 2016. године. Будући терминал ће омогућити смањење удела логистичких трошкова у цени производа, а производи и роба ће крајњим купцима стизати брже, квалитетније и економичније, чиме ће се с</w:t>
      </w:r>
      <w:r>
        <w:rPr>
          <w:rFonts w:ascii="Times New Roman" w:eastAsia="Times New Roman" w:hAnsi="Times New Roman" w:cs="Times New Roman"/>
          <w:sz w:val="24"/>
        </w:rPr>
        <w:t>творити и предуслови за привлачење инвестиција и отварање нових радних места.</w:t>
      </w:r>
    </w:p>
    <w:p w:rsidR="00BE17C7" w:rsidRDefault="00843F0B">
      <w:pPr>
        <w:numPr>
          <w:ilvl w:val="0"/>
          <w:numId w:val="22"/>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Радови на железничком Оријентално/источно-медитеранском основном коридору који подразумевају реконструкцију и модернизацију пруге су у току. Пројекат реконструкције пруге Београд</w:t>
      </w:r>
      <w:r>
        <w:rPr>
          <w:rFonts w:ascii="Times New Roman" w:eastAsia="Times New Roman" w:hAnsi="Times New Roman" w:cs="Times New Roman"/>
          <w:color w:val="595959"/>
          <w:sz w:val="24"/>
        </w:rPr>
        <w:t>–</w:t>
      </w:r>
      <w:r>
        <w:rPr>
          <w:rFonts w:ascii="Times New Roman" w:eastAsia="Times New Roman" w:hAnsi="Times New Roman" w:cs="Times New Roman"/>
          <w:sz w:val="24"/>
        </w:rPr>
        <w:t>Будимпешта један је од кључних инфраструктурних пројеката у наредном периоду, уз пројекте изградње Жежељевог моста у Новом Саду и модернизације и рехабилитације пруге Ниш–Прешево, Ниш - Димитровград, као и реконструкција пруге Београд</w:t>
      </w:r>
      <w:r>
        <w:rPr>
          <w:rFonts w:ascii="Times New Roman" w:eastAsia="Times New Roman" w:hAnsi="Times New Roman" w:cs="Times New Roman"/>
          <w:color w:val="595959"/>
          <w:sz w:val="24"/>
        </w:rPr>
        <w:t>–</w:t>
      </w:r>
      <w:r>
        <w:rPr>
          <w:rFonts w:ascii="Times New Roman" w:eastAsia="Times New Roman" w:hAnsi="Times New Roman" w:cs="Times New Roman"/>
          <w:sz w:val="24"/>
        </w:rPr>
        <w:t>Бар. Пројекат Београдски железнички чвор – Београд Центар Фаза 1 је завршен. У области трансевропских енергетских мрежа, Србија наставља да пружа подршку за реализацију пројекта гасног прстена у Југоисточној Европи. Интензивираће се припремни рад на изград</w:t>
      </w:r>
      <w:r>
        <w:rPr>
          <w:rFonts w:ascii="Times New Roman" w:eastAsia="Times New Roman" w:hAnsi="Times New Roman" w:cs="Times New Roman"/>
          <w:sz w:val="24"/>
        </w:rPr>
        <w:t xml:space="preserve">њи гасног интерконектора Ниш - Димитровград између Србије и Бугарске како би се повећала сигурност снабдевања гасом. Започеће се са изградњом електроенергетске интерконекције између Румуније и Србије, у оквиру трансбалканског коридора за пренос електричне </w:t>
      </w:r>
      <w:r>
        <w:rPr>
          <w:rFonts w:ascii="Times New Roman" w:eastAsia="Times New Roman" w:hAnsi="Times New Roman" w:cs="Times New Roman"/>
          <w:sz w:val="24"/>
        </w:rPr>
        <w:t xml:space="preserve">енергије. </w:t>
      </w:r>
    </w:p>
    <w:p w:rsidR="00BE17C7" w:rsidRDefault="00843F0B">
      <w:pPr>
        <w:numPr>
          <w:ilvl w:val="0"/>
          <w:numId w:val="22"/>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припреми је закон о широкопојасном приступу интернету чијим усвајањем ће се извршити усаглашавање националног законодавног оквира из области електронских комуникација са оквиром ЕУ и уредити услови и начин развоја широкопојасног приступа интер</w:t>
      </w:r>
      <w:r>
        <w:rPr>
          <w:rFonts w:ascii="Times New Roman" w:eastAsia="Times New Roman" w:hAnsi="Times New Roman" w:cs="Times New Roman"/>
          <w:sz w:val="24"/>
        </w:rPr>
        <w:t>нету (Директива 2014/61/ЕУ). Структурна реформа обухвата и консолидацију широкопојасне мреже у власништву јавног сектора, повезивање јавних установа на националну мрежу, као и изградњу широкопојасне комуникационе инфраструктуре са приступном мрежом у насељ</w:t>
      </w:r>
      <w:r>
        <w:rPr>
          <w:rFonts w:ascii="Times New Roman" w:eastAsia="Times New Roman" w:hAnsi="Times New Roman" w:cs="Times New Roman"/>
          <w:sz w:val="24"/>
        </w:rPr>
        <w:t xml:space="preserve">има. Изградњом инфраструктуре широкопојасног приступа у свим регионима Републике Србије створиће се услови за смањење економског јаза тј. за уједначен регионални развој, раст БДП, запослености и продуктивности, као и за остваривање међусекторске синергије </w:t>
      </w:r>
      <w:r>
        <w:rPr>
          <w:rFonts w:ascii="Times New Roman" w:eastAsia="Times New Roman" w:hAnsi="Times New Roman" w:cs="Times New Roman"/>
          <w:sz w:val="24"/>
        </w:rPr>
        <w:t>која смањује потребу за грађевинским радовима за постављање електронских комуникационих мрежа.</w:t>
      </w:r>
    </w:p>
    <w:p w:rsidR="00BE17C7" w:rsidRDefault="00BE17C7">
      <w:pPr>
        <w:numPr>
          <w:ilvl w:val="0"/>
          <w:numId w:val="22"/>
        </w:numPr>
        <w:spacing w:after="0" w:line="240" w:lineRule="auto"/>
        <w:ind w:left="576"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Унапређење енергетске инфраструктуре</w:t>
      </w:r>
    </w:p>
    <w:p w:rsidR="00BE17C7" w:rsidRDefault="00BE17C7">
      <w:pPr>
        <w:spacing w:after="0" w:line="240" w:lineRule="auto"/>
        <w:jc w:val="center"/>
        <w:rPr>
          <w:rFonts w:ascii="Times New Roman" w:eastAsia="Times New Roman" w:hAnsi="Times New Roman" w:cs="Times New Roman"/>
          <w:sz w:val="24"/>
        </w:rPr>
      </w:pP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Стратегијом развоја енергетике Републике Србије до 2025. године са пројекцијама до 2030. године констатовано је да је разв</w:t>
      </w:r>
      <w:r>
        <w:rPr>
          <w:rFonts w:ascii="Times New Roman" w:eastAsia="Times New Roman" w:hAnsi="Times New Roman" w:cs="Times New Roman"/>
          <w:sz w:val="24"/>
        </w:rPr>
        <w:t xml:space="preserve">ој електроенергетског сектора кључна карика у развоју комплетног енергетског система Републике Србије и приказано је стање производних капацитета и електроенергетских система. </w:t>
      </w: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Просечна старост целокупног инсталисаног производног капацитета у термо и хидро</w:t>
      </w:r>
      <w:r>
        <w:rPr>
          <w:rFonts w:ascii="Times New Roman" w:eastAsia="Times New Roman" w:hAnsi="Times New Roman" w:cs="Times New Roman"/>
          <w:sz w:val="24"/>
        </w:rPr>
        <w:t xml:space="preserve"> електранама Јавног предузећа „Електропривреда Србијеˮ је преко 25 година. Потребна је ревитализација постојећих електроенергетских производних капацитета и изградња нових капацитета у циљу сигурног, поузданог и квалитетног снабдевања крајњих купаца електр</w:t>
      </w:r>
      <w:r>
        <w:rPr>
          <w:rFonts w:ascii="Times New Roman" w:eastAsia="Times New Roman" w:hAnsi="Times New Roman" w:cs="Times New Roman"/>
          <w:sz w:val="24"/>
        </w:rPr>
        <w:t>ичном енергијом. Такође је потребна ревитализација постојећих и изградња нових преносних капацитета тако да се постигне уравнотежен, одржив и благовремен развој преносног система, са циљем прикључивања нових конвенционалних и обновљивих извора електричне е</w:t>
      </w:r>
      <w:r>
        <w:rPr>
          <w:rFonts w:ascii="Times New Roman" w:eastAsia="Times New Roman" w:hAnsi="Times New Roman" w:cs="Times New Roman"/>
          <w:sz w:val="24"/>
        </w:rPr>
        <w:t xml:space="preserve">нергије. Развој дистрибутивне мреже обухвата изградњу недостајућих, реконструкцију и </w:t>
      </w:r>
      <w:r>
        <w:rPr>
          <w:rFonts w:ascii="Times New Roman" w:eastAsia="Times New Roman" w:hAnsi="Times New Roman" w:cs="Times New Roman"/>
          <w:sz w:val="24"/>
        </w:rPr>
        <w:lastRenderedPageBreak/>
        <w:t>модернизацију постојећих трансформаторских станица, водова и мреже нижих напонских нивоа. Овим мерама постићи ће се смањење тренутно врло високих губитака у дистрибутивним</w:t>
      </w:r>
      <w:r>
        <w:rPr>
          <w:rFonts w:ascii="Times New Roman" w:eastAsia="Times New Roman" w:hAnsi="Times New Roman" w:cs="Times New Roman"/>
          <w:sz w:val="24"/>
        </w:rPr>
        <w:t xml:space="preserve"> системима и повећати њихова ефикасност, оствариће се већи ниво поузданости рада система и обезбедити бољи квалитет снабдевања купаца електричне енергије. Модернизација и унапређење енергетске ефикасности ће допринети задовољењу енергетске сигурности земље</w:t>
      </w:r>
      <w:r>
        <w:rPr>
          <w:rFonts w:ascii="Times New Roman" w:eastAsia="Times New Roman" w:hAnsi="Times New Roman" w:cs="Times New Roman"/>
          <w:sz w:val="24"/>
        </w:rPr>
        <w:t>.</w:t>
      </w: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Да би ЈП „Електропривреда Србије” могло да задовољи повећане потребе за електричном енергијом, планирана је у оквиру Друге фазе пакет пројекта ТЕ Костолац Б изградња новог блока Б3 у ТЕ Костолац (снаге 350 мегавата). У другој фази пројекта предвиђена је </w:t>
      </w:r>
      <w:r>
        <w:rPr>
          <w:rFonts w:ascii="Times New Roman" w:eastAsia="Times New Roman" w:hAnsi="Times New Roman" w:cs="Times New Roman"/>
          <w:sz w:val="24"/>
        </w:rPr>
        <w:t>и изградња новог термо блока ТЕКО Б3. Нови блок ТЕКО Б3 биће заменски производни капацитет уместо старих блокова ТЕКО А1 и А2 са циљем обезбеђења сигурности у снабдевању електричном и топлотном енергијом. У наредном периоду планирано је затварање одређених</w:t>
      </w:r>
      <w:r>
        <w:rPr>
          <w:rFonts w:ascii="Times New Roman" w:eastAsia="Times New Roman" w:hAnsi="Times New Roman" w:cs="Times New Roman"/>
          <w:sz w:val="24"/>
        </w:rPr>
        <w:t xml:space="preserve"> производних капацитета у оквиру усаглашавања са еколошким стандардима ЕУ, односно са смањењем броја запослених и трошкова пословања ЈП „Електропривреде Србије”.</w:t>
      </w: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повећања сигурности снабдевања гасом и успостављања услова за поуздан, безбедан рад и о</w:t>
      </w:r>
      <w:r>
        <w:rPr>
          <w:rFonts w:ascii="Times New Roman" w:eastAsia="Times New Roman" w:hAnsi="Times New Roman" w:cs="Times New Roman"/>
          <w:sz w:val="24"/>
        </w:rPr>
        <w:t>држиви развој гасног система, енергетског система и енергетског сектора уопште, а у сагласности са Законом о Просторном плану Републике Србије од 2010. до 2020. године, у сектору гасне привреде планирана је изградња нових гасовода, подземних складишта и ст</w:t>
      </w:r>
      <w:r>
        <w:rPr>
          <w:rFonts w:ascii="Times New Roman" w:eastAsia="Times New Roman" w:hAnsi="Times New Roman" w:cs="Times New Roman"/>
          <w:sz w:val="24"/>
        </w:rPr>
        <w:t>аница компримованог гаса. Међу приоритетним правцима стратешких пројеката гасне привреде предвиђен је магистрални гасовод Ниш–Димитровград.</w:t>
      </w: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сагласности са Законом о робним резервама и преузетим међународним обавезама, као и утврђеним мерилом за отварање </w:t>
      </w:r>
      <w:r>
        <w:rPr>
          <w:rFonts w:ascii="Times New Roman" w:eastAsia="Times New Roman" w:hAnsi="Times New Roman" w:cs="Times New Roman"/>
          <w:sz w:val="24"/>
        </w:rPr>
        <w:t>преговора о Поглављу 15 – Енергетика, планирана је изградња нових складишних капацитета у јавној својини за потребе складиштења обавезних резерви нафте и деривата нафте.</w:t>
      </w:r>
    </w:p>
    <w:p w:rsidR="00BE17C7" w:rsidRDefault="00843F0B">
      <w:pPr>
        <w:numPr>
          <w:ilvl w:val="0"/>
          <w:numId w:val="23"/>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 току је израда Програма остваривања Стратегије развоја енергетике до 2025. године са</w:t>
      </w:r>
      <w:r>
        <w:rPr>
          <w:rFonts w:ascii="Times New Roman" w:eastAsia="Times New Roman" w:hAnsi="Times New Roman" w:cs="Times New Roman"/>
          <w:sz w:val="24"/>
        </w:rPr>
        <w:t xml:space="preserve"> пројекцијама до 2030. године, којим ће се, сагласно чл. 5. и 6. Закона о енергетици („Службени гласник РС”, број 145/14) дефинисати мере, пројекти и активности које је потребно реализовати у периоду 2017</w:t>
      </w:r>
      <w:r>
        <w:rPr>
          <w:rFonts w:ascii="Times New Roman" w:eastAsia="Times New Roman" w:hAnsi="Times New Roman" w:cs="Times New Roman"/>
          <w:color w:val="595959"/>
          <w:sz w:val="24"/>
        </w:rPr>
        <w:t>–</w:t>
      </w:r>
      <w:r>
        <w:rPr>
          <w:rFonts w:ascii="Times New Roman" w:eastAsia="Times New Roman" w:hAnsi="Times New Roman" w:cs="Times New Roman"/>
          <w:sz w:val="24"/>
        </w:rPr>
        <w:t>2023. године у свим областима енергетике: електричн</w:t>
      </w:r>
      <w:r>
        <w:rPr>
          <w:rFonts w:ascii="Times New Roman" w:eastAsia="Times New Roman" w:hAnsi="Times New Roman" w:cs="Times New Roman"/>
          <w:sz w:val="24"/>
        </w:rPr>
        <w:t>а енергија, топлотна енергија, обновљиви извори енергије, угаљ, нафта, природни гас и енергетска ефикасност.</w:t>
      </w:r>
    </w:p>
    <w:p w:rsidR="00BE17C7" w:rsidRDefault="00BE17C7">
      <w:pPr>
        <w:numPr>
          <w:ilvl w:val="0"/>
          <w:numId w:val="23"/>
        </w:numPr>
        <w:spacing w:after="0" w:line="240" w:lineRule="auto"/>
        <w:ind w:left="576" w:firstLine="720"/>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Развој сектора пољопривреде</w:t>
      </w:r>
    </w:p>
    <w:p w:rsidR="00BE17C7" w:rsidRDefault="00BE17C7">
      <w:pPr>
        <w:spacing w:after="0" w:line="240" w:lineRule="auto"/>
        <w:ind w:firstLine="720"/>
        <w:jc w:val="center"/>
        <w:rPr>
          <w:rFonts w:ascii="Times New Roman" w:eastAsia="Times New Roman" w:hAnsi="Times New Roman" w:cs="Times New Roman"/>
          <w:i/>
          <w:sz w:val="24"/>
        </w:rPr>
      </w:pPr>
    </w:p>
    <w:p w:rsidR="00BE17C7" w:rsidRDefault="00843F0B">
      <w:pPr>
        <w:numPr>
          <w:ilvl w:val="0"/>
          <w:numId w:val="24"/>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Пољопривредни сектор карактерише техничко-технолошка застарелост, као и неповољна структура газдинстава (највећи број газдинстава је мале или средње величине), што може бити ограничавајући фактор развоја узимајући у обзир повољне услове за развој пољопривр</w:t>
      </w:r>
      <w:r>
        <w:rPr>
          <w:rFonts w:ascii="Times New Roman" w:eastAsia="Times New Roman" w:hAnsi="Times New Roman" w:cs="Times New Roman"/>
          <w:sz w:val="24"/>
        </w:rPr>
        <w:t>еде у Републици Србији. Либерализацијом пољопривредног сектора држава је изгубила утицај на величину газдинстава. Стога, у наредном периоду, држава ће настојати да мерама утиче на смањивање цене инпута производње и подстицати удруживање малих и средњих пољ</w:t>
      </w:r>
      <w:r>
        <w:rPr>
          <w:rFonts w:ascii="Times New Roman" w:eastAsia="Times New Roman" w:hAnsi="Times New Roman" w:cs="Times New Roman"/>
          <w:sz w:val="24"/>
        </w:rPr>
        <w:t xml:space="preserve">опривредника и да на тај начин помогне малим газдинствима, што ће повећати њихову конкурентност на тржишту. </w:t>
      </w:r>
    </w:p>
    <w:p w:rsidR="00BE17C7" w:rsidRDefault="00843F0B">
      <w:pPr>
        <w:numPr>
          <w:ilvl w:val="0"/>
          <w:numId w:val="24"/>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Изменом Правилника о условима и начину остваривања права на кредитну подршку, којим је олакшан приступ за коришћење кредита, Министарство </w:t>
      </w:r>
      <w:r>
        <w:rPr>
          <w:rFonts w:ascii="Times New Roman" w:eastAsia="Times New Roman" w:hAnsi="Times New Roman" w:cs="Times New Roman"/>
          <w:sz w:val="24"/>
        </w:rPr>
        <w:lastRenderedPageBreak/>
        <w:t>пољопривр</w:t>
      </w:r>
      <w:r>
        <w:rPr>
          <w:rFonts w:ascii="Times New Roman" w:eastAsia="Times New Roman" w:hAnsi="Times New Roman" w:cs="Times New Roman"/>
          <w:sz w:val="24"/>
        </w:rPr>
        <w:t>еде и заштите животне средине наставља да кредитно помаже пољопривредни сектор и у 2016. години с циљем унапређења пољопривредне производње. Укупан износ кредита за физичка лица, предузетнике и правна лица је до 5.000.000 динара, а за земљорадничке задруге</w:t>
      </w:r>
      <w:r>
        <w:rPr>
          <w:rFonts w:ascii="Times New Roman" w:eastAsia="Times New Roman" w:hAnsi="Times New Roman" w:cs="Times New Roman"/>
          <w:sz w:val="24"/>
        </w:rPr>
        <w:t xml:space="preserve"> до 15.000.000 динара.</w:t>
      </w:r>
    </w:p>
    <w:p w:rsidR="00BE17C7" w:rsidRDefault="00843F0B">
      <w:pPr>
        <w:numPr>
          <w:ilvl w:val="0"/>
          <w:numId w:val="24"/>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конкурентности пољопривредне производње спроводиће се кроз успостављање институционалног оквира за реализацију ИПАРД програма 2015</w:t>
      </w:r>
      <w:r>
        <w:rPr>
          <w:rFonts w:ascii="Times New Roman" w:eastAsia="Times New Roman" w:hAnsi="Times New Roman" w:cs="Times New Roman"/>
          <w:color w:val="595959"/>
          <w:sz w:val="24"/>
        </w:rPr>
        <w:t>–</w:t>
      </w:r>
      <w:r>
        <w:rPr>
          <w:rFonts w:ascii="Times New Roman" w:eastAsia="Times New Roman" w:hAnsi="Times New Roman" w:cs="Times New Roman"/>
          <w:sz w:val="24"/>
        </w:rPr>
        <w:t>2020, Националног програма за пољопривреду за период 2016. до 2020. године и Националног пр</w:t>
      </w:r>
      <w:r>
        <w:rPr>
          <w:rFonts w:ascii="Times New Roman" w:eastAsia="Times New Roman" w:hAnsi="Times New Roman" w:cs="Times New Roman"/>
          <w:sz w:val="24"/>
        </w:rPr>
        <w:t>ограма руралног развоја за период 2016. до 2020. године, у којима ће бити дефинисане мере за унапређење конкурентности пољопривредних газдинстава на средњерочном нивоу. Република Србија за сада не испуњава услове за коришћење претприступних фондова за пољо</w:t>
      </w:r>
      <w:r>
        <w:rPr>
          <w:rFonts w:ascii="Times New Roman" w:eastAsia="Times New Roman" w:hAnsi="Times New Roman" w:cs="Times New Roman"/>
          <w:sz w:val="24"/>
        </w:rPr>
        <w:t>привреду ИПАРД, а један од услова за добијање акредитације за њихово коришћење јесте и унапређење рада Управе за аграрна плаћања. У новембру 2016. године Министарство пољопривреде и заштите животне средине и Генерални директорат за пољопривреду и рурални р</w:t>
      </w:r>
      <w:r>
        <w:rPr>
          <w:rFonts w:ascii="Times New Roman" w:eastAsia="Times New Roman" w:hAnsi="Times New Roman" w:cs="Times New Roman"/>
          <w:sz w:val="24"/>
        </w:rPr>
        <w:t>азвој ЕК договорили су детаље о акредитационом поступку за коришћење IPARD фондова, а направљен је и акциони план за успешно отклањање недостатака из извештаја ревизора ЕК. У току 2017. године очекује се од стране ЕК окончање процеса акредитације свих стру</w:t>
      </w:r>
      <w:r>
        <w:rPr>
          <w:rFonts w:ascii="Times New Roman" w:eastAsia="Times New Roman" w:hAnsi="Times New Roman" w:cs="Times New Roman"/>
          <w:sz w:val="24"/>
        </w:rPr>
        <w:t>ктура у Републици Србији, неопходних за спровођење реформи које ће унапредити конкурентност и положај пољопривредних газдинстава.</w:t>
      </w:r>
    </w:p>
    <w:p w:rsidR="00BE17C7" w:rsidRDefault="00843F0B">
      <w:pPr>
        <w:numPr>
          <w:ilvl w:val="0"/>
          <w:numId w:val="24"/>
        </w:numPr>
        <w:spacing w:after="0" w:line="240" w:lineRule="auto"/>
        <w:ind w:left="576" w:firstLine="720"/>
        <w:jc w:val="both"/>
        <w:rPr>
          <w:rFonts w:ascii="Times New Roman" w:eastAsia="Times New Roman" w:hAnsi="Times New Roman" w:cs="Times New Roman"/>
          <w:sz w:val="24"/>
        </w:rPr>
      </w:pPr>
      <w:r>
        <w:rPr>
          <w:rFonts w:ascii="Times New Roman" w:eastAsia="Times New Roman" w:hAnsi="Times New Roman" w:cs="Times New Roman"/>
          <w:sz w:val="24"/>
        </w:rPr>
        <w:t>Са међународним финансијским институцијама (ММФ и Светском банком) урађена је анализа постојећих мера аграрне политике и рурал</w:t>
      </w:r>
      <w:r>
        <w:rPr>
          <w:rFonts w:ascii="Times New Roman" w:eastAsia="Times New Roman" w:hAnsi="Times New Roman" w:cs="Times New Roman"/>
          <w:sz w:val="24"/>
        </w:rPr>
        <w:t>ног развоја. Нове мере развојног аграрног буџета са фокусом на инвестиције и развој конкурентности ће бити имплементиране у буџету за 2017. годину.</w:t>
      </w:r>
    </w:p>
    <w:p w:rsidR="00BE17C7" w:rsidRDefault="00BE17C7">
      <w:pPr>
        <w:numPr>
          <w:ilvl w:val="0"/>
          <w:numId w:val="24"/>
        </w:numPr>
        <w:spacing w:after="0" w:line="240" w:lineRule="auto"/>
        <w:ind w:left="576" w:hanging="288"/>
        <w:jc w:val="both"/>
        <w:rPr>
          <w:rFonts w:ascii="Times New Roman" w:eastAsia="Times New Roman" w:hAnsi="Times New Roman" w:cs="Times New Roman"/>
          <w:sz w:val="24"/>
        </w:rPr>
      </w:pPr>
    </w:p>
    <w:p w:rsidR="00BE17C7" w:rsidRDefault="00843F0B">
      <w:pPr>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 xml:space="preserve"> Пакет мера за унапређење прихода од туризма</w:t>
      </w:r>
    </w:p>
    <w:p w:rsidR="00BE17C7" w:rsidRDefault="00BE17C7">
      <w:pPr>
        <w:spacing w:after="0" w:line="240" w:lineRule="auto"/>
        <w:ind w:firstLine="720"/>
        <w:jc w:val="center"/>
        <w:rPr>
          <w:rFonts w:ascii="Times New Roman" w:eastAsia="Times New Roman" w:hAnsi="Times New Roman" w:cs="Times New Roman"/>
          <w:sz w:val="24"/>
        </w:rPr>
      </w:pPr>
    </w:p>
    <w:p w:rsidR="00BE17C7" w:rsidRDefault="00843F0B">
      <w:pPr>
        <w:numPr>
          <w:ilvl w:val="0"/>
          <w:numId w:val="25"/>
        </w:numPr>
        <w:spacing w:after="0" w:line="240" w:lineRule="auto"/>
        <w:ind w:left="630" w:firstLine="720"/>
        <w:jc w:val="both"/>
        <w:rPr>
          <w:rFonts w:ascii="Times New Roman" w:eastAsia="Times New Roman" w:hAnsi="Times New Roman" w:cs="Times New Roman"/>
          <w:sz w:val="24"/>
        </w:rPr>
      </w:pPr>
      <w:r>
        <w:rPr>
          <w:rFonts w:ascii="Times New Roman" w:eastAsia="Times New Roman" w:hAnsi="Times New Roman" w:cs="Times New Roman"/>
          <w:sz w:val="24"/>
        </w:rPr>
        <w:t>У оквиру сектора услуга, међу приоритетима ће бити подстицање</w:t>
      </w:r>
      <w:r>
        <w:rPr>
          <w:rFonts w:ascii="Times New Roman" w:eastAsia="Times New Roman" w:hAnsi="Times New Roman" w:cs="Times New Roman"/>
          <w:sz w:val="24"/>
        </w:rPr>
        <w:t xml:space="preserve"> туризма кроз улагања у развој инфраструктуре и супраструктуре у туристичким дестинацијама, у пројекте промоције, едукације и тренинга у туризму, унапређења туристичког промета домаћих туриста и привлачења организованих група страних туриста. Спровођење ов</w:t>
      </w:r>
      <w:r>
        <w:rPr>
          <w:rFonts w:ascii="Times New Roman" w:eastAsia="Times New Roman" w:hAnsi="Times New Roman" w:cs="Times New Roman"/>
          <w:sz w:val="24"/>
        </w:rPr>
        <w:t xml:space="preserve">их мера подржано је кроз доделу кредитних средстава за подстицање квалитета туристичке понуде, доделу субвенција и дотација намењених за пројекте развоја туризма, доделом ваучера за субвенционисано коришћење услуга смештаја у домаћем туризму, као и другим </w:t>
      </w:r>
      <w:r>
        <w:rPr>
          <w:rFonts w:ascii="Times New Roman" w:eastAsia="Times New Roman" w:hAnsi="Times New Roman" w:cs="Times New Roman"/>
          <w:sz w:val="24"/>
        </w:rPr>
        <w:t xml:space="preserve">активностима предвиђеним у оквиру подстицајних мера дефинисаних Законом о туризму. Очекује се да ће приватизација бања и специјалних болница бити спроведена у наредном периоду и да ће дати позитиван импулс расту и развоју овог сегмента туризма. </w:t>
      </w:r>
    </w:p>
    <w:p w:rsidR="00BE17C7" w:rsidRDefault="00BE17C7">
      <w:pPr>
        <w:numPr>
          <w:ilvl w:val="0"/>
          <w:numId w:val="25"/>
        </w:numPr>
        <w:spacing w:after="0" w:line="240" w:lineRule="auto"/>
        <w:ind w:left="630" w:firstLine="720"/>
        <w:jc w:val="both"/>
        <w:rPr>
          <w:rFonts w:ascii="Times New Roman" w:eastAsia="Times New Roman" w:hAnsi="Times New Roman" w:cs="Times New Roman"/>
          <w:sz w:val="24"/>
        </w:rPr>
      </w:pPr>
    </w:p>
    <w:p w:rsidR="00BE17C7" w:rsidRDefault="00843F0B">
      <w:pPr>
        <w:keepNext/>
        <w:keepLines/>
        <w:numPr>
          <w:ilvl w:val="0"/>
          <w:numId w:val="25"/>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Структурн</w:t>
      </w:r>
      <w:r>
        <w:rPr>
          <w:rFonts w:ascii="Times New Roman" w:eastAsia="Times New Roman" w:hAnsi="Times New Roman" w:cs="Times New Roman"/>
          <w:sz w:val="24"/>
        </w:rPr>
        <w:t>е реформе јавног сектора</w:t>
      </w:r>
    </w:p>
    <w:p w:rsidR="00BE17C7" w:rsidRDefault="00BE17C7">
      <w:pPr>
        <w:spacing w:after="0" w:line="240" w:lineRule="auto"/>
        <w:ind w:firstLine="720"/>
        <w:rPr>
          <w:rFonts w:ascii="Times New Roman" w:eastAsia="Times New Roman" w:hAnsi="Times New Roman" w:cs="Times New Roman"/>
          <w:sz w:val="24"/>
        </w:rPr>
      </w:pPr>
    </w:p>
    <w:p w:rsidR="00BE17C7" w:rsidRDefault="00843F0B">
      <w:pPr>
        <w:keepNext/>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Висок ниво јавног дуга, изнад границе која је постављена Законом о буџетском систему, и растући дефицит у сектору државе у протеклом периоду, озбиљно су угрозили одрживост јавних финансија. Повратак јавних финансија на одрживу путању захтевао је озбиљан за</w:t>
      </w:r>
      <w:r>
        <w:rPr>
          <w:rFonts w:ascii="Times New Roman" w:eastAsia="Times New Roman" w:hAnsi="Times New Roman" w:cs="Times New Roman"/>
          <w:sz w:val="24"/>
        </w:rPr>
        <w:t xml:space="preserve">окрет у фискалној политици, снажно прилагођавање на страни јавних расхода и последично смањење дефицита и дуга. Предвиђена фискална консолидација подржана је и аранжманом из предострожности са ММФ. Резултати фискалне консолидације, смањење </w:t>
      </w:r>
      <w:r>
        <w:rPr>
          <w:rFonts w:ascii="Times New Roman" w:eastAsia="Times New Roman" w:hAnsi="Times New Roman" w:cs="Times New Roman"/>
          <w:sz w:val="24"/>
        </w:rPr>
        <w:lastRenderedPageBreak/>
        <w:t>дефицита и дуга,</w:t>
      </w:r>
      <w:r>
        <w:rPr>
          <w:rFonts w:ascii="Times New Roman" w:eastAsia="Times New Roman" w:hAnsi="Times New Roman" w:cs="Times New Roman"/>
          <w:sz w:val="24"/>
        </w:rPr>
        <w:t xml:space="preserve"> постигнути су годину дана раније у односу на рок који је предвиђен програмом са ММФ.</w:t>
      </w:r>
    </w:p>
    <w:p w:rsidR="00BE17C7" w:rsidRDefault="00843F0B">
      <w:pPr>
        <w:keepNext/>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Републику Србију у наредном средњорочном периоду очекује завршетак процеса консолидације и одржавање стабилних јавних финансија. За овај процес кључно је спровођење струк</w:t>
      </w:r>
      <w:r>
        <w:rPr>
          <w:rFonts w:ascii="Times New Roman" w:eastAsia="Times New Roman" w:hAnsi="Times New Roman" w:cs="Times New Roman"/>
          <w:sz w:val="24"/>
        </w:rPr>
        <w:t>турних реформи којима би се редефинисала улога државе и величина утицаја државе у појединим сегментима.</w:t>
      </w:r>
    </w:p>
    <w:p w:rsidR="00BE17C7" w:rsidRDefault="00BE17C7">
      <w:pPr>
        <w:keepNext/>
        <w:spacing w:after="0" w:line="240" w:lineRule="auto"/>
        <w:ind w:firstLine="720"/>
        <w:jc w:val="both"/>
        <w:rPr>
          <w:rFonts w:ascii="Times New Roman" w:eastAsia="Times New Roman" w:hAnsi="Times New Roman" w:cs="Times New Roman"/>
          <w:sz w:val="24"/>
        </w:rPr>
      </w:pPr>
    </w:p>
    <w:p w:rsidR="00BE17C7" w:rsidRDefault="00843F0B">
      <w:pPr>
        <w:keepNext/>
        <w:spacing w:after="0" w:line="240" w:lineRule="auto"/>
        <w:jc w:val="center"/>
        <w:rPr>
          <w:rFonts w:ascii="Times New Roman" w:eastAsia="Times New Roman" w:hAnsi="Times New Roman" w:cs="Times New Roman"/>
          <w:i/>
          <w:sz w:val="24"/>
        </w:rPr>
      </w:pPr>
      <w:r>
        <w:rPr>
          <w:rFonts w:ascii="Times New Roman" w:eastAsia="Times New Roman" w:hAnsi="Times New Roman" w:cs="Times New Roman"/>
          <w:i/>
          <w:sz w:val="24"/>
        </w:rPr>
        <w:t>Основни изазови за одрживу фискалну позицију</w:t>
      </w:r>
    </w:p>
    <w:p w:rsidR="00BE17C7" w:rsidRDefault="00BE17C7">
      <w:pPr>
        <w:keepNext/>
        <w:spacing w:after="0" w:line="240" w:lineRule="auto"/>
        <w:ind w:firstLine="720"/>
        <w:jc w:val="center"/>
        <w:rPr>
          <w:rFonts w:ascii="Times New Roman" w:eastAsia="Times New Roman" w:hAnsi="Times New Roman" w:cs="Times New Roman"/>
          <w:i/>
          <w:sz w:val="24"/>
        </w:rPr>
      </w:pPr>
    </w:p>
    <w:p w:rsidR="00BE17C7" w:rsidRDefault="00843F0B">
      <w:pPr>
        <w:numPr>
          <w:ilvl w:val="0"/>
          <w:numId w:val="2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Број и структура запослених у сектору државе. Циљ фискалне политике у средњем року је смањење расхода за </w:t>
      </w:r>
      <w:r>
        <w:rPr>
          <w:rFonts w:ascii="Times New Roman" w:eastAsia="Times New Roman" w:hAnsi="Times New Roman" w:cs="Times New Roman"/>
          <w:sz w:val="24"/>
        </w:rPr>
        <w:t>запослене на одржив ниво. Ниво од 7% БДП, како је дефинисано Законом о буџетском систему, потребно је ревидирати и прилагодити како би се обезбедио максималан квалитет пружених услуга уз одржив ниво расхода који су за то потребни. Просечан ниво зарада општ</w:t>
      </w:r>
      <w:r>
        <w:rPr>
          <w:rFonts w:ascii="Times New Roman" w:eastAsia="Times New Roman" w:hAnsi="Times New Roman" w:cs="Times New Roman"/>
          <w:sz w:val="24"/>
        </w:rPr>
        <w:t>е државе у ЕУ је око 10% БДП, а најнижи 8%, те је за Републику Србију адекватно учешће зарада од 9-9,5% БДП. Фискалном динамиком представљеном у овом документу овај ниво се достиже у 2018. години. Функционалном анализом од стране Светске банке идентификова</w:t>
      </w:r>
      <w:r>
        <w:rPr>
          <w:rFonts w:ascii="Times New Roman" w:eastAsia="Times New Roman" w:hAnsi="Times New Roman" w:cs="Times New Roman"/>
          <w:sz w:val="24"/>
        </w:rPr>
        <w:t>ни су мањи вишкови него што се иницијално претпостављало, што уз структурна побољшања у наплати пореских прихода смањује потребу за драстичним резовима у броју запослених. Уместо линеарних отпуштања којима се често нарушава квалитет пружених услуга потребн</w:t>
      </w:r>
      <w:r>
        <w:rPr>
          <w:rFonts w:ascii="Times New Roman" w:eastAsia="Times New Roman" w:hAnsi="Times New Roman" w:cs="Times New Roman"/>
          <w:sz w:val="24"/>
        </w:rPr>
        <w:t xml:space="preserve">о је завршити дубинску анализу по секторима јавне управе, како би процес рационализације поред смањења трошкова обезбедио очување структуре у погледу квалитета кадрова. Смањење зарада у јавном сектору у номиналном износу од 10%, почевши од 2015. године, а </w:t>
      </w:r>
      <w:r>
        <w:rPr>
          <w:rFonts w:ascii="Times New Roman" w:eastAsia="Times New Roman" w:hAnsi="Times New Roman" w:cs="Times New Roman"/>
          <w:sz w:val="24"/>
        </w:rPr>
        <w:t>затим њихово замрзавање (изузетно од циљаних повећања за поједине секторе у 2016. и 2017. години) кључна је мера фискалне консолидације и дала је очекиване резултате. Маса исплаћених зарада у сектору државе смањена је са 11,7% БДП у 2014. године на 10,4% Б</w:t>
      </w:r>
      <w:r>
        <w:rPr>
          <w:rFonts w:ascii="Times New Roman" w:eastAsia="Times New Roman" w:hAnsi="Times New Roman" w:cs="Times New Roman"/>
          <w:sz w:val="24"/>
        </w:rPr>
        <w:t>ДП у 2015. години, док је процена за 2016. годину 10,1% БДП. Како је процес рационализације измењен у односу на предвиђену динамику у 2015. години, ово смањење учешћа зарада у БДП углавном се дугује њиховом номиналном смањењу и замрзавању. На основу подата</w:t>
      </w:r>
      <w:r>
        <w:rPr>
          <w:rFonts w:ascii="Times New Roman" w:eastAsia="Times New Roman" w:hAnsi="Times New Roman" w:cs="Times New Roman"/>
          <w:sz w:val="24"/>
        </w:rPr>
        <w:t>ка с краја септембра 2016. године утврђено је да се број запослених у јавном сектору у односу на крај 2014. године смањио за око 22.000 што је у складу са најновијом ревизијом аранжмана са ММФ.</w:t>
      </w:r>
    </w:p>
    <w:p w:rsidR="00BE17C7" w:rsidRDefault="00843F0B">
      <w:pPr>
        <w:numPr>
          <w:ilvl w:val="0"/>
          <w:numId w:val="2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Буџетска подршка јавним и државним предузећима. У претходном п</w:t>
      </w:r>
      <w:r>
        <w:rPr>
          <w:rFonts w:ascii="Times New Roman" w:eastAsia="Times New Roman" w:hAnsi="Times New Roman" w:cs="Times New Roman"/>
          <w:sz w:val="24"/>
        </w:rPr>
        <w:t>ериоду велика буџетска издвајања односила су се на помоћ државним и јавним предузећима. Осим класичних субвенција углавном за текуће пословање (ЈП ПЕУ „Ресавицаˮ и „Железнице Србијеˮ а.д) и наменских субвенција (нпр. за одржавање путева), значајна средства</w:t>
      </w:r>
      <w:r>
        <w:rPr>
          <w:rFonts w:ascii="Times New Roman" w:eastAsia="Times New Roman" w:hAnsi="Times New Roman" w:cs="Times New Roman"/>
          <w:sz w:val="24"/>
        </w:rPr>
        <w:t xml:space="preserve"> су издвајана по основу буџетских кредита и плаћања по гарантованим кредитима јавним предузећима. Издаци за буџетске кредите и плаћања по основу гаранција достигли су учешће од 2,2% БДП у 2014. години, да би у 2015. години били на нивоу од 0,8% БДП, што је</w:t>
      </w:r>
      <w:r>
        <w:rPr>
          <w:rFonts w:ascii="Times New Roman" w:eastAsia="Times New Roman" w:hAnsi="Times New Roman" w:cs="Times New Roman"/>
          <w:sz w:val="24"/>
        </w:rPr>
        <w:t xml:space="preserve"> у складу с планом смањења њиховог учешћа с циљем да у 2019. години не прелазе 0,4% БДП. </w:t>
      </w:r>
    </w:p>
    <w:p w:rsidR="00BE17C7" w:rsidRDefault="00843F0B">
      <w:pPr>
        <w:numPr>
          <w:ilvl w:val="0"/>
          <w:numId w:val="26"/>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Побољшање управљања јавним финансијама. За успешно спровођење програма фискалне консолидације поред структурних фискалних мера, како на приходној тако и на расходној </w:t>
      </w:r>
      <w:r>
        <w:rPr>
          <w:rFonts w:ascii="Times New Roman" w:eastAsia="Times New Roman" w:hAnsi="Times New Roman" w:cs="Times New Roman"/>
          <w:sz w:val="24"/>
        </w:rPr>
        <w:t xml:space="preserve">страни, које за резултат имају смањење дефицита и јавног дуга, потребно је побољшати и процедуре укупног буџетског процеса од фазе средњорочног планирања, па до контроле и ревизије трошења буџетских средстава. Побољшање </w:t>
      </w:r>
      <w:r>
        <w:rPr>
          <w:rFonts w:ascii="Times New Roman" w:eastAsia="Times New Roman" w:hAnsi="Times New Roman" w:cs="Times New Roman"/>
          <w:sz w:val="24"/>
        </w:rPr>
        <w:lastRenderedPageBreak/>
        <w:t xml:space="preserve">процедура у планирању, извршавању и </w:t>
      </w:r>
      <w:r>
        <w:rPr>
          <w:rFonts w:ascii="Times New Roman" w:eastAsia="Times New Roman" w:hAnsi="Times New Roman" w:cs="Times New Roman"/>
          <w:sz w:val="24"/>
        </w:rPr>
        <w:t xml:space="preserve">контроли, с једне стране, и повећање ефикасности институција чији је задатак наплата прихода, с друге стране доприносе и подржавају програм фискалне консолидације.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Једна од области управљања јавним финансијама којој је озбиљно посвећена пажња и на чијем се унапређењу ради је управљање јавним инвестицијама. Неефикасност спровођења планираних јавних инвестиција, за које су обезбеђена средства и које су економски оправд</w:t>
      </w:r>
      <w:r>
        <w:rPr>
          <w:rFonts w:ascii="Times New Roman" w:eastAsia="Times New Roman" w:hAnsi="Times New Roman" w:cs="Times New Roman"/>
          <w:sz w:val="24"/>
        </w:rPr>
        <w:t xml:space="preserve">ане, представља препреку у унапређењу конкурентности тј. подизању капацитета инфраструктуре и осталих позитивних ефеката реализације ових пројеката. Већина појединачних пројеката је спровођена уз бројне проблеме: од неодговарајуће пројектне документације, </w:t>
      </w:r>
      <w:r>
        <w:rPr>
          <w:rFonts w:ascii="Times New Roman" w:eastAsia="Times New Roman" w:hAnsi="Times New Roman" w:cs="Times New Roman"/>
          <w:sz w:val="24"/>
        </w:rPr>
        <w:t>потешкоћа у експропријацији земљишта, недовољно добре контроле извођача која је доводила не само до пробијања уговорених рокова већ и до повећања цене радова, спорог издавања дозвола и друго.</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унапређења управљања јавним инвестицијама створиће се рег</w:t>
      </w:r>
      <w:r>
        <w:rPr>
          <w:rFonts w:ascii="Times New Roman" w:eastAsia="Times New Roman" w:hAnsi="Times New Roman" w:cs="Times New Roman"/>
          <w:sz w:val="24"/>
        </w:rPr>
        <w:t>улаторни оквир за уређење ове области. Развој капацитета, како у Министарству финансија, тако и код свих буџетских корисника, један је од приоритета, а имплементација и ажурирање јединствене информационе базе капиталних пројеката и оцена капиталних прojeкa</w:t>
      </w:r>
      <w:r>
        <w:rPr>
          <w:rFonts w:ascii="Times New Roman" w:eastAsia="Times New Roman" w:hAnsi="Times New Roman" w:cs="Times New Roman"/>
          <w:sz w:val="24"/>
        </w:rPr>
        <w:t>тa од стране буџетских корисника и Министарства финансија започеће током 2017. године и спроводиће се континуирано у наредном периоду. Унапређено управљање реализацијом капиталних инвестиција обезбедиће, поред осталог, позитивне ефекте на буџет по основу у</w:t>
      </w:r>
      <w:r>
        <w:rPr>
          <w:rFonts w:ascii="Times New Roman" w:eastAsia="Times New Roman" w:hAnsi="Times New Roman" w:cs="Times New Roman"/>
          <w:sz w:val="24"/>
        </w:rPr>
        <w:t xml:space="preserve">штедa и смањења издатака за пенале услед неповлачења одобрених кредита и додатне накнадне непредвиђене расходе за извођење радова.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Најважније структурне реформе предвиђене у наредном средњорочном периоду као подршка процесу фискалне консолидације односе с</w:t>
      </w:r>
      <w:r>
        <w:rPr>
          <w:rFonts w:ascii="Times New Roman" w:eastAsia="Times New Roman" w:hAnsi="Times New Roman" w:cs="Times New Roman"/>
          <w:sz w:val="24"/>
        </w:rPr>
        <w:t>е на:</w:t>
      </w:r>
    </w:p>
    <w:p w:rsidR="00BE17C7" w:rsidRDefault="00843F0B">
      <w:pPr>
        <w:numPr>
          <w:ilvl w:val="0"/>
          <w:numId w:val="27"/>
        </w:num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Наставак реформи у области запошљавања и система плата у сектору државе. Након краткорочних мера, смањења номиналног износа плата у сектору државе, које је било нужно за почетак фискалне консолидације, у наредном средњорочном периоду акценат је на ст</w:t>
      </w:r>
      <w:r>
        <w:rPr>
          <w:rFonts w:ascii="Times New Roman" w:eastAsia="Times New Roman" w:hAnsi="Times New Roman" w:cs="Times New Roman"/>
          <w:sz w:val="24"/>
        </w:rPr>
        <w:t xml:space="preserve">руктурним мерама, које би преко рационализације броја запослених с једне стране, и успостављања новог система плата у сектору државе с друге стране, допринело кретању масе плата ка одрживом нивоу. </w:t>
      </w:r>
    </w:p>
    <w:p w:rsidR="00BE17C7" w:rsidRDefault="00843F0B">
      <w:pPr>
        <w:spacing w:after="120" w:line="264"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Законом о Регистру запослених, изабраних, именованих, пост</w:t>
      </w:r>
      <w:r>
        <w:rPr>
          <w:rFonts w:ascii="Times New Roman" w:eastAsia="Times New Roman" w:hAnsi="Times New Roman" w:cs="Times New Roman"/>
          <w:sz w:val="24"/>
        </w:rPr>
        <w:t>ављених и ангажованих лица код корисника јавних средстава који је усвојен крајем јула 2015. године створена је правна основа за прецизно утврђивање броја запослених у ширем јавном сектору на који се закон односи (поред сектора државе – директни и индиректн</w:t>
      </w:r>
      <w:r>
        <w:rPr>
          <w:rFonts w:ascii="Times New Roman" w:eastAsia="Times New Roman" w:hAnsi="Times New Roman" w:cs="Times New Roman"/>
          <w:sz w:val="24"/>
        </w:rPr>
        <w:t>и корисници буџета на свим нивоима власти и организације обавезног социјалног осигурања, закон се односи и на јавна предузећа, НБС, јавне агенције и на привредна друштва у већинском државном власништву). Утврђивање прецизног броја запослених у оквиру разли</w:t>
      </w:r>
      <w:r>
        <w:rPr>
          <w:rFonts w:ascii="Times New Roman" w:eastAsia="Times New Roman" w:hAnsi="Times New Roman" w:cs="Times New Roman"/>
          <w:sz w:val="24"/>
        </w:rPr>
        <w:t>читог обухвата јавног сектора неопходна је полазна основа да би се у наредном кораку утврдио оптималан број запослених у појединим секторима. Овако утврђен регистар моћи ће да реши и недоумице које су се појавиле око укупног броја запослених у јавном секто</w:t>
      </w:r>
      <w:r>
        <w:rPr>
          <w:rFonts w:ascii="Times New Roman" w:eastAsia="Times New Roman" w:hAnsi="Times New Roman" w:cs="Times New Roman"/>
          <w:sz w:val="24"/>
        </w:rPr>
        <w:t>ру, односно ужем сектору државе, које су биле присутне у претходном периоду. Такође, омогућено је и слободно изјашњавање и унос података у Регистар о националној припадности запослених што ће омогућити вођење проактивне политике запошљавања припадника наци</w:t>
      </w:r>
      <w:r>
        <w:rPr>
          <w:rFonts w:ascii="Times New Roman" w:eastAsia="Times New Roman" w:hAnsi="Times New Roman" w:cs="Times New Roman"/>
          <w:sz w:val="24"/>
        </w:rPr>
        <w:t xml:space="preserve">оналних мањина у Републици Србији. Одлуком Владе током 2016. године формирана је међуресорна Радна група за интеграцију овог </w:t>
      </w:r>
      <w:r>
        <w:rPr>
          <w:rFonts w:ascii="Times New Roman" w:eastAsia="Times New Roman" w:hAnsi="Times New Roman" w:cs="Times New Roman"/>
          <w:sz w:val="24"/>
        </w:rPr>
        <w:lastRenderedPageBreak/>
        <w:t>Регистра у ЦРОСО (Централни регистар обавезног социјалног осигурања) што ће омогућити даљи развој, виши ниво поузданости и верифика</w:t>
      </w:r>
      <w:r>
        <w:rPr>
          <w:rFonts w:ascii="Times New Roman" w:eastAsia="Times New Roman" w:hAnsi="Times New Roman" w:cs="Times New Roman"/>
          <w:sz w:val="24"/>
        </w:rPr>
        <w:t>цију података.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Број запослених у сектору државе на крају 2014. године износио је 500.038. Анализа јавне управе коју је спровело Министарство државне управе и локалне самоуправе показала је да Србија не одступа значајније од просека ЕУ према броју запослени</w:t>
      </w:r>
      <w:r>
        <w:rPr>
          <w:rFonts w:ascii="Times New Roman" w:eastAsia="Times New Roman" w:hAnsi="Times New Roman" w:cs="Times New Roman"/>
          <w:sz w:val="24"/>
        </w:rPr>
        <w:t>х у сектору државе у односу на број становника. У Србији према подацима за 2014. годину овај показатељ износи 7,0% док је просек на нивоу ЕУ (28) 7,2%. Ако говоримо искључиво о општој држави у Србији, она није предимензионирана, чак је и мања него што је т</w:t>
      </w:r>
      <w:r>
        <w:rPr>
          <w:rFonts w:ascii="Times New Roman" w:eastAsia="Times New Roman" w:hAnsi="Times New Roman" w:cs="Times New Roman"/>
          <w:sz w:val="24"/>
        </w:rPr>
        <w:t>о случај у земљама ЕУ. Наиме, Србија је на нивоу од око 6,5 запослених у централној администрацији на 100 становника, док је овај параметар код земаља чланица ЕУ виши – износи око 8,5. Оно што је проблематично за нашу земљу је да су трошкови потребни за фи</w:t>
      </w:r>
      <w:r>
        <w:rPr>
          <w:rFonts w:ascii="Times New Roman" w:eastAsia="Times New Roman" w:hAnsi="Times New Roman" w:cs="Times New Roman"/>
          <w:sz w:val="24"/>
        </w:rPr>
        <w:t xml:space="preserve">нансирање овог броја запослених високи када се узме у обзир да је у Србији, у привреди, запослено свега 34,2% становништва, док тај проценат у ЕУ износи 45,2.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Закон о начину одређивања максималног броја запослених у јавном сектору, који је усвојен у јулу 2015. године представља правни основ за утврђивање максималног годишњег броја запослених у периоду од 2015. до 2018. године по појединачним институцијама, а у с</w:t>
      </w:r>
      <w:r>
        <w:rPr>
          <w:rFonts w:ascii="Times New Roman" w:eastAsia="Times New Roman" w:hAnsi="Times New Roman" w:cs="Times New Roman"/>
          <w:sz w:val="24"/>
        </w:rPr>
        <w:t>кладу са очекиваним унапређењем њихове продуктивности до које би требало да дође након реорганизације. Од јануара 2016. године, за субјекте за које важи Закон о начину одређивања максималног броја запослених у јавном сектору, обнављање уговора о привремени</w:t>
      </w:r>
      <w:r>
        <w:rPr>
          <w:rFonts w:ascii="Times New Roman" w:eastAsia="Times New Roman" w:hAnsi="Times New Roman" w:cs="Times New Roman"/>
          <w:sz w:val="24"/>
        </w:rPr>
        <w:t>м и повременим пословима је дозвољено само ако је то у складу са лимитима који су предвиђени законом и уколико је учешће запослених по том основу испод 10% од броја стално запослених или у другим изузетним случајевима предвиђеним законом. Забрана запошљава</w:t>
      </w:r>
      <w:r>
        <w:rPr>
          <w:rFonts w:ascii="Times New Roman" w:eastAsia="Times New Roman" w:hAnsi="Times New Roman" w:cs="Times New Roman"/>
          <w:sz w:val="24"/>
        </w:rPr>
        <w:t>ња у јавном сектору биће на снази и током 2017. године, уз изузетке које разматра Комисија за запошљавање узимајући у обзир утврђене лимите броја запослених, буџет, као и потребе за стручним кадром конкретне институције.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Кровни Закон о систему плата запосл</w:t>
      </w:r>
      <w:r>
        <w:rPr>
          <w:rFonts w:ascii="Times New Roman" w:eastAsia="Times New Roman" w:hAnsi="Times New Roman" w:cs="Times New Roman"/>
          <w:sz w:val="24"/>
        </w:rPr>
        <w:t>ених у јавном сектору којим се успостављају кључни принципи новог система и утврђују рокови за постепену имплементацију је усвојен у фебруару 2016. године. Очекује се да ће крајем децембра 2016. године Влада усвојити Предлог закона о платама запослених у А</w:t>
      </w:r>
      <w:r>
        <w:rPr>
          <w:rFonts w:ascii="Times New Roman" w:eastAsia="Times New Roman" w:hAnsi="Times New Roman" w:cs="Times New Roman"/>
          <w:sz w:val="24"/>
        </w:rPr>
        <w:t>П и ЈЛС, а потом до јуна 2017. године усвојити и Предлог закона о радноправном статусу и платама запослених у јавним службама. До 1. јануара 2018. године Влада ће усвојити предлоге закона којим се усклађују плате државних службеника и намештеника, као и ус</w:t>
      </w:r>
      <w:r>
        <w:rPr>
          <w:rFonts w:ascii="Times New Roman" w:eastAsia="Times New Roman" w:hAnsi="Times New Roman" w:cs="Times New Roman"/>
          <w:sz w:val="24"/>
        </w:rPr>
        <w:t xml:space="preserve">клађивање плата у Војсци и Полицији са системским законом о платама. Овим системским законом ствара се правни основ за уједначавање основице, смањење броја коефицијената и њихово поједностављење, јачање контроле буџета и управљивост масом плата и повећање </w:t>
      </w:r>
      <w:r>
        <w:rPr>
          <w:rFonts w:ascii="Times New Roman" w:eastAsia="Times New Roman" w:hAnsi="Times New Roman" w:cs="Times New Roman"/>
          <w:sz w:val="24"/>
        </w:rPr>
        <w:t>транспарентности система, а све то у крајњој инстанци треба да има за резултат једнаку плату за исти рад, без обзира у ком сегменту јавног сектора запослени ради. Поред тога, шири циљ реформе јавне управе у чији контекст се смешта реформа плата јесте и јач</w:t>
      </w:r>
      <w:r>
        <w:rPr>
          <w:rFonts w:ascii="Times New Roman" w:eastAsia="Times New Roman" w:hAnsi="Times New Roman" w:cs="Times New Roman"/>
          <w:sz w:val="24"/>
        </w:rPr>
        <w:t xml:space="preserve">ање учинка и делотворности јавне управе.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Влада је усвојила Уредбу о шифарнику радних места у фебруару 2016. године, како би се омогућила боља анализа и упоредивост зарада запослених у општој држави. Након што је Влада донела шифарник, сви корисници јавних</w:t>
      </w:r>
      <w:r>
        <w:rPr>
          <w:rFonts w:ascii="Times New Roman" w:eastAsia="Times New Roman" w:hAnsi="Times New Roman" w:cs="Times New Roman"/>
          <w:sz w:val="24"/>
        </w:rPr>
        <w:t xml:space="preserve"> средстава (11.000 институција, укључујући јавна предузећа) су почели са уношењем података у регистар у складу са новим шифарником. Регистар садржи податке о радним местима и звањима која су у складу са новим шифарником и радном верзијом каталога радних ме</w:t>
      </w:r>
      <w:r>
        <w:rPr>
          <w:rFonts w:ascii="Times New Roman" w:eastAsia="Times New Roman" w:hAnsi="Times New Roman" w:cs="Times New Roman"/>
          <w:sz w:val="24"/>
        </w:rPr>
        <w:t xml:space="preserve">ста. Каталози </w:t>
      </w:r>
      <w:r>
        <w:rPr>
          <w:rFonts w:ascii="Times New Roman" w:eastAsia="Times New Roman" w:hAnsi="Times New Roman" w:cs="Times New Roman"/>
          <w:sz w:val="24"/>
        </w:rPr>
        <w:lastRenderedPageBreak/>
        <w:t>представљају попис, класификацију и вредновање радних места, што је један од најважнијих корака у спровођењу реформе система плата. Осим назива радних места, односно звања у којем се обављају послови на радним местима, каталог садржи и типича</w:t>
      </w:r>
      <w:r>
        <w:rPr>
          <w:rFonts w:ascii="Times New Roman" w:eastAsia="Times New Roman" w:hAnsi="Times New Roman" w:cs="Times New Roman"/>
          <w:sz w:val="24"/>
        </w:rPr>
        <w:t>н опис радног места, захтевану стручну спрему, додатна знања и испите/сертификате, као и захтевано искуство за рад на тим пословима. Подсистеми јавног сектора, по којима су конципирани каталози су: државни органи, органи аутономне покрајине и јединице лока</w:t>
      </w:r>
      <w:r>
        <w:rPr>
          <w:rFonts w:ascii="Times New Roman" w:eastAsia="Times New Roman" w:hAnsi="Times New Roman" w:cs="Times New Roman"/>
          <w:sz w:val="24"/>
        </w:rPr>
        <w:t>лне самоуправе, здравство, просвета, социјална заштита, култура и спорт. Генеричка радна места која се појављују у целом систему посебно су издвојена у циљу упоредивости.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Министарство државне управе и локалне самоуправе покренуло је активности које се одно</w:t>
      </w:r>
      <w:r>
        <w:rPr>
          <w:rFonts w:ascii="Times New Roman" w:eastAsia="Times New Roman" w:hAnsi="Times New Roman" w:cs="Times New Roman"/>
          <w:sz w:val="24"/>
        </w:rPr>
        <w:t>се на унапређење области стручног усавршавања у систему јавне управе. У току је рад на припреми закона којим ће се уредити сва питања значајна за остваривање овог циља, а у наведеном периоду очекује се оснивање Националне академије за стручно усавршавање у</w:t>
      </w:r>
      <w:r>
        <w:rPr>
          <w:rFonts w:ascii="Times New Roman" w:eastAsia="Times New Roman" w:hAnsi="Times New Roman" w:cs="Times New Roman"/>
          <w:sz w:val="24"/>
        </w:rPr>
        <w:t xml:space="preserve"> јавној управи. У овој области, ради спровођења одредаба прописа који уређују стручно усавршавање државних службеника, успоставиће се и евиденција о утврђеним и спроведеним програмима општег стручног усавршавања и планираним и спроведеним програмима стручн</w:t>
      </w:r>
      <w:r>
        <w:rPr>
          <w:rFonts w:ascii="Times New Roman" w:eastAsia="Times New Roman" w:hAnsi="Times New Roman" w:cs="Times New Roman"/>
          <w:sz w:val="24"/>
        </w:rPr>
        <w:t>ог усавршавања државних службеника. Уз све наведено, обезбедиће се континуитет у пословима државне управе који се односе на државни стручни испит, посебан стручни испит за матичара и стручно усавршавање матичара. Кључни резултати у успостављању целовитог с</w:t>
      </w:r>
      <w:r>
        <w:rPr>
          <w:rFonts w:ascii="Times New Roman" w:eastAsia="Times New Roman" w:hAnsi="Times New Roman" w:cs="Times New Roman"/>
          <w:sz w:val="24"/>
        </w:rPr>
        <w:t>лужбеничког система у органима аутономних покрајина и јединица локалне самоуправе очекују се кроз даљу имплементацију Стратегије стручног усавршавања запослених у јединицама локалне самоуправе у Републици Србији и потпуну примену Закона о запосленима у аут</w:t>
      </w:r>
      <w:r>
        <w:rPr>
          <w:rFonts w:ascii="Times New Roman" w:eastAsia="Times New Roman" w:hAnsi="Times New Roman" w:cs="Times New Roman"/>
          <w:sz w:val="24"/>
        </w:rPr>
        <w:t>ономним покрајинама и јединицама локалне самоуправе. Предвиђено је успостављање јединственог система стручног усавршавања запослених у јединицама локалне самоуправе уважавањем специфичности које постоје у односу на систем државне управe, а пре свега у погл</w:t>
      </w:r>
      <w:r>
        <w:rPr>
          <w:rFonts w:ascii="Times New Roman" w:eastAsia="Times New Roman" w:hAnsi="Times New Roman" w:cs="Times New Roman"/>
          <w:sz w:val="24"/>
        </w:rPr>
        <w:t>еду разликовања општих и посебних програма стручног усавршавања, и специфичних потреба јединица локалне самоуправе. Нова законска решења применом Закона о запосленима у аутономним покрајинама и јединицама локалне самоуправе унеће значајне промене у области</w:t>
      </w:r>
      <w:r>
        <w:rPr>
          <w:rFonts w:ascii="Times New Roman" w:eastAsia="Times New Roman" w:hAnsi="Times New Roman" w:cs="Times New Roman"/>
          <w:sz w:val="24"/>
        </w:rPr>
        <w:t xml:space="preserve"> каријерног развоја, напредовања у служби и стручног усавршавања запослених у аутономним покрајинама и јединицама локалне самоуправе. Правни основ за реформу службеничког система у аутономним покрајинама и јединицама локалне самоуправе је Закон о запослени</w:t>
      </w:r>
      <w:r>
        <w:rPr>
          <w:rFonts w:ascii="Times New Roman" w:eastAsia="Times New Roman" w:hAnsi="Times New Roman" w:cs="Times New Roman"/>
          <w:sz w:val="24"/>
        </w:rPr>
        <w:t>ма у аутономним покрајинама и јединицама локалне самоуправе, за чију примену се формира и Савет за стручно усавршавање, који је у поступку оснивања.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домену реформе система локалне самоуправе Министарство државне управе и локалне самоуправе, је у мандатно</w:t>
      </w:r>
      <w:r>
        <w:rPr>
          <w:rFonts w:ascii="Times New Roman" w:eastAsia="Times New Roman" w:hAnsi="Times New Roman" w:cs="Times New Roman"/>
          <w:sz w:val="24"/>
        </w:rPr>
        <w:t>м периоду претходне Владе, припремило пакет закона који се односе на локалну самоуправу: Нацрт закона о изменама и допунама Закона о локалној самоуправи, и предлог Закона о комуналној полицији. У наредном периоду, планирана је израда Закона о изменама и до</w:t>
      </w:r>
      <w:r>
        <w:rPr>
          <w:rFonts w:ascii="Times New Roman" w:eastAsia="Times New Roman" w:hAnsi="Times New Roman" w:cs="Times New Roman"/>
          <w:sz w:val="24"/>
        </w:rPr>
        <w:t>пунама Закона о главном граду, као и Закона о изменама и допунама Закона о комуналној полицији. Стратегијом реформе јавне управе у Републици Србији, утврђена је, као један од кључних реформских циљева, потреба даље децентрализације (и деконцентрације), кој</w:t>
      </w:r>
      <w:r>
        <w:rPr>
          <w:rFonts w:ascii="Times New Roman" w:eastAsia="Times New Roman" w:hAnsi="Times New Roman" w:cs="Times New Roman"/>
          <w:sz w:val="24"/>
        </w:rPr>
        <w:t>а би пре свега имала за резултат унапређење система локалне самоуправе и ефикаснију расподелу надлежности између појединих нивоа власти. Реализоване су активности из Акционог плана за спровођење Стратегије реформе јавне управе, неопходне за припрему полазн</w:t>
      </w:r>
      <w:r>
        <w:rPr>
          <w:rFonts w:ascii="Times New Roman" w:eastAsia="Times New Roman" w:hAnsi="Times New Roman" w:cs="Times New Roman"/>
          <w:sz w:val="24"/>
        </w:rPr>
        <w:t>их основа Стратегије децентрализације, на чијој ће се изради радити у наредном периоду.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Увођење електронске управе има за циљ да повећа делотворност, ефикасност и економичност на унутрашњем плану, а све заједно у циљу повећања квалитета јавних услуга. Мини</w:t>
      </w:r>
      <w:r>
        <w:rPr>
          <w:rFonts w:ascii="Times New Roman" w:eastAsia="Times New Roman" w:hAnsi="Times New Roman" w:cs="Times New Roman"/>
          <w:sz w:val="24"/>
        </w:rPr>
        <w:t>старство предлаже политике и стратегије развоја електронске управе. Доношење закона о електронској управи уредиће опште поступање основних регистара који се успостављају, класификацију података и начин електронске размене података између органа државне упр</w:t>
      </w:r>
      <w:r>
        <w:rPr>
          <w:rFonts w:ascii="Times New Roman" w:eastAsia="Times New Roman" w:hAnsi="Times New Roman" w:cs="Times New Roman"/>
          <w:sz w:val="24"/>
        </w:rPr>
        <w:t>аве и коришћење портала електронске управе од стране државних органа, органа територијалне аутономије, локалне самоуправе, јавних предузећа и свих других којима су поверени послови јавне управе. Електронска управа ће на најбољи начин да идентификује потреб</w:t>
      </w:r>
      <w:r>
        <w:rPr>
          <w:rFonts w:ascii="Times New Roman" w:eastAsia="Times New Roman" w:hAnsi="Times New Roman" w:cs="Times New Roman"/>
          <w:sz w:val="24"/>
        </w:rPr>
        <w:t xml:space="preserve">е корисника јавне управе систематским праћењем резултата управних поступака и анализом постојећих статистика да би се открили недостаци у постојећим процедурама.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Реформа инспекцијског надзора је један од кључних елемената за реформу јавне управе. Циљеви с</w:t>
      </w:r>
      <w:r>
        <w:rPr>
          <w:rFonts w:ascii="Times New Roman" w:eastAsia="Times New Roman" w:hAnsi="Times New Roman" w:cs="Times New Roman"/>
          <w:sz w:val="24"/>
        </w:rPr>
        <w:t>у успостављање предвидивог и транспарентног пословног амбијента, унапређење примене прописа, смањење директних и индиректних трошкова пословања и привреде и државе, смањивање обима сиве економије и нелојалне конкуренције, као и минимизирање ризика корупциј</w:t>
      </w:r>
      <w:r>
        <w:rPr>
          <w:rFonts w:ascii="Times New Roman" w:eastAsia="Times New Roman" w:hAnsi="Times New Roman" w:cs="Times New Roman"/>
          <w:sz w:val="24"/>
        </w:rPr>
        <w:t>е. У наредном периоду, приоритет је пуна примена и усаглашавање посебних закона са новоусвојеним Законом о инспекцијском надзору чија примена обухвата: стручну подршку раду координационог тела, улагање у информисање привредника грађана и јавности о решењим</w:t>
      </w:r>
      <w:r>
        <w:rPr>
          <w:rFonts w:ascii="Times New Roman" w:eastAsia="Times New Roman" w:hAnsi="Times New Roman" w:cs="Times New Roman"/>
          <w:sz w:val="24"/>
        </w:rPr>
        <w:t xml:space="preserve">а у закону, обуку инспектора, успостављање јединственог информационог система, опремање инспекција на терену за спровођење закона. Улагања у информатичку инфраструктуру, логистику и обуку инспекција представљају основ за унапређење примене закона, смањење </w:t>
      </w:r>
      <w:r>
        <w:rPr>
          <w:rFonts w:ascii="Times New Roman" w:eastAsia="Times New Roman" w:hAnsi="Times New Roman" w:cs="Times New Roman"/>
          <w:sz w:val="24"/>
        </w:rPr>
        <w:t>трошкова привреде, повећање предвидивости пословања и смањења нелојалне конкуренције и корупције. За примену Закона је урађена анализа ефеката прописа и дефинисан акциони план за примену Закона у периоду од три године. Примена Закона ће бити фазна, а припр</w:t>
      </w:r>
      <w:r>
        <w:rPr>
          <w:rFonts w:ascii="Times New Roman" w:eastAsia="Times New Roman" w:hAnsi="Times New Roman" w:cs="Times New Roman"/>
          <w:sz w:val="24"/>
        </w:rPr>
        <w:t xml:space="preserve">ема за израду јединственог информационог система је већ започета. </w:t>
      </w:r>
      <w:r>
        <w:rPr>
          <w:rFonts w:ascii="Times New Roman" w:eastAsia="Times New Roman" w:hAnsi="Times New Roman" w:cs="Times New Roman"/>
          <w:sz w:val="24"/>
        </w:rPr>
        <w:tab/>
      </w:r>
    </w:p>
    <w:p w:rsidR="00BE17C7" w:rsidRDefault="00BE17C7">
      <w:pPr>
        <w:spacing w:after="0" w:line="240" w:lineRule="auto"/>
        <w:jc w:val="both"/>
        <w:rPr>
          <w:rFonts w:ascii="Times New Roman" w:eastAsia="Times New Roman" w:hAnsi="Times New Roman" w:cs="Times New Roman"/>
          <w:sz w:val="24"/>
        </w:rPr>
      </w:pPr>
    </w:p>
    <w:p w:rsidR="00BE17C7" w:rsidRDefault="00843F0B">
      <w:pPr>
        <w:numPr>
          <w:ilvl w:val="0"/>
          <w:numId w:val="28"/>
        </w:num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циљу смањења различитих облика буџетске подршке јавним и државним предузећима спроводе се реформе највећих јавних и државних предузећа. Смањење буџетске подршке овим предузећима подразу</w:t>
      </w:r>
      <w:r>
        <w:rPr>
          <w:rFonts w:ascii="Times New Roman" w:eastAsia="Times New Roman" w:hAnsi="Times New Roman" w:cs="Times New Roman"/>
          <w:sz w:val="24"/>
        </w:rPr>
        <w:t>мева: а) ограничење директних и индиректних субвенција, б) стриктно ограничење у издавању гаранција за нове кредите и в) јачање одговорности и транспарентности у пословању ових предузећа. Започете су реформе које се односе на три велике групе јавних и држа</w:t>
      </w:r>
      <w:r>
        <w:rPr>
          <w:rFonts w:ascii="Times New Roman" w:eastAsia="Times New Roman" w:hAnsi="Times New Roman" w:cs="Times New Roman"/>
          <w:sz w:val="24"/>
        </w:rPr>
        <w:t xml:space="preserve">вних предузећа.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прву групу предузећа спадају предузећа у портфолију бивше Агенције за приватизацију, чији статус ће се решити стечајем или приватизацијом. На овај начин је пронађено решење за 330 предузећа до краја октобра 2016. године. Отпремнине је до</w:t>
      </w:r>
      <w:r>
        <w:rPr>
          <w:rFonts w:ascii="Times New Roman" w:eastAsia="Times New Roman" w:hAnsi="Times New Roman" w:cs="Times New Roman"/>
          <w:sz w:val="24"/>
        </w:rPr>
        <w:t xml:space="preserve">било 24.474 запослених. За 172 компаније које запошљавају око 45.000 радника, међу којима има и стратешких компанија као што су ПКБ, РТБ Бор, ЈП ПЕУ „Ресавицаˮ, Петрохемија и др. решење се тек очекује, било кроз унапред припремљене планове реструктурирања </w:t>
      </w:r>
      <w:r>
        <w:rPr>
          <w:rFonts w:ascii="Times New Roman" w:eastAsia="Times New Roman" w:hAnsi="Times New Roman" w:cs="Times New Roman"/>
          <w:sz w:val="24"/>
        </w:rPr>
        <w:t xml:space="preserve">(УППР), било кроз редовне поступке стечаја, у складу са законом.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другу групу предузећа би се могла сврстати она предузећа за која се планира проналажење стратешких партнера и за која би се даље пословање наставило кроз различите видове концесија. За Ком</w:t>
      </w:r>
      <w:r>
        <w:rPr>
          <w:rFonts w:ascii="Times New Roman" w:eastAsia="Times New Roman" w:hAnsi="Times New Roman" w:cs="Times New Roman"/>
          <w:sz w:val="24"/>
        </w:rPr>
        <w:t>ерцијалну банку, другу банку по величини у Србији, изабран је приватизациони саветник, како би се приватизација спровела током 2017. године. Приватизација Железаре Смедерево је завршена у јуну ове године, чиме је обезбеђено пословање без подршке буџета у б</w:t>
      </w:r>
      <w:r>
        <w:rPr>
          <w:rFonts w:ascii="Times New Roman" w:eastAsia="Times New Roman" w:hAnsi="Times New Roman" w:cs="Times New Roman"/>
          <w:sz w:val="24"/>
        </w:rPr>
        <w:t xml:space="preserve">удућности и спречено даље акумулирање </w:t>
      </w:r>
      <w:r>
        <w:rPr>
          <w:rFonts w:ascii="Times New Roman" w:eastAsia="Times New Roman" w:hAnsi="Times New Roman" w:cs="Times New Roman"/>
          <w:sz w:val="24"/>
        </w:rPr>
        <w:lastRenderedPageBreak/>
        <w:t xml:space="preserve">дуговања. Истовремено, ангажоване су консултантске куће како би се размотриле опције давања концесије за Аеродром „Никола Тесла” и даље изградње Коридора 11.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трећу групу предузећа спадају јавна и државна предузећа у</w:t>
      </w:r>
      <w:r>
        <w:rPr>
          <w:rFonts w:ascii="Times New Roman" w:eastAsia="Times New Roman" w:hAnsi="Times New Roman" w:cs="Times New Roman"/>
          <w:sz w:val="24"/>
        </w:rPr>
        <w:t xml:space="preserve"> области енергетике, железничког саобраћаја и путне инфраструктуре. Током 2016. године, у сарадњи са међународним финансијским институцијама, одвија се процес њиховог реструктурирања, започет током 2015. године и то посебно: ЈП „Електропривреда Србије”, „Ж</w:t>
      </w:r>
      <w:r>
        <w:rPr>
          <w:rFonts w:ascii="Times New Roman" w:eastAsia="Times New Roman" w:hAnsi="Times New Roman" w:cs="Times New Roman"/>
          <w:sz w:val="24"/>
        </w:rPr>
        <w:t>елезнице Србије” а.д, ЈП „Србијагас” и ЈП „Путеви Србије”:</w:t>
      </w:r>
    </w:p>
    <w:p w:rsidR="00BE17C7" w:rsidRDefault="00843F0B">
      <w:pPr>
        <w:numPr>
          <w:ilvl w:val="0"/>
          <w:numId w:val="29"/>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ЈП „Електропривреда Србије”. У претходном периоду усвојени су Програм реорганизације и План фискалне консолидације, који је усаглашен са Светском банком и ЕБРД. Основни елементи плана су: повећање </w:t>
      </w:r>
      <w:r>
        <w:rPr>
          <w:rFonts w:ascii="Times New Roman" w:eastAsia="Times New Roman" w:hAnsi="Times New Roman" w:cs="Times New Roman"/>
          <w:sz w:val="24"/>
        </w:rPr>
        <w:t>прихода кроз побољшану наплату и смањење трошкова кроз повећање ефикасности, оптимизацију процеса набавке и смањење броја запослених. Потребно је спровести бројне мере како би ЈП ЕПС пословао финансијски одрживо и како би се смањила разлика у цени струје н</w:t>
      </w:r>
      <w:r>
        <w:rPr>
          <w:rFonts w:ascii="Times New Roman" w:eastAsia="Times New Roman" w:hAnsi="Times New Roman" w:cs="Times New Roman"/>
          <w:sz w:val="24"/>
        </w:rPr>
        <w:t>а домаћем тржишту и у региону. С тим у вези, jедан од првих корака је било повећање цене електричне енергије за крајње купце у укупном износу од 12%, током августа 2015. године, где се 4,5% односи на повећање цене, а 7,5% на акцизу, и додатних 3,8% поскупљ</w:t>
      </w:r>
      <w:r>
        <w:rPr>
          <w:rFonts w:ascii="Times New Roman" w:eastAsia="Times New Roman" w:hAnsi="Times New Roman" w:cs="Times New Roman"/>
          <w:sz w:val="24"/>
        </w:rPr>
        <w:t>ења у октобру 2016. године. У склопу Плана финансијске консолидације дефинисан је План оптимизације броја запослених за период до 2019. године. До краја октобра 2016. године 1900 радника се добровољно пријавило за отпремнине, а направљен је и план за додат</w:t>
      </w:r>
      <w:r>
        <w:rPr>
          <w:rFonts w:ascii="Times New Roman" w:eastAsia="Times New Roman" w:hAnsi="Times New Roman" w:cs="Times New Roman"/>
          <w:sz w:val="24"/>
        </w:rPr>
        <w:t>на смањења броја запослених до 2019. године. Планирано је да се ЈП ЕПС до краја прве половине 2017. године трансформише у акционарско друштво, као и да се сагледају остале могућности за даљи развој компаније у циљу побољшања перформанси компаније и обезбеђ</w:t>
      </w:r>
      <w:r>
        <w:rPr>
          <w:rFonts w:ascii="Times New Roman" w:eastAsia="Times New Roman" w:hAnsi="Times New Roman" w:cs="Times New Roman"/>
          <w:sz w:val="24"/>
        </w:rPr>
        <w:t>ења професионалног менаџмента.</w:t>
      </w:r>
    </w:p>
    <w:p w:rsidR="00BE17C7" w:rsidRDefault="00843F0B">
      <w:pPr>
        <w:numPr>
          <w:ilvl w:val="0"/>
          <w:numId w:val="29"/>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ЈП „Србијагас”. Од августа 2015. године измењена је огранизациона структура компаније којом су основани посебни делови који се баве транспортом и дистрибуцијом гаса. Спроводи се план којим је предвиђена продаја имовине која с</w:t>
      </w:r>
      <w:r>
        <w:rPr>
          <w:rFonts w:ascii="Times New Roman" w:eastAsia="Times New Roman" w:hAnsi="Times New Roman" w:cs="Times New Roman"/>
          <w:sz w:val="24"/>
        </w:rPr>
        <w:t>е не користи за обављање основне делатности, док се настављају напори на решавању проблема потраживања од највећих дужника, укључујући предузећа: ХИП Азотара, ХИП Петрохемија и МСК Кикинда. Након усвајања плана финансијског реструктурирања у марту 2016. го</w:t>
      </w:r>
      <w:r>
        <w:rPr>
          <w:rFonts w:ascii="Times New Roman" w:eastAsia="Times New Roman" w:hAnsi="Times New Roman" w:cs="Times New Roman"/>
          <w:sz w:val="24"/>
        </w:rPr>
        <w:t>дине, а који је припремљен уз подршку Светске банке, дошло је до побољшања у наплати потраживања. Током 2016. године усвојиће се план реструктурирања дуга како би се у будућности избегле конверзије потраживања у капитал, повећала дисциплина у наплати потра</w:t>
      </w:r>
      <w:r>
        <w:rPr>
          <w:rFonts w:ascii="Times New Roman" w:eastAsia="Times New Roman" w:hAnsi="Times New Roman" w:cs="Times New Roman"/>
          <w:sz w:val="24"/>
        </w:rPr>
        <w:t>живања, извршила оцена постојећих и будућих инвестиоционих планова у сарадњи са Светском банком. Циљ ових мера је заустављање даљег погоршања финансијског положаја ЈП „Србијагас” и елиминисање потребе за додатном државном помоћи у складу са фискалним оквир</w:t>
      </w:r>
      <w:r>
        <w:rPr>
          <w:rFonts w:ascii="Times New Roman" w:eastAsia="Times New Roman" w:hAnsi="Times New Roman" w:cs="Times New Roman"/>
          <w:sz w:val="24"/>
        </w:rPr>
        <w:t>ом.</w:t>
      </w:r>
    </w:p>
    <w:p w:rsidR="00BE17C7" w:rsidRDefault="00843F0B">
      <w:pPr>
        <w:numPr>
          <w:ilvl w:val="0"/>
          <w:numId w:val="29"/>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„Железнице Србије” а.д. План корпоративне и финансијске реорганизације, који је отпочео у 2015. години, подразумева организационе и статусне промене. Из јединственог предузећа „Железнице Србијеˮ а.д. од августа 2015. године издвојене су, у складу са ис</w:t>
      </w:r>
      <w:r>
        <w:rPr>
          <w:rFonts w:ascii="Times New Roman" w:eastAsia="Times New Roman" w:hAnsi="Times New Roman" w:cs="Times New Roman"/>
          <w:sz w:val="24"/>
        </w:rPr>
        <w:t>куствима из земаља ЕУ, три нове компаније - „Србија возˮ а.д, „Инфраструктура железнице Србијеˮ а.д. и „Србија Каргоˮ а.д. Промене су праћене и реорганизацијом менаџмента. План реструктурирања обухвата измене у погледу располагања имовином, саобраћајне мре</w:t>
      </w:r>
      <w:r>
        <w:rPr>
          <w:rFonts w:ascii="Times New Roman" w:eastAsia="Times New Roman" w:hAnsi="Times New Roman" w:cs="Times New Roman"/>
          <w:sz w:val="24"/>
        </w:rPr>
        <w:t>же и рационализације броја запослених. Сектор теретног саобраћаја од августа 2015. године не добија субвенције из буџета и послује по тржишним принципима, у складу са препорукама Светске банке. У јануару 2016. године уведена је накнада за коришћење железни</w:t>
      </w:r>
      <w:r>
        <w:rPr>
          <w:rFonts w:ascii="Times New Roman" w:eastAsia="Times New Roman" w:hAnsi="Times New Roman" w:cs="Times New Roman"/>
          <w:sz w:val="24"/>
        </w:rPr>
        <w:t xml:space="preserve">чке инфраструктуре, у склопу отварања </w:t>
      </w:r>
      <w:r>
        <w:rPr>
          <w:rFonts w:ascii="Times New Roman" w:eastAsia="Times New Roman" w:hAnsi="Times New Roman" w:cs="Times New Roman"/>
          <w:sz w:val="24"/>
        </w:rPr>
        <w:lastRenderedPageBreak/>
        <w:t>тржишта за железнички транспорт, а први приватни железнички оператер добио је одобрење за коришћење трасе јавне железничке инфраструктуре у јуну ове године. Биће, такође, настављена реорганизација и унапређење пословни</w:t>
      </w:r>
      <w:r>
        <w:rPr>
          <w:rFonts w:ascii="Times New Roman" w:eastAsia="Times New Roman" w:hAnsi="Times New Roman" w:cs="Times New Roman"/>
          <w:sz w:val="24"/>
        </w:rPr>
        <w:t>х планова компанија „Србија возˮ а.д, „Инфраструктура железнице Србијеˮ а.д. и „Железнице Србијеˮ а.д. са циљем стриктног ограничавања државне помоћи у средњем року. У октобру 2015. године у сарадњи са независним консултантима и уз помоћ Светске банке, ЕБР</w:t>
      </w:r>
      <w:r>
        <w:rPr>
          <w:rFonts w:ascii="Times New Roman" w:eastAsia="Times New Roman" w:hAnsi="Times New Roman" w:cs="Times New Roman"/>
          <w:sz w:val="24"/>
        </w:rPr>
        <w:t>Д и ЕУ припремљен је и усвојен план свеукупног корпоративног и финансијског реструктурирања. У 2016. години је завршен попис имовине и обавеза компаније и њихова алокација на новоосноване компаније. Планови који дефинишу рационализацију броја запослених до</w:t>
      </w:r>
      <w:r>
        <w:rPr>
          <w:rFonts w:ascii="Times New Roman" w:eastAsia="Times New Roman" w:hAnsi="Times New Roman" w:cs="Times New Roman"/>
          <w:sz w:val="24"/>
        </w:rPr>
        <w:t xml:space="preserve"> 2020. године усвојени су од стране железничких компанија у септембру 2016. године, који подразумевају смањење од око 3.000 запослених у 2016. години укључујући и природни одлив. У октобру 2016. године донета је одлука о обустави саобраћаја на пругама које</w:t>
      </w:r>
      <w:r>
        <w:rPr>
          <w:rFonts w:ascii="Times New Roman" w:eastAsia="Times New Roman" w:hAnsi="Times New Roman" w:cs="Times New Roman"/>
          <w:sz w:val="24"/>
        </w:rPr>
        <w:t xml:space="preserve"> су ван експлоатације или су означене као нерентабилне, што ће битно утицати на финансијске перформансе компаније. Новоформирана предузећа су преузела пуну одговорност за плаћање својих обавеза према ЈП ЕПС, што подразумева и да не повећавају доцње у плаћа</w:t>
      </w:r>
      <w:r>
        <w:rPr>
          <w:rFonts w:ascii="Times New Roman" w:eastAsia="Times New Roman" w:hAnsi="Times New Roman" w:cs="Times New Roman"/>
          <w:sz w:val="24"/>
        </w:rPr>
        <w:t>њима према ЈП ЕПС. Наставља се и са процесом избора менаџмента за новоформиране компаније у саставу „Железнице Србије” а.д, у складу с програмом реструктурирања.</w:t>
      </w:r>
    </w:p>
    <w:p w:rsidR="00BE17C7" w:rsidRDefault="00843F0B">
      <w:pPr>
        <w:numPr>
          <w:ilvl w:val="0"/>
          <w:numId w:val="29"/>
        </w:num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ЈП „Путеви Србије”. Са циљем обезбеђења адекватног одржавања инфраструктуре, од 1. јануара 201</w:t>
      </w:r>
      <w:r>
        <w:rPr>
          <w:rFonts w:ascii="Times New Roman" w:eastAsia="Times New Roman" w:hAnsi="Times New Roman" w:cs="Times New Roman"/>
          <w:sz w:val="24"/>
        </w:rPr>
        <w:t>7. године путарина ће поскупети за десет процената. Даља повећања путарине ће се одвијати фазно, а процена адекватних стопа биће припремљена у сарадњи са Светском банком. Усвојен је план побољшања уговора о одржавању путева и уклањању административних преп</w:t>
      </w:r>
      <w:r>
        <w:rPr>
          <w:rFonts w:ascii="Times New Roman" w:eastAsia="Times New Roman" w:hAnsi="Times New Roman" w:cs="Times New Roman"/>
          <w:sz w:val="24"/>
        </w:rPr>
        <w:t xml:space="preserve">река. Циљ је остварити уштеде и повећати ефикасност система и на тај начин смањити потребе за субвенцијама из буџета. Разматраће се опције за изградњу и одржавање путева путем концесија. Планови корпоративнoг и финансијског реструктурирања ће се развијати </w:t>
      </w:r>
      <w:r>
        <w:rPr>
          <w:rFonts w:ascii="Times New Roman" w:eastAsia="Times New Roman" w:hAnsi="Times New Roman" w:cs="Times New Roman"/>
          <w:sz w:val="24"/>
        </w:rPr>
        <w:t>такође у сарадњи са Светском банком.</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Како би се осигурале уштеде које проистичу из корпоративног и финансијског реструктурирања највећих државних/јавних предузећа истовремено се спроводи сет реформи у области управљања јавним финансијама у сегменту послова</w:t>
      </w:r>
      <w:r>
        <w:rPr>
          <w:rFonts w:ascii="Times New Roman" w:eastAsia="Times New Roman" w:hAnsi="Times New Roman" w:cs="Times New Roman"/>
          <w:sz w:val="24"/>
        </w:rPr>
        <w:t>ња државе са јавним и државним предузећима.</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У циљу јачања финансијске дисциплине у оквиру јавног сектора проширено је дејство Закона о роковима измирења новчаних обавеза у комерцијалним трансакцијама, изменама Закона у јулу 2015. године, тако да се односи </w:t>
      </w:r>
      <w:r>
        <w:rPr>
          <w:rFonts w:ascii="Times New Roman" w:eastAsia="Times New Roman" w:hAnsi="Times New Roman" w:cs="Times New Roman"/>
          <w:sz w:val="24"/>
        </w:rPr>
        <w:t xml:space="preserve">и на трансакције између институција јавног сектора. Измењене одредбе Закона се примењују од 1. јануара 2016. године.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Имајући у виду висину и утицај на фискални дефицит плаћања по основу гаранција, од 1. јануара 2015. године строго је ограничено издавање д</w:t>
      </w:r>
      <w:r>
        <w:rPr>
          <w:rFonts w:ascii="Times New Roman" w:eastAsia="Times New Roman" w:hAnsi="Times New Roman" w:cs="Times New Roman"/>
          <w:sz w:val="24"/>
        </w:rPr>
        <w:t>ржавних гаранција. У том смислу, не могу се издавати нове државне гаранције за подршку ликвидности, односно за било коју компанију из портфолија бивше Агенције за приватизацију. Могућност издавања гаранција остављена је само у случају капиталних пројектних</w:t>
      </w:r>
      <w:r>
        <w:rPr>
          <w:rFonts w:ascii="Times New Roman" w:eastAsia="Times New Roman" w:hAnsi="Times New Roman" w:cs="Times New Roman"/>
          <w:sz w:val="24"/>
        </w:rPr>
        <w:t xml:space="preserve"> зајмова, уз поштовање границе која је одређена циљем одрживости јавног дуга. </w:t>
      </w:r>
    </w:p>
    <w:p w:rsidR="00BE17C7" w:rsidRDefault="00843F0B">
      <w:pPr>
        <w:numPr>
          <w:ilvl w:val="0"/>
          <w:numId w:val="30"/>
        </w:num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складу са донетим стратешким документима и системским законима у области здравства наставиће се реформе којима се обезбеђује повећање ефикасности здравственог система, повећањ</w:t>
      </w:r>
      <w:r>
        <w:rPr>
          <w:rFonts w:ascii="Times New Roman" w:eastAsia="Times New Roman" w:hAnsi="Times New Roman" w:cs="Times New Roman"/>
          <w:sz w:val="24"/>
        </w:rPr>
        <w:t xml:space="preserve">е финансијске одрживости система здравствене заштите, унапређење здравља становништва и повећање квалитета здравствене заштите. </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Унапређење закона и одговарајућих подзаконских аката у циљу планиране реформе здравственог система Републике Србије – доношење стратешког документа Плана развоја здравствене заштите од 2017–2021. године, којим се дефинише политика здравствене заштите и здр</w:t>
      </w:r>
      <w:r>
        <w:rPr>
          <w:rFonts w:ascii="Times New Roman" w:eastAsia="Times New Roman" w:hAnsi="Times New Roman" w:cs="Times New Roman"/>
          <w:sz w:val="24"/>
        </w:rPr>
        <w:t xml:space="preserve">авственог осигурања, односно доношење системских закона, Закона о здравственој заштити и Закона о здравственом осигурању као и других закона из области здравства и одговарајућих подзаконских аката. </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квалитета пружања здравствене заштите ради одр</w:t>
      </w:r>
      <w:r>
        <w:rPr>
          <w:rFonts w:ascii="Times New Roman" w:eastAsia="Times New Roman" w:hAnsi="Times New Roman" w:cs="Times New Roman"/>
          <w:sz w:val="24"/>
        </w:rPr>
        <w:t>живог здравственог система унапређењем примарне, секундарне и терцијарне здравствене заштите – јачање примарне здравствене заштите унапређењем рада у области превенције и раног откривања као и лечења хроничних незаразних болести које у највећој мери оптере</w:t>
      </w:r>
      <w:r>
        <w:rPr>
          <w:rFonts w:ascii="Times New Roman" w:eastAsia="Times New Roman" w:hAnsi="Times New Roman" w:cs="Times New Roman"/>
          <w:sz w:val="24"/>
        </w:rPr>
        <w:t>ћују здравље становништва у Републици. У оквиру секундарне и терцијарне здравствене заштите нагласак је на увођењу нових, високоразвијених здравствених технологија кроз набавку апарата неопходних за лечење оболелих од малигних болести, као и унапређење рад</w:t>
      </w:r>
      <w:r>
        <w:rPr>
          <w:rFonts w:ascii="Times New Roman" w:eastAsia="Times New Roman" w:hAnsi="Times New Roman" w:cs="Times New Roman"/>
          <w:sz w:val="24"/>
        </w:rPr>
        <w:t xml:space="preserve">а здравствених установа у овој области здравствене заштите.  </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финансирања здравственог система кроз увођење система за успостављање Националног здравственог рачуна (НЗС) – који обезбеђује поуздане информације о финансијским средствима издвојеним</w:t>
      </w:r>
      <w:r>
        <w:rPr>
          <w:rFonts w:ascii="Times New Roman" w:eastAsia="Times New Roman" w:hAnsi="Times New Roman" w:cs="Times New Roman"/>
          <w:sz w:val="24"/>
        </w:rPr>
        <w:t xml:space="preserve"> за здравствену заштиту и начинима њиховог коришћења. Ради бољег увида у токове новца у здравству (буџетска издвајања за здравство, приватно здравство, донације у здравству и др.) израдиће се национални здравствени рачун. Национални здравствени рачун је ин</w:t>
      </w:r>
      <w:r>
        <w:rPr>
          <w:rFonts w:ascii="Times New Roman" w:eastAsia="Times New Roman" w:hAnsi="Times New Roman" w:cs="Times New Roman"/>
          <w:sz w:val="24"/>
        </w:rPr>
        <w:t>струмент за праћење протока новца кроз здравствени систем земље, повећање ефикасности здравствених услуга и равноправне расподеле расположивих средстава у здравственом систему Републике Србије.</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Наставак информатизације здравственог система – састоји се у п</w:t>
      </w:r>
      <w:r>
        <w:rPr>
          <w:rFonts w:ascii="Times New Roman" w:eastAsia="Times New Roman" w:hAnsi="Times New Roman" w:cs="Times New Roman"/>
          <w:sz w:val="24"/>
        </w:rPr>
        <w:t>овезивању здравствених установа у јединствени информациони систем, који је започет у 2015. години.</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базе кадрова из Плана мреже здравствених установа ради сагледавања кадровске обезбеђености у складу са нормативима и стандардима.</w:t>
      </w:r>
    </w:p>
    <w:p w:rsidR="00BE17C7" w:rsidRDefault="00843F0B">
      <w:pPr>
        <w:numPr>
          <w:ilvl w:val="0"/>
          <w:numId w:val="30"/>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Дефинисање улоге</w:t>
      </w:r>
      <w:r>
        <w:rPr>
          <w:rFonts w:ascii="Times New Roman" w:eastAsia="Times New Roman" w:hAnsi="Times New Roman" w:cs="Times New Roman"/>
          <w:sz w:val="24"/>
        </w:rPr>
        <w:t xml:space="preserve"> приватног сектора у пружању здравствених услуга становништву.</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склопу фискалне консолидације спровешће се рационализација здравственог система првенствено кроз смањење броја немедицинског особља, унапређење механизама за одабир приоритета у погледу набав</w:t>
      </w:r>
      <w:r>
        <w:rPr>
          <w:rFonts w:ascii="Times New Roman" w:eastAsia="Times New Roman" w:hAnsi="Times New Roman" w:cs="Times New Roman"/>
          <w:sz w:val="24"/>
        </w:rPr>
        <w:t>ки нове опреме и бољу контролу расхода за медицинске услуге. Тиме ће се повећати ефикасност здравствених установа, обезбедити вредновање њихових стварних учинака и повећати квалитет здравствене заштите.</w:t>
      </w:r>
    </w:p>
    <w:p w:rsidR="00BE17C7" w:rsidRDefault="00843F0B">
      <w:pPr>
        <w:numPr>
          <w:ilvl w:val="0"/>
          <w:numId w:val="31"/>
        </w:num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Реформске активности у оквиру различитих подсистема у</w:t>
      </w:r>
      <w:r>
        <w:rPr>
          <w:rFonts w:ascii="Times New Roman" w:eastAsia="Times New Roman" w:hAnsi="Times New Roman" w:cs="Times New Roman"/>
          <w:sz w:val="24"/>
        </w:rPr>
        <w:t>прављања јавним финансијама (УЈФ) обухваћене су Програмом реформе управљања јавним финансијама 2016–2020. година (Програм РУЈФ). Циљ Прoгрaмa РУЈФ je дa пружи свeoбухвaтни и интегрисани оквир за планирања, кooрдинaциjу, спрoвoђeњe и прaћeњe нaпрeткa у реал</w:t>
      </w:r>
      <w:r>
        <w:rPr>
          <w:rFonts w:ascii="Times New Roman" w:eastAsia="Times New Roman" w:hAnsi="Times New Roman" w:cs="Times New Roman"/>
          <w:sz w:val="24"/>
        </w:rPr>
        <w:t xml:space="preserve">изацији oдрживих aктивнoсти кaкo би сe унaпрeдилa мaкрoeкoнoмскa стaбилнoст, oбeзбeдилo eфикaснo и сврсисхoднo рaспoрeђивaњe и коришћење jaвних ресурса за реализацију националних приоритета и унaпрeдилe услугe кoje пружa држaвнa упрaвa у Рeпублици Србиjи, </w:t>
      </w:r>
      <w:r>
        <w:rPr>
          <w:rFonts w:ascii="Times New Roman" w:eastAsia="Times New Roman" w:hAnsi="Times New Roman" w:cs="Times New Roman"/>
          <w:sz w:val="24"/>
        </w:rPr>
        <w:t xml:space="preserve">уз истoврeмeнo пoвeћaњe трaнспaрeнтнoсти и укупнe функциoнaлнoсти упрaвљaњa jaвним финaнсиjaмa и испуњeњe нeoпхoдних услoвa зa </w:t>
      </w:r>
      <w:r>
        <w:rPr>
          <w:rFonts w:ascii="Times New Roman" w:eastAsia="Times New Roman" w:hAnsi="Times New Roman" w:cs="Times New Roman"/>
          <w:sz w:val="24"/>
        </w:rPr>
        <w:lastRenderedPageBreak/>
        <w:t>приступaњe Европској унији. Такође, припремљен је Нацрт стратегије развоја интерне финансијске контроле у јавном сектору 2017–201</w:t>
      </w:r>
      <w:r>
        <w:rPr>
          <w:rFonts w:ascii="Times New Roman" w:eastAsia="Times New Roman" w:hAnsi="Times New Roman" w:cs="Times New Roman"/>
          <w:sz w:val="24"/>
        </w:rPr>
        <w:t>9. године, а у припреми је и Нацрт стратегије за борбу против превара (</w:t>
      </w:r>
      <w:r>
        <w:rPr>
          <w:rFonts w:ascii="Times New Roman" w:eastAsia="Times New Roman" w:hAnsi="Times New Roman" w:cs="Times New Roman"/>
          <w:i/>
          <w:sz w:val="24"/>
        </w:rPr>
        <w:t>Anti-Fraud Strategy</w:t>
      </w:r>
      <w:r>
        <w:rPr>
          <w:rFonts w:ascii="Times New Roman" w:eastAsia="Times New Roman" w:hAnsi="Times New Roman" w:cs="Times New Roman"/>
          <w:sz w:val="24"/>
        </w:rPr>
        <w:t>).</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Висок ниво сиве економије, која негативно утиче на буџетски дефицит и услове пословања и инвестирања, у знатној мери је последица неефикасног механизма контроле, у</w:t>
      </w:r>
      <w:r>
        <w:rPr>
          <w:rFonts w:ascii="Times New Roman" w:eastAsia="Times New Roman" w:hAnsi="Times New Roman" w:cs="Times New Roman"/>
          <w:sz w:val="24"/>
        </w:rPr>
        <w:t>тврђивања и наплате пореза и других јавних прихода. Неадекватна организација рада Пореске управе и процеса у њој, са неодговарајућим обимом и структуром људских ресурса и непостојањем одговарајућег система за процену ризика, онемогућивали су да се ограниче</w:t>
      </w:r>
      <w:r>
        <w:rPr>
          <w:rFonts w:ascii="Times New Roman" w:eastAsia="Times New Roman" w:hAnsi="Times New Roman" w:cs="Times New Roman"/>
          <w:sz w:val="24"/>
        </w:rPr>
        <w:t>ни ресурси усмере на обвезнике који су највише склони непоштовању пореских прописа. С друге стране, досадашњи начин функционисања Пореске управе често је имао негативне ефекте на пореске обвезнике који у потпуности и на време извршавају своје обавезе према</w:t>
      </w:r>
      <w:r>
        <w:rPr>
          <w:rFonts w:ascii="Times New Roman" w:eastAsia="Times New Roman" w:hAnsi="Times New Roman" w:cs="Times New Roman"/>
          <w:sz w:val="24"/>
        </w:rPr>
        <w:t xml:space="preserve"> држави, кроз неуједначену праксу тумачења пореских прописа, компликоване административне процедуре што све заједно доводи до раста ризика и трошкова пословања у Србији.</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Програм трансформације Пореске управе за период 2015–2020. године усвојен је у јуну 20</w:t>
      </w:r>
      <w:r>
        <w:rPr>
          <w:rFonts w:ascii="Times New Roman" w:eastAsia="Times New Roman" w:hAnsi="Times New Roman" w:cs="Times New Roman"/>
          <w:sz w:val="24"/>
        </w:rPr>
        <w:t>15. године, а приоритети у даљем спровођењу Програма су: јачање управљања ПУ, поједностављење организационе структуре у централи и филијалама, односно експозитурама, укључујући и смањење броја главних филијала, имплементација модерног приступа управљања ри</w:t>
      </w:r>
      <w:r>
        <w:rPr>
          <w:rFonts w:ascii="Times New Roman" w:eastAsia="Times New Roman" w:hAnsi="Times New Roman" w:cs="Times New Roman"/>
          <w:sz w:val="24"/>
        </w:rPr>
        <w:t xml:space="preserve">зицима, јачање управљања доцњама, укључујући и процедуре отписа, модернизација информационих технологија и пословних процеса и побољшање координације и размене информација са другим државним органима. </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Пoтрeбно је дa филиjaлe ПУ унaпрeдe свoj нaчин рaдa сa</w:t>
      </w:r>
      <w:r>
        <w:rPr>
          <w:rFonts w:ascii="Times New Roman" w:eastAsia="Times New Roman" w:hAnsi="Times New Roman" w:cs="Times New Roman"/>
          <w:sz w:val="24"/>
        </w:rPr>
        <w:t xml:space="preserve"> пoрeским oбвeзницимa. Програмом РЈФ и Програмом трансформације ПУ, предвиђено је да се фoрмирaју посебни oргaнизaциoни делови за пружање услуга пoрeским oбвeзницимa кaкo би се унaпрeдилa комуникација и интеракција сa пoрeским oбвeзницимa, укључујући блaгo</w:t>
      </w:r>
      <w:r>
        <w:rPr>
          <w:rFonts w:ascii="Times New Roman" w:eastAsia="Times New Roman" w:hAnsi="Times New Roman" w:cs="Times New Roman"/>
          <w:sz w:val="24"/>
        </w:rPr>
        <w:t>врeмeнo пружaњe aжурних инфoрмaциja o прoмeнaмa у зaкoнимa и прoписима.</w:t>
      </w:r>
    </w:p>
    <w:p w:rsidR="00BE17C7" w:rsidRDefault="00843F0B">
      <w:pPr>
        <w:numPr>
          <w:ilvl w:val="0"/>
          <w:numId w:val="32"/>
        </w:numPr>
        <w:tabs>
          <w:tab w:val="left" w:pos="720"/>
        </w:tabs>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Структурне реформе јавног сектора обухватају и мере које се тичу реформе система одбране. У складу са документима планирања одбране и системским законима у области одбране наставиће се реформе које треба да обезбеде делотворније и ефикасније функционисања </w:t>
      </w:r>
      <w:r>
        <w:rPr>
          <w:rFonts w:ascii="Times New Roman" w:eastAsia="Times New Roman" w:hAnsi="Times New Roman" w:cs="Times New Roman"/>
          <w:sz w:val="24"/>
        </w:rPr>
        <w:t xml:space="preserve">система одбране. </w:t>
      </w:r>
    </w:p>
    <w:p w:rsidR="00BE17C7" w:rsidRDefault="00843F0B">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Основне структурне реформе које ће се спроводити у области одбране односе се на:</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успостављање и примену новог стратегијског оквира у области безбедности одбране ради заштите националних и одбрамбених интереса Републике Србије;</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одржавање и</w:t>
      </w:r>
      <w:r>
        <w:rPr>
          <w:rFonts w:ascii="Times New Roman" w:eastAsia="Times New Roman" w:hAnsi="Times New Roman" w:cs="Times New Roman"/>
          <w:sz w:val="24"/>
        </w:rPr>
        <w:t xml:space="preserve"> делимично унапређење оперативних и функционалних способности Војске Србије за извршење мисија и задатака утврђених Стратегијом одбране Републике Србије;</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оптимизацију организације и функционисања Министарства одбране и Војске Србије;</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обезбеђење пројектован</w:t>
      </w:r>
      <w:r>
        <w:rPr>
          <w:rFonts w:ascii="Times New Roman" w:eastAsia="Times New Roman" w:hAnsi="Times New Roman" w:cs="Times New Roman"/>
          <w:sz w:val="24"/>
        </w:rPr>
        <w:t>ог нивоа попуњености ратним материјалним резервама;</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међународне војно-економске и војно-техничке сарадње;</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припрему снага за учешће у борбеној групи Европске уније;</w:t>
      </w:r>
    </w:p>
    <w:p w:rsidR="00BE17C7" w:rsidRDefault="00843F0B">
      <w:pPr>
        <w:numPr>
          <w:ilvl w:val="0"/>
          <w:numId w:val="33"/>
        </w:numPr>
        <w:spacing w:after="0" w:line="240" w:lineRule="auto"/>
        <w:ind w:left="1080" w:hanging="360"/>
        <w:jc w:val="both"/>
        <w:rPr>
          <w:rFonts w:ascii="Times New Roman" w:eastAsia="Times New Roman" w:hAnsi="Times New Roman" w:cs="Times New Roman"/>
          <w:sz w:val="24"/>
        </w:rPr>
      </w:pPr>
      <w:r>
        <w:rPr>
          <w:rFonts w:ascii="Times New Roman" w:eastAsia="Times New Roman" w:hAnsi="Times New Roman" w:cs="Times New Roman"/>
          <w:sz w:val="24"/>
        </w:rPr>
        <w:t>унапређење индустријске и технолошке базе Републике Србије од интереса за одбрану и у складу са потребама развоја оперативних способности Војске Србије.</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Приоритет структурних реформи у 2017. години Министарства одбране ће имати на обезбеђењу административн</w:t>
      </w:r>
      <w:r>
        <w:rPr>
          <w:rFonts w:ascii="Times New Roman" w:eastAsia="Times New Roman" w:hAnsi="Times New Roman" w:cs="Times New Roman"/>
          <w:sz w:val="24"/>
        </w:rPr>
        <w:t xml:space="preserve">е линије са АП Косово и Метохија, обезбеђењу непрекидне </w:t>
      </w:r>
      <w:r>
        <w:rPr>
          <w:rFonts w:ascii="Times New Roman" w:eastAsia="Times New Roman" w:hAnsi="Times New Roman" w:cs="Times New Roman"/>
          <w:sz w:val="24"/>
        </w:rPr>
        <w:lastRenderedPageBreak/>
        <w:t>контроле и заштите ваздушног простора Републике Србије, унапређење способности снага за реаговање Војске Србије, подршци цивилним властима у супротстављању невојним претњама безбедности, припремама за</w:t>
      </w:r>
      <w:r>
        <w:rPr>
          <w:rFonts w:ascii="Times New Roman" w:eastAsia="Times New Roman" w:hAnsi="Times New Roman" w:cs="Times New Roman"/>
          <w:sz w:val="24"/>
        </w:rPr>
        <w:t xml:space="preserve"> учешће у мултинационалним операцијама и другим активностима и задацима, а који су утврђени упутством министра за 2017. годину које је поверљиво.</w:t>
      </w:r>
    </w:p>
    <w:p w:rsidR="00BE17C7" w:rsidRDefault="00843F0B">
      <w:pPr>
        <w:spacing w:after="0" w:line="240"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У складу са резултатима радa на изради нацрта Дугорочног плана развоја система одбране Републике Србије за одр</w:t>
      </w:r>
      <w:r>
        <w:rPr>
          <w:rFonts w:ascii="Times New Roman" w:eastAsia="Times New Roman" w:hAnsi="Times New Roman" w:cs="Times New Roman"/>
          <w:sz w:val="24"/>
        </w:rPr>
        <w:t>жив развој и функционисање Министарства одбране и Војске Србије потребно је обезбедити приближно 1,5% бруто домаћег производа. Након побољшања економских могућности Републике Србије потребно је постепено повећавати издавање из бруто домаћег производа за по</w:t>
      </w:r>
      <w:r>
        <w:rPr>
          <w:rFonts w:ascii="Times New Roman" w:eastAsia="Times New Roman" w:hAnsi="Times New Roman" w:cs="Times New Roman"/>
          <w:sz w:val="24"/>
        </w:rPr>
        <w:t>требе одбране, тако да се у наредном периоду достигне износ од око 2% бруто домаћег производа.</w:t>
      </w:r>
    </w:p>
    <w:p w:rsidR="00BE17C7" w:rsidRDefault="00BE17C7">
      <w:pPr>
        <w:spacing w:after="120" w:line="264" w:lineRule="auto"/>
        <w:rPr>
          <w:rFonts w:ascii="Times New Roman" w:eastAsia="Times New Roman" w:hAnsi="Times New Roman" w:cs="Times New Roman"/>
          <w:sz w:val="24"/>
        </w:rPr>
      </w:pPr>
    </w:p>
    <w:p w:rsidR="00BE17C7" w:rsidRDefault="00843F0B">
      <w:pPr>
        <w:keepNext/>
        <w:keepLines/>
        <w:numPr>
          <w:ilvl w:val="0"/>
          <w:numId w:val="34"/>
        </w:numPr>
        <w:spacing w:after="0" w:line="240" w:lineRule="auto"/>
        <w:ind w:left="1080" w:hanging="720"/>
        <w:jc w:val="center"/>
        <w:rPr>
          <w:rFonts w:ascii="Times New Roman" w:eastAsia="Times New Roman" w:hAnsi="Times New Roman" w:cs="Times New Roman"/>
          <w:color w:val="4B4B4B"/>
          <w:sz w:val="24"/>
        </w:rPr>
      </w:pPr>
      <w:r>
        <w:rPr>
          <w:rFonts w:ascii="Times New Roman" w:eastAsia="Times New Roman" w:hAnsi="Times New Roman" w:cs="Times New Roman"/>
          <w:sz w:val="24"/>
        </w:rPr>
        <w:t>V.</w:t>
      </w:r>
      <w:r>
        <w:rPr>
          <w:rFonts w:ascii="Times New Roman" w:eastAsia="Times New Roman" w:hAnsi="Times New Roman" w:cs="Times New Roman"/>
          <w:i/>
          <w:sz w:val="21"/>
        </w:rPr>
        <w:t xml:space="preserve"> </w:t>
      </w:r>
      <w:r>
        <w:rPr>
          <w:rFonts w:ascii="Times New Roman" w:eastAsia="Times New Roman" w:hAnsi="Times New Roman" w:cs="Times New Roman"/>
          <w:sz w:val="24"/>
        </w:rPr>
        <w:t>ЗАВРШНЕ ОДРЕДБЕ</w:t>
      </w:r>
    </w:p>
    <w:p w:rsidR="00BE17C7" w:rsidRDefault="00BE17C7">
      <w:pPr>
        <w:keepNext/>
        <w:keepLines/>
        <w:spacing w:after="0" w:line="264" w:lineRule="auto"/>
        <w:ind w:left="502"/>
        <w:jc w:val="center"/>
        <w:rPr>
          <w:rFonts w:ascii="Times New Roman" w:eastAsia="Times New Roman" w:hAnsi="Times New Roman" w:cs="Times New Roman"/>
          <w:sz w:val="24"/>
        </w:rPr>
      </w:pPr>
    </w:p>
    <w:p w:rsidR="00BE17C7" w:rsidRDefault="00843F0B">
      <w:pPr>
        <w:spacing w:after="0" w:line="264"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Саставни део ове фискалне стратегије чине Прилог 1 – Пројекција основних макроекономских индикатора и Прилог 2 – Фискални оквир опште државе</w:t>
      </w:r>
      <w:r>
        <w:rPr>
          <w:rFonts w:ascii="Times New Roman" w:eastAsia="Times New Roman" w:hAnsi="Times New Roman" w:cs="Times New Roman"/>
          <w:sz w:val="24"/>
        </w:rPr>
        <w:t xml:space="preserve"> у 2017. години, који су одштампани уз ову фискалну стратегију. </w:t>
      </w:r>
    </w:p>
    <w:p w:rsidR="00BE17C7" w:rsidRDefault="00843F0B">
      <w:pPr>
        <w:spacing w:after="0" w:line="264" w:lineRule="auto"/>
        <w:ind w:firstLine="720"/>
        <w:jc w:val="both"/>
        <w:rPr>
          <w:rFonts w:ascii="Times New Roman" w:eastAsia="Times New Roman" w:hAnsi="Times New Roman" w:cs="Times New Roman"/>
          <w:sz w:val="24"/>
        </w:rPr>
      </w:pPr>
      <w:r>
        <w:rPr>
          <w:rFonts w:ascii="Times New Roman" w:eastAsia="Times New Roman" w:hAnsi="Times New Roman" w:cs="Times New Roman"/>
          <w:sz w:val="24"/>
        </w:rPr>
        <w:t>Ову фискалну стратегију објавити у „Службеном гласнику Републике Србије”.</w:t>
      </w:r>
    </w:p>
    <w:p w:rsidR="00BE17C7" w:rsidRDefault="00BE17C7">
      <w:pPr>
        <w:spacing w:after="0" w:line="264" w:lineRule="auto"/>
        <w:rPr>
          <w:rFonts w:ascii="Times New Roman" w:eastAsia="Times New Roman" w:hAnsi="Times New Roman" w:cs="Times New Roman"/>
          <w:sz w:val="24"/>
        </w:rPr>
      </w:pPr>
    </w:p>
    <w:p w:rsidR="00BE17C7" w:rsidRDefault="00BE17C7">
      <w:pPr>
        <w:spacing w:after="0" w:line="264" w:lineRule="auto"/>
        <w:rPr>
          <w:rFonts w:ascii="Times New Roman" w:eastAsia="Times New Roman" w:hAnsi="Times New Roman" w:cs="Times New Roman"/>
          <w:sz w:val="24"/>
        </w:rPr>
      </w:pPr>
    </w:p>
    <w:p w:rsidR="00BE17C7" w:rsidRDefault="00843F0B">
      <w:pPr>
        <w:spacing w:after="0" w:line="264" w:lineRule="auto"/>
        <w:rPr>
          <w:rFonts w:ascii="Times New Roman" w:eastAsia="Times New Roman" w:hAnsi="Times New Roman" w:cs="Times New Roman"/>
          <w:sz w:val="24"/>
        </w:rPr>
      </w:pPr>
      <w:r>
        <w:rPr>
          <w:rFonts w:ascii="Times New Roman" w:eastAsia="Times New Roman" w:hAnsi="Times New Roman" w:cs="Times New Roman"/>
          <w:sz w:val="24"/>
        </w:rPr>
        <w:t>05 Број:400-11440/2016-1</w:t>
      </w:r>
    </w:p>
    <w:p w:rsidR="00BE17C7" w:rsidRDefault="00843F0B">
      <w:pPr>
        <w:spacing w:after="0" w:line="264" w:lineRule="auto"/>
        <w:rPr>
          <w:rFonts w:ascii="Times New Roman" w:eastAsia="Times New Roman" w:hAnsi="Times New Roman" w:cs="Times New Roman"/>
          <w:sz w:val="24"/>
        </w:rPr>
      </w:pPr>
      <w:r>
        <w:rPr>
          <w:rFonts w:ascii="Times New Roman" w:eastAsia="Times New Roman" w:hAnsi="Times New Roman" w:cs="Times New Roman"/>
          <w:sz w:val="24"/>
        </w:rPr>
        <w:t>У Београду, 1. децембра 2016. године</w:t>
      </w:r>
    </w:p>
    <w:p w:rsidR="00BE17C7" w:rsidRDefault="00BE17C7">
      <w:pPr>
        <w:spacing w:after="0" w:line="264" w:lineRule="auto"/>
        <w:rPr>
          <w:rFonts w:ascii="Times New Roman" w:eastAsia="Times New Roman" w:hAnsi="Times New Roman" w:cs="Times New Roman"/>
          <w:sz w:val="24"/>
        </w:rPr>
      </w:pPr>
    </w:p>
    <w:p w:rsidR="00BE17C7" w:rsidRDefault="00843F0B">
      <w:pPr>
        <w:spacing w:after="0" w:line="264" w:lineRule="auto"/>
        <w:jc w:val="center"/>
        <w:rPr>
          <w:rFonts w:ascii="Times New Roman" w:eastAsia="Times New Roman" w:hAnsi="Times New Roman" w:cs="Times New Roman"/>
          <w:sz w:val="24"/>
        </w:rPr>
      </w:pPr>
      <w:r>
        <w:rPr>
          <w:rFonts w:ascii="Times New Roman" w:eastAsia="Times New Roman" w:hAnsi="Times New Roman" w:cs="Times New Roman"/>
          <w:sz w:val="24"/>
        </w:rPr>
        <w:t>В Л А Д А</w:t>
      </w:r>
    </w:p>
    <w:p w:rsidR="00BE17C7" w:rsidRDefault="00BE17C7">
      <w:pPr>
        <w:spacing w:after="0" w:line="264" w:lineRule="auto"/>
        <w:jc w:val="center"/>
        <w:rPr>
          <w:rFonts w:ascii="Times New Roman" w:eastAsia="Times New Roman" w:hAnsi="Times New Roman" w:cs="Times New Roman"/>
          <w:sz w:val="24"/>
        </w:rPr>
      </w:pPr>
    </w:p>
    <w:p w:rsidR="00BE17C7" w:rsidRDefault="00843F0B">
      <w:pPr>
        <w:spacing w:after="0" w:line="264"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ПРЕДСЕДНИК</w:t>
      </w:r>
    </w:p>
    <w:p w:rsidR="00BE17C7" w:rsidRDefault="00BE17C7">
      <w:pPr>
        <w:spacing w:after="0" w:line="264" w:lineRule="auto"/>
        <w:jc w:val="center"/>
        <w:rPr>
          <w:rFonts w:ascii="Times New Roman" w:eastAsia="Times New Roman" w:hAnsi="Times New Roman" w:cs="Times New Roman"/>
          <w:sz w:val="24"/>
        </w:rPr>
      </w:pPr>
    </w:p>
    <w:p w:rsidR="00BE17C7" w:rsidRDefault="00843F0B">
      <w:pPr>
        <w:spacing w:after="0" w:line="264"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Александар Вучић                 </w:t>
      </w:r>
      <w:r>
        <w:rPr>
          <w:rFonts w:ascii="Times New Roman" w:eastAsia="Times New Roman" w:hAnsi="Times New Roman" w:cs="Times New Roman"/>
          <w:sz w:val="24"/>
        </w:rPr>
        <w:t xml:space="preserve"> </w:t>
      </w:r>
    </w:p>
    <w:p w:rsidR="00BE17C7" w:rsidRDefault="00BE17C7">
      <w:pPr>
        <w:spacing w:after="0" w:line="264" w:lineRule="auto"/>
        <w:rPr>
          <w:rFonts w:ascii="Times New Roman" w:eastAsia="Times New Roman" w:hAnsi="Times New Roman" w:cs="Times New Roman"/>
          <w:sz w:val="24"/>
        </w:rPr>
      </w:pPr>
    </w:p>
    <w:p w:rsidR="00BE17C7" w:rsidRDefault="00BE17C7">
      <w:pPr>
        <w:spacing w:after="0" w:line="264" w:lineRule="auto"/>
        <w:rPr>
          <w:rFonts w:ascii="Times New Roman" w:eastAsia="Times New Roman" w:hAnsi="Times New Roman" w:cs="Times New Roman"/>
          <w:sz w:val="24"/>
        </w:rPr>
      </w:pPr>
    </w:p>
    <w:tbl>
      <w:tblPr>
        <w:tblW w:w="0" w:type="auto"/>
        <w:jc w:val="right"/>
        <w:tblCellMar>
          <w:left w:w="10" w:type="dxa"/>
          <w:right w:w="10" w:type="dxa"/>
        </w:tblCellMar>
        <w:tblLook w:val="0000"/>
      </w:tblPr>
      <w:tblGrid>
        <w:gridCol w:w="3038"/>
      </w:tblGrid>
      <w:tr w:rsidR="00BE17C7">
        <w:tblPrEx>
          <w:tblCellMar>
            <w:top w:w="0" w:type="dxa"/>
            <w:bottom w:w="0" w:type="dxa"/>
          </w:tblCellMar>
        </w:tblPrEx>
        <w:trPr>
          <w:trHeight w:val="1"/>
          <w:jc w:val="right"/>
        </w:trPr>
        <w:tc>
          <w:tcPr>
            <w:tcW w:w="3038"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BE17C7" w:rsidRDefault="00BE17C7">
            <w:pPr>
              <w:spacing w:after="0" w:line="264" w:lineRule="auto"/>
              <w:jc w:val="center"/>
              <w:rPr>
                <w:rFonts w:ascii="Calibri" w:eastAsia="Calibri" w:hAnsi="Calibri" w:cs="Calibri"/>
              </w:rPr>
            </w:pPr>
          </w:p>
        </w:tc>
      </w:tr>
      <w:tr w:rsidR="00BE17C7">
        <w:tblPrEx>
          <w:tblCellMar>
            <w:top w:w="0" w:type="dxa"/>
            <w:bottom w:w="0" w:type="dxa"/>
          </w:tblCellMar>
        </w:tblPrEx>
        <w:trPr>
          <w:trHeight w:val="1"/>
          <w:jc w:val="right"/>
        </w:trPr>
        <w:tc>
          <w:tcPr>
            <w:tcW w:w="3038"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center"/>
          </w:tcPr>
          <w:p w:rsidR="00BE17C7" w:rsidRDefault="00BE17C7">
            <w:pPr>
              <w:spacing w:after="0" w:line="264" w:lineRule="auto"/>
              <w:rPr>
                <w:rFonts w:ascii="Calibri" w:eastAsia="Calibri" w:hAnsi="Calibri" w:cs="Calibri"/>
              </w:rPr>
            </w:pPr>
          </w:p>
        </w:tc>
      </w:tr>
    </w:tbl>
    <w:p w:rsidR="00316662" w:rsidRDefault="00316662">
      <w:pPr>
        <w:spacing w:after="0" w:line="240" w:lineRule="auto"/>
        <w:ind w:firstLine="720"/>
        <w:jc w:val="both"/>
        <w:rPr>
          <w:rFonts w:ascii="Times New Roman" w:eastAsia="Times New Roman" w:hAnsi="Times New Roman" w:cs="Times New Roman"/>
          <w:sz w:val="24"/>
        </w:rPr>
      </w:pPr>
    </w:p>
    <w:p w:rsidR="00316662" w:rsidRDefault="00316662">
      <w:pPr>
        <w:rPr>
          <w:rFonts w:ascii="Times New Roman" w:eastAsia="Times New Roman" w:hAnsi="Times New Roman" w:cs="Times New Roman"/>
          <w:sz w:val="24"/>
        </w:rPr>
      </w:pPr>
      <w:r>
        <w:rPr>
          <w:rFonts w:ascii="Times New Roman" w:eastAsia="Times New Roman" w:hAnsi="Times New Roman" w:cs="Times New Roman"/>
          <w:sz w:val="24"/>
        </w:rPr>
        <w:br w:type="page"/>
      </w:r>
    </w:p>
    <w:p w:rsidR="00316662" w:rsidRPr="00E7082C" w:rsidRDefault="00316662" w:rsidP="00316662">
      <w:pPr>
        <w:spacing w:after="0"/>
        <w:rPr>
          <w:rFonts w:ascii="Times New Roman" w:hAnsi="Times New Roman" w:cs="Times New Roman"/>
          <w:sz w:val="24"/>
          <w:lang/>
        </w:rPr>
      </w:pPr>
      <w:r w:rsidRPr="00E7082C">
        <w:rPr>
          <w:rFonts w:ascii="Times New Roman" w:hAnsi="Times New Roman" w:cs="Times New Roman"/>
          <w:sz w:val="24"/>
          <w:lang/>
        </w:rPr>
        <w:lastRenderedPageBreak/>
        <w:t>Прилог 1</w:t>
      </w:r>
      <w:r w:rsidRPr="00E7082C">
        <w:rPr>
          <w:rFonts w:ascii="Times New Roman" w:hAnsi="Times New Roman" w:cs="Times New Roman"/>
          <w:sz w:val="24"/>
        </w:rPr>
        <w:t xml:space="preserve"> -</w:t>
      </w:r>
      <w:r w:rsidRPr="00E7082C">
        <w:rPr>
          <w:rFonts w:ascii="Times New Roman" w:hAnsi="Times New Roman" w:cs="Times New Roman"/>
          <w:sz w:val="24"/>
          <w:lang/>
        </w:rPr>
        <w:t xml:space="preserve"> Пројекција основних макроекономских индикатора</w:t>
      </w:r>
    </w:p>
    <w:tbl>
      <w:tblPr>
        <w:tblStyle w:val="TableGrid1"/>
        <w:tblW w:w="0" w:type="auto"/>
        <w:tblLook w:val="04A0"/>
      </w:tblPr>
      <w:tblGrid>
        <w:gridCol w:w="4140"/>
        <w:gridCol w:w="1236"/>
        <w:gridCol w:w="1236"/>
        <w:gridCol w:w="1236"/>
        <w:gridCol w:w="1236"/>
      </w:tblGrid>
      <w:tr w:rsidR="00316662" w:rsidRPr="00E7082C" w:rsidTr="000143AD">
        <w:trPr>
          <w:trHeight w:val="551"/>
        </w:trPr>
        <w:tc>
          <w:tcPr>
            <w:tcW w:w="4140" w:type="dxa"/>
            <w:hideMark/>
          </w:tcPr>
          <w:p w:rsidR="00316662" w:rsidRPr="00E7082C" w:rsidRDefault="00316662" w:rsidP="000143AD">
            <w:pPr>
              <w:rPr>
                <w:rFonts w:ascii="Times New Roman" w:eastAsia="Calibri" w:hAnsi="Times New Roman"/>
                <w:i/>
                <w:iCs/>
                <w:sz w:val="20"/>
                <w:szCs w:val="20"/>
                <w:lang/>
              </w:rPr>
            </w:pPr>
            <w:bookmarkStart w:id="0" w:name="RANGE!A1:I56"/>
            <w:r w:rsidRPr="00E7082C">
              <w:rPr>
                <w:rFonts w:ascii="Times New Roman" w:eastAsia="Calibri" w:hAnsi="Times New Roman"/>
                <w:i/>
                <w:iCs/>
                <w:sz w:val="20"/>
                <w:szCs w:val="20"/>
                <w:lang/>
              </w:rPr>
              <w:t>Исказано у процентима осим ако није другачије назначено</w:t>
            </w:r>
            <w:bookmarkEnd w:id="0"/>
          </w:p>
        </w:tc>
        <w:tc>
          <w:tcPr>
            <w:tcW w:w="1236" w:type="dxa"/>
            <w:noWrap/>
            <w:hideMark/>
          </w:tcPr>
          <w:p w:rsidR="00316662" w:rsidRPr="00E7082C" w:rsidRDefault="00316662" w:rsidP="000143AD">
            <w:pPr>
              <w:jc w:val="center"/>
              <w:rPr>
                <w:rFonts w:ascii="Times New Roman" w:eastAsia="Calibri" w:hAnsi="Times New Roman"/>
                <w:i/>
                <w:iCs/>
                <w:sz w:val="20"/>
                <w:szCs w:val="20"/>
                <w:lang/>
              </w:rPr>
            </w:pPr>
            <w:r w:rsidRPr="00E7082C">
              <w:rPr>
                <w:rFonts w:ascii="Times New Roman" w:eastAsia="Calibri" w:hAnsi="Times New Roman"/>
                <w:i/>
                <w:iCs/>
                <w:sz w:val="20"/>
                <w:szCs w:val="20"/>
                <w:lang/>
              </w:rPr>
              <w:t>2016</w:t>
            </w:r>
          </w:p>
        </w:tc>
        <w:tc>
          <w:tcPr>
            <w:tcW w:w="1236" w:type="dxa"/>
            <w:noWrap/>
            <w:hideMark/>
          </w:tcPr>
          <w:p w:rsidR="00316662" w:rsidRPr="00E7082C" w:rsidRDefault="00316662" w:rsidP="000143AD">
            <w:pPr>
              <w:jc w:val="center"/>
              <w:rPr>
                <w:rFonts w:ascii="Times New Roman" w:eastAsia="Calibri" w:hAnsi="Times New Roman"/>
                <w:i/>
                <w:iCs/>
                <w:sz w:val="20"/>
                <w:szCs w:val="20"/>
                <w:lang/>
              </w:rPr>
            </w:pPr>
            <w:r w:rsidRPr="00E7082C">
              <w:rPr>
                <w:rFonts w:ascii="Times New Roman" w:eastAsia="Calibri" w:hAnsi="Times New Roman"/>
                <w:i/>
                <w:iCs/>
                <w:sz w:val="20"/>
                <w:szCs w:val="20"/>
                <w:lang/>
              </w:rPr>
              <w:t>2017</w:t>
            </w:r>
          </w:p>
        </w:tc>
        <w:tc>
          <w:tcPr>
            <w:tcW w:w="1236" w:type="dxa"/>
            <w:noWrap/>
            <w:hideMark/>
          </w:tcPr>
          <w:p w:rsidR="00316662" w:rsidRPr="00E7082C" w:rsidRDefault="00316662" w:rsidP="000143AD">
            <w:pPr>
              <w:jc w:val="center"/>
              <w:rPr>
                <w:rFonts w:ascii="Times New Roman" w:eastAsia="Calibri" w:hAnsi="Times New Roman"/>
                <w:i/>
                <w:iCs/>
                <w:sz w:val="20"/>
                <w:szCs w:val="20"/>
                <w:lang/>
              </w:rPr>
            </w:pPr>
            <w:r w:rsidRPr="00E7082C">
              <w:rPr>
                <w:rFonts w:ascii="Times New Roman" w:eastAsia="Calibri" w:hAnsi="Times New Roman"/>
                <w:i/>
                <w:iCs/>
                <w:sz w:val="20"/>
                <w:szCs w:val="20"/>
                <w:lang/>
              </w:rPr>
              <w:t>2018</w:t>
            </w:r>
          </w:p>
        </w:tc>
        <w:tc>
          <w:tcPr>
            <w:tcW w:w="1236" w:type="dxa"/>
            <w:noWrap/>
            <w:hideMark/>
          </w:tcPr>
          <w:p w:rsidR="00316662" w:rsidRPr="00E7082C" w:rsidRDefault="00316662" w:rsidP="000143AD">
            <w:pPr>
              <w:jc w:val="center"/>
              <w:rPr>
                <w:rFonts w:ascii="Times New Roman" w:eastAsia="Calibri" w:hAnsi="Times New Roman"/>
                <w:i/>
                <w:iCs/>
                <w:sz w:val="20"/>
                <w:szCs w:val="20"/>
                <w:lang/>
              </w:rPr>
            </w:pPr>
            <w:r w:rsidRPr="00E7082C">
              <w:rPr>
                <w:rFonts w:ascii="Times New Roman" w:eastAsia="Calibri" w:hAnsi="Times New Roman"/>
                <w:i/>
                <w:iCs/>
                <w:sz w:val="20"/>
                <w:szCs w:val="20"/>
                <w:lang/>
              </w:rPr>
              <w:t>2019</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sz w:val="20"/>
                <w:szCs w:val="20"/>
                <w:lang/>
              </w:rPr>
            </w:pPr>
            <w:r w:rsidRPr="00E7082C">
              <w:rPr>
                <w:rFonts w:ascii="Times New Roman" w:eastAsia="Calibri" w:hAnsi="Times New Roman"/>
                <w:sz w:val="20"/>
                <w:szCs w:val="20"/>
                <w:lang/>
              </w:rPr>
              <w:t>Стопа реалног раста БДП</w:t>
            </w:r>
          </w:p>
        </w:tc>
        <w:tc>
          <w:tcPr>
            <w:tcW w:w="1236" w:type="dxa"/>
            <w:noWrap/>
            <w:hideMark/>
          </w:tcPr>
          <w:p w:rsidR="00316662" w:rsidRPr="00E7082C" w:rsidRDefault="00316662" w:rsidP="000143AD">
            <w:pPr>
              <w:jc w:val="right"/>
              <w:rPr>
                <w:rFonts w:ascii="Times New Roman" w:hAnsi="Times New Roman"/>
                <w:bCs/>
                <w:sz w:val="20"/>
                <w:lang/>
              </w:rPr>
            </w:pPr>
            <w:r w:rsidRPr="00E7082C">
              <w:rPr>
                <w:rFonts w:ascii="Times New Roman" w:hAnsi="Times New Roman"/>
                <w:sz w:val="20"/>
                <w:lang/>
              </w:rPr>
              <w:t>2,7</w:t>
            </w:r>
          </w:p>
        </w:tc>
        <w:tc>
          <w:tcPr>
            <w:tcW w:w="1236" w:type="dxa"/>
            <w:noWrap/>
            <w:hideMark/>
          </w:tcPr>
          <w:p w:rsidR="00316662" w:rsidRPr="00E7082C" w:rsidRDefault="00316662" w:rsidP="000143AD">
            <w:pPr>
              <w:jc w:val="right"/>
              <w:rPr>
                <w:rFonts w:ascii="Times New Roman" w:hAnsi="Times New Roman"/>
                <w:sz w:val="20"/>
                <w:lang/>
              </w:rPr>
            </w:pPr>
            <w:r w:rsidRPr="00E7082C">
              <w:rPr>
                <w:rFonts w:ascii="Times New Roman" w:hAnsi="Times New Roman"/>
                <w:sz w:val="20"/>
                <w:lang/>
              </w:rPr>
              <w:t>3,0</w:t>
            </w:r>
          </w:p>
        </w:tc>
        <w:tc>
          <w:tcPr>
            <w:tcW w:w="1236" w:type="dxa"/>
            <w:noWrap/>
            <w:hideMark/>
          </w:tcPr>
          <w:p w:rsidR="00316662" w:rsidRPr="00E7082C" w:rsidRDefault="00316662" w:rsidP="000143AD">
            <w:pPr>
              <w:jc w:val="right"/>
              <w:rPr>
                <w:rFonts w:ascii="Times New Roman" w:hAnsi="Times New Roman"/>
                <w:sz w:val="20"/>
                <w:lang/>
              </w:rPr>
            </w:pPr>
            <w:r w:rsidRPr="00E7082C">
              <w:rPr>
                <w:rFonts w:ascii="Times New Roman" w:hAnsi="Times New Roman"/>
                <w:sz w:val="20"/>
                <w:lang/>
              </w:rPr>
              <w:t>3,5</w:t>
            </w:r>
          </w:p>
        </w:tc>
        <w:tc>
          <w:tcPr>
            <w:tcW w:w="1236" w:type="dxa"/>
            <w:noWrap/>
            <w:hideMark/>
          </w:tcPr>
          <w:p w:rsidR="00316662" w:rsidRPr="00E7082C" w:rsidRDefault="00316662" w:rsidP="000143AD">
            <w:pPr>
              <w:jc w:val="right"/>
              <w:rPr>
                <w:rFonts w:ascii="Times New Roman" w:hAnsi="Times New Roman"/>
                <w:sz w:val="20"/>
                <w:lang/>
              </w:rPr>
            </w:pPr>
            <w:r w:rsidRPr="00E7082C">
              <w:rPr>
                <w:rFonts w:ascii="Times New Roman" w:hAnsi="Times New Roman"/>
                <w:sz w:val="20"/>
                <w:lang/>
              </w:rPr>
              <w:t>3,5</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sz w:val="20"/>
                <w:szCs w:val="20"/>
                <w:lang/>
              </w:rPr>
            </w:pPr>
            <w:r w:rsidRPr="00E7082C">
              <w:rPr>
                <w:rFonts w:ascii="Times New Roman" w:eastAsia="Calibri" w:hAnsi="Times New Roman"/>
                <w:sz w:val="20"/>
                <w:szCs w:val="20"/>
                <w:lang/>
              </w:rPr>
              <w:t xml:space="preserve">БДП по текућим тржишним ценама </w:t>
            </w:r>
          </w:p>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(у млрд динара)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w:t>
            </w:r>
            <w:r w:rsidRPr="00E7082C">
              <w:rPr>
                <w:rFonts w:ascii="Times New Roman" w:eastAsia="Calibri" w:hAnsi="Times New Roman"/>
                <w:sz w:val="20"/>
                <w:szCs w:val="20"/>
                <w:lang/>
              </w:rPr>
              <w:t>203,5</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w:t>
            </w:r>
            <w:r w:rsidRPr="00E7082C">
              <w:rPr>
                <w:rFonts w:ascii="Times New Roman" w:eastAsia="Calibri" w:hAnsi="Times New Roman"/>
                <w:sz w:val="20"/>
                <w:szCs w:val="20"/>
                <w:lang/>
              </w:rPr>
              <w:t>396,7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4.678,1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4.987,5</w:t>
            </w:r>
          </w:p>
        </w:tc>
      </w:tr>
      <w:tr w:rsidR="00316662" w:rsidRPr="00E7082C" w:rsidTr="000143AD">
        <w:trPr>
          <w:trHeight w:val="281"/>
        </w:trPr>
        <w:tc>
          <w:tcPr>
            <w:tcW w:w="9084" w:type="dxa"/>
            <w:gridSpan w:val="5"/>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i/>
                <w:iCs/>
                <w:sz w:val="20"/>
                <w:szCs w:val="20"/>
                <w:lang/>
              </w:rPr>
              <w:t>Извори раста: процентне промене у константним ценама</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Лична потрошња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2,9</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Државна потрошња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3,9</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2,3</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Инвестиције у фиксни капитал</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6,4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4,9</w:t>
            </w:r>
          </w:p>
        </w:tc>
      </w:tr>
      <w:tr w:rsidR="00316662" w:rsidRPr="00E7082C" w:rsidTr="000143AD">
        <w:trPr>
          <w:trHeight w:val="281"/>
        </w:trPr>
        <w:tc>
          <w:tcPr>
            <w:tcW w:w="4140" w:type="dxa"/>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Промена залиха као % БДП</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Извоз робе и услуга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9,2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7,7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7,7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7,6</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Увоз робе и услуга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6,2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5,8</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6,3</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Допринос расту БДП</w:t>
            </w:r>
          </w:p>
        </w:tc>
        <w:tc>
          <w:tcPr>
            <w:tcW w:w="1236" w:type="dxa"/>
            <w:noWrap/>
            <w:hideMark/>
          </w:tcPr>
          <w:p w:rsidR="00316662" w:rsidRPr="00E7082C" w:rsidRDefault="00316662" w:rsidP="000143AD">
            <w:pPr>
              <w:jc w:val="right"/>
              <w:rPr>
                <w:rFonts w:ascii="Times New Roman" w:eastAsia="Calibri" w:hAnsi="Times New Roman"/>
                <w:i/>
                <w:iCs/>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Финална домаћа тражња</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2,0</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2,5</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3,2</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3,5</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Инвестициона потрошња</w:t>
            </w:r>
          </w:p>
        </w:tc>
        <w:tc>
          <w:tcPr>
            <w:tcW w:w="1236" w:type="dxa"/>
            <w:noWrap/>
            <w:hideMark/>
          </w:tcPr>
          <w:p w:rsidR="00316662" w:rsidRPr="00B932A5"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1,2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w:t>
            </w:r>
            <w:r w:rsidRPr="00E7082C">
              <w:rPr>
                <w:rFonts w:ascii="Times New Roman" w:eastAsia="Calibri" w:hAnsi="Times New Roman"/>
                <w:sz w:val="20"/>
                <w:szCs w:val="20"/>
                <w:lang/>
              </w:rPr>
              <w:t>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w:t>
            </w:r>
            <w:r w:rsidRPr="00E7082C">
              <w:rPr>
                <w:rFonts w:ascii="Times New Roman" w:eastAsia="Calibri" w:hAnsi="Times New Roman"/>
                <w:sz w:val="20"/>
                <w:szCs w:val="20"/>
                <w:lang/>
              </w:rPr>
              <w:t>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Лична потрошња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0,5</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Државна потрошња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0,5</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0,4</w:t>
            </w:r>
          </w:p>
        </w:tc>
      </w:tr>
      <w:tr w:rsidR="00316662" w:rsidRPr="00E7082C" w:rsidTr="000143AD">
        <w:trPr>
          <w:trHeight w:val="281"/>
        </w:trPr>
        <w:tc>
          <w:tcPr>
            <w:tcW w:w="4140" w:type="dxa"/>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Промена у залихама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Спољно-трговински биланс робe и услуга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0,5</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0,0</w:t>
            </w:r>
          </w:p>
        </w:tc>
      </w:tr>
      <w:tr w:rsidR="00316662" w:rsidRPr="00E7082C" w:rsidTr="000143AD">
        <w:trPr>
          <w:trHeight w:val="281"/>
        </w:trPr>
        <w:tc>
          <w:tcPr>
            <w:tcW w:w="9084" w:type="dxa"/>
            <w:gridSpan w:val="5"/>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i/>
                <w:iCs/>
                <w:sz w:val="20"/>
                <w:szCs w:val="20"/>
                <w:lang/>
              </w:rPr>
              <w:t>Раст бруто додате вредности делатности</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Пољопривреда</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8,4</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-2,0</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2,6</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Индустрија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5,4</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Грађевинарство</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8,9</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7,6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7,1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6,1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Услуге</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3,7</w:t>
            </w:r>
          </w:p>
        </w:tc>
      </w:tr>
      <w:tr w:rsidR="00316662" w:rsidRPr="00E7082C" w:rsidTr="000143AD">
        <w:trPr>
          <w:trHeight w:val="281"/>
        </w:trPr>
        <w:tc>
          <w:tcPr>
            <w:tcW w:w="9084" w:type="dxa"/>
            <w:gridSpan w:val="5"/>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i/>
                <w:iCs/>
                <w:sz w:val="20"/>
                <w:szCs w:val="20"/>
                <w:lang/>
              </w:rPr>
              <w:t>Допринос расту бруто додате вредности по делатностима</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Раст бруто додате вредности</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2,7</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3,0</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3,5</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3,5</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Пољопривреда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Индустрија</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Грађевинарство</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0,2</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Услуге</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0,9</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1,7</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1,9</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Кретање цена</w:t>
            </w:r>
          </w:p>
        </w:tc>
        <w:tc>
          <w:tcPr>
            <w:tcW w:w="1236" w:type="dxa"/>
            <w:noWrap/>
            <w:hideMark/>
          </w:tcPr>
          <w:p w:rsidR="00316662" w:rsidRPr="00E7082C" w:rsidRDefault="00316662" w:rsidP="000143AD">
            <w:pPr>
              <w:jc w:val="right"/>
              <w:rPr>
                <w:rFonts w:ascii="Times New Roman" w:eastAsia="Calibri" w:hAnsi="Times New Roman"/>
                <w:i/>
                <w:iCs/>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БДП дефлатор</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1,3</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1,6</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2,8</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Потрошачке цене</w:t>
            </w:r>
            <w:r w:rsidRPr="00E7082C">
              <w:rPr>
                <w:rFonts w:ascii="Times New Roman" w:eastAsia="Calibri" w:hAnsi="Times New Roman"/>
                <w:sz w:val="20"/>
                <w:szCs w:val="20"/>
                <w:lang w:val="en-US"/>
              </w:rPr>
              <w:t xml:space="preserve"> </w:t>
            </w:r>
            <w:r w:rsidRPr="00E7082C">
              <w:rPr>
                <w:rFonts w:ascii="Times New Roman" w:eastAsia="Calibri" w:hAnsi="Times New Roman"/>
                <w:sz w:val="20"/>
                <w:szCs w:val="20"/>
                <w:lang/>
              </w:rPr>
              <w:t>(годишњи просек)</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1,1</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2,4</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3,0</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Кретања у спољном сектору</w:t>
            </w:r>
          </w:p>
        </w:tc>
        <w:tc>
          <w:tcPr>
            <w:tcW w:w="1236" w:type="dxa"/>
            <w:noWrap/>
            <w:hideMark/>
          </w:tcPr>
          <w:p w:rsidR="00316662" w:rsidRPr="00E7082C" w:rsidRDefault="00316662" w:rsidP="000143AD">
            <w:pPr>
              <w:jc w:val="right"/>
              <w:rPr>
                <w:rFonts w:ascii="Times New Roman" w:eastAsia="Calibri" w:hAnsi="Times New Roman"/>
                <w:i/>
                <w:iCs/>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Pr>
                <w:rFonts w:ascii="Times New Roman" w:eastAsia="Calibri" w:hAnsi="Times New Roman"/>
                <w:sz w:val="20"/>
                <w:szCs w:val="20"/>
                <w:lang/>
              </w:rPr>
              <w:t>Извоз робe</w:t>
            </w:r>
            <w:r w:rsidRPr="00E7082C">
              <w:rPr>
                <w:rFonts w:ascii="Times New Roman" w:eastAsia="Calibri" w:hAnsi="Times New Roman"/>
                <w:sz w:val="20"/>
                <w:szCs w:val="20"/>
                <w:lang/>
              </w:rPr>
              <w:t xml:space="preserve"> (% БДП) </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35,9</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37,9</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39,1</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40,1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Pr>
                <w:rFonts w:ascii="Times New Roman" w:eastAsia="Calibri" w:hAnsi="Times New Roman"/>
                <w:sz w:val="20"/>
                <w:szCs w:val="20"/>
                <w:lang/>
              </w:rPr>
              <w:t>Увоз робe</w:t>
            </w:r>
            <w:r w:rsidRPr="00E7082C">
              <w:rPr>
                <w:rFonts w:ascii="Times New Roman" w:eastAsia="Calibri" w:hAnsi="Times New Roman"/>
                <w:sz w:val="20"/>
                <w:szCs w:val="20"/>
                <w:lang/>
              </w:rPr>
              <w:t xml:space="preserve"> (% БДП)</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46,5</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48,5</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49,4</w:t>
            </w:r>
          </w:p>
        </w:tc>
        <w:tc>
          <w:tcPr>
            <w:tcW w:w="1236" w:type="dxa"/>
            <w:noWrap/>
          </w:tcPr>
          <w:p w:rsidR="00316662" w:rsidRPr="00E7082C"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50,1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bookmarkStart w:id="1" w:name="RANGE!A41"/>
            <w:r>
              <w:rPr>
                <w:rFonts w:ascii="Times New Roman" w:eastAsia="Calibri" w:hAnsi="Times New Roman"/>
                <w:sz w:val="20"/>
                <w:szCs w:val="20"/>
                <w:lang/>
              </w:rPr>
              <w:t>Салдо робне размене</w:t>
            </w:r>
            <w:r w:rsidRPr="00E7082C">
              <w:rPr>
                <w:rFonts w:ascii="Times New Roman" w:eastAsia="Calibri" w:hAnsi="Times New Roman"/>
                <w:sz w:val="20"/>
                <w:szCs w:val="20"/>
                <w:lang/>
              </w:rPr>
              <w:t xml:space="preserve"> (% БДП)</w:t>
            </w:r>
            <w:bookmarkEnd w:id="1"/>
          </w:p>
        </w:tc>
        <w:tc>
          <w:tcPr>
            <w:tcW w:w="1236" w:type="dxa"/>
            <w:noWrap/>
          </w:tcPr>
          <w:p w:rsidR="00316662" w:rsidRPr="00F84418"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-10,6</w:t>
            </w:r>
          </w:p>
        </w:tc>
        <w:tc>
          <w:tcPr>
            <w:tcW w:w="1236" w:type="dxa"/>
            <w:noWrap/>
          </w:tcPr>
          <w:p w:rsidR="00316662" w:rsidRPr="00F84418"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-10,7</w:t>
            </w:r>
          </w:p>
        </w:tc>
        <w:tc>
          <w:tcPr>
            <w:tcW w:w="1236" w:type="dxa"/>
            <w:noWrap/>
          </w:tcPr>
          <w:p w:rsidR="00316662" w:rsidRPr="00F84418"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-10,3</w:t>
            </w:r>
          </w:p>
        </w:tc>
        <w:tc>
          <w:tcPr>
            <w:tcW w:w="1236" w:type="dxa"/>
            <w:noWrap/>
          </w:tcPr>
          <w:p w:rsidR="00316662" w:rsidRPr="00F84418" w:rsidRDefault="00316662" w:rsidP="000143AD">
            <w:pPr>
              <w:jc w:val="right"/>
              <w:rPr>
                <w:rFonts w:ascii="Times New Roman" w:eastAsia="Calibri" w:hAnsi="Times New Roman"/>
                <w:sz w:val="20"/>
                <w:szCs w:val="20"/>
                <w:lang/>
              </w:rPr>
            </w:pPr>
            <w:r>
              <w:rPr>
                <w:rFonts w:ascii="Times New Roman" w:eastAsia="Calibri" w:hAnsi="Times New Roman"/>
                <w:sz w:val="20"/>
                <w:szCs w:val="20"/>
                <w:lang/>
              </w:rPr>
              <w:t>-9,9</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Салдо текућег рачуна (% БДП)</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-4,2</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-3,9</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-3,9</w:t>
            </w:r>
          </w:p>
        </w:tc>
        <w:tc>
          <w:tcPr>
            <w:tcW w:w="1236" w:type="dxa"/>
            <w:noWrap/>
            <w:hideMark/>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-3,9</w:t>
            </w:r>
          </w:p>
        </w:tc>
      </w:tr>
      <w:tr w:rsidR="00316662" w:rsidRPr="00E7082C" w:rsidTr="000143AD">
        <w:trPr>
          <w:trHeight w:val="220"/>
        </w:trPr>
        <w:tc>
          <w:tcPr>
            <w:tcW w:w="4140" w:type="dxa"/>
            <w:noWrap/>
            <w:hideMark/>
          </w:tcPr>
          <w:p w:rsidR="00316662" w:rsidRPr="00E7082C" w:rsidRDefault="00316662" w:rsidP="000143AD">
            <w:pPr>
              <w:rPr>
                <w:rFonts w:ascii="Times New Roman" w:eastAsia="Calibri" w:hAnsi="Times New Roman"/>
                <w:bCs/>
                <w:i/>
                <w:iCs/>
                <w:sz w:val="20"/>
                <w:szCs w:val="20"/>
                <w:lang/>
              </w:rPr>
            </w:pPr>
            <w:r w:rsidRPr="00E7082C">
              <w:rPr>
                <w:rFonts w:ascii="Times New Roman" w:eastAsia="Calibri" w:hAnsi="Times New Roman"/>
                <w:i/>
                <w:iCs/>
                <w:sz w:val="20"/>
                <w:szCs w:val="20"/>
                <w:lang/>
              </w:rPr>
              <w:t>Фискални индикатори</w:t>
            </w:r>
          </w:p>
        </w:tc>
        <w:tc>
          <w:tcPr>
            <w:tcW w:w="1236" w:type="dxa"/>
            <w:noWrap/>
            <w:hideMark/>
          </w:tcPr>
          <w:p w:rsidR="00316662" w:rsidRPr="00E7082C" w:rsidRDefault="00316662" w:rsidP="000143AD">
            <w:pPr>
              <w:jc w:val="right"/>
              <w:rPr>
                <w:rFonts w:ascii="Times New Roman" w:eastAsia="Calibri" w:hAnsi="Times New Roman"/>
                <w:i/>
                <w:iCs/>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c>
          <w:tcPr>
            <w:tcW w:w="1236" w:type="dxa"/>
            <w:noWrap/>
            <w:hideMark/>
          </w:tcPr>
          <w:p w:rsidR="00316662" w:rsidRPr="00E7082C" w:rsidRDefault="00316662" w:rsidP="000143AD">
            <w:pPr>
              <w:jc w:val="right"/>
              <w:rPr>
                <w:rFonts w:ascii="Times New Roman" w:eastAsia="Calibri" w:hAnsi="Times New Roman"/>
                <w:sz w:val="20"/>
                <w:szCs w:val="20"/>
                <w:lang/>
              </w:rPr>
            </w:pP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Дефицит сектора опште државе (%</w:t>
            </w:r>
            <w:r>
              <w:rPr>
                <w:rFonts w:ascii="Times New Roman" w:eastAsia="Calibri" w:hAnsi="Times New Roman"/>
                <w:sz w:val="20"/>
                <w:szCs w:val="20"/>
                <w:lang/>
              </w:rPr>
              <w:t xml:space="preserve"> </w:t>
            </w:r>
            <w:r w:rsidRPr="00E7082C">
              <w:rPr>
                <w:rFonts w:ascii="Times New Roman" w:eastAsia="Calibri" w:hAnsi="Times New Roman"/>
                <w:sz w:val="20"/>
                <w:szCs w:val="20"/>
                <w:lang/>
              </w:rPr>
              <w:t>БДП)</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-2,1</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-1,7</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-1,3</w:t>
            </w:r>
          </w:p>
        </w:tc>
        <w:tc>
          <w:tcPr>
            <w:tcW w:w="1236" w:type="dxa"/>
            <w:noWrap/>
          </w:tcPr>
          <w:p w:rsidR="00316662" w:rsidRPr="00E7082C" w:rsidRDefault="00316662" w:rsidP="000143AD">
            <w:pPr>
              <w:jc w:val="right"/>
              <w:rPr>
                <w:rFonts w:ascii="Times New Roman" w:eastAsia="Calibri" w:hAnsi="Times New Roman"/>
                <w:sz w:val="20"/>
                <w:szCs w:val="20"/>
                <w:lang/>
              </w:rPr>
            </w:pPr>
            <w:r w:rsidRPr="00E7082C">
              <w:rPr>
                <w:rFonts w:ascii="Times New Roman" w:eastAsia="Calibri" w:hAnsi="Times New Roman"/>
                <w:sz w:val="20"/>
                <w:szCs w:val="20"/>
                <w:lang/>
              </w:rPr>
              <w:t>-1,0</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Консолидовани приходи</w:t>
            </w:r>
            <w:r w:rsidRPr="00E7082C">
              <w:rPr>
                <w:rFonts w:ascii="Times New Roman" w:eastAsia="Calibri" w:hAnsi="Times New Roman"/>
                <w:sz w:val="20"/>
                <w:szCs w:val="20"/>
                <w:lang w:val="en-US"/>
              </w:rPr>
              <w:t xml:space="preserve"> </w:t>
            </w:r>
            <w:r w:rsidRPr="00E7082C">
              <w:rPr>
                <w:rFonts w:ascii="Times New Roman" w:eastAsia="Calibri" w:hAnsi="Times New Roman"/>
                <w:sz w:val="20"/>
                <w:szCs w:val="20"/>
                <w:lang/>
              </w:rPr>
              <w:t>(% БДП)</w:t>
            </w:r>
          </w:p>
        </w:tc>
        <w:tc>
          <w:tcPr>
            <w:tcW w:w="1236" w:type="dxa"/>
            <w:noWrap/>
            <w:vAlign w:val="center"/>
            <w:hideMark/>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43,3</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42,4</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41,6</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41,1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Консолидовани расходи (%</w:t>
            </w:r>
            <w:r>
              <w:rPr>
                <w:rFonts w:ascii="Times New Roman" w:eastAsia="Calibri" w:hAnsi="Times New Roman"/>
                <w:sz w:val="20"/>
                <w:szCs w:val="20"/>
                <w:lang/>
              </w:rPr>
              <w:t xml:space="preserve"> </w:t>
            </w:r>
            <w:bookmarkStart w:id="2" w:name="_GoBack"/>
            <w:bookmarkEnd w:id="2"/>
            <w:r w:rsidRPr="00E7082C">
              <w:rPr>
                <w:rFonts w:ascii="Times New Roman" w:eastAsia="Calibri" w:hAnsi="Times New Roman"/>
                <w:sz w:val="20"/>
                <w:szCs w:val="20"/>
                <w:lang/>
              </w:rPr>
              <w:t>БДП)</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45,4</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44,1</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42,9</w:t>
            </w:r>
          </w:p>
        </w:tc>
        <w:tc>
          <w:tcPr>
            <w:tcW w:w="1236" w:type="dxa"/>
            <w:noWrap/>
            <w:vAlign w:val="center"/>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42,1</w:t>
            </w:r>
          </w:p>
        </w:tc>
      </w:tr>
      <w:tr w:rsidR="00316662" w:rsidRPr="00E7082C" w:rsidTr="000143AD">
        <w:trPr>
          <w:trHeight w:val="281"/>
        </w:trPr>
        <w:tc>
          <w:tcPr>
            <w:tcW w:w="4140" w:type="dxa"/>
            <w:noWrap/>
            <w:hideMark/>
          </w:tcPr>
          <w:p w:rsidR="00316662" w:rsidRPr="00E7082C" w:rsidRDefault="00316662" w:rsidP="000143AD">
            <w:pPr>
              <w:rPr>
                <w:rFonts w:ascii="Times New Roman" w:eastAsia="Calibri" w:hAnsi="Times New Roman"/>
                <w:bCs/>
                <w:sz w:val="20"/>
                <w:szCs w:val="20"/>
                <w:lang/>
              </w:rPr>
            </w:pPr>
            <w:r w:rsidRPr="00E7082C">
              <w:rPr>
                <w:rFonts w:ascii="Times New Roman" w:eastAsia="Calibri" w:hAnsi="Times New Roman"/>
                <w:sz w:val="20"/>
                <w:szCs w:val="20"/>
                <w:lang/>
              </w:rPr>
              <w:t>Бруто дуг сектора опште државе (% БДП)</w:t>
            </w:r>
          </w:p>
        </w:tc>
        <w:tc>
          <w:tcPr>
            <w:tcW w:w="1236" w:type="dxa"/>
            <w:noWrap/>
            <w:hideMark/>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74,6</w:t>
            </w:r>
          </w:p>
        </w:tc>
        <w:tc>
          <w:tcPr>
            <w:tcW w:w="1236" w:type="dxa"/>
            <w:noWrap/>
            <w:hideMark/>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73,9</w:t>
            </w:r>
          </w:p>
        </w:tc>
        <w:tc>
          <w:tcPr>
            <w:tcW w:w="1236" w:type="dxa"/>
            <w:noWrap/>
            <w:hideMark/>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70,7</w:t>
            </w:r>
          </w:p>
        </w:tc>
        <w:tc>
          <w:tcPr>
            <w:tcW w:w="1236" w:type="dxa"/>
            <w:noWrap/>
            <w:hideMark/>
          </w:tcPr>
          <w:p w:rsidR="00316662" w:rsidRPr="00E7082C" w:rsidRDefault="00316662" w:rsidP="000143AD">
            <w:pPr>
              <w:jc w:val="right"/>
              <w:rPr>
                <w:rFonts w:ascii="Times New Roman" w:eastAsia="Calibri" w:hAnsi="Times New Roman"/>
                <w:sz w:val="20"/>
                <w:szCs w:val="20"/>
                <w:lang w:val="sr-Latn-CS"/>
              </w:rPr>
            </w:pPr>
            <w:r w:rsidRPr="00E7082C">
              <w:rPr>
                <w:rFonts w:ascii="Times New Roman" w:eastAsia="Calibri" w:hAnsi="Times New Roman"/>
                <w:sz w:val="20"/>
                <w:szCs w:val="20"/>
                <w:lang w:val="sr-Latn-CS"/>
              </w:rPr>
              <w:t>67,0</w:t>
            </w:r>
          </w:p>
        </w:tc>
      </w:tr>
    </w:tbl>
    <w:p w:rsidR="00316662" w:rsidRDefault="00316662">
      <w:pPr>
        <w:spacing w:after="0" w:line="240" w:lineRule="auto"/>
        <w:ind w:firstLine="720"/>
        <w:jc w:val="both"/>
        <w:rPr>
          <w:rFonts w:ascii="Times New Roman" w:eastAsia="Times New Roman" w:hAnsi="Times New Roman" w:cs="Times New Roman"/>
          <w:sz w:val="24"/>
        </w:rPr>
        <w:sectPr w:rsidR="00316662">
          <w:pgSz w:w="12240" w:h="15840"/>
          <w:pgMar w:top="1440" w:right="1440" w:bottom="1440" w:left="1440" w:header="720" w:footer="720" w:gutter="0"/>
          <w:cols w:space="720"/>
          <w:docGrid w:linePitch="360"/>
        </w:sectPr>
      </w:pPr>
    </w:p>
    <w:p w:rsidR="00316662" w:rsidRDefault="00316662" w:rsidP="00316662">
      <w:r w:rsidRPr="00A26311">
        <w:rPr>
          <w:noProof/>
        </w:rPr>
        <w:lastRenderedPageBreak/>
        <w:drawing>
          <wp:inline distT="0" distB="0" distL="0" distR="0">
            <wp:extent cx="9884341" cy="5555412"/>
            <wp:effectExtent l="0" t="0" r="317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97854" cy="5563007"/>
                    </a:xfrm>
                    <a:prstGeom prst="rect">
                      <a:avLst/>
                    </a:prstGeom>
                    <a:noFill/>
                    <a:ln>
                      <a:noFill/>
                    </a:ln>
                  </pic:spPr>
                </pic:pic>
              </a:graphicData>
            </a:graphic>
          </wp:inline>
        </w:drawing>
      </w:r>
    </w:p>
    <w:p w:rsidR="00BE17C7" w:rsidRDefault="00BE17C7">
      <w:pPr>
        <w:spacing w:after="0" w:line="240" w:lineRule="auto"/>
        <w:ind w:firstLine="720"/>
        <w:jc w:val="both"/>
        <w:rPr>
          <w:rFonts w:ascii="Times New Roman" w:eastAsia="Times New Roman" w:hAnsi="Times New Roman" w:cs="Times New Roman"/>
          <w:sz w:val="24"/>
        </w:rPr>
      </w:pPr>
    </w:p>
    <w:sectPr w:rsidR="00BE17C7" w:rsidSect="001C281D">
      <w:headerReference w:type="even" r:id="rId10"/>
      <w:headerReference w:type="default" r:id="rId11"/>
      <w:footerReference w:type="even" r:id="rId12"/>
      <w:footerReference w:type="default" r:id="rId13"/>
      <w:headerReference w:type="first" r:id="rId14"/>
      <w:footerReference w:type="first" r:id="rId15"/>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F0B" w:rsidRDefault="00843F0B" w:rsidP="00771B7D">
      <w:pPr>
        <w:spacing w:after="0" w:line="240" w:lineRule="auto"/>
      </w:pPr>
      <w:r>
        <w:separator/>
      </w:r>
    </w:p>
  </w:endnote>
  <w:endnote w:type="continuationSeparator" w:id="0">
    <w:p w:rsidR="00843F0B" w:rsidRDefault="00843F0B" w:rsidP="00771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62" w:rsidRDefault="00843F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33C" w:rsidRDefault="00843F0B" w:rsidP="0033233C">
    <w:pPr>
      <w:spacing w:after="0" w:line="240" w:lineRule="auto"/>
      <w:rPr>
        <w:rFonts w:ascii="Times New Roman" w:eastAsia="Times New Roman" w:hAnsi="Times New Roman" w:cs="Times New Roman"/>
        <w:color w:val="000000"/>
        <w:sz w:val="18"/>
        <w:szCs w:val="18"/>
      </w:rPr>
    </w:pPr>
    <w:r w:rsidRPr="007C6DC9">
      <w:rPr>
        <w:rFonts w:ascii="Times New Roman" w:eastAsia="Times New Roman" w:hAnsi="Times New Roman" w:cs="Times New Roman"/>
        <w:color w:val="000000"/>
        <w:sz w:val="18"/>
        <w:szCs w:val="18"/>
      </w:rPr>
      <w:t>У табели је приказан оквирни износ прихода и расхода у 201</w:t>
    </w:r>
    <w:r>
      <w:rPr>
        <w:rFonts w:ascii="Times New Roman" w:eastAsia="Times New Roman" w:hAnsi="Times New Roman" w:cs="Times New Roman"/>
        <w:color w:val="000000"/>
        <w:sz w:val="18"/>
        <w:szCs w:val="18"/>
      </w:rPr>
      <w:t>7</w:t>
    </w:r>
    <w:r w:rsidRPr="007C6DC9">
      <w:rPr>
        <w:rFonts w:ascii="Times New Roman" w:eastAsia="Times New Roman" w:hAnsi="Times New Roman" w:cs="Times New Roman"/>
        <w:color w:val="000000"/>
        <w:sz w:val="18"/>
        <w:szCs w:val="18"/>
      </w:rPr>
      <w:t xml:space="preserve">. години који је у већој мери заснован на статистичкој методологији </w:t>
    </w:r>
    <w:r w:rsidRPr="007C6DC9">
      <w:rPr>
        <w:rFonts w:ascii="Times New Roman" w:eastAsia="Times New Roman" w:hAnsi="Times New Roman" w:cs="Times New Roman"/>
        <w:color w:val="000000"/>
        <w:sz w:val="18"/>
        <w:szCs w:val="18"/>
      </w:rPr>
      <w:t xml:space="preserve">рачуна јавних финансија него на рачуноводственој. Будући да током буџетског процеса може доћи до измена у висини и структури појединих категорија, ови износи нису законски обавезујући. </w:t>
    </w:r>
  </w:p>
  <w:p w:rsidR="00771B7D" w:rsidRPr="00771B7D" w:rsidRDefault="00843F0B" w:rsidP="00771B7D">
    <w:pPr>
      <w:spacing w:after="0" w:line="240" w:lineRule="auto"/>
    </w:pPr>
    <w:r>
      <w:rPr>
        <w:rFonts w:ascii="Times New Roman" w:eastAsia="Times New Roman" w:hAnsi="Times New Roman" w:cs="Times New Roman"/>
        <w:color w:val="000000"/>
        <w:sz w:val="18"/>
        <w:szCs w:val="18"/>
        <w:lang w:val="sr-Cyrl-CS"/>
      </w:rPr>
      <w:t>* буџет је приказан без индиректних корисника.</w:t>
    </w:r>
  </w:p>
  <w:p w:rsidR="0033233C" w:rsidRDefault="00843F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62" w:rsidRDefault="00843F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F0B" w:rsidRDefault="00843F0B" w:rsidP="00771B7D">
      <w:pPr>
        <w:spacing w:after="0" w:line="240" w:lineRule="auto"/>
      </w:pPr>
      <w:r>
        <w:separator/>
      </w:r>
    </w:p>
  </w:footnote>
  <w:footnote w:type="continuationSeparator" w:id="0">
    <w:p w:rsidR="00843F0B" w:rsidRDefault="00843F0B" w:rsidP="00771B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62" w:rsidRDefault="00843F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81D" w:rsidRDefault="00843F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62" w:rsidRDefault="00843F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1F47"/>
    <w:multiLevelType w:val="multilevel"/>
    <w:tmpl w:val="1BEEC8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043BE0"/>
    <w:multiLevelType w:val="multilevel"/>
    <w:tmpl w:val="9FCE2A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8A7FB3"/>
    <w:multiLevelType w:val="multilevel"/>
    <w:tmpl w:val="7DC2EE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B51841"/>
    <w:multiLevelType w:val="multilevel"/>
    <w:tmpl w:val="695436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95BE9"/>
    <w:multiLevelType w:val="multilevel"/>
    <w:tmpl w:val="A6E8C0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BC452E"/>
    <w:multiLevelType w:val="multilevel"/>
    <w:tmpl w:val="73A05D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1F0BA1"/>
    <w:multiLevelType w:val="multilevel"/>
    <w:tmpl w:val="9A366E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B91F89"/>
    <w:multiLevelType w:val="multilevel"/>
    <w:tmpl w:val="621E8F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42211E"/>
    <w:multiLevelType w:val="multilevel"/>
    <w:tmpl w:val="41EEDB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8929C6"/>
    <w:multiLevelType w:val="multilevel"/>
    <w:tmpl w:val="A5A2B4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B6010B"/>
    <w:multiLevelType w:val="multilevel"/>
    <w:tmpl w:val="81563C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BE5B07"/>
    <w:multiLevelType w:val="multilevel"/>
    <w:tmpl w:val="B26C79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96124B"/>
    <w:multiLevelType w:val="multilevel"/>
    <w:tmpl w:val="DADEF7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4D09CD"/>
    <w:multiLevelType w:val="multilevel"/>
    <w:tmpl w:val="571891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4727AF"/>
    <w:multiLevelType w:val="multilevel"/>
    <w:tmpl w:val="5CFA3C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350F7F"/>
    <w:multiLevelType w:val="multilevel"/>
    <w:tmpl w:val="4880D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914930"/>
    <w:multiLevelType w:val="multilevel"/>
    <w:tmpl w:val="17D81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446B99"/>
    <w:multiLevelType w:val="multilevel"/>
    <w:tmpl w:val="29CE53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630DA6"/>
    <w:multiLevelType w:val="multilevel"/>
    <w:tmpl w:val="86201CC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A14C0F"/>
    <w:multiLevelType w:val="multilevel"/>
    <w:tmpl w:val="4EFA1B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C43F5C"/>
    <w:multiLevelType w:val="multilevel"/>
    <w:tmpl w:val="C422D6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7F59D7"/>
    <w:multiLevelType w:val="multilevel"/>
    <w:tmpl w:val="B78883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154FCB"/>
    <w:multiLevelType w:val="multilevel"/>
    <w:tmpl w:val="EA2401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781AF1"/>
    <w:multiLevelType w:val="multilevel"/>
    <w:tmpl w:val="A92698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B23DC8"/>
    <w:multiLevelType w:val="multilevel"/>
    <w:tmpl w:val="C1904B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C04F1A"/>
    <w:multiLevelType w:val="multilevel"/>
    <w:tmpl w:val="DA8816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3446F6"/>
    <w:multiLevelType w:val="multilevel"/>
    <w:tmpl w:val="0C4C33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E34048"/>
    <w:multiLevelType w:val="multilevel"/>
    <w:tmpl w:val="96165D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1F08EC"/>
    <w:multiLevelType w:val="multilevel"/>
    <w:tmpl w:val="CC7C37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3E75FC"/>
    <w:multiLevelType w:val="multilevel"/>
    <w:tmpl w:val="346CA0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520F12"/>
    <w:multiLevelType w:val="multilevel"/>
    <w:tmpl w:val="CA2EC6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09059B"/>
    <w:multiLevelType w:val="multilevel"/>
    <w:tmpl w:val="9A74BB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655EA5"/>
    <w:multiLevelType w:val="multilevel"/>
    <w:tmpl w:val="35A67A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0F4E99"/>
    <w:multiLevelType w:val="multilevel"/>
    <w:tmpl w:val="123C09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7"/>
  </w:num>
  <w:num w:numId="3">
    <w:abstractNumId w:val="25"/>
  </w:num>
  <w:num w:numId="4">
    <w:abstractNumId w:val="26"/>
  </w:num>
  <w:num w:numId="5">
    <w:abstractNumId w:val="24"/>
  </w:num>
  <w:num w:numId="6">
    <w:abstractNumId w:val="4"/>
  </w:num>
  <w:num w:numId="7">
    <w:abstractNumId w:val="0"/>
  </w:num>
  <w:num w:numId="8">
    <w:abstractNumId w:val="27"/>
  </w:num>
  <w:num w:numId="9">
    <w:abstractNumId w:val="1"/>
  </w:num>
  <w:num w:numId="10">
    <w:abstractNumId w:val="14"/>
  </w:num>
  <w:num w:numId="11">
    <w:abstractNumId w:val="9"/>
  </w:num>
  <w:num w:numId="12">
    <w:abstractNumId w:val="15"/>
  </w:num>
  <w:num w:numId="13">
    <w:abstractNumId w:val="33"/>
  </w:num>
  <w:num w:numId="14">
    <w:abstractNumId w:val="6"/>
  </w:num>
  <w:num w:numId="15">
    <w:abstractNumId w:val="29"/>
  </w:num>
  <w:num w:numId="16">
    <w:abstractNumId w:val="5"/>
  </w:num>
  <w:num w:numId="17">
    <w:abstractNumId w:val="3"/>
  </w:num>
  <w:num w:numId="18">
    <w:abstractNumId w:val="28"/>
  </w:num>
  <w:num w:numId="19">
    <w:abstractNumId w:val="30"/>
  </w:num>
  <w:num w:numId="20">
    <w:abstractNumId w:val="31"/>
  </w:num>
  <w:num w:numId="21">
    <w:abstractNumId w:val="23"/>
  </w:num>
  <w:num w:numId="22">
    <w:abstractNumId w:val="10"/>
  </w:num>
  <w:num w:numId="23">
    <w:abstractNumId w:val="8"/>
  </w:num>
  <w:num w:numId="24">
    <w:abstractNumId w:val="18"/>
  </w:num>
  <w:num w:numId="25">
    <w:abstractNumId w:val="16"/>
  </w:num>
  <w:num w:numId="26">
    <w:abstractNumId w:val="20"/>
  </w:num>
  <w:num w:numId="27">
    <w:abstractNumId w:val="22"/>
  </w:num>
  <w:num w:numId="28">
    <w:abstractNumId w:val="21"/>
  </w:num>
  <w:num w:numId="29">
    <w:abstractNumId w:val="11"/>
  </w:num>
  <w:num w:numId="30">
    <w:abstractNumId w:val="2"/>
  </w:num>
  <w:num w:numId="31">
    <w:abstractNumId w:val="32"/>
  </w:num>
  <w:num w:numId="32">
    <w:abstractNumId w:val="12"/>
  </w:num>
  <w:num w:numId="33">
    <w:abstractNumId w:val="19"/>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E17C7"/>
    <w:rsid w:val="0028423E"/>
    <w:rsid w:val="00316662"/>
    <w:rsid w:val="00771B7D"/>
    <w:rsid w:val="00843F0B"/>
    <w:rsid w:val="00BE17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316662"/>
    <w:pPr>
      <w:spacing w:after="0" w:line="240" w:lineRule="auto"/>
    </w:pPr>
    <w:rPr>
      <w:rFonts w:ascii="Constantia" w:eastAsia="Constantia" w:hAnsi="Constantia" w:cs="Times New Roman"/>
      <w:lang w:val="sr-Cyrl-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166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6662"/>
    <w:pPr>
      <w:tabs>
        <w:tab w:val="center" w:pos="4513"/>
        <w:tab w:val="right" w:pos="9026"/>
      </w:tabs>
      <w:spacing w:after="0" w:line="240" w:lineRule="auto"/>
    </w:pPr>
    <w:rPr>
      <w:rFonts w:eastAsiaTheme="minorHAnsi"/>
    </w:rPr>
  </w:style>
  <w:style w:type="character" w:customStyle="1" w:styleId="HeaderChar">
    <w:name w:val="Header Char"/>
    <w:basedOn w:val="DefaultParagraphFont"/>
    <w:link w:val="Header"/>
    <w:uiPriority w:val="99"/>
    <w:rsid w:val="00316662"/>
    <w:rPr>
      <w:rFonts w:eastAsiaTheme="minorHAnsi"/>
    </w:rPr>
  </w:style>
  <w:style w:type="paragraph" w:styleId="Footer">
    <w:name w:val="footer"/>
    <w:basedOn w:val="Normal"/>
    <w:link w:val="FooterChar"/>
    <w:uiPriority w:val="99"/>
    <w:unhideWhenUsed/>
    <w:rsid w:val="00316662"/>
    <w:pPr>
      <w:tabs>
        <w:tab w:val="center" w:pos="4513"/>
        <w:tab w:val="right" w:pos="9026"/>
      </w:tabs>
      <w:spacing w:after="0" w:line="240" w:lineRule="auto"/>
    </w:pPr>
    <w:rPr>
      <w:rFonts w:eastAsiaTheme="minorHAnsi"/>
    </w:rPr>
  </w:style>
  <w:style w:type="character" w:customStyle="1" w:styleId="FooterChar">
    <w:name w:val="Footer Char"/>
    <w:basedOn w:val="DefaultParagraphFont"/>
    <w:link w:val="Footer"/>
    <w:uiPriority w:val="99"/>
    <w:rsid w:val="00316662"/>
    <w:rPr>
      <w:rFonts w:eastAsiaTheme="minorHAnsi"/>
    </w:rPr>
  </w:style>
  <w:style w:type="paragraph" w:styleId="BalloonText">
    <w:name w:val="Balloon Text"/>
    <w:basedOn w:val="Normal"/>
    <w:link w:val="BalloonTextChar"/>
    <w:uiPriority w:val="99"/>
    <w:semiHidden/>
    <w:unhideWhenUsed/>
    <w:rsid w:val="00316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6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106</Pages>
  <Words>47700</Words>
  <Characters>271896</Characters>
  <Application>Microsoft Office Word</Application>
  <DocSecurity>0</DocSecurity>
  <Lines>2265</Lines>
  <Paragraphs>637</Paragraphs>
  <ScaleCrop>false</ScaleCrop>
  <Company/>
  <LinksUpToDate>false</LinksUpToDate>
  <CharactersWithSpaces>318959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jovan</cp:lastModifiedBy>
  <cp:revision>4</cp:revision>
  <dcterms:created xsi:type="dcterms:W3CDTF">2016-12-06T14:47:00Z</dcterms:created>
  <dcterms:modified xsi:type="dcterms:W3CDTF">2016-12-06T15:04:00Z</dcterms:modified>
</cp:coreProperties>
</file>