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5C" w:rsidRPr="00C5335C" w:rsidRDefault="00C5335C" w:rsidP="00C5335C">
      <w:pPr>
        <w:ind w:right="566"/>
        <w:rPr>
          <w:rFonts w:ascii="Times New Roman" w:hAnsi="Times New Roman"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D878B3" w:rsidRPr="00C00BAD" w:rsidRDefault="00D878B3" w:rsidP="00156EF5">
      <w:pPr>
        <w:ind w:right="566" w:firstLine="709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right"/>
        <w:rPr>
          <w:rFonts w:ascii="Times New Roman" w:hAnsi="Times New Roman"/>
          <w:vanish/>
          <w:sz w:val="24"/>
          <w:szCs w:val="24"/>
          <w:lang w:val="sr-Cyrl-CS"/>
        </w:rPr>
      </w:pPr>
      <w:r w:rsidRPr="00C00BAD">
        <w:rPr>
          <w:rFonts w:ascii="Times New Roman" w:hAnsi="Times New Roman"/>
          <w:vanish/>
          <w:sz w:val="24"/>
          <w:szCs w:val="24"/>
          <w:lang w:val="sr-Cyrl-CS"/>
        </w:rPr>
        <w:t>ПРЕДЛОГ</w:t>
      </w:r>
    </w:p>
    <w:p w:rsidR="00D878B3" w:rsidRPr="00C00BAD" w:rsidRDefault="00D878B3" w:rsidP="00156EF5">
      <w:pPr>
        <w:ind w:right="566" w:firstLine="709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На основу члана 60. став 2. Закона о ефикасном коришћењу енергије („Службени гласник РС”, број 25/13) и члана 42. став 1. Закона о Влади („Службени гласник РС”, бр. 55/05, 71/05 -исправка, 101/07, 65/08, 16/11, 68/12 - УС, 72/12, 7/14 - УС и 44/14), </w:t>
      </w:r>
    </w:p>
    <w:p w:rsidR="00390D5A" w:rsidRPr="00C00BAD" w:rsidRDefault="00390D5A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УРЕДБУ </w:t>
      </w: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О УТВРЂИВАЊУ ПРОГРАМА ФИНАНСИРАЊА АКТИВНОСТИ И МЕРА УНАПРЕЂЕЊА ЕФИКАСНОГ КОРИШЋЕЊА ЕНЕРГИЈЕ У 2016. ГОДИНИ</w:t>
      </w: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C00BAD">
        <w:rPr>
          <w:rFonts w:ascii="Times New Roman" w:hAnsi="Times New Roman"/>
          <w:bCs/>
          <w:sz w:val="24"/>
          <w:szCs w:val="24"/>
          <w:lang w:val="sr-Cyrl-CS"/>
        </w:rPr>
        <w:t>Члан 1.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Овом уредбом утврђује се Програм финансирања активности и мера унапређења ефикасног коришћења енергије у 2016. години, који је одштампан уз ову уредбу и чини њен саставни део.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C00BAD">
        <w:rPr>
          <w:rFonts w:ascii="Times New Roman" w:hAnsi="Times New Roman"/>
          <w:bCs/>
          <w:sz w:val="24"/>
          <w:szCs w:val="24"/>
          <w:lang w:val="sr-Cyrl-CS"/>
        </w:rPr>
        <w:t>Члан 2.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Активности и мере унапређења ефикасног коришћења енергије који ће се финансирати у 2016. години, као и износ средстава за обављање тих активности и мера утврђени су програмом из члана 1. ове уредбе.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C00BAD">
        <w:rPr>
          <w:rFonts w:ascii="Times New Roman" w:hAnsi="Times New Roman"/>
          <w:bCs/>
          <w:sz w:val="24"/>
          <w:szCs w:val="24"/>
          <w:lang w:val="sr-Cyrl-CS"/>
        </w:rPr>
        <w:t>Члан 3.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390D5A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05 Б</w:t>
      </w:r>
      <w:r w:rsidR="00D878B3" w:rsidRPr="00C00BAD">
        <w:rPr>
          <w:rFonts w:ascii="Times New Roman" w:hAnsi="Times New Roman"/>
          <w:sz w:val="24"/>
          <w:szCs w:val="24"/>
          <w:lang w:val="sr-Cyrl-CS"/>
        </w:rPr>
        <w:t>рој</w:t>
      </w:r>
      <w:r w:rsidRPr="00C00BAD">
        <w:rPr>
          <w:rFonts w:ascii="Times New Roman" w:hAnsi="Times New Roman"/>
          <w:sz w:val="24"/>
          <w:szCs w:val="24"/>
          <w:lang w:val="sr-Cyrl-CS"/>
        </w:rPr>
        <w:t>:</w:t>
      </w:r>
      <w:r w:rsidR="00D878B3" w:rsidRPr="00C00BAD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390D5A" w:rsidRPr="00C00BAD">
        <w:rPr>
          <w:rFonts w:ascii="Times New Roman" w:hAnsi="Times New Roman"/>
          <w:sz w:val="24"/>
          <w:szCs w:val="24"/>
          <w:lang w:val="sr-Cyrl-CS"/>
        </w:rPr>
        <w:t xml:space="preserve">18. фебруара </w:t>
      </w:r>
      <w:r w:rsidRPr="00C00BAD">
        <w:rPr>
          <w:rFonts w:ascii="Times New Roman" w:hAnsi="Times New Roman"/>
          <w:sz w:val="24"/>
          <w:szCs w:val="24"/>
          <w:lang w:val="sr-Cyrl-CS"/>
        </w:rPr>
        <w:t>2016. године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390D5A" w:rsidP="00156EF5">
      <w:pPr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C00BAD">
        <w:rPr>
          <w:rFonts w:ascii="Times New Roman" w:hAnsi="Times New Roman"/>
          <w:bCs/>
          <w:sz w:val="24"/>
          <w:szCs w:val="24"/>
          <w:lang w:val="sr-Cyrl-CS"/>
        </w:rPr>
        <w:t>ВЛАДА</w:t>
      </w: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390D5A" w:rsidP="00156EF5">
      <w:pPr>
        <w:ind w:right="566" w:firstLine="709"/>
        <w:jc w:val="right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ПРЕДСЕДНИК</w:t>
      </w:r>
    </w:p>
    <w:p w:rsidR="00390D5A" w:rsidRPr="00C00BAD" w:rsidRDefault="00390D5A" w:rsidP="00156EF5">
      <w:pPr>
        <w:ind w:right="566" w:firstLine="709"/>
        <w:jc w:val="right"/>
        <w:rPr>
          <w:rFonts w:ascii="Times New Roman" w:hAnsi="Times New Roman"/>
          <w:bCs/>
          <w:sz w:val="24"/>
          <w:szCs w:val="24"/>
          <w:lang w:val="sr-Cyrl-CS"/>
        </w:rPr>
      </w:pPr>
    </w:p>
    <w:p w:rsidR="00390D5A" w:rsidRPr="00C00BAD" w:rsidRDefault="00390D5A" w:rsidP="00156EF5">
      <w:pPr>
        <w:ind w:right="566" w:firstLine="709"/>
        <w:jc w:val="right"/>
        <w:rPr>
          <w:rFonts w:ascii="Times New Roman" w:hAnsi="Times New Roman"/>
          <w:bCs/>
          <w:sz w:val="24"/>
          <w:szCs w:val="24"/>
          <w:lang w:val="sr-Cyrl-CS"/>
        </w:rPr>
      </w:pPr>
    </w:p>
    <w:p w:rsidR="00D878B3" w:rsidRPr="00C00BAD" w:rsidRDefault="00D878B3" w:rsidP="00390D5A">
      <w:pPr>
        <w:tabs>
          <w:tab w:val="left" w:pos="709"/>
        </w:tabs>
        <w:ind w:right="566" w:firstLine="709"/>
        <w:jc w:val="right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bCs/>
          <w:sz w:val="24"/>
          <w:szCs w:val="24"/>
          <w:lang w:val="sr-Cyrl-CS"/>
        </w:rPr>
        <w:t>Александар Вучић</w:t>
      </w:r>
    </w:p>
    <w:p w:rsidR="00D878B3" w:rsidRPr="00C00BAD" w:rsidRDefault="00D878B3" w:rsidP="00156EF5">
      <w:pPr>
        <w:ind w:right="566" w:firstLine="709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spacing w:val="20"/>
          <w:sz w:val="24"/>
          <w:szCs w:val="24"/>
          <w:lang w:val="sr-Cyrl-CS"/>
        </w:rPr>
      </w:pPr>
      <w:r w:rsidRPr="00C00BAD">
        <w:rPr>
          <w:rFonts w:ascii="Times New Roman" w:hAnsi="Times New Roman"/>
          <w:spacing w:val="20"/>
          <w:sz w:val="24"/>
          <w:szCs w:val="24"/>
          <w:lang w:val="sr-Cyrl-CS"/>
        </w:rPr>
        <w:t>ПРОГРАМ ФИНАНСИРАЊА АКТИВНОСТИ И МЕРА УНАПРЕЂЕЊА ЕФИКАСНОГ КОРИШЋЕЊА ЕНЕРГИЈЕ У 2016. ГОДИНИ</w:t>
      </w: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spacing w:val="20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center"/>
        <w:rPr>
          <w:rFonts w:ascii="Times New Roman" w:hAnsi="Times New Roman"/>
          <w:spacing w:val="20"/>
          <w:sz w:val="24"/>
          <w:szCs w:val="24"/>
          <w:lang w:val="sr-Cyrl-CS"/>
        </w:rPr>
      </w:pPr>
    </w:p>
    <w:p w:rsidR="00D878B3" w:rsidRPr="00C00B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C00BAD">
        <w:rPr>
          <w:rFonts w:ascii="Times New Roman" w:hAnsi="Times New Roman"/>
          <w:bCs/>
          <w:sz w:val="24"/>
          <w:szCs w:val="24"/>
          <w:lang w:val="sr-Cyrl-CS"/>
        </w:rPr>
        <w:t>I. УВОД</w:t>
      </w:r>
    </w:p>
    <w:p w:rsidR="00D878B3" w:rsidRPr="00C00B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Стратегијом развоја енергетике Републике Србије до 2025. године са пројекцијама  до 2030. године („Службени гласник РС”, број 101/15), енергетска ефикасност и веће коришћење обновљивих извора енергије сврстани су међу приоритете.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Унапређење енергетске ефикасности како у секторима производње тако и у секторима потрошње енергије препознато је као један од кључних елемената енергетске политике Републике Србије, с обзиром да доприноси сигурности снабдевања енергијом, смањењу потрошње енергије у приватном и комерцијалном сектору, повећању конкурентности индустрије и повећању стандарда грађана, односно доприноси смањењу увозне зависности и смањењу негативних ефеката сектора енергетике на животну средину, а нарочито емисије гасова који стварају ефекат стаклене баште.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Законодавно-правни оквир за уређивање ефикасног коришћења енергије у Републици Србији успостављен је усвајањем Закона о ефикасном коришћењу енергије („Службени гласник РС”, број 25/13</w:t>
      </w:r>
      <w:r w:rsidR="00390D5A" w:rsidRPr="00C00BAD">
        <w:rPr>
          <w:rFonts w:ascii="Times New Roman" w:hAnsi="Times New Roman"/>
          <w:sz w:val="24"/>
          <w:szCs w:val="24"/>
          <w:lang w:val="sr-Cyrl-CS"/>
        </w:rPr>
        <w:t xml:space="preserve"> - у даљем тексту: Закон</w:t>
      </w:r>
      <w:r w:rsidRPr="00C00BAD">
        <w:rPr>
          <w:rFonts w:ascii="Times New Roman" w:hAnsi="Times New Roman"/>
          <w:sz w:val="24"/>
          <w:szCs w:val="24"/>
          <w:lang w:val="sr-Cyrl-CS"/>
        </w:rPr>
        <w:t>), Закона о планирању и изградњи („Службени гласник РС”, бр. 72/09, 81/09 - исправка, 64/10 - УС, 24/11, 121/12, 42/13 - УС, 50/13 - УС, 98/13 - УС, 132/14 и 145/14), Правилника о енергетској ефикасности зграда („Службени гласник РС”, број 61/11) и Правилника о условима, садржини и начину издавања сертификата о енергетским својствима зграда („Службени гласник РС”, број 69/12).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На основу обавеза Републике Србије које проистичу из Уговора оснивању Енергетске заједнице, Одлуке Министарског савета Енергетске заједнице број 2009/05/MC-Enc од 18. децембра 2009. године којом је Република Србија прихватила обавезу примене Директиве 2006/32/EC о енергетској ефикасности у секторима потрошње енергије, као и Закона, донет је Закључак о усвајању Другог aкционог плана за енергетску ефикасност Републике Србије за период од 2013. до 2015. године („Службени гласник РС”, број 98/13 - у даљем тексту: Акциони план). Акционим планом предвиђа се низ мера за унапређење енергетске ефикасности у секторима домаћинства, јавног и комерцијалног сектора, индустрије и транспорта. Средњи индикативни циљ Акционог плана утврђен је на нивоу од 3,5% домаће потрошње финалне енергије у 2008. години (0,2952 Мtoe).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Законом о ефикасном коришћењу енергије  предвиђено је оснивање Буџетског фонда за унапређење енергетске ефикасности Републике Србије (у даљем тексту: Буџетски фонд) који ће представљати ефикасан начин за прикупљање и пласирање средстава у сврху финансирања или суфинансирања пројеката, програма и активности које за циљ имају ефикасније коришћење енергије, и то за: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1) примену техничких мера у циљу ефикасног коришћења енергије у секторима производње, преноса, дистрибуције и потрошње енергије;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2) подстицање развоја система енергетског менаџмента за субјекте који нису обвезници тог система;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3) промовисање и спровођење енергетских прегледа објеката, производних процеса и услуга;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4) изградњу система за комбиновану производњу топлотне и електричне енергије ако су испуњени захтеви у погледу енергетске ефикасности постројења, прописани у складу са законом којим се уређује област енергетике, а инвеститор топлотну и електричну енергију користи искључиво за сопствене потребе;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5) подстицање развоја енергетских услуга на тржишту Републике Србије;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lastRenderedPageBreak/>
        <w:t>6) подстицање употребе обновљивих извора енергије за производњу електричне и топлотне енергије за сопствене потребе;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7) друге намене у складу са Законом.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Одлуком о отварању Буџетског фонда за унапређење енергетске ефикасности Републике Србије („Службени гласник РС”, број 92/13) отворен је Буџетски фонд за унапређење енергетске ефикасности Републике Србије (у даљем тексту: Буџетски фонд), као евиденциони рачун у оквиру главне књиге трезора, и то у оквиру раздела министарства надлежног за послове енергетике.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Пројектним документом за пројекат „Уклањање препрека за промовисање и подршку систему енергетског менаџмента у општинама у Републици Србији” потписаним 22. октобра 2015. године од стране Владе Републике Србије и Програма Уједињених нација за развој  (у даљем тексту: Споразум са UNDP) предвиђено је, између осталог, финансирање пројеката унапређења енергетске ефикасности зграда у јавном сектору у најмање </w:t>
      </w:r>
      <w:r w:rsidR="00AB1E9F" w:rsidRPr="00C00BAD">
        <w:rPr>
          <w:rFonts w:ascii="Times New Roman" w:hAnsi="Times New Roman"/>
          <w:sz w:val="24"/>
          <w:szCs w:val="24"/>
          <w:lang w:val="sr-Cyrl-CS"/>
        </w:rPr>
        <w:t>десет</w:t>
      </w:r>
      <w:r w:rsidRPr="00C00BAD">
        <w:rPr>
          <w:rFonts w:ascii="Times New Roman" w:hAnsi="Times New Roman"/>
          <w:sz w:val="24"/>
          <w:szCs w:val="24"/>
          <w:lang w:val="sr-Cyrl-CS"/>
        </w:rPr>
        <w:t xml:space="preserve"> јединица локалне самоуправе у Републици Србији.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Коришћење средстава из Буџетског фонда вршиће се у складу са годишњим програмом финансирања активности и мера унапређења ефикасног коришћења енергије.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Овим програмом одређују се циљеви програма, мере унапређења енергетске ефикасности које ће бити финансиране, начин финансирања и носиоци програма.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C00BAD">
        <w:rPr>
          <w:rFonts w:ascii="Times New Roman" w:hAnsi="Times New Roman"/>
          <w:bCs/>
          <w:sz w:val="24"/>
          <w:szCs w:val="24"/>
          <w:lang w:val="sr-Cyrl-CS"/>
        </w:rPr>
        <w:t xml:space="preserve">II. ЦИЉЕВИ ПРОГРАМА ФИНАНСИРАЊА АКТИВНОСТИ И МЕРА УНАПРЕЂЕЊА ЕФИКАСНОГ КОРИШЋЕЊА ЕНЕРГИЈЕ У 2016. ГОДИНИ </w:t>
      </w:r>
    </w:p>
    <w:p w:rsidR="00D878B3" w:rsidRPr="00C00B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Основни циљ Програма финансирања активности и мера унапређења ефикасног коришћења енергије у 2016. години (у даљем тексту: Програм) је финансијска подршка мерама и механизмима унапређења енергетске ефикасности предвиђених Законом, Акционим планом, другим стратешким документима из области енергетике, Споразумом са UNDP, као и другим прописима којима се уређује област енергетске ефикасности.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Програмом треба да буду постигнути следећи посебни циљеви: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1) остваривање уштеде енергије и њено рационално коришћење применом проверених савремених технологија и производа чије је коришћење економски оправдано;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2) коришћење обновљивих извора енергије за сопствене потребе;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3) упосленост привредних субјеката;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4) заштита животне средине кроз смањене емисије гасова који стварају ефекат стаклене баште (ГХГ гасови);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5) повећање јавне свести о значају енергетске ефикасности.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C00BAD">
        <w:rPr>
          <w:rFonts w:ascii="Times New Roman" w:hAnsi="Times New Roman"/>
          <w:bCs/>
          <w:sz w:val="24"/>
          <w:szCs w:val="24"/>
          <w:lang w:val="sr-Cyrl-CS"/>
        </w:rPr>
        <w:t>III. НОСИОЦИ ПРОГРАМА</w:t>
      </w:r>
    </w:p>
    <w:p w:rsidR="00D878B3" w:rsidRPr="00C00B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Носиоци Програма су:</w:t>
      </w:r>
    </w:p>
    <w:p w:rsidR="00D878B3" w:rsidRPr="00C00BAD" w:rsidRDefault="00D878B3" w:rsidP="00156EF5">
      <w:pPr>
        <w:pStyle w:val="ListParagraph"/>
        <w:numPr>
          <w:ilvl w:val="0"/>
          <w:numId w:val="1"/>
        </w:numPr>
        <w:ind w:left="0"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Република Србија;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2) јединице локалне самоуправе, привредна друштва, односно друга правна лица чији је оснивач јединица локалне самоуправе, аутономна покрајина, односно Република Србија.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C00BAD">
        <w:rPr>
          <w:rFonts w:ascii="Times New Roman" w:hAnsi="Times New Roman"/>
          <w:bCs/>
          <w:sz w:val="24"/>
          <w:szCs w:val="24"/>
          <w:lang w:val="sr-Cyrl-CS"/>
        </w:rPr>
        <w:t xml:space="preserve">IV. МЕРЕ УНАПРЕЂЕЊА ЕНЕРГЕТСКЕ ЕФИКАСНОСТИ </w:t>
      </w:r>
    </w:p>
    <w:p w:rsidR="00D878B3" w:rsidRPr="00C00B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Мере унапређења енергетске ефикасности које се нарочито финансирају или суфинансирају у складу са овим програмом су следеће: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1) унапређење енергетске ефикасности у зградама (нпр. енергетска санација постојећег и постављање новог омотача, замена спољних прозора и врата, замена или уградња нове </w:t>
      </w:r>
      <w:r w:rsidRPr="00C00BAD">
        <w:rPr>
          <w:rFonts w:ascii="Times New Roman" w:hAnsi="Times New Roman"/>
          <w:sz w:val="24"/>
          <w:szCs w:val="24"/>
          <w:lang w:val="sr-Cyrl-CS"/>
        </w:rPr>
        <w:lastRenderedPageBreak/>
        <w:t xml:space="preserve">енергетски ефикасније опреме у системе за грејање и/или хлађење, замена/модернизација система унутрашњег осветљења, увођење система за аутоматско управљање енергијом, и др.);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2) повезивање нових потрошача на постојећи систем даљинског грејања;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3) повезивање потрошача, који користе електричну енергију за грејање или неефикасне котлове/пећи на угаљ за грејање, на постојећу гасну дистрибутивну мрежу;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4) инсталација топлотних пумпи мањег капацитета са високим коефицијентом учинка (COP);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5) инсталација котлова на биомасу;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6) инсталација соларних колектора за грејање потрошне топле воде;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7) промовисање коришћења енергетски ефикасних уређаја у домаћинствима;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8) модернизација система јавног осветљења у градовима и општинама;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9) унапређење енергетске ефикасности у сектору индустрије;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10) подизање свести о значају енергетске ефикасности (нпр. реализација информативних кампања, едукација на свим нивоима, организовање радионица и конференција, израда алата за комуникацију);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11) израда студија, софтверских решења, анализа, односно пројектне документације.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Мере из става 1. ове главе ће се финансирати или суфинансирати средствима Буџетског фонда, и донацијама уколико буду обезбеђене.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C00BAD">
        <w:rPr>
          <w:rFonts w:ascii="Times New Roman" w:hAnsi="Times New Roman"/>
          <w:bCs/>
          <w:sz w:val="24"/>
          <w:szCs w:val="24"/>
          <w:lang w:val="sr-Cyrl-CS"/>
        </w:rPr>
        <w:t>V. ФИНАНСИРАЊЕ МЕРА УНАПРЕЂЕЊА ЕНЕРГЕТСКЕ ЕФИКАСНОСТИ СРЕДСТВИМА БУЏЕТСКОГ ФОНДА</w:t>
      </w:r>
    </w:p>
    <w:p w:rsidR="00D878B3" w:rsidRPr="00C00B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У јавном сектору средства ће се користити нарочито за примену следећих мера енергетске ефикасности: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1) побољшање, односно замену спољних прозора и врата;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2) постављање или побољшање постојеће термичке изолације зидова, крова, таваница изнад отворених пролаза, зидова и подова на тлу, као и осталих зидова према негрејаном простору (термички омотач зграде);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3) замену или уградњу ефикасних система за климатизацију;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4) унапређење, односно модернизацију система унутрашњег осветљења у објектима;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5) замену система или дела система грејања ефикаснијим системом (нпр. замена котла ефикаснијим, уградња пумпи са променљивим бројем обртаја, уградња уређаја за аутоматску регулацију рада система грејања, итд.);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6) опремање грејне инсталације са термостатским вентилима и по потреби уређајима за мерење предате количине топлоте објекту, односно делу објекта;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7) инсталацију котлова на биомасу;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8) инсталацију соларних колектора за грејање потрошне топле воде; 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9) инсталацију топлотних пумпи мањег капацитета са високим коефицијентом учинка (COP)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10) модернизацију система јавног осветљења у градовима и општинама;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11) уградњу уређаја и примену специфичних IT алата за даљинску контролу и аутоматску регулацију рада енергетских система у објектима;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12) друге мере за унапређење енергетске ефикасности.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Мере из става 1. ове главе ће се финансирати или суфинансирати средствима Буџетског фонда</w:t>
      </w: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78B3" w:rsidRPr="00C00B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C00BAD">
        <w:rPr>
          <w:rFonts w:ascii="Times New Roman" w:hAnsi="Times New Roman"/>
          <w:bCs/>
          <w:sz w:val="24"/>
          <w:szCs w:val="24"/>
          <w:lang w:val="sr-Cyrl-CS"/>
        </w:rPr>
        <w:t>VI. НАЧИН ФИНАНСИРАЊА</w:t>
      </w:r>
    </w:p>
    <w:p w:rsidR="00D878B3" w:rsidRPr="00C00B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D878B3" w:rsidRPr="00C00BAD" w:rsidRDefault="00D878B3" w:rsidP="00156EF5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 xml:space="preserve">За реализацију овог програма и преузетих обавеза на основу </w:t>
      </w:r>
      <w:r w:rsidR="00BF39EC" w:rsidRPr="00C00BAD">
        <w:rPr>
          <w:rFonts w:ascii="Times New Roman" w:hAnsi="Times New Roman"/>
          <w:sz w:val="24"/>
          <w:szCs w:val="24"/>
          <w:lang w:val="sr-Cyrl-CS"/>
        </w:rPr>
        <w:t>Уредбе о утврђивању П</w:t>
      </w:r>
      <w:r w:rsidRPr="00C00BAD">
        <w:rPr>
          <w:rFonts w:ascii="Times New Roman" w:hAnsi="Times New Roman"/>
          <w:sz w:val="24"/>
          <w:szCs w:val="24"/>
          <w:lang w:val="sr-Cyrl-CS"/>
        </w:rPr>
        <w:t>рограма финансирања активности и мера унапређења ефикасног коришћења енергије у 2015. години (</w:t>
      </w:r>
      <w:r w:rsidR="008A62B0" w:rsidRPr="00C00BAD">
        <w:rPr>
          <w:rFonts w:ascii="Times New Roman" w:hAnsi="Times New Roman"/>
          <w:sz w:val="24"/>
          <w:szCs w:val="24"/>
          <w:lang w:val="sr-Cyrl-CS"/>
        </w:rPr>
        <w:t>„</w:t>
      </w:r>
      <w:r w:rsidRPr="00C00BAD">
        <w:rPr>
          <w:rFonts w:ascii="Times New Roman" w:hAnsi="Times New Roman"/>
          <w:sz w:val="24"/>
          <w:szCs w:val="24"/>
          <w:lang w:val="sr-Cyrl-CS"/>
        </w:rPr>
        <w:t xml:space="preserve">Службени гласник РС”, број 75/15) користе се средства Буџетског фонда која су </w:t>
      </w:r>
      <w:r w:rsidRPr="00C00BAD">
        <w:rPr>
          <w:rFonts w:ascii="Times New Roman" w:hAnsi="Times New Roman"/>
          <w:sz w:val="24"/>
          <w:szCs w:val="24"/>
          <w:lang w:val="sr-Cyrl-CS"/>
        </w:rPr>
        <w:lastRenderedPageBreak/>
        <w:t>обезбеђена на основу Закона о буџету Републике Србије за 2016. годину („Службени гласник РС</w:t>
      </w:r>
      <w:r w:rsidR="008A62B0" w:rsidRPr="00C00BAD">
        <w:rPr>
          <w:rFonts w:ascii="Times New Roman" w:hAnsi="Times New Roman"/>
          <w:sz w:val="24"/>
          <w:szCs w:val="24"/>
          <w:lang w:val="sr-Cyrl-CS"/>
        </w:rPr>
        <w:t>”</w:t>
      </w:r>
      <w:r w:rsidRPr="00C00BAD">
        <w:rPr>
          <w:rFonts w:ascii="Times New Roman" w:hAnsi="Times New Roman"/>
          <w:sz w:val="24"/>
          <w:szCs w:val="24"/>
          <w:lang w:val="sr-Cyrl-CS"/>
        </w:rPr>
        <w:t>, број 103/15) од буџетских средстава  у износу од 160.000.000 динара и средства донација у укупном износу до 500.000 USD, која ће се у складу са Споразумом са UNDP, користити у року од наредних пет година. Средства за финансирање пројеката унапређења енергетске ефикасности могу се определити као бесповратна средства.</w:t>
      </w:r>
    </w:p>
    <w:p w:rsidR="00D878B3" w:rsidRPr="00C00BAD" w:rsidRDefault="00D878B3" w:rsidP="00AB4AC1">
      <w:pPr>
        <w:ind w:right="566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0BAD">
        <w:rPr>
          <w:rFonts w:ascii="Times New Roman" w:hAnsi="Times New Roman"/>
          <w:sz w:val="24"/>
          <w:szCs w:val="24"/>
          <w:lang w:val="sr-Cyrl-CS"/>
        </w:rPr>
        <w:t>Корисници средстава су јединице локалне самоуправе. Финансирање пројеката врши се у складу са прописом којим се уређују ближи услови за расподелу и коришћење средстава Буџетског фонда, начин расподеле тих средстава, као и начин праћења наменског коришћења средстава и уговорених права и обавеза и Споразумом са UNDP.</w:t>
      </w:r>
    </w:p>
    <w:p w:rsidR="00D878B3" w:rsidRPr="00C00BAD" w:rsidRDefault="00D878B3" w:rsidP="00156EF5">
      <w:pPr>
        <w:ind w:right="566" w:firstLine="709"/>
        <w:rPr>
          <w:rFonts w:ascii="Times New Roman" w:hAnsi="Times New Roman"/>
          <w:sz w:val="24"/>
          <w:szCs w:val="24"/>
          <w:lang w:val="sr-Cyrl-CS"/>
        </w:rPr>
      </w:pPr>
    </w:p>
    <w:sectPr w:rsidR="00D878B3" w:rsidRPr="00C00BAD" w:rsidSect="00156EF5">
      <w:pgSz w:w="11907" w:h="16840" w:code="9"/>
      <w:pgMar w:top="1134" w:right="567" w:bottom="1134" w:left="709" w:header="454" w:footer="454" w:gutter="0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BBD" w:rsidRDefault="00D67BBD" w:rsidP="00CF679A">
      <w:r>
        <w:separator/>
      </w:r>
    </w:p>
  </w:endnote>
  <w:endnote w:type="continuationSeparator" w:id="0">
    <w:p w:rsidR="00D67BBD" w:rsidRDefault="00D67BBD" w:rsidP="00CF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BBD" w:rsidRDefault="00D67BBD" w:rsidP="00CF679A">
      <w:r>
        <w:separator/>
      </w:r>
    </w:p>
  </w:footnote>
  <w:footnote w:type="continuationSeparator" w:id="0">
    <w:p w:rsidR="00D67BBD" w:rsidRDefault="00D67BBD" w:rsidP="00CF6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078B8"/>
    <w:multiLevelType w:val="hybridMultilevel"/>
    <w:tmpl w:val="8AB6FBB8"/>
    <w:lvl w:ilvl="0" w:tplc="331C4968">
      <w:start w:val="1"/>
      <w:numFmt w:val="decimal"/>
      <w:suff w:val="space"/>
      <w:lvlText w:val="%1)"/>
      <w:lvlJc w:val="left"/>
      <w:pPr>
        <w:ind w:left="11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66F"/>
    <w:rsid w:val="00000EBB"/>
    <w:rsid w:val="00043CCE"/>
    <w:rsid w:val="000667AF"/>
    <w:rsid w:val="00086A88"/>
    <w:rsid w:val="000B1C93"/>
    <w:rsid w:val="000B74C7"/>
    <w:rsid w:val="000C05B6"/>
    <w:rsid w:val="00100CE5"/>
    <w:rsid w:val="00104D3E"/>
    <w:rsid w:val="00116F51"/>
    <w:rsid w:val="001536FC"/>
    <w:rsid w:val="001560C3"/>
    <w:rsid w:val="00156EF5"/>
    <w:rsid w:val="001625B4"/>
    <w:rsid w:val="001A37C5"/>
    <w:rsid w:val="001F684E"/>
    <w:rsid w:val="002776F2"/>
    <w:rsid w:val="002D5089"/>
    <w:rsid w:val="002D595C"/>
    <w:rsid w:val="00320CEB"/>
    <w:rsid w:val="00331D1E"/>
    <w:rsid w:val="00350747"/>
    <w:rsid w:val="0035425B"/>
    <w:rsid w:val="0037403F"/>
    <w:rsid w:val="00390D5A"/>
    <w:rsid w:val="003C2AFE"/>
    <w:rsid w:val="00417C14"/>
    <w:rsid w:val="00423A3E"/>
    <w:rsid w:val="0050547D"/>
    <w:rsid w:val="00513421"/>
    <w:rsid w:val="005373C8"/>
    <w:rsid w:val="00566A5D"/>
    <w:rsid w:val="005B5897"/>
    <w:rsid w:val="005C6CD2"/>
    <w:rsid w:val="00620A6E"/>
    <w:rsid w:val="00660011"/>
    <w:rsid w:val="00663F4A"/>
    <w:rsid w:val="006821BE"/>
    <w:rsid w:val="00710B4A"/>
    <w:rsid w:val="007C7218"/>
    <w:rsid w:val="007E055F"/>
    <w:rsid w:val="007E192A"/>
    <w:rsid w:val="00835791"/>
    <w:rsid w:val="0085297A"/>
    <w:rsid w:val="008A366F"/>
    <w:rsid w:val="008A62B0"/>
    <w:rsid w:val="008D0D5B"/>
    <w:rsid w:val="008E1855"/>
    <w:rsid w:val="0090105C"/>
    <w:rsid w:val="009217C9"/>
    <w:rsid w:val="0092785E"/>
    <w:rsid w:val="00972A85"/>
    <w:rsid w:val="00972E7F"/>
    <w:rsid w:val="009E0232"/>
    <w:rsid w:val="00A000F2"/>
    <w:rsid w:val="00A071D3"/>
    <w:rsid w:val="00A104EA"/>
    <w:rsid w:val="00A330E3"/>
    <w:rsid w:val="00A43937"/>
    <w:rsid w:val="00A43E7F"/>
    <w:rsid w:val="00A513AC"/>
    <w:rsid w:val="00A53F23"/>
    <w:rsid w:val="00A65364"/>
    <w:rsid w:val="00A829C3"/>
    <w:rsid w:val="00AA25D3"/>
    <w:rsid w:val="00AB1E9F"/>
    <w:rsid w:val="00AB4AC1"/>
    <w:rsid w:val="00AB7174"/>
    <w:rsid w:val="00B141F5"/>
    <w:rsid w:val="00B16037"/>
    <w:rsid w:val="00B20AF4"/>
    <w:rsid w:val="00B2293A"/>
    <w:rsid w:val="00B40593"/>
    <w:rsid w:val="00B84934"/>
    <w:rsid w:val="00BA6431"/>
    <w:rsid w:val="00BF329A"/>
    <w:rsid w:val="00BF39EC"/>
    <w:rsid w:val="00C00BAD"/>
    <w:rsid w:val="00C05269"/>
    <w:rsid w:val="00C5335C"/>
    <w:rsid w:val="00C67519"/>
    <w:rsid w:val="00C7459A"/>
    <w:rsid w:val="00C77565"/>
    <w:rsid w:val="00C97FE5"/>
    <w:rsid w:val="00CA77E9"/>
    <w:rsid w:val="00CC1527"/>
    <w:rsid w:val="00CD77C0"/>
    <w:rsid w:val="00CF1D21"/>
    <w:rsid w:val="00CF679A"/>
    <w:rsid w:val="00D67BBD"/>
    <w:rsid w:val="00D76CDB"/>
    <w:rsid w:val="00D878B3"/>
    <w:rsid w:val="00DE6DF0"/>
    <w:rsid w:val="00E140D7"/>
    <w:rsid w:val="00E334EA"/>
    <w:rsid w:val="00EA7393"/>
    <w:rsid w:val="00EE118E"/>
    <w:rsid w:val="00F43186"/>
    <w:rsid w:val="00F71E69"/>
    <w:rsid w:val="00FB7883"/>
    <w:rsid w:val="00FF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46B9174-7224-4B6B-A6F2-C7EC2373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8A366F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eastAsia="ja-JP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8A366F"/>
    <w:rPr>
      <w:rFonts w:ascii="Arial" w:hAnsi="Arial"/>
      <w:vanish/>
      <w:sz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8A366F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eastAsia="ja-JP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8A366F"/>
    <w:rPr>
      <w:rFonts w:ascii="Arial" w:hAnsi="Arial"/>
      <w:vanish/>
      <w:sz w:val="16"/>
    </w:rPr>
  </w:style>
  <w:style w:type="paragraph" w:customStyle="1" w:styleId="stil1tekst">
    <w:name w:val="stil_1tekst"/>
    <w:basedOn w:val="Normal"/>
    <w:uiPriority w:val="99"/>
    <w:rsid w:val="008A366F"/>
    <w:pPr>
      <w:ind w:left="525" w:right="525"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il2zakon">
    <w:name w:val="stil_2zakon"/>
    <w:basedOn w:val="Normal"/>
    <w:uiPriority w:val="99"/>
    <w:rsid w:val="008A366F"/>
    <w:pPr>
      <w:spacing w:before="100" w:beforeAutospacing="1" w:after="100" w:afterAutospacing="1"/>
      <w:jc w:val="center"/>
    </w:pPr>
    <w:rPr>
      <w:rFonts w:ascii="Times New Roman" w:eastAsia="Times New Roman" w:hAnsi="Times New Roman"/>
      <w:color w:val="0033CC"/>
      <w:sz w:val="53"/>
      <w:szCs w:val="53"/>
    </w:rPr>
  </w:style>
  <w:style w:type="paragraph" w:customStyle="1" w:styleId="stil6naslov">
    <w:name w:val="stil_6naslov"/>
    <w:basedOn w:val="Normal"/>
    <w:uiPriority w:val="99"/>
    <w:rsid w:val="008A366F"/>
    <w:pPr>
      <w:spacing w:before="240" w:after="240"/>
      <w:jc w:val="center"/>
    </w:pPr>
    <w:rPr>
      <w:rFonts w:ascii="Times New Roman" w:eastAsia="Times New Roman" w:hAnsi="Times New Roman"/>
      <w:spacing w:val="20"/>
      <w:sz w:val="36"/>
      <w:szCs w:val="36"/>
    </w:rPr>
  </w:style>
  <w:style w:type="paragraph" w:customStyle="1" w:styleId="stil7podnas">
    <w:name w:val="stil_7podnas"/>
    <w:basedOn w:val="Normal"/>
    <w:uiPriority w:val="99"/>
    <w:rsid w:val="008A366F"/>
    <w:pPr>
      <w:shd w:val="clear" w:color="auto" w:fill="FFFFFF"/>
      <w:spacing w:before="240" w:after="240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stil3mesto">
    <w:name w:val="stil_3mesto"/>
    <w:basedOn w:val="Normal"/>
    <w:uiPriority w:val="99"/>
    <w:rsid w:val="008A366F"/>
    <w:pPr>
      <w:ind w:left="1650" w:right="1650"/>
      <w:jc w:val="center"/>
    </w:pPr>
    <w:rPr>
      <w:rFonts w:ascii="Times New Roman" w:eastAsia="Times New Roman" w:hAnsi="Times New Roman"/>
      <w:i/>
      <w:iCs/>
      <w:sz w:val="29"/>
      <w:szCs w:val="29"/>
    </w:rPr>
  </w:style>
  <w:style w:type="paragraph" w:customStyle="1" w:styleId="stil4clan">
    <w:name w:val="stil_4clan"/>
    <w:basedOn w:val="Normal"/>
    <w:uiPriority w:val="99"/>
    <w:rsid w:val="008A366F"/>
    <w:pPr>
      <w:spacing w:before="240" w:after="240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5C6CD2"/>
    <w:rPr>
      <w:rFonts w:ascii="Segoe UI" w:hAnsi="Segoe UI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6CD2"/>
    <w:rPr>
      <w:rFonts w:ascii="Segoe UI" w:hAnsi="Segoe UI"/>
      <w:sz w:val="18"/>
    </w:rPr>
  </w:style>
  <w:style w:type="paragraph" w:styleId="ListParagraph">
    <w:name w:val="List Paragraph"/>
    <w:basedOn w:val="Normal"/>
    <w:uiPriority w:val="99"/>
    <w:qFormat/>
    <w:rsid w:val="005C6CD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217C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9217C9"/>
    <w:rPr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217C9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217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217C9"/>
    <w:rPr>
      <w:b/>
      <w:sz w:val="20"/>
    </w:rPr>
  </w:style>
  <w:style w:type="paragraph" w:styleId="Header">
    <w:name w:val="header"/>
    <w:basedOn w:val="Normal"/>
    <w:link w:val="HeaderChar"/>
    <w:uiPriority w:val="99"/>
    <w:rsid w:val="00CF679A"/>
    <w:pPr>
      <w:tabs>
        <w:tab w:val="center" w:pos="4680"/>
        <w:tab w:val="right" w:pos="9360"/>
      </w:tabs>
    </w:pPr>
    <w:rPr>
      <w:sz w:val="20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F679A"/>
  </w:style>
  <w:style w:type="paragraph" w:styleId="Footer">
    <w:name w:val="footer"/>
    <w:basedOn w:val="Normal"/>
    <w:link w:val="FooterChar"/>
    <w:uiPriority w:val="99"/>
    <w:rsid w:val="00CF679A"/>
    <w:pPr>
      <w:tabs>
        <w:tab w:val="center" w:pos="4680"/>
        <w:tab w:val="right" w:pos="9360"/>
      </w:tabs>
    </w:pPr>
    <w:rPr>
      <w:sz w:val="20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F679A"/>
  </w:style>
  <w:style w:type="paragraph" w:styleId="Revision">
    <w:name w:val="Revision"/>
    <w:hidden/>
    <w:uiPriority w:val="99"/>
    <w:semiHidden/>
    <w:rsid w:val="00B84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33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4081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92533408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92533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/>
  <LinksUpToDate>false</LinksUpToDate>
  <CharactersWithSpaces>10796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Biljana Mlinar</dc:creator>
  <cp:lastModifiedBy>Bojan Grgic</cp:lastModifiedBy>
  <cp:revision>2</cp:revision>
  <cp:lastPrinted>2016-02-18T14:34:00Z</cp:lastPrinted>
  <dcterms:created xsi:type="dcterms:W3CDTF">2016-02-19T11:45:00Z</dcterms:created>
  <dcterms:modified xsi:type="dcterms:W3CDTF">2016-02-19T11:45:00Z</dcterms:modified>
</cp:coreProperties>
</file>