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92A" w:rsidRPr="005C213D" w:rsidRDefault="0034692A" w:rsidP="00BE06E9">
      <w:pPr>
        <w:jc w:val="right"/>
        <w:rPr>
          <w:rStyle w:val="longtext"/>
          <w:b/>
          <w:color w:val="000000"/>
          <w:u w:val="single"/>
          <w:lang w:val="sr-Cyrl-CS"/>
        </w:rPr>
      </w:pPr>
    </w:p>
    <w:p w:rsidR="0034692A" w:rsidRPr="005C213D" w:rsidRDefault="0034692A" w:rsidP="00BE06E9">
      <w:pPr>
        <w:jc w:val="center"/>
        <w:rPr>
          <w:rStyle w:val="longtext"/>
          <w:color w:val="000000"/>
          <w:lang w:val="sr-Cyrl-CS"/>
        </w:rPr>
      </w:pPr>
    </w:p>
    <w:p w:rsidR="0034692A" w:rsidRDefault="0034692A" w:rsidP="00EE502A">
      <w:pPr>
        <w:pStyle w:val="Title"/>
        <w:rPr>
          <w:rStyle w:val="longtext"/>
          <w:sz w:val="24"/>
          <w:szCs w:val="24"/>
          <w:lang w:val="sr-Cyrl-CS"/>
        </w:rPr>
      </w:pPr>
      <w:r>
        <w:rPr>
          <w:rStyle w:val="longtext"/>
          <w:sz w:val="24"/>
          <w:szCs w:val="24"/>
          <w:lang w:val="sr-Cyrl-CS"/>
        </w:rPr>
        <w:t xml:space="preserve">ПРЕДЛОГ </w:t>
      </w:r>
      <w:r w:rsidRPr="005C213D">
        <w:rPr>
          <w:rStyle w:val="longtext"/>
          <w:sz w:val="24"/>
          <w:szCs w:val="24"/>
          <w:lang w:val="sr-Cyrl-CS"/>
        </w:rPr>
        <w:t>ЗАКОН</w:t>
      </w:r>
      <w:r>
        <w:rPr>
          <w:rStyle w:val="longtext"/>
          <w:sz w:val="24"/>
          <w:szCs w:val="24"/>
          <w:lang w:val="sr-Cyrl-CS"/>
        </w:rPr>
        <w:t>А</w:t>
      </w:r>
      <w:r w:rsidRPr="005C213D">
        <w:rPr>
          <w:rStyle w:val="longtext"/>
          <w:sz w:val="24"/>
          <w:szCs w:val="24"/>
          <w:lang w:val="sr-Cyrl-CS"/>
        </w:rPr>
        <w:t xml:space="preserve"> </w:t>
      </w:r>
    </w:p>
    <w:p w:rsidR="0034692A" w:rsidRPr="005C213D" w:rsidRDefault="0034692A" w:rsidP="00EE502A">
      <w:pPr>
        <w:pStyle w:val="Title"/>
        <w:rPr>
          <w:rStyle w:val="longtext"/>
          <w:sz w:val="24"/>
          <w:szCs w:val="24"/>
          <w:lang w:val="sr-Cyrl-CS"/>
        </w:rPr>
      </w:pPr>
      <w:r w:rsidRPr="005C213D">
        <w:rPr>
          <w:rStyle w:val="longtext"/>
          <w:sz w:val="24"/>
          <w:szCs w:val="24"/>
          <w:lang w:val="sr-Cyrl-CS"/>
        </w:rPr>
        <w:t>О ИНФОРМАЦИОНОЈ БЕЗБЕДНОСТИ</w:t>
      </w:r>
    </w:p>
    <w:p w:rsidR="0034692A" w:rsidRPr="005C213D" w:rsidRDefault="0034692A" w:rsidP="00C1684E">
      <w:pPr>
        <w:pStyle w:val="Heading1"/>
        <w:rPr>
          <w:rStyle w:val="longtext"/>
          <w:lang w:val="sr-Cyrl-CS"/>
        </w:rPr>
      </w:pPr>
      <w:r w:rsidRPr="005C213D">
        <w:rPr>
          <w:lang w:val="sr-Cyrl-CS"/>
        </w:rPr>
        <w:br/>
      </w:r>
      <w:r w:rsidRPr="005C213D">
        <w:rPr>
          <w:rStyle w:val="longtext"/>
          <w:lang w:val="sr-Cyrl-CS"/>
        </w:rPr>
        <w:t>I. ОСНОВНЕ ОДРЕДБЕ</w:t>
      </w:r>
    </w:p>
    <w:p w:rsidR="0034692A" w:rsidRPr="005C213D" w:rsidRDefault="0034692A" w:rsidP="00EE502A">
      <w:pPr>
        <w:rPr>
          <w:lang w:val="sr-Cyrl-CS"/>
        </w:rPr>
      </w:pPr>
    </w:p>
    <w:p w:rsidR="0034692A" w:rsidRPr="005C213D" w:rsidRDefault="0034692A" w:rsidP="002D7862">
      <w:pPr>
        <w:pStyle w:val="Heading2"/>
        <w:rPr>
          <w:rStyle w:val="longtext"/>
          <w:lang w:val="sr-Cyrl-CS"/>
        </w:rPr>
      </w:pPr>
      <w:r w:rsidRPr="005C213D">
        <w:rPr>
          <w:lang w:val="sr-Cyrl-CS"/>
        </w:rPr>
        <w:t>Предмет уређивања</w:t>
      </w:r>
    </w:p>
    <w:p w:rsidR="0034692A" w:rsidRPr="005C213D" w:rsidRDefault="0034692A" w:rsidP="00BE06E9">
      <w:pPr>
        <w:jc w:val="both"/>
        <w:textAlignment w:val="top"/>
        <w:rPr>
          <w:rStyle w:val="longtext"/>
          <w:color w:val="000000"/>
          <w:lang w:val="sr-Cyrl-CS"/>
        </w:rPr>
      </w:pPr>
    </w:p>
    <w:p w:rsidR="0034692A" w:rsidRPr="005C213D" w:rsidRDefault="0034692A" w:rsidP="001322E9">
      <w:pPr>
        <w:pStyle w:val="Heading3"/>
        <w:suppressAutoHyphens/>
        <w:rPr>
          <w:lang w:val="sr-Cyrl-CS"/>
        </w:rPr>
      </w:pPr>
      <w:r w:rsidRPr="005C213D">
        <w:rPr>
          <w:rStyle w:val="longtext"/>
          <w:lang w:val="sr-Cyrl-CS"/>
        </w:rPr>
        <w:t>Члан 1.</w:t>
      </w:r>
    </w:p>
    <w:p w:rsidR="0034692A" w:rsidRPr="005C213D" w:rsidRDefault="0034692A" w:rsidP="00AF3EB0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Овим законом се уређују мере заштите од безбедносних ризика у информационо-комуникационим системимa, одговорности правних лица приликом управљања и коришћења информационо-комуникационих системa и  одређују се надлежни органи за спровођење мера заштите, координацију између чинилаца заштите и праћење правилне примене прописаних мера заштите.</w:t>
      </w:r>
    </w:p>
    <w:p w:rsidR="0034692A" w:rsidRPr="005C213D" w:rsidRDefault="0034692A" w:rsidP="00BE06E9">
      <w:pPr>
        <w:ind w:firstLine="720"/>
        <w:jc w:val="both"/>
        <w:rPr>
          <w:rStyle w:val="longtext"/>
          <w:color w:val="000000"/>
          <w:lang w:val="sr-Cyrl-CS"/>
        </w:rPr>
      </w:pPr>
    </w:p>
    <w:p w:rsidR="0034692A" w:rsidRPr="005C213D" w:rsidRDefault="0034692A" w:rsidP="00C6756C">
      <w:pPr>
        <w:pStyle w:val="Heading2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Значење појединих термина</w:t>
      </w:r>
    </w:p>
    <w:p w:rsidR="0034692A" w:rsidRPr="005C213D" w:rsidRDefault="0034692A" w:rsidP="00C6756C">
      <w:pPr>
        <w:pStyle w:val="Heading2"/>
        <w:rPr>
          <w:rStyle w:val="longtext"/>
          <w:b w:val="0"/>
          <w:lang w:val="sr-Cyrl-CS"/>
        </w:rPr>
      </w:pPr>
      <w:r w:rsidRPr="005C213D">
        <w:rPr>
          <w:shd w:val="clear" w:color="auto" w:fill="FFFFFF"/>
          <w:lang w:val="sr-Cyrl-CS"/>
        </w:rPr>
        <w:br/>
      </w:r>
      <w:r w:rsidRPr="005C213D">
        <w:rPr>
          <w:rStyle w:val="longtext"/>
          <w:b w:val="0"/>
          <w:lang w:val="sr-Cyrl-CS"/>
        </w:rPr>
        <w:t>Члан 2.</w:t>
      </w:r>
    </w:p>
    <w:p w:rsidR="0034692A" w:rsidRPr="005C213D" w:rsidRDefault="0034692A" w:rsidP="00187445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 xml:space="preserve">Поједини термини у смислу овог закона имају следеће значење: 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jc w:val="both"/>
        <w:rPr>
          <w:rStyle w:val="longtext"/>
          <w:lang w:val="sr-Cyrl-CS"/>
        </w:rPr>
      </w:pPr>
      <w:r w:rsidRPr="005C213D">
        <w:rPr>
          <w:rStyle w:val="longtext"/>
          <w:i/>
          <w:lang w:val="sr-Cyrl-CS"/>
        </w:rPr>
        <w:t>информационо-комуникациони систем</w:t>
      </w:r>
      <w:r w:rsidRPr="005C213D">
        <w:rPr>
          <w:rStyle w:val="longtext"/>
          <w:lang w:val="sr-Cyrl-CS"/>
        </w:rPr>
        <w:t xml:space="preserve"> (ИКТ систем) је технолошко-организациона целина која обухвата:</w:t>
      </w:r>
    </w:p>
    <w:p w:rsidR="0034692A" w:rsidRPr="005C213D" w:rsidRDefault="0034692A" w:rsidP="00187445">
      <w:pPr>
        <w:tabs>
          <w:tab w:val="left" w:pos="709"/>
          <w:tab w:val="left" w:pos="1134"/>
        </w:tabs>
        <w:suppressAutoHyphens/>
        <w:jc w:val="both"/>
        <w:rPr>
          <w:rStyle w:val="longtext"/>
          <w:lang w:val="sr-Cyrl-CS"/>
        </w:rPr>
      </w:pPr>
      <w:r w:rsidRPr="005C213D">
        <w:rPr>
          <w:rStyle w:val="longtext"/>
          <w:i/>
          <w:lang w:val="sr-Cyrl-CS"/>
        </w:rPr>
        <w:tab/>
      </w:r>
      <w:r w:rsidRPr="005C213D">
        <w:rPr>
          <w:rStyle w:val="longtext"/>
          <w:lang w:val="sr-Cyrl-CS"/>
        </w:rPr>
        <w:t>(1)</w:t>
      </w:r>
      <w:r w:rsidRPr="005C213D">
        <w:rPr>
          <w:rStyle w:val="longtext"/>
          <w:lang w:val="sr-Cyrl-CS"/>
        </w:rPr>
        <w:tab/>
        <w:t>електронске комуникационе мреже у смислу закона који уређује електронске комуникације;</w:t>
      </w:r>
    </w:p>
    <w:p w:rsidR="0034692A" w:rsidRPr="005C213D" w:rsidRDefault="0034692A" w:rsidP="00187445">
      <w:pPr>
        <w:tabs>
          <w:tab w:val="left" w:pos="709"/>
          <w:tab w:val="left" w:pos="1134"/>
        </w:tabs>
        <w:suppressAutoHyphens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ab/>
        <w:t>(2)</w:t>
      </w:r>
      <w:r w:rsidRPr="005C213D">
        <w:rPr>
          <w:rStyle w:val="longtext"/>
          <w:lang w:val="sr-Cyrl-CS"/>
        </w:rPr>
        <w:tab/>
        <w:t xml:space="preserve">уређаје или групе међусобно повезаних уређаја, таквих да се у оквиру уређаја, односно у оквиру барем једног из групе уређаја, врши аутоматска обрада података коришћењем рачунарског програма; </w:t>
      </w:r>
    </w:p>
    <w:p w:rsidR="0034692A" w:rsidRPr="005C213D" w:rsidRDefault="0034692A" w:rsidP="00187445">
      <w:pPr>
        <w:tabs>
          <w:tab w:val="left" w:pos="709"/>
          <w:tab w:val="left" w:pos="1134"/>
        </w:tabs>
        <w:suppressAutoHyphens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ab/>
        <w:t>(3)</w:t>
      </w:r>
      <w:r w:rsidRPr="005C213D">
        <w:rPr>
          <w:rStyle w:val="longtext"/>
          <w:lang w:val="sr-Cyrl-CS"/>
        </w:rPr>
        <w:tab/>
        <w:t>податке који се похрањују, обрађују, претражују или прено</w:t>
      </w:r>
      <w:r>
        <w:rPr>
          <w:rStyle w:val="longtext"/>
          <w:lang w:val="sr-Cyrl-CS"/>
        </w:rPr>
        <w:t>се помоћу средстава из подтач.</w:t>
      </w:r>
      <w:r w:rsidRPr="005C213D">
        <w:rPr>
          <w:rStyle w:val="longtext"/>
          <w:lang w:val="sr-Cyrl-CS"/>
        </w:rPr>
        <w:t xml:space="preserve"> (1) и (2) ове тачке, а у сврху њиховог рада, употребе, заштите или одржавања;</w:t>
      </w:r>
      <w:r w:rsidRPr="005C213D">
        <w:rPr>
          <w:rStyle w:val="longtext"/>
          <w:lang w:val="sr-Cyrl-CS"/>
        </w:rPr>
        <w:tab/>
      </w:r>
    </w:p>
    <w:p w:rsidR="0034692A" w:rsidRPr="005C213D" w:rsidRDefault="0034692A" w:rsidP="00187445">
      <w:pPr>
        <w:tabs>
          <w:tab w:val="left" w:pos="709"/>
          <w:tab w:val="left" w:pos="1134"/>
        </w:tabs>
        <w:suppressAutoHyphens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ab/>
        <w:t>(4) организациону структуру путем које се управља ИКТ системом;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 xml:space="preserve">оператор ИКТ система </w:t>
      </w:r>
      <w:r w:rsidRPr="005C213D">
        <w:rPr>
          <w:rStyle w:val="longtext"/>
          <w:color w:val="000000"/>
          <w:lang w:val="sr-Cyrl-CS"/>
        </w:rPr>
        <w:t>је правно лице, орган јавне власти или организациона јединица органа јавне власти који користи ИКТ систем у оквиру обављања своје делатности, односно послова из своје надлежности;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 xml:space="preserve">информациона безбедност </w:t>
      </w:r>
      <w:r w:rsidRPr="005C213D">
        <w:rPr>
          <w:lang w:val="sr-Cyrl-CS"/>
        </w:rPr>
        <w:t xml:space="preserve">представља скуп мера које омогућавају </w:t>
      </w:r>
      <w:r w:rsidRPr="005C213D">
        <w:rPr>
          <w:rStyle w:val="longtext"/>
          <w:color w:val="000000"/>
          <w:lang w:val="sr-Cyrl-CS"/>
        </w:rPr>
        <w:t>да подаци којима се рукује путем ИКТ система буду заштићени од неовлашћеног приступа, као и да се заштити интегритет, расположивост, аутентичност и непорецивост тих података, да би тај систем функционисао како је предвиђено, када је предвиђено и под контролом овлашћених лица;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jc w:val="both"/>
        <w:rPr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 xml:space="preserve">тајност </w:t>
      </w:r>
      <w:r w:rsidRPr="005C213D">
        <w:rPr>
          <w:rStyle w:val="longtext"/>
          <w:color w:val="000000"/>
          <w:lang w:val="sr-Cyrl-CS"/>
        </w:rPr>
        <w:t>је својство које значи да податак није доступан неовлашћеним лицима</w:t>
      </w:r>
      <w:r w:rsidRPr="005C213D">
        <w:rPr>
          <w:color w:val="0000FF"/>
          <w:lang w:val="sr-Cyrl-CS"/>
        </w:rPr>
        <w:t>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 xml:space="preserve">интегритет </w:t>
      </w:r>
      <w:r w:rsidRPr="005C213D">
        <w:rPr>
          <w:rStyle w:val="longtext"/>
          <w:color w:val="000000"/>
          <w:lang w:val="sr-Cyrl-CS"/>
        </w:rPr>
        <w:t>значи очуваност изворног садржаја и комплетности податка;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 xml:space="preserve">расположивост </w:t>
      </w:r>
      <w:r w:rsidRPr="005C213D">
        <w:rPr>
          <w:rStyle w:val="longtext"/>
          <w:color w:val="000000"/>
          <w:lang w:val="sr-Cyrl-CS"/>
        </w:rPr>
        <w:t>је својство које значи да је податак доступан и употребљив на захтев овлашћених лица онда када им је потребан;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 xml:space="preserve">аутентичност </w:t>
      </w:r>
      <w:r w:rsidRPr="005C213D">
        <w:rPr>
          <w:rStyle w:val="longtext"/>
          <w:color w:val="000000"/>
          <w:lang w:val="sr-Cyrl-CS"/>
        </w:rPr>
        <w:t xml:space="preserve">је својство које значи да је могуће </w:t>
      </w:r>
      <w:r w:rsidRPr="005C213D">
        <w:rPr>
          <w:lang w:val="sr-Cyrl-CS"/>
        </w:rPr>
        <w:t xml:space="preserve">проверити и потврдити да је </w:t>
      </w:r>
      <w:r w:rsidRPr="005C213D">
        <w:rPr>
          <w:rStyle w:val="longtext"/>
          <w:color w:val="000000"/>
          <w:lang w:val="sr-Cyrl-CS"/>
        </w:rPr>
        <w:t>податак створиo или послаo онај за кога је декларисано да је ту радњу извршио;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sr-Cyrl-CS"/>
        </w:rPr>
      </w:pPr>
      <w:r w:rsidRPr="005C213D">
        <w:rPr>
          <w:i/>
          <w:lang w:val="sr-Cyrl-CS"/>
        </w:rPr>
        <w:t>непорецивост</w:t>
      </w:r>
      <w:r w:rsidRPr="005C213D">
        <w:rPr>
          <w:lang w:val="sr-Cyrl-CS"/>
        </w:rPr>
        <w:t xml:space="preserve"> представља способност доказивања да се догодила одређена радња или да је наступио одређени догађај, тако да га накнадно није могуће порећи;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lastRenderedPageBreak/>
        <w:t xml:space="preserve">ризик </w:t>
      </w:r>
      <w:r w:rsidRPr="005C213D">
        <w:rPr>
          <w:rStyle w:val="longtext"/>
          <w:color w:val="000000"/>
          <w:lang w:val="sr-Cyrl-CS"/>
        </w:rPr>
        <w:t>значи могућност нарушавања информационе безбедности, односно могућност нарушавања тајности, интегритета, расположивости, аутентичности или непорецивости података или нарушавања исправног функционисања ИКТ система;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 xml:space="preserve">управљање ризиком </w:t>
      </w:r>
      <w:r w:rsidRPr="005C213D">
        <w:rPr>
          <w:rStyle w:val="longtext"/>
          <w:color w:val="000000"/>
          <w:lang w:val="sr-Cyrl-CS"/>
        </w:rPr>
        <w:t>је систематичан скуп мера који укључује планирање, организовање и усмеравање активности како би се обезбедило да ризици остану у прописаним и прихватљивим оквирима;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i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 xml:space="preserve">инцидент </w:t>
      </w:r>
      <w:r w:rsidRPr="005C213D">
        <w:rPr>
          <w:rStyle w:val="longtext"/>
          <w:color w:val="000000"/>
          <w:lang w:val="sr-Cyrl-CS"/>
        </w:rPr>
        <w:t>је унутрашња или спољна околност или догађај којим се угрожава или нарушава информациона безбедност;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lang w:val="sr-Cyrl-CS"/>
        </w:rPr>
      </w:pPr>
      <w:r w:rsidRPr="005C213D">
        <w:rPr>
          <w:rStyle w:val="longtext"/>
          <w:i/>
          <w:lang w:val="sr-Cyrl-CS"/>
        </w:rPr>
        <w:t xml:space="preserve">мере заштите ИКТ система </w:t>
      </w:r>
      <w:r w:rsidRPr="005C213D">
        <w:rPr>
          <w:rStyle w:val="longtext"/>
          <w:lang w:val="sr-Cyrl-CS"/>
        </w:rPr>
        <w:t>су техничке и организационе мере за управљање безбедносним ризицима ИКТ система;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lang w:val="sr-Cyrl-CS"/>
        </w:rPr>
      </w:pPr>
      <w:r w:rsidRPr="005C213D">
        <w:rPr>
          <w:rStyle w:val="longtext"/>
          <w:i/>
          <w:lang w:val="sr-Cyrl-CS"/>
        </w:rPr>
        <w:t xml:space="preserve">тајни податак </w:t>
      </w:r>
      <w:r w:rsidRPr="005C213D">
        <w:rPr>
          <w:rStyle w:val="longtext"/>
          <w:lang w:val="sr-Cyrl-CS"/>
        </w:rPr>
        <w:t>је податак који је, у складу са прописима о тајности података, одређен и означен одређеним степеном тајности;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color w:val="FF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>ИКТ систем за рад са тајним подацима</w:t>
      </w:r>
      <w:r w:rsidRPr="005C213D">
        <w:rPr>
          <w:rStyle w:val="longtext"/>
          <w:color w:val="000000"/>
          <w:lang w:val="sr-Cyrl-CS"/>
        </w:rPr>
        <w:t xml:space="preserve"> је ИКТ систем који је у складу са законом одређен за рад са тајним подацима;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 xml:space="preserve">орган јавне власти </w:t>
      </w:r>
      <w:r w:rsidRPr="005C213D">
        <w:rPr>
          <w:rStyle w:val="longtext"/>
          <w:color w:val="000000"/>
          <w:lang w:val="sr-Cyrl-CS"/>
        </w:rPr>
        <w:t>је државни орган, орган аутономне покрај</w:t>
      </w:r>
      <w:r>
        <w:rPr>
          <w:rStyle w:val="longtext"/>
          <w:color w:val="000000"/>
          <w:lang w:val="sr-Cyrl-CS"/>
        </w:rPr>
        <w:t>и</w:t>
      </w:r>
      <w:r w:rsidRPr="005C213D">
        <w:rPr>
          <w:rStyle w:val="longtext"/>
          <w:color w:val="000000"/>
          <w:lang w:val="sr-Cyrl-CS"/>
        </w:rPr>
        <w:t>не, орган јединице локалне самоуправе, организација којој је поверено вршење јавних овлашћења, правно лице које оснива Република Србија, аутономна покрајна или јединица локалне самоуправе, као и правно лице које се претежно, односно у целини финансира из буџета;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 xml:space="preserve">служба безбедности </w:t>
      </w:r>
      <w:r w:rsidRPr="005C213D">
        <w:rPr>
          <w:rStyle w:val="longtext"/>
          <w:color w:val="000000"/>
          <w:lang w:val="sr-Cyrl-CS"/>
        </w:rPr>
        <w:t>је служба безбедности у смислу закона којим се уређују основе безбедносно-обавештајног система Републике Србије;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lang w:val="sr-Cyrl-CS"/>
        </w:rPr>
      </w:pPr>
      <w:r w:rsidRPr="005C213D">
        <w:rPr>
          <w:rStyle w:val="longtext"/>
          <w:i/>
          <w:lang w:val="sr-Cyrl-CS"/>
        </w:rPr>
        <w:t xml:space="preserve">самостални оператори ИКТ система </w:t>
      </w:r>
      <w:r w:rsidRPr="005C213D">
        <w:rPr>
          <w:rStyle w:val="longtext"/>
          <w:lang w:val="sr-Cyrl-CS"/>
        </w:rPr>
        <w:t>су министарство надлежно за послове одбране, министарство надлежно за унутрашње послове, министарство надлежно за спољне послове и службе безбедности;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 xml:space="preserve">компромитујуће електромагнетно зрачење (КЕМЗ) </w:t>
      </w:r>
      <w:r w:rsidRPr="005C213D">
        <w:rPr>
          <w:rStyle w:val="longtext"/>
          <w:color w:val="000000"/>
          <w:lang w:val="sr-Cyrl-CS"/>
        </w:rPr>
        <w:t>представља ненамерне електромагнетне емисије приликом преноса, обраде или чувања података, чијим пријемом и анализом се може открити садржај тих података;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lang w:val="sr-Cyrl-CS"/>
        </w:rPr>
      </w:pPr>
      <w:r w:rsidRPr="005C213D">
        <w:rPr>
          <w:rStyle w:val="longtext"/>
          <w:i/>
          <w:lang w:val="sr-Cyrl-CS"/>
        </w:rPr>
        <w:t xml:space="preserve">криптобезбедност </w:t>
      </w:r>
      <w:r w:rsidRPr="005C213D">
        <w:rPr>
          <w:rStyle w:val="longtext"/>
          <w:lang w:val="sr-Cyrl-CS"/>
        </w:rPr>
        <w:t>је компонента информационе безбедности која обухвата криптозаштиту, управљање криптоматеријалима и развој метода криптозаштите.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lang w:val="sr-Cyrl-CS"/>
        </w:rPr>
      </w:pPr>
      <w:r w:rsidRPr="005C213D">
        <w:rPr>
          <w:rStyle w:val="longtext"/>
          <w:i/>
          <w:lang w:val="sr-Cyrl-CS"/>
        </w:rPr>
        <w:t xml:space="preserve">криптозаштита </w:t>
      </w:r>
      <w:r w:rsidRPr="005C213D">
        <w:rPr>
          <w:rStyle w:val="longtext"/>
          <w:lang w:val="sr-Cyrl-CS"/>
        </w:rPr>
        <w:t>је примена метода, мера и поступака ради трансформисања података у облик који их за одређено време или трајно чини недоступним неовлашћеним лицима;</w:t>
      </w:r>
    </w:p>
    <w:p w:rsidR="0034692A" w:rsidRPr="005C213D" w:rsidRDefault="0034692A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lang w:val="sr-Cyrl-CS"/>
        </w:rPr>
      </w:pPr>
      <w:r w:rsidRPr="005C213D">
        <w:rPr>
          <w:rStyle w:val="longtext"/>
          <w:i/>
          <w:lang w:val="sr-Cyrl-CS"/>
        </w:rPr>
        <w:t xml:space="preserve">криптографски производ </w:t>
      </w:r>
      <w:r w:rsidRPr="005C213D">
        <w:rPr>
          <w:rStyle w:val="longtext"/>
          <w:lang w:val="sr-Cyrl-CS"/>
        </w:rPr>
        <w:t>је софтвер или уређај путем кога се врши криптозаштита;</w:t>
      </w:r>
    </w:p>
    <w:p w:rsidR="0034692A" w:rsidRPr="005C213D" w:rsidRDefault="0034692A" w:rsidP="006F6499">
      <w:pPr>
        <w:pStyle w:val="NormalWeb"/>
        <w:numPr>
          <w:ilvl w:val="0"/>
          <w:numId w:val="7"/>
        </w:numPr>
        <w:tabs>
          <w:tab w:val="left" w:pos="1134"/>
        </w:tabs>
        <w:spacing w:before="0" w:beforeAutospacing="0" w:after="0"/>
        <w:ind w:left="0" w:firstLine="709"/>
        <w:jc w:val="both"/>
        <w:rPr>
          <w:lang w:val="sr-Cyrl-CS"/>
        </w:rPr>
      </w:pPr>
      <w:r w:rsidRPr="005C213D">
        <w:rPr>
          <w:i/>
          <w:color w:val="000000"/>
          <w:lang w:val="sr-Cyrl-CS"/>
        </w:rPr>
        <w:t>криптоматеријали</w:t>
      </w:r>
      <w:r w:rsidRPr="005C213D">
        <w:rPr>
          <w:color w:val="000000"/>
          <w:lang w:val="sr-Cyrl-CS"/>
        </w:rPr>
        <w:t xml:space="preserve"> су криптографски производи, подаци, техничка документација криптографских производа, као и одговарајући криптографски кључеви;</w:t>
      </w:r>
    </w:p>
    <w:p w:rsidR="0034692A" w:rsidRPr="005C213D" w:rsidRDefault="0034692A" w:rsidP="006F6499">
      <w:pPr>
        <w:pStyle w:val="NormalWeb"/>
        <w:numPr>
          <w:ilvl w:val="0"/>
          <w:numId w:val="7"/>
        </w:numPr>
        <w:tabs>
          <w:tab w:val="left" w:pos="1134"/>
        </w:tabs>
        <w:spacing w:before="0" w:beforeAutospacing="0" w:after="0"/>
        <w:ind w:left="0" w:firstLine="709"/>
        <w:jc w:val="both"/>
        <w:rPr>
          <w:lang w:val="sr-Cyrl-CS"/>
        </w:rPr>
      </w:pPr>
      <w:r w:rsidRPr="005C213D">
        <w:rPr>
          <w:i/>
          <w:color w:val="000000"/>
          <w:lang w:val="sr-Cyrl-CS"/>
        </w:rPr>
        <w:t xml:space="preserve">безбедносна зона </w:t>
      </w:r>
      <w:r w:rsidRPr="005C213D">
        <w:rPr>
          <w:color w:val="000000"/>
          <w:lang w:val="sr-Cyrl-CS"/>
        </w:rPr>
        <w:t>је простор или просторија у којој се, у складу са прописима о тајности података, обрађују и чувају тајни подаци;</w:t>
      </w:r>
    </w:p>
    <w:p w:rsidR="0034692A" w:rsidRPr="005C213D" w:rsidRDefault="0034692A" w:rsidP="006F6499">
      <w:pPr>
        <w:pStyle w:val="NormalWeb"/>
        <w:numPr>
          <w:ilvl w:val="0"/>
          <w:numId w:val="7"/>
        </w:numPr>
        <w:tabs>
          <w:tab w:val="left" w:pos="1134"/>
        </w:tabs>
        <w:spacing w:before="0" w:beforeAutospacing="0" w:after="0"/>
        <w:ind w:left="0" w:firstLine="709"/>
        <w:jc w:val="both"/>
        <w:rPr>
          <w:lang w:val="sr-Cyrl-CS"/>
        </w:rPr>
      </w:pPr>
      <w:r w:rsidRPr="005C213D">
        <w:rPr>
          <w:i/>
          <w:lang w:val="sr-Cyrl-CS"/>
        </w:rPr>
        <w:t xml:space="preserve">информациона добра </w:t>
      </w:r>
      <w:r w:rsidRPr="005C213D">
        <w:rPr>
          <w:lang w:val="sr-Cyrl-CS"/>
        </w:rPr>
        <w:t xml:space="preserve">обухватају податке у датотекама и базама података, програмски кôд, конфигурацију хардверских компонената, техничку и корисничку документацију, унутрашње опште акте, процедуре и слично. </w:t>
      </w:r>
    </w:p>
    <w:p w:rsidR="0034692A" w:rsidRPr="005C213D" w:rsidRDefault="0034692A" w:rsidP="000C7A13">
      <w:pPr>
        <w:pStyle w:val="Heading2"/>
        <w:jc w:val="left"/>
        <w:rPr>
          <w:rStyle w:val="longtext"/>
          <w:lang w:val="sr-Cyrl-CS"/>
        </w:rPr>
      </w:pPr>
    </w:p>
    <w:p w:rsidR="0034692A" w:rsidRPr="005C213D" w:rsidRDefault="0034692A" w:rsidP="000C7A13">
      <w:pPr>
        <w:pStyle w:val="Heading2"/>
        <w:rPr>
          <w:rStyle w:val="longtext"/>
          <w:b w:val="0"/>
          <w:lang w:val="sr-Cyrl-CS"/>
        </w:rPr>
      </w:pPr>
      <w:r w:rsidRPr="005C213D">
        <w:rPr>
          <w:rStyle w:val="longtext"/>
          <w:lang w:val="sr-Cyrl-CS"/>
        </w:rPr>
        <w:t>Начела</w:t>
      </w:r>
    </w:p>
    <w:p w:rsidR="0034692A" w:rsidRPr="005C213D" w:rsidRDefault="0034692A" w:rsidP="004577B7">
      <w:pPr>
        <w:keepNext/>
        <w:keepLines/>
        <w:jc w:val="center"/>
        <w:rPr>
          <w:rStyle w:val="longtext"/>
          <w:color w:val="000000"/>
          <w:lang w:val="sr-Cyrl-CS"/>
        </w:rPr>
      </w:pPr>
    </w:p>
    <w:p w:rsidR="0034692A" w:rsidRPr="005C213D" w:rsidRDefault="0034692A" w:rsidP="00C6756C">
      <w:pPr>
        <w:pStyle w:val="Heading3"/>
        <w:rPr>
          <w:lang w:val="sr-Cyrl-CS"/>
        </w:rPr>
      </w:pPr>
      <w:r w:rsidRPr="005C213D">
        <w:rPr>
          <w:rStyle w:val="longtext"/>
          <w:lang w:val="sr-Cyrl-CS"/>
        </w:rPr>
        <w:t>Члан 3.</w:t>
      </w:r>
    </w:p>
    <w:p w:rsidR="0034692A" w:rsidRPr="005C213D" w:rsidRDefault="0034692A" w:rsidP="00BE06E9">
      <w:pPr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ab/>
        <w:t>Приликом планирања и примене мера заштите ИКТ система треба се руководити начелима:</w:t>
      </w:r>
    </w:p>
    <w:p w:rsidR="0034692A" w:rsidRPr="005C213D" w:rsidRDefault="0034692A" w:rsidP="006F6499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lastRenderedPageBreak/>
        <w:t xml:space="preserve">начело управљања ризиком </w:t>
      </w:r>
      <w:r w:rsidRPr="005C213D">
        <w:rPr>
          <w:rStyle w:val="longtext"/>
          <w:color w:val="000000"/>
          <w:lang w:val="sr-Cyrl-CS"/>
        </w:rPr>
        <w:t>– избор и ниво примене мера се заснива на процени ризика, потреби за превенцијом ризика и отклањања последица ризика који се остварио, укључујући све врсте ванредних околности;</w:t>
      </w:r>
    </w:p>
    <w:p w:rsidR="0034692A" w:rsidRPr="005C213D" w:rsidRDefault="0034692A" w:rsidP="006F6499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 xml:space="preserve">начело свеобухватне заштите </w:t>
      </w:r>
      <w:r w:rsidRPr="005C213D">
        <w:rPr>
          <w:rStyle w:val="longtext"/>
          <w:color w:val="000000"/>
          <w:lang w:val="sr-Cyrl-CS"/>
        </w:rPr>
        <w:t>– мере се примењују на свим организационим, физичким и техничко-технолошким нивоима, као и током целокупног животног циклуса ИКТ система;</w:t>
      </w:r>
    </w:p>
    <w:p w:rsidR="0034692A" w:rsidRPr="005C213D" w:rsidRDefault="0034692A" w:rsidP="006F6499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 xml:space="preserve">начело стручности и добре праксе – </w:t>
      </w:r>
      <w:r w:rsidRPr="005C213D">
        <w:rPr>
          <w:rStyle w:val="longtext"/>
          <w:color w:val="000000"/>
          <w:lang w:val="sr-Cyrl-CS"/>
        </w:rPr>
        <w:t>мере се примењују у складу са стручним и научним сазнањима и искуствима у области информационе безбедности;</w:t>
      </w:r>
    </w:p>
    <w:p w:rsidR="0034692A" w:rsidRPr="005C213D" w:rsidRDefault="0034692A" w:rsidP="006F6499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i/>
          <w:color w:val="000000"/>
          <w:lang w:val="sr-Cyrl-CS"/>
        </w:rPr>
        <w:t>начело свести и оспособљености –</w:t>
      </w:r>
      <w:r w:rsidRPr="005C213D">
        <w:rPr>
          <w:rStyle w:val="longtext"/>
          <w:color w:val="000000"/>
          <w:lang w:val="sr-Cyrl-CS"/>
        </w:rPr>
        <w:t xml:space="preserve"> сва лица која својим поступцима ефективно или потенцијално утичу на информациону безбедност треба да буду свесна ризика и поседују одговарајућа знања и вештине.</w:t>
      </w:r>
    </w:p>
    <w:p w:rsidR="0034692A" w:rsidRPr="005C213D" w:rsidRDefault="0034692A" w:rsidP="00C1684E">
      <w:pPr>
        <w:pStyle w:val="Heading2"/>
        <w:rPr>
          <w:lang w:val="sr-Cyrl-CS"/>
        </w:rPr>
      </w:pPr>
    </w:p>
    <w:p w:rsidR="0034692A" w:rsidRPr="005C213D" w:rsidRDefault="0034692A" w:rsidP="00C1684E">
      <w:pPr>
        <w:pStyle w:val="Heading2"/>
        <w:rPr>
          <w:lang w:val="sr-Cyrl-CS"/>
        </w:rPr>
      </w:pPr>
      <w:r w:rsidRPr="005C213D">
        <w:rPr>
          <w:lang w:val="sr-Cyrl-CS"/>
        </w:rPr>
        <w:t>Надлежни орган</w:t>
      </w:r>
    </w:p>
    <w:p w:rsidR="0034692A" w:rsidRPr="005C213D" w:rsidRDefault="0034692A" w:rsidP="009B00CA">
      <w:pPr>
        <w:jc w:val="center"/>
        <w:rPr>
          <w:b/>
          <w:lang w:val="sr-Cyrl-CS"/>
        </w:rPr>
      </w:pPr>
    </w:p>
    <w:p w:rsidR="0034692A" w:rsidRPr="005C213D" w:rsidRDefault="0034692A" w:rsidP="00C6756C">
      <w:pPr>
        <w:pStyle w:val="Heading3"/>
        <w:rPr>
          <w:lang w:val="sr-Cyrl-CS"/>
        </w:rPr>
      </w:pPr>
      <w:r w:rsidRPr="005C213D">
        <w:rPr>
          <w:lang w:val="sr-Cyrl-CS"/>
        </w:rPr>
        <w:t>Члан 4.</w:t>
      </w:r>
    </w:p>
    <w:p w:rsidR="0034692A" w:rsidRPr="005C213D" w:rsidRDefault="0034692A" w:rsidP="00F7387B">
      <w:pPr>
        <w:jc w:val="both"/>
        <w:rPr>
          <w:lang w:val="sr-Cyrl-CS"/>
        </w:rPr>
      </w:pPr>
      <w:r w:rsidRPr="005C213D">
        <w:rPr>
          <w:lang w:val="sr-Cyrl-CS"/>
        </w:rPr>
        <w:tab/>
        <w:t>Орган државне управе надлежан за безбедност ИКТ система је министарство надлежно за послове информационе безбедности (у даљем тексту: Надлежни орган).</w:t>
      </w:r>
    </w:p>
    <w:p w:rsidR="0034692A" w:rsidRPr="005C213D" w:rsidRDefault="0034692A" w:rsidP="00F7387B">
      <w:pPr>
        <w:jc w:val="both"/>
        <w:rPr>
          <w:lang w:val="sr-Cyrl-CS"/>
        </w:rPr>
      </w:pPr>
    </w:p>
    <w:p w:rsidR="0034692A" w:rsidRPr="005C213D" w:rsidRDefault="0034692A" w:rsidP="00B01C5D">
      <w:pPr>
        <w:jc w:val="center"/>
        <w:rPr>
          <w:b/>
          <w:lang w:val="sr-Cyrl-CS"/>
        </w:rPr>
      </w:pPr>
      <w:r w:rsidRPr="005C213D">
        <w:rPr>
          <w:b/>
          <w:lang w:val="sr-Cyrl-CS"/>
        </w:rPr>
        <w:t>Тело за координацију послова информационе безбедности</w:t>
      </w:r>
    </w:p>
    <w:p w:rsidR="0034692A" w:rsidRPr="005C213D" w:rsidRDefault="0034692A" w:rsidP="00B01C5D">
      <w:pPr>
        <w:jc w:val="center"/>
        <w:rPr>
          <w:b/>
          <w:lang w:val="sr-Cyrl-CS"/>
        </w:rPr>
      </w:pPr>
    </w:p>
    <w:p w:rsidR="0034692A" w:rsidRPr="005C213D" w:rsidRDefault="0034692A" w:rsidP="001322E9">
      <w:pPr>
        <w:jc w:val="center"/>
        <w:rPr>
          <w:lang w:val="sr-Cyrl-CS"/>
        </w:rPr>
      </w:pPr>
      <w:r w:rsidRPr="005C213D">
        <w:rPr>
          <w:lang w:val="sr-Cyrl-CS"/>
        </w:rPr>
        <w:t>Члан 5.</w:t>
      </w:r>
    </w:p>
    <w:p w:rsidR="0034692A" w:rsidRPr="005C213D" w:rsidRDefault="0034692A" w:rsidP="00F6235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У циљу остваривања сарадње и усклађеног обављања послова у функцији унапређења информационе безбедности, као и иницирања и праћења превентивних и других активности у области  информационе безбедности Влада оснива Тело за координацију послова информационе безбедности (у даљем тексту: Тело за координацију), као координационо тело Владе, у чији састав улазе представници министарстава надлежних за послове информационе безбедности, одбране, унутрашњих послова, спољних послова, правде, представници служби безбедности, Канцеларије Савета за националну безбедност и заштиту тајних података, Генералног секретаријата Владе, Управе за заједничке послове републичких органа и Националног ЦЕРТ-а.</w:t>
      </w:r>
    </w:p>
    <w:p w:rsidR="0034692A" w:rsidRPr="005C213D" w:rsidRDefault="0034692A" w:rsidP="00F62357">
      <w:pPr>
        <w:pStyle w:val="CommentText"/>
        <w:ind w:firstLine="720"/>
        <w:jc w:val="both"/>
        <w:rPr>
          <w:sz w:val="24"/>
          <w:szCs w:val="24"/>
          <w:lang w:val="sr-Cyrl-CS"/>
        </w:rPr>
      </w:pPr>
      <w:r w:rsidRPr="005C213D">
        <w:rPr>
          <w:sz w:val="24"/>
          <w:szCs w:val="24"/>
          <w:lang w:val="sr-Cyrl-CS"/>
        </w:rPr>
        <w:t>У функцији унапређења појединих области информационе безбедности формирају се стручне радне групе Тела за координацију у које се укључују и представници других органа јавне власти, привреде, академске заједнице и невладиног сектора.</w:t>
      </w:r>
    </w:p>
    <w:p w:rsidR="0034692A" w:rsidRPr="005C213D" w:rsidRDefault="0034692A" w:rsidP="00F62357">
      <w:pPr>
        <w:pStyle w:val="CommentText"/>
        <w:ind w:firstLine="720"/>
        <w:jc w:val="both"/>
        <w:rPr>
          <w:sz w:val="24"/>
          <w:szCs w:val="24"/>
          <w:lang w:val="sr-Cyrl-CS"/>
        </w:rPr>
      </w:pPr>
      <w:r w:rsidRPr="005C213D">
        <w:rPr>
          <w:sz w:val="24"/>
          <w:szCs w:val="24"/>
          <w:lang w:val="sr-Cyrl-CS"/>
        </w:rPr>
        <w:t>Oдлукoм кojoм oснивa Тело за координацију Влaдa oдрeђуje и њeгoв сaстaв, зaдaткe, рoк у кoмe oнo пoднoси извeштaje Влaди и другa питaњa кoja су вeзaнa зa њeгoв рaд.</w:t>
      </w:r>
    </w:p>
    <w:p w:rsidR="0034692A" w:rsidRPr="005C213D" w:rsidRDefault="0034692A" w:rsidP="00732806">
      <w:pPr>
        <w:tabs>
          <w:tab w:val="left" w:pos="1470"/>
        </w:tabs>
        <w:jc w:val="both"/>
        <w:rPr>
          <w:lang w:val="sr-Cyrl-CS"/>
        </w:rPr>
      </w:pPr>
      <w:r w:rsidRPr="005C213D">
        <w:rPr>
          <w:lang w:val="sr-Cyrl-CS"/>
        </w:rPr>
        <w:tab/>
      </w:r>
    </w:p>
    <w:p w:rsidR="0034692A" w:rsidRPr="005C213D" w:rsidRDefault="0034692A" w:rsidP="00FD0C7B">
      <w:pPr>
        <w:pStyle w:val="Heading1"/>
        <w:rPr>
          <w:lang w:val="sr-Cyrl-CS"/>
        </w:rPr>
      </w:pPr>
      <w:r w:rsidRPr="005C213D">
        <w:rPr>
          <w:lang w:val="sr-Cyrl-CS"/>
        </w:rPr>
        <w:t>II. БЕЗБЕДНОСТ ИКТ СИСТЕМА ОД ПОСЕБНОГ ЗНАЧАЈА</w:t>
      </w:r>
    </w:p>
    <w:p w:rsidR="0034692A" w:rsidRPr="005C213D" w:rsidRDefault="0034692A" w:rsidP="00960EDC">
      <w:pPr>
        <w:rPr>
          <w:lang w:val="sr-Cyrl-CS"/>
        </w:rPr>
      </w:pPr>
    </w:p>
    <w:p w:rsidR="0034692A" w:rsidRPr="005C213D" w:rsidRDefault="0034692A" w:rsidP="007675A1">
      <w:pPr>
        <w:pStyle w:val="Heading2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ИКТ системи од посебног значаја</w:t>
      </w:r>
    </w:p>
    <w:p w:rsidR="0034692A" w:rsidRPr="005C213D" w:rsidRDefault="0034692A" w:rsidP="00A87398">
      <w:pPr>
        <w:rPr>
          <w:lang w:val="sr-Cyrl-CS"/>
        </w:rPr>
      </w:pPr>
    </w:p>
    <w:p w:rsidR="0034692A" w:rsidRPr="005C213D" w:rsidRDefault="0034692A" w:rsidP="00A87398">
      <w:pPr>
        <w:jc w:val="center"/>
        <w:rPr>
          <w:lang w:val="sr-Cyrl-CS"/>
        </w:rPr>
      </w:pPr>
      <w:r w:rsidRPr="005C213D">
        <w:rPr>
          <w:lang w:val="sr-Cyrl-CS"/>
        </w:rPr>
        <w:t>Члан 6.</w:t>
      </w:r>
    </w:p>
    <w:p w:rsidR="0034692A" w:rsidRPr="005C213D" w:rsidRDefault="0034692A" w:rsidP="007675A1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ИКТ системи од посебног значаја су системи који се користе: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1) у обављању послова у органима јавне власти;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2) за обраду података који се, у складу са законом који уређује заштиту података о личности, сматрају нарочито осетљивим подацима о личности;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 xml:space="preserve">3) у обављању делатности од општег интереса и то у oблaстима: 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(1) прoизвoдња, прeнoс и дистрибуциjа eлeктричнe eнeргиje;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lastRenderedPageBreak/>
        <w:t xml:space="preserve">(2) прoизвoдња и прeрaда угљa; 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 xml:space="preserve">(3) истрaживaње, прoизвoдња, прeрaда, трaнспoрт и дистрибуциjа нaфтe и прирoднoг и тeчнoг гaсa; 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 xml:space="preserve">(4) прoмeт нaфтe и нaфтних дeривaтa; жeлeзничкoг, пoштaнскoг и вaздушнoг сaoбрaћaja; 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>
        <w:rPr>
          <w:lang w:val="sr-Cyrl-CS"/>
        </w:rPr>
        <w:t>(5) електронска кoмуникaциjа</w:t>
      </w:r>
      <w:r w:rsidRPr="005C213D">
        <w:rPr>
          <w:lang w:val="sr-Cyrl-CS"/>
        </w:rPr>
        <w:t xml:space="preserve">; 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 xml:space="preserve">(6) издaвaње службeнoг глaсилa Рeпубликe Србиje; 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 xml:space="preserve"> (7) упрaвљaње нуклeaрним oбjeктимa; 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 xml:space="preserve">(8) кoришћeње, упрaвљaње, зaштита и унaпрeђивaње дoбaрa oд oпштeг интeрeсa (вoдe, путeви, минeрaлнe сирoвинe, шумe, плoвнe рeкe, jeзeрa, oбaлe, бaњe, дивљaч, зaштићeнa пoдручja), 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 xml:space="preserve">(9) прoизвoдња, прoмeт и прeвoз нaoружaњa и вojнe oпрeмe, 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 xml:space="preserve">(10) упрaвљaње oтпaдoм; 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(11) кoмунaлнe дeлaтнoсти;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(12) послови финансијских институција;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(13) здравствена заштита;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(14) услуге информационог друштва намењене другим пружаоцима услуга информационог друштва у циљу омогућавања пружања њихових услуга.</w:t>
      </w:r>
    </w:p>
    <w:p w:rsidR="0034692A" w:rsidRPr="005C213D" w:rsidRDefault="0034692A" w:rsidP="00312F32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 xml:space="preserve">Влада, на предлог министарства надлежног за послове информационе безбедности, утврђује листу послова и делатности из става 1. тачка 3) овог члана. </w:t>
      </w:r>
    </w:p>
    <w:p w:rsidR="0034692A" w:rsidRPr="005C213D" w:rsidRDefault="0034692A" w:rsidP="008F7DC9">
      <w:pPr>
        <w:ind w:left="720" w:firstLine="720"/>
        <w:jc w:val="both"/>
        <w:rPr>
          <w:lang w:val="sr-Cyrl-CS"/>
        </w:rPr>
      </w:pPr>
    </w:p>
    <w:p w:rsidR="0034692A" w:rsidRPr="005C213D" w:rsidRDefault="0034692A" w:rsidP="004F469E">
      <w:pPr>
        <w:pStyle w:val="Heading2"/>
        <w:rPr>
          <w:color w:val="auto"/>
          <w:lang w:val="sr-Cyrl-CS"/>
        </w:rPr>
      </w:pPr>
      <w:r w:rsidRPr="005C213D">
        <w:rPr>
          <w:rStyle w:val="longtext"/>
          <w:color w:val="auto"/>
          <w:lang w:val="sr-Cyrl-CS"/>
        </w:rPr>
        <w:t>Мере заштите ИКТ система од посебног значаја</w:t>
      </w:r>
    </w:p>
    <w:p w:rsidR="0034692A" w:rsidRPr="005C213D" w:rsidRDefault="0034692A" w:rsidP="00960EDC">
      <w:pPr>
        <w:ind w:left="720"/>
        <w:jc w:val="center"/>
        <w:rPr>
          <w:rStyle w:val="longtext"/>
          <w:b/>
          <w:color w:val="000000"/>
          <w:lang w:val="sr-Cyrl-CS"/>
        </w:rPr>
      </w:pPr>
    </w:p>
    <w:p w:rsidR="0034692A" w:rsidRPr="005C213D" w:rsidRDefault="0034692A" w:rsidP="00C6756C">
      <w:pPr>
        <w:pStyle w:val="Heading3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Члан 7.</w:t>
      </w:r>
    </w:p>
    <w:p w:rsidR="0034692A" w:rsidRPr="005C213D" w:rsidRDefault="0034692A" w:rsidP="00BD7234">
      <w:pPr>
        <w:rPr>
          <w:lang w:val="sr-Cyrl-CS"/>
        </w:rPr>
      </w:pPr>
      <w:r w:rsidRPr="005C213D">
        <w:rPr>
          <w:lang w:val="sr-Cyrl-CS"/>
        </w:rPr>
        <w:tab/>
        <w:t>Оператор ИКТ система од посебног значаја одговара за безбедност ИКТ система и предузимање мера заштите ИКТ система.</w:t>
      </w:r>
    </w:p>
    <w:p w:rsidR="0034692A" w:rsidRPr="005C213D" w:rsidRDefault="0034692A" w:rsidP="00CC4AD2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Мерама заштите ИКТ система се обезбеђује превенција од настанка инцидената, односно превенција и минимизација штете од инцидената који угрожавају вршење надлежности и обављање делатности, а посебно у оквиру пружања услуга другим лицима.</w:t>
      </w:r>
    </w:p>
    <w:p w:rsidR="0034692A" w:rsidRPr="005C213D" w:rsidRDefault="0034692A" w:rsidP="00CC4AD2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Мере заштите ИКТ система се односе на:</w:t>
      </w:r>
    </w:p>
    <w:p w:rsidR="0034692A" w:rsidRPr="005C213D" w:rsidRDefault="0034692A" w:rsidP="005D73BB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1) успостављање организационе структуре, са утврђеним пословима и одговорностима запослених, којом се остварује управљање информационом безбедношћу у оквиру оператора ИКТ система;</w:t>
      </w:r>
    </w:p>
    <w:p w:rsidR="0034692A" w:rsidRPr="005C213D" w:rsidRDefault="0034692A" w:rsidP="00200DFE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2) постизање безбедности рада на даљину и употребе мобилних уређаја;</w:t>
      </w:r>
    </w:p>
    <w:p w:rsidR="0034692A" w:rsidRPr="005C213D" w:rsidRDefault="0034692A" w:rsidP="00200DFE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3) обезбеђивање да лица која користе ИКТ систем односно управљају ИКТ системом буду оспособљена за посао који раде и разумеју своју одговорност;</w:t>
      </w:r>
    </w:p>
    <w:p w:rsidR="0034692A" w:rsidRPr="005C213D" w:rsidRDefault="0034692A" w:rsidP="00A662A6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4) заштиту од ризика који настају при променама послова или престанка радног ангажовања лица запослених  код оператора ИКТ система;</w:t>
      </w:r>
    </w:p>
    <w:p w:rsidR="0034692A" w:rsidRPr="005C213D" w:rsidRDefault="0034692A" w:rsidP="005D73BB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5) идентификовање информационих добара и одређивање одговорности за њихову заштиту;</w:t>
      </w:r>
    </w:p>
    <w:p w:rsidR="0034692A" w:rsidRPr="005C213D" w:rsidRDefault="0034692A" w:rsidP="005D73BB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6) класификовање података тако да ниво њихове заштите одговара значају података у складу начелом управљања ризиком из члана 3. овог закона;</w:t>
      </w:r>
    </w:p>
    <w:p w:rsidR="0034692A" w:rsidRPr="005C213D" w:rsidRDefault="0034692A" w:rsidP="005D73BB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7) заштиту носача података;</w:t>
      </w:r>
    </w:p>
    <w:p w:rsidR="0034692A" w:rsidRPr="005C213D" w:rsidRDefault="0034692A" w:rsidP="005D73BB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8) ограничење приступа подацима и средствима за обраду података;</w:t>
      </w:r>
    </w:p>
    <w:p w:rsidR="0034692A" w:rsidRPr="005C213D" w:rsidRDefault="0034692A" w:rsidP="005D73BB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9) одобравање овлашћеног приступа и спречавање неовлашћеног приступа ИКТ систему и услугама које ИКТ систем пружа;</w:t>
      </w:r>
    </w:p>
    <w:p w:rsidR="0034692A" w:rsidRPr="005C213D" w:rsidRDefault="0034692A" w:rsidP="005D73BB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10) утврђивање одговорности корисника за заштиту сопствених средстава за аутентикацију;</w:t>
      </w:r>
    </w:p>
    <w:p w:rsidR="0034692A" w:rsidRPr="005C213D" w:rsidRDefault="0034692A" w:rsidP="005D73BB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lastRenderedPageBreak/>
        <w:t xml:space="preserve">11) предвиђање одговарајуће употребе криптозаштите ради заштите тајности, аутентичности односно интегритета података. </w:t>
      </w:r>
    </w:p>
    <w:p w:rsidR="0034692A" w:rsidRPr="005C213D" w:rsidRDefault="0034692A" w:rsidP="001E5133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12) физичку зaштиту oбjeкaтa, прoстoрa, прoстoриjа oднoснo зoна у кojимa сe налазе средства и документи ИКТ система и oбрaђуjу пoдaци у ИКТ систeму;</w:t>
      </w:r>
    </w:p>
    <w:p w:rsidR="0034692A" w:rsidRPr="005C213D" w:rsidRDefault="0034692A" w:rsidP="005D73BB">
      <w:pPr>
        <w:ind w:firstLine="720"/>
        <w:jc w:val="both"/>
        <w:rPr>
          <w:rStyle w:val="longtext"/>
          <w:color w:val="000000"/>
          <w:lang w:val="sr-Cyrl-CS"/>
        </w:rPr>
      </w:pPr>
      <w:r>
        <w:rPr>
          <w:rStyle w:val="longtext"/>
          <w:color w:val="000000"/>
          <w:lang w:val="sr-Cyrl-CS"/>
        </w:rPr>
        <w:t>13) заштиту</w:t>
      </w:r>
      <w:r w:rsidRPr="005C213D">
        <w:rPr>
          <w:rStyle w:val="longtext"/>
          <w:color w:val="000000"/>
          <w:lang w:val="sr-Cyrl-CS"/>
        </w:rPr>
        <w:t xml:space="preserve"> од губитка, оштећења, крађе или другог облика угрожавања безбедности средстава која чине ИКТ систем;</w:t>
      </w:r>
    </w:p>
    <w:p w:rsidR="0034692A" w:rsidRPr="005C213D" w:rsidRDefault="0034692A" w:rsidP="005D73BB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14) обезбеђивање исправног и безбедног функционисања средстава за обраду података;</w:t>
      </w:r>
    </w:p>
    <w:p w:rsidR="0034692A" w:rsidRPr="005C213D" w:rsidRDefault="0034692A" w:rsidP="005D73BB">
      <w:pPr>
        <w:ind w:firstLine="720"/>
        <w:jc w:val="both"/>
        <w:rPr>
          <w:rStyle w:val="longtext"/>
          <w:color w:val="000000"/>
          <w:lang w:val="sr-Cyrl-CS"/>
        </w:rPr>
      </w:pPr>
      <w:r>
        <w:rPr>
          <w:rStyle w:val="longtext"/>
          <w:color w:val="000000"/>
          <w:lang w:val="sr-Cyrl-CS"/>
        </w:rPr>
        <w:t>15) заштиту</w:t>
      </w:r>
      <w:r w:rsidRPr="005C213D">
        <w:rPr>
          <w:rStyle w:val="longtext"/>
          <w:color w:val="000000"/>
          <w:lang w:val="sr-Cyrl-CS"/>
        </w:rPr>
        <w:t xml:space="preserve"> података и средства за обраду података од злонамерног софтвера;</w:t>
      </w:r>
    </w:p>
    <w:p w:rsidR="0034692A" w:rsidRPr="005C213D" w:rsidRDefault="0034692A" w:rsidP="005D73BB">
      <w:pPr>
        <w:ind w:firstLine="720"/>
        <w:jc w:val="both"/>
        <w:rPr>
          <w:rStyle w:val="longtext"/>
          <w:color w:val="000000"/>
          <w:lang w:val="sr-Cyrl-CS"/>
        </w:rPr>
      </w:pPr>
      <w:r>
        <w:rPr>
          <w:rStyle w:val="longtext"/>
          <w:color w:val="000000"/>
          <w:lang w:val="sr-Cyrl-CS"/>
        </w:rPr>
        <w:t>16) заштиту</w:t>
      </w:r>
      <w:r w:rsidRPr="005C213D">
        <w:rPr>
          <w:rStyle w:val="longtext"/>
          <w:color w:val="000000"/>
          <w:lang w:val="sr-Cyrl-CS"/>
        </w:rPr>
        <w:t xml:space="preserve"> од губитка података;</w:t>
      </w:r>
    </w:p>
    <w:p w:rsidR="0034692A" w:rsidRPr="005C213D" w:rsidRDefault="0034692A" w:rsidP="001824A9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17) чување података о догађајима који могу бити од значаја за безбедност ИКТ система;</w:t>
      </w:r>
    </w:p>
    <w:p w:rsidR="0034692A" w:rsidRPr="005C213D" w:rsidRDefault="0034692A" w:rsidP="001824A9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18) обезбеђивање интегритета софтвера и оперативних система;</w:t>
      </w:r>
    </w:p>
    <w:p w:rsidR="0034692A" w:rsidRPr="005C213D" w:rsidRDefault="0034692A" w:rsidP="00A516BA">
      <w:pPr>
        <w:ind w:firstLine="720"/>
        <w:jc w:val="both"/>
        <w:rPr>
          <w:rStyle w:val="longtext"/>
          <w:color w:val="000000"/>
          <w:lang w:val="sr-Cyrl-CS"/>
        </w:rPr>
      </w:pPr>
      <w:r>
        <w:rPr>
          <w:rStyle w:val="longtext"/>
          <w:color w:val="000000"/>
          <w:lang w:val="sr-Cyrl-CS"/>
        </w:rPr>
        <w:t>19) заштиту</w:t>
      </w:r>
      <w:r w:rsidRPr="005C213D">
        <w:rPr>
          <w:rStyle w:val="longtext"/>
          <w:color w:val="000000"/>
          <w:lang w:val="sr-Cyrl-CS"/>
        </w:rPr>
        <w:t xml:space="preserve"> од злоупотребе техничких безбедносних слабости ИКТ система;</w:t>
      </w:r>
    </w:p>
    <w:p w:rsidR="0034692A" w:rsidRPr="005C213D" w:rsidRDefault="0034692A" w:rsidP="001824A9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20) обезбеђивање да активности на ревизији ИКТ система имају што мањи утицај на функционисање система;</w:t>
      </w:r>
    </w:p>
    <w:p w:rsidR="0034692A" w:rsidRPr="005C213D" w:rsidRDefault="0034692A" w:rsidP="001824A9">
      <w:pPr>
        <w:ind w:firstLine="720"/>
        <w:jc w:val="both"/>
        <w:rPr>
          <w:rStyle w:val="longtext"/>
          <w:color w:val="000000"/>
          <w:lang w:val="sr-Cyrl-CS"/>
        </w:rPr>
      </w:pPr>
      <w:r>
        <w:rPr>
          <w:rStyle w:val="longtext"/>
          <w:color w:val="000000"/>
          <w:lang w:val="sr-Cyrl-CS"/>
        </w:rPr>
        <w:t>21) заштиту</w:t>
      </w:r>
      <w:r w:rsidRPr="005C213D">
        <w:rPr>
          <w:rStyle w:val="longtext"/>
          <w:color w:val="000000"/>
          <w:lang w:val="sr-Cyrl-CS"/>
        </w:rPr>
        <w:t xml:space="preserve"> података у комуникационим мрежама укључујући уређаје и водове;</w:t>
      </w:r>
    </w:p>
    <w:p w:rsidR="0034692A" w:rsidRPr="005C213D" w:rsidRDefault="0034692A" w:rsidP="001824A9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22) безбедност података који се преносе унутар оператора ИКТ система, као и између оператора ИКТ система и лица ван оператора ИКТ система;</w:t>
      </w:r>
    </w:p>
    <w:p w:rsidR="0034692A" w:rsidRPr="005C213D" w:rsidRDefault="0034692A" w:rsidP="001824A9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 xml:space="preserve">23) питања информационе безбедности у оквиру управљања свим фазама животног циклуса ИКТ система односно делова система; </w:t>
      </w:r>
    </w:p>
    <w:p w:rsidR="0034692A" w:rsidRPr="005C213D" w:rsidRDefault="0034692A" w:rsidP="001824A9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24) заштиту података који се користе за потребе тестирања ИКТ система односно делова система;</w:t>
      </w:r>
    </w:p>
    <w:p w:rsidR="0034692A" w:rsidRPr="005C213D" w:rsidRDefault="0034692A" w:rsidP="001824A9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25) заштиту средстава оператора ИКТ система која су доступна пружаоцима услуга;</w:t>
      </w:r>
    </w:p>
    <w:p w:rsidR="0034692A" w:rsidRPr="005C213D" w:rsidRDefault="0034692A" w:rsidP="001824A9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 xml:space="preserve">26) одржавање уговореног нивоа информационе безбедности и пружених услуга у складу са условима који су уговорени са пружаоцем услуга; </w:t>
      </w:r>
    </w:p>
    <w:p w:rsidR="0034692A" w:rsidRPr="005C213D" w:rsidRDefault="0034692A" w:rsidP="00A554AE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27) превенцију и реаговање на безбедносне инциденте, што подразумева адекватну размену информација о безбедносним слабостима ИКТ система, инцидентима и претњама;</w:t>
      </w:r>
    </w:p>
    <w:p w:rsidR="0034692A" w:rsidRPr="005C213D" w:rsidRDefault="0034692A" w:rsidP="001824A9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28) мере које обезбеђују континуитет обављања посла у ванредним околностима.</w:t>
      </w:r>
    </w:p>
    <w:p w:rsidR="0034692A" w:rsidRPr="005C213D" w:rsidRDefault="0034692A" w:rsidP="00CC4AD2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lang w:val="sr-Cyrl-CS"/>
        </w:rPr>
        <w:t xml:space="preserve">Влада, на предлог Надлежног органа, </w:t>
      </w:r>
      <w:r w:rsidRPr="005C213D">
        <w:rPr>
          <w:rStyle w:val="longtext"/>
          <w:color w:val="000000"/>
          <w:lang w:val="sr-Cyrl-CS"/>
        </w:rPr>
        <w:t xml:space="preserve">ближе уређује мере заштите ИКТ система </w:t>
      </w:r>
      <w:r w:rsidRPr="005C213D">
        <w:rPr>
          <w:lang w:val="sr-Cyrl-CS"/>
        </w:rPr>
        <w:t>уважавајући начела из члана 3. овог закона, националне и међународне стандарде и стандарде који се примењују у одговарајућим областима рада.</w:t>
      </w:r>
    </w:p>
    <w:p w:rsidR="0034692A" w:rsidRPr="005C213D" w:rsidRDefault="0034692A" w:rsidP="00CC4AD2">
      <w:pPr>
        <w:ind w:firstLine="720"/>
        <w:jc w:val="both"/>
        <w:rPr>
          <w:rStyle w:val="longtext"/>
          <w:color w:val="000000"/>
          <w:lang w:val="sr-Cyrl-CS"/>
        </w:rPr>
      </w:pPr>
    </w:p>
    <w:p w:rsidR="0034692A" w:rsidRPr="005C213D" w:rsidRDefault="0034692A" w:rsidP="004F469E">
      <w:pPr>
        <w:pStyle w:val="Heading2"/>
        <w:rPr>
          <w:rStyle w:val="longtext"/>
          <w:color w:val="auto"/>
          <w:lang w:val="sr-Cyrl-CS"/>
        </w:rPr>
      </w:pPr>
      <w:r w:rsidRPr="005C213D">
        <w:rPr>
          <w:rStyle w:val="longtext"/>
          <w:color w:val="auto"/>
          <w:lang w:val="sr-Cyrl-CS"/>
        </w:rPr>
        <w:t>Акт о безбедности ИКТ система од посебног значаја</w:t>
      </w:r>
    </w:p>
    <w:p w:rsidR="0034692A" w:rsidRPr="005C213D" w:rsidRDefault="0034692A" w:rsidP="00BA711F">
      <w:pPr>
        <w:rPr>
          <w:rStyle w:val="longtext"/>
          <w:lang w:val="sr-Cyrl-CS"/>
        </w:rPr>
      </w:pPr>
    </w:p>
    <w:p w:rsidR="0034692A" w:rsidRPr="005C213D" w:rsidRDefault="0034692A" w:rsidP="00BA711F">
      <w:pPr>
        <w:jc w:val="center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Члан 8.</w:t>
      </w:r>
    </w:p>
    <w:p w:rsidR="0034692A" w:rsidRPr="005C213D" w:rsidRDefault="0034692A" w:rsidP="00A14FE4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Оператор ИКТ система од посебног значаја дужан је да донесе акт о безбедности ИКТ система.</w:t>
      </w:r>
    </w:p>
    <w:p w:rsidR="0034692A" w:rsidRPr="005C213D" w:rsidRDefault="0034692A" w:rsidP="000E5AB2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 xml:space="preserve">Актом из става 1. овог члана одређују се мере заштите, а нарочито принципи, начин и процедуре постизања и одржавања адекватног нивоа безбедности система, као и овлашћења и одговорности у вези са безбедношћу и ресурсима ИКТ система од посебног значаја. </w:t>
      </w:r>
    </w:p>
    <w:p w:rsidR="0034692A" w:rsidRDefault="0034692A" w:rsidP="007D6A6C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Акт из става 1. овог члана мора да буде усклађен с променама у окружењу и у самом ИКТ систему.</w:t>
      </w:r>
    </w:p>
    <w:p w:rsidR="0034692A" w:rsidRDefault="0034692A" w:rsidP="007D6A6C">
      <w:pPr>
        <w:ind w:firstLine="720"/>
        <w:jc w:val="both"/>
        <w:rPr>
          <w:rStyle w:val="longtext"/>
          <w:color w:val="000000"/>
          <w:lang w:val="sr-Cyrl-CS"/>
        </w:rPr>
      </w:pPr>
    </w:p>
    <w:p w:rsidR="0034692A" w:rsidRPr="005C213D" w:rsidRDefault="0034692A" w:rsidP="007D6A6C">
      <w:pPr>
        <w:ind w:firstLine="720"/>
        <w:jc w:val="both"/>
        <w:rPr>
          <w:rStyle w:val="longtext"/>
          <w:color w:val="000000"/>
          <w:lang w:val="sr-Cyrl-CS"/>
        </w:rPr>
      </w:pPr>
    </w:p>
    <w:p w:rsidR="0034692A" w:rsidRPr="005C213D" w:rsidRDefault="0034692A" w:rsidP="004B5BF7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lastRenderedPageBreak/>
        <w:t>Оператор ИКТ система од посебног значаја је дужан да самостално или уз ангажовање спољних експерата врши проверу усклађености примењених мера ИКТ система са актом из става 1. овог члана и то најмање једном годишње и</w:t>
      </w:r>
      <w:r>
        <w:rPr>
          <w:rStyle w:val="longtext"/>
          <w:color w:val="000000"/>
          <w:lang w:val="sr-Cyrl-CS"/>
        </w:rPr>
        <w:t xml:space="preserve"> да</w:t>
      </w:r>
      <w:r w:rsidRPr="005C213D">
        <w:rPr>
          <w:rStyle w:val="longtext"/>
          <w:color w:val="000000"/>
          <w:lang w:val="sr-Cyrl-CS"/>
        </w:rPr>
        <w:t xml:space="preserve"> о томе сачини извештај.</w:t>
      </w:r>
    </w:p>
    <w:p w:rsidR="0034692A" w:rsidRPr="005C213D" w:rsidRDefault="0034692A" w:rsidP="00B82815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Ближи садржај акта из става 1. овог члана, начин провере ИКТ система од посебног значаја и садржај извештаја о провери уређује Влада на предлог Надлежног органа.</w:t>
      </w:r>
    </w:p>
    <w:p w:rsidR="0034692A" w:rsidRPr="005C213D" w:rsidRDefault="0034692A" w:rsidP="00B82815">
      <w:pPr>
        <w:ind w:firstLine="720"/>
        <w:jc w:val="both"/>
        <w:rPr>
          <w:rStyle w:val="longtext"/>
          <w:color w:val="000000"/>
          <w:lang w:val="sr-Cyrl-CS"/>
        </w:rPr>
      </w:pPr>
    </w:p>
    <w:p w:rsidR="0034692A" w:rsidRPr="005C213D" w:rsidRDefault="0034692A" w:rsidP="004F469E">
      <w:pPr>
        <w:pStyle w:val="Heading2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 xml:space="preserve">Поверавање активности у вези са ИКТ системом </w:t>
      </w:r>
      <w:r w:rsidRPr="005C213D">
        <w:rPr>
          <w:rStyle w:val="longtext"/>
          <w:color w:val="auto"/>
          <w:lang w:val="sr-Cyrl-CS"/>
        </w:rPr>
        <w:t>од посебног значаја</w:t>
      </w:r>
      <w:r w:rsidRPr="005C213D">
        <w:rPr>
          <w:rStyle w:val="longtext"/>
          <w:lang w:val="sr-Cyrl-CS"/>
        </w:rPr>
        <w:t xml:space="preserve"> трећим лицима</w:t>
      </w:r>
    </w:p>
    <w:p w:rsidR="0034692A" w:rsidRPr="005C213D" w:rsidRDefault="0034692A" w:rsidP="00B82815">
      <w:pPr>
        <w:ind w:firstLine="720"/>
        <w:jc w:val="center"/>
        <w:rPr>
          <w:rStyle w:val="longtext"/>
          <w:color w:val="000000"/>
          <w:lang w:val="sr-Cyrl-CS"/>
        </w:rPr>
      </w:pPr>
    </w:p>
    <w:p w:rsidR="0034692A" w:rsidRPr="005C213D" w:rsidRDefault="0034692A" w:rsidP="001322E9">
      <w:pPr>
        <w:jc w:val="center"/>
        <w:rPr>
          <w:rStyle w:val="longtext"/>
          <w:lang w:val="sr-Cyrl-CS"/>
        </w:rPr>
      </w:pPr>
      <w:r w:rsidRPr="005C213D">
        <w:rPr>
          <w:rStyle w:val="longtext"/>
          <w:color w:val="000000"/>
          <w:lang w:val="sr-Cyrl-CS"/>
        </w:rPr>
        <w:t>Ч</w:t>
      </w:r>
      <w:r w:rsidRPr="005C213D">
        <w:rPr>
          <w:rStyle w:val="longtext"/>
          <w:lang w:val="sr-Cyrl-CS"/>
        </w:rPr>
        <w:t>лан 9.</w:t>
      </w:r>
    </w:p>
    <w:p w:rsidR="0034692A" w:rsidRPr="005C213D" w:rsidRDefault="0034692A" w:rsidP="005F0FD5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Оператор ИКТ система од посебног значаја може поверити активности у вези са ИКТ системом трећим лицима, у ком случају је обавезан да уреди однос са тим лицима на начин који обезбеђује предузимање мера заштите тог ИКТ система у складу са законом.</w:t>
      </w:r>
    </w:p>
    <w:p w:rsidR="0034692A" w:rsidRPr="005C213D" w:rsidRDefault="0034692A" w:rsidP="005F0FD5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 xml:space="preserve">Активностима из става 1. овог члана (у даљем тексту: поверене активности) сматрају се све активности које укључују обраду, чување, односно могућност приступа подацима којима располаже оператор ИКТ система од посебног значаја, а односе се на његово пословање, као и активности развоја, односно одржавања софтверских и хардверских компоненти од којих непосредно зависи његово исправно поступање приликом вршења послова из надлежности, односно пружања услуга. </w:t>
      </w:r>
    </w:p>
    <w:p w:rsidR="0034692A" w:rsidRPr="005C213D" w:rsidRDefault="0034692A" w:rsidP="005F0FD5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Под трећим лицем из става 1. овог члана сматра се и привредни субјекат који је имовинским и управљачким односима (лица са учешћем, чланице групе друштава којој тај привредни субјект припада и др.) повезан са оператором ИКТ система од посебног значаја.</w:t>
      </w:r>
    </w:p>
    <w:p w:rsidR="0034692A" w:rsidRPr="005C213D" w:rsidRDefault="0034692A" w:rsidP="001322E9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Поверавање активности врши се на основу уговора закљученог између оператора ИКТ система од посебног значаја и лица коме се те активности поверавају или посебним прописом.</w:t>
      </w:r>
    </w:p>
    <w:p w:rsidR="0034692A" w:rsidRPr="005C213D" w:rsidRDefault="0034692A" w:rsidP="005E4DC1">
      <w:pPr>
        <w:ind w:firstLine="720"/>
        <w:jc w:val="both"/>
        <w:rPr>
          <w:rStyle w:val="longtext"/>
          <w:lang w:val="sr-Cyrl-CS"/>
        </w:rPr>
      </w:pPr>
    </w:p>
    <w:p w:rsidR="0034692A" w:rsidRPr="005C213D" w:rsidRDefault="0034692A" w:rsidP="00C6756C">
      <w:pPr>
        <w:pStyle w:val="Heading3"/>
        <w:rPr>
          <w:lang w:val="sr-Cyrl-CS"/>
        </w:rPr>
      </w:pPr>
      <w:r w:rsidRPr="005C213D">
        <w:rPr>
          <w:rStyle w:val="longtext"/>
          <w:lang w:val="sr-Cyrl-CS"/>
        </w:rPr>
        <w:t>Члан 10.</w:t>
      </w:r>
    </w:p>
    <w:p w:rsidR="0034692A" w:rsidRPr="005C213D" w:rsidRDefault="0034692A" w:rsidP="00C92886">
      <w:pPr>
        <w:keepNext/>
        <w:keepLines/>
        <w:jc w:val="both"/>
        <w:rPr>
          <w:lang w:val="sr-Cyrl-CS"/>
        </w:rPr>
      </w:pPr>
      <w:r w:rsidRPr="005C213D">
        <w:rPr>
          <w:rStyle w:val="longtext"/>
          <w:color w:val="000000"/>
          <w:lang w:val="sr-Cyrl-CS"/>
        </w:rPr>
        <w:tab/>
        <w:t xml:space="preserve">Изузетно од одредаба члана </w:t>
      </w:r>
      <w:r w:rsidRPr="005C213D">
        <w:rPr>
          <w:rStyle w:val="longtext"/>
          <w:lang w:val="sr-Cyrl-CS"/>
        </w:rPr>
        <w:t>9</w:t>
      </w:r>
      <w:r>
        <w:rPr>
          <w:rStyle w:val="longtext"/>
          <w:lang w:val="sr-Cyrl-CS"/>
        </w:rPr>
        <w:t>. овог закона</w:t>
      </w:r>
      <w:r w:rsidRPr="005C213D">
        <w:rPr>
          <w:rStyle w:val="longtext"/>
          <w:lang w:val="sr-Cyrl-CS"/>
        </w:rPr>
        <w:t>,</w:t>
      </w:r>
      <w:r w:rsidRPr="005C213D">
        <w:rPr>
          <w:rStyle w:val="longtext"/>
          <w:color w:val="000000"/>
          <w:lang w:val="sr-Cyrl-CS"/>
        </w:rPr>
        <w:t xml:space="preserve"> уколико су активности у вези са ИКТ системом поверене прописом, тим прописом се могу другачије уредити обавезе и одговорности операторa ИКТ система од посебног значаја у вези поверених активности.</w:t>
      </w:r>
    </w:p>
    <w:p w:rsidR="0034692A" w:rsidRPr="005C213D" w:rsidRDefault="0034692A" w:rsidP="00085CBB">
      <w:pPr>
        <w:pStyle w:val="Heading2"/>
        <w:rPr>
          <w:lang w:val="sr-Cyrl-CS"/>
        </w:rPr>
      </w:pPr>
    </w:p>
    <w:p w:rsidR="0034692A" w:rsidRPr="005C213D" w:rsidRDefault="0034692A" w:rsidP="00085CBB">
      <w:pPr>
        <w:pStyle w:val="Heading2"/>
        <w:rPr>
          <w:lang w:val="sr-Cyrl-CS"/>
        </w:rPr>
      </w:pPr>
      <w:r w:rsidRPr="005C213D">
        <w:rPr>
          <w:lang w:val="sr-Cyrl-CS"/>
        </w:rPr>
        <w:t>Обавештавање Надлежног органа о инцидентима</w:t>
      </w:r>
    </w:p>
    <w:p w:rsidR="0034692A" w:rsidRPr="005C213D" w:rsidRDefault="0034692A" w:rsidP="007576E7">
      <w:pPr>
        <w:rPr>
          <w:lang w:val="sr-Cyrl-CS"/>
        </w:rPr>
      </w:pPr>
    </w:p>
    <w:p w:rsidR="0034692A" w:rsidRPr="005C213D" w:rsidRDefault="0034692A" w:rsidP="00C92886">
      <w:pPr>
        <w:pStyle w:val="Heading3"/>
        <w:rPr>
          <w:lang w:val="sr-Cyrl-CS"/>
        </w:rPr>
      </w:pPr>
      <w:r w:rsidRPr="005C213D">
        <w:rPr>
          <w:lang w:val="sr-Cyrl-CS"/>
        </w:rPr>
        <w:t>Члан 11.</w:t>
      </w:r>
    </w:p>
    <w:p w:rsidR="0034692A" w:rsidRPr="005C213D" w:rsidRDefault="0034692A" w:rsidP="00085CBB">
      <w:pPr>
        <w:jc w:val="both"/>
        <w:rPr>
          <w:lang w:val="sr-Cyrl-CS"/>
        </w:rPr>
      </w:pPr>
      <w:r w:rsidRPr="005C213D">
        <w:rPr>
          <w:lang w:val="sr-Cyrl-CS"/>
        </w:rPr>
        <w:tab/>
        <w:t xml:space="preserve">Оператори ИКТ система од посебног значаја обавезни су да обавесте Надлежни орган о инцидентима у ИКТ системима који могу да имају значајан утицај на нарушавање информационе безбедности. </w:t>
      </w:r>
      <w:r w:rsidRPr="005C213D">
        <w:rPr>
          <w:lang w:val="sr-Cyrl-CS"/>
        </w:rPr>
        <w:tab/>
      </w:r>
    </w:p>
    <w:p w:rsidR="0034692A" w:rsidRPr="005C213D" w:rsidRDefault="0034692A" w:rsidP="007A3A3F">
      <w:pPr>
        <w:jc w:val="both"/>
        <w:rPr>
          <w:lang w:val="sr-Cyrl-CS"/>
        </w:rPr>
      </w:pPr>
      <w:r w:rsidRPr="005C213D">
        <w:rPr>
          <w:color w:val="FF0000"/>
          <w:lang w:val="sr-Cyrl-CS"/>
        </w:rPr>
        <w:tab/>
      </w:r>
      <w:r w:rsidRPr="005C213D">
        <w:rPr>
          <w:lang w:val="sr-Cyrl-CS"/>
        </w:rPr>
        <w:t>Изузетно од става 1</w:t>
      </w:r>
      <w:r>
        <w:rPr>
          <w:lang w:val="sr-Cyrl-CS"/>
        </w:rPr>
        <w:t>. овог члана</w:t>
      </w:r>
      <w:r w:rsidRPr="005C213D">
        <w:rPr>
          <w:lang w:val="sr-Cyrl-CS"/>
        </w:rPr>
        <w:t>, финансијске институције обавештења упућују Народној банци Србије, телекомуникациони оператори регулаторном телу за електронске комуникације,  а оператори ИКТ система за рад са тајним подацима поступају у складу са прописима којима се уређује област заштите тајних података.</w:t>
      </w:r>
    </w:p>
    <w:p w:rsidR="0034692A" w:rsidRPr="005C213D" w:rsidRDefault="0034692A" w:rsidP="007A3A3F">
      <w:pPr>
        <w:jc w:val="both"/>
        <w:rPr>
          <w:lang w:val="sr-Cyrl-CS"/>
        </w:rPr>
      </w:pPr>
      <w:r w:rsidRPr="005C213D">
        <w:rPr>
          <w:lang w:val="sr-Cyrl-CS"/>
        </w:rPr>
        <w:tab/>
        <w:t xml:space="preserve">Одредбе ст. 1 и 2. овог члана не односе се на самосталне операторе ИКТ система. </w:t>
      </w:r>
    </w:p>
    <w:p w:rsidR="0034692A" w:rsidRPr="005C213D" w:rsidRDefault="0034692A" w:rsidP="00DF5FED">
      <w:pPr>
        <w:jc w:val="both"/>
        <w:rPr>
          <w:lang w:val="sr-Cyrl-CS"/>
        </w:rPr>
      </w:pPr>
      <w:r w:rsidRPr="005C213D">
        <w:rPr>
          <w:lang w:val="sr-Cyrl-CS"/>
        </w:rPr>
        <w:tab/>
        <w:t>Поступак достављања података, листу, врсте и значај инцидената и поступак обавештавања из става 1.</w:t>
      </w:r>
      <w:r>
        <w:rPr>
          <w:lang w:val="sr-Cyrl-CS"/>
        </w:rPr>
        <w:t xml:space="preserve"> овог члана</w:t>
      </w:r>
      <w:r w:rsidRPr="005C213D">
        <w:rPr>
          <w:lang w:val="sr-Cyrl-CS"/>
        </w:rPr>
        <w:t xml:space="preserve"> уређује Влада.</w:t>
      </w:r>
    </w:p>
    <w:p w:rsidR="0034692A" w:rsidRPr="005C213D" w:rsidRDefault="0034692A" w:rsidP="00085CBB">
      <w:pPr>
        <w:jc w:val="both"/>
        <w:rPr>
          <w:lang w:val="sr-Cyrl-CS"/>
        </w:rPr>
      </w:pPr>
      <w:r w:rsidRPr="005C213D">
        <w:rPr>
          <w:lang w:val="sr-Cyrl-CS"/>
        </w:rPr>
        <w:tab/>
        <w:t>Ако је инцидент од интереса за јавност, Надлежни орган, односно орган из става 2.</w:t>
      </w:r>
      <w:r>
        <w:rPr>
          <w:lang w:val="sr-Cyrl-CS"/>
        </w:rPr>
        <w:t xml:space="preserve"> овог члана</w:t>
      </w:r>
      <w:r w:rsidRPr="005C213D">
        <w:rPr>
          <w:lang w:val="sr-Cyrl-CS"/>
        </w:rPr>
        <w:t xml:space="preserve"> коме се упућују обавештења о инцидентима, може наложити његово објављивање.</w:t>
      </w:r>
    </w:p>
    <w:p w:rsidR="0034692A" w:rsidRPr="005C213D" w:rsidRDefault="0034692A" w:rsidP="00085CBB">
      <w:pPr>
        <w:jc w:val="both"/>
        <w:rPr>
          <w:lang w:val="sr-Cyrl-CS"/>
        </w:rPr>
      </w:pPr>
      <w:r w:rsidRPr="005C213D">
        <w:rPr>
          <w:lang w:val="sr-Cyrl-CS"/>
        </w:rPr>
        <w:lastRenderedPageBreak/>
        <w:tab/>
        <w:t xml:space="preserve">Ако је инцидент везан за извршење кривичних дела која се гоне по службеној дужности, Надлежни орган, односно орган из става 2. </w:t>
      </w:r>
      <w:r>
        <w:rPr>
          <w:lang w:val="sr-Cyrl-CS"/>
        </w:rPr>
        <w:t xml:space="preserve">овог члана </w:t>
      </w:r>
      <w:r w:rsidRPr="005C213D">
        <w:rPr>
          <w:lang w:val="sr-Cyrl-CS"/>
        </w:rPr>
        <w:t xml:space="preserve">коме се упућују обавештења о инцидентима, обавештава надлежно јавно тужилаштво, односно министарство надлежно за унутрашње послове. </w:t>
      </w:r>
    </w:p>
    <w:p w:rsidR="0034692A" w:rsidRPr="005C213D" w:rsidRDefault="0034692A" w:rsidP="00085CBB">
      <w:pPr>
        <w:jc w:val="both"/>
        <w:rPr>
          <w:lang w:val="sr-Cyrl-CS"/>
        </w:rPr>
      </w:pPr>
      <w:r w:rsidRPr="005C213D">
        <w:rPr>
          <w:lang w:val="sr-Cyrl-CS"/>
        </w:rPr>
        <w:tab/>
        <w:t>Ако је инцидент повезан са нарушавањем права на заштиту података о личности, Надлежни орган, односно орган из става 2.</w:t>
      </w:r>
      <w:r>
        <w:rPr>
          <w:lang w:val="sr-Cyrl-CS"/>
        </w:rPr>
        <w:t xml:space="preserve"> овог члана</w:t>
      </w:r>
      <w:r w:rsidRPr="005C213D">
        <w:rPr>
          <w:lang w:val="sr-Cyrl-CS"/>
        </w:rPr>
        <w:t xml:space="preserve"> коме се упућују обавештења о инцидентима и самостални оператор ИКТ система, о томе обавештавају и Повереника за информације од јавног значаја и заштиту података о личности. </w:t>
      </w:r>
    </w:p>
    <w:p w:rsidR="0034692A" w:rsidRPr="005C213D" w:rsidRDefault="0034692A" w:rsidP="00633E29">
      <w:pPr>
        <w:jc w:val="both"/>
        <w:rPr>
          <w:lang w:val="sr-Cyrl-CS"/>
        </w:rPr>
      </w:pPr>
    </w:p>
    <w:p w:rsidR="0034692A" w:rsidRPr="005C213D" w:rsidRDefault="0034692A" w:rsidP="00085CBB">
      <w:pPr>
        <w:pStyle w:val="Heading2"/>
        <w:rPr>
          <w:lang w:val="sr-Cyrl-CS"/>
        </w:rPr>
      </w:pPr>
      <w:r w:rsidRPr="005C213D">
        <w:rPr>
          <w:lang w:val="sr-Cyrl-CS"/>
        </w:rPr>
        <w:t>Међународна сарадња и рана упозорења о ризицима и инцидентима</w:t>
      </w:r>
    </w:p>
    <w:p w:rsidR="0034692A" w:rsidRPr="005C213D" w:rsidRDefault="0034692A" w:rsidP="00085CBB">
      <w:pPr>
        <w:jc w:val="center"/>
        <w:rPr>
          <w:b/>
          <w:lang w:val="sr-Cyrl-CS"/>
        </w:rPr>
      </w:pPr>
    </w:p>
    <w:p w:rsidR="0034692A" w:rsidRPr="005C213D" w:rsidRDefault="0034692A" w:rsidP="00C6756C">
      <w:pPr>
        <w:pStyle w:val="Heading3"/>
        <w:rPr>
          <w:lang w:val="sr-Cyrl-CS"/>
        </w:rPr>
      </w:pPr>
      <w:r w:rsidRPr="005C213D">
        <w:rPr>
          <w:lang w:val="sr-Cyrl-CS"/>
        </w:rPr>
        <w:t>Члан 12.</w:t>
      </w:r>
    </w:p>
    <w:p w:rsidR="0034692A" w:rsidRPr="005C213D" w:rsidRDefault="0034692A" w:rsidP="00085CBB">
      <w:pPr>
        <w:keepNext/>
        <w:keepLines/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Надлежни орган остварује међународну сарадњу у области безбедности ИКТ система</w:t>
      </w:r>
      <w:r w:rsidRPr="005C213D">
        <w:rPr>
          <w:rStyle w:val="longtext"/>
          <w:color w:val="0000FF"/>
          <w:lang w:val="sr-Cyrl-CS"/>
        </w:rPr>
        <w:t>,</w:t>
      </w:r>
      <w:r w:rsidRPr="005C213D">
        <w:rPr>
          <w:rStyle w:val="longtext"/>
          <w:color w:val="000000"/>
          <w:lang w:val="sr-Cyrl-CS"/>
        </w:rPr>
        <w:t xml:space="preserve"> а нарочито пружа упозорења о ризицима и инцидентима који испуњавају најмање један од следећих услова:</w:t>
      </w:r>
    </w:p>
    <w:p w:rsidR="0034692A" w:rsidRPr="005C213D" w:rsidRDefault="0034692A" w:rsidP="00137B97">
      <w:pPr>
        <w:keepNext/>
        <w:keepLines/>
        <w:ind w:left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1) брзо расту или имају тенденцију да постану високи ризици;</w:t>
      </w:r>
    </w:p>
    <w:p w:rsidR="0034692A" w:rsidRPr="005C213D" w:rsidRDefault="0034692A" w:rsidP="00137B97">
      <w:pPr>
        <w:keepNext/>
        <w:keepLines/>
        <w:ind w:left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2) превазилазе или могу да превазиђу националне капацитете;</w:t>
      </w:r>
    </w:p>
    <w:p w:rsidR="0034692A" w:rsidRPr="005C213D" w:rsidRDefault="0034692A" w:rsidP="00137B97">
      <w:pPr>
        <w:keepNext/>
        <w:keepLines/>
        <w:ind w:left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3) могу да имају негативан утицај на више од једне државе.</w:t>
      </w:r>
    </w:p>
    <w:p w:rsidR="0034692A" w:rsidRPr="005C213D" w:rsidRDefault="0034692A" w:rsidP="00085CBB">
      <w:pPr>
        <w:keepNext/>
        <w:keepLines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ab/>
        <w:t>Уколико је инцидент у вези са извршењем кривичног дела, по добијању обавештења од Надлежног органа, министарство надлежно за унутрашње послове ће у званичној процедури проследити пријаву у складу са потврђеним међународним уговорима.</w:t>
      </w:r>
    </w:p>
    <w:p w:rsidR="0034692A" w:rsidRPr="005C213D" w:rsidRDefault="0034692A" w:rsidP="00AB43CF">
      <w:pPr>
        <w:rPr>
          <w:rStyle w:val="longtext"/>
          <w:color w:val="000000"/>
          <w:lang w:val="sr-Cyrl-CS"/>
        </w:rPr>
      </w:pPr>
    </w:p>
    <w:p w:rsidR="0034692A" w:rsidRPr="005C213D" w:rsidRDefault="0034692A" w:rsidP="00F7343D">
      <w:pPr>
        <w:jc w:val="center"/>
        <w:rPr>
          <w:rStyle w:val="longtext"/>
          <w:b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Члан 13.</w:t>
      </w:r>
    </w:p>
    <w:p w:rsidR="0034692A" w:rsidRPr="005C213D" w:rsidRDefault="0034692A" w:rsidP="00B93989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Самостални оператори ИКТ система одредиће посебна лица, односно организационе јединице за интерну контролу сопствених ИКТ система.</w:t>
      </w:r>
    </w:p>
    <w:p w:rsidR="0034692A" w:rsidRPr="005C213D" w:rsidRDefault="0034692A" w:rsidP="00F7343D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Лица за интерну контролу самосталних оператора ИКТ система извештај о извршеној интерној контроли подносе руководиоцу самосталног оператора ИКТ система.</w:t>
      </w:r>
    </w:p>
    <w:p w:rsidR="0034692A" w:rsidRPr="005C213D" w:rsidRDefault="0034692A" w:rsidP="00F7343D">
      <w:pPr>
        <w:ind w:firstLine="720"/>
        <w:jc w:val="both"/>
        <w:rPr>
          <w:rStyle w:val="longtext"/>
          <w:lang w:val="sr-Cyrl-CS"/>
        </w:rPr>
      </w:pPr>
    </w:p>
    <w:p w:rsidR="0034692A" w:rsidRPr="005C213D" w:rsidRDefault="0034692A" w:rsidP="00A55661">
      <w:pPr>
        <w:pStyle w:val="Heading1"/>
        <w:rPr>
          <w:lang w:val="sr-Cyrl-CS"/>
        </w:rPr>
      </w:pPr>
      <w:r w:rsidRPr="005C213D">
        <w:rPr>
          <w:lang w:val="sr-Cyrl-CS"/>
        </w:rPr>
        <w:t>III. ПРЕВЕНЦИЈА И ЗАШТИТА ОД БЕЗБЕДНОСНИХ РИЗИКА У ИКТ СИСТЕМИМА У РЕПУБЛИЦИ СРБИЈИ</w:t>
      </w:r>
    </w:p>
    <w:p w:rsidR="0034692A" w:rsidRPr="005C213D" w:rsidRDefault="0034692A" w:rsidP="00A55661">
      <w:pPr>
        <w:keepNext/>
        <w:keepLines/>
        <w:jc w:val="center"/>
        <w:rPr>
          <w:rStyle w:val="longtext"/>
          <w:color w:val="000000"/>
          <w:lang w:val="sr-Cyrl-CS"/>
        </w:rPr>
      </w:pPr>
    </w:p>
    <w:p w:rsidR="0034692A" w:rsidRPr="005C213D" w:rsidRDefault="0034692A" w:rsidP="00085CBB">
      <w:pPr>
        <w:pStyle w:val="Heading2"/>
        <w:rPr>
          <w:rStyle w:val="longtext"/>
          <w:b w:val="0"/>
          <w:lang w:val="sr-Cyrl-CS"/>
        </w:rPr>
      </w:pPr>
      <w:r w:rsidRPr="005C213D">
        <w:rPr>
          <w:rStyle w:val="longtext"/>
          <w:lang w:val="sr-Cyrl-CS"/>
        </w:rPr>
        <w:t>Национални центар за превенцију безбедносних ризика у ИКТ системима (Национални ЦЕРТ)</w:t>
      </w:r>
    </w:p>
    <w:p w:rsidR="0034692A" w:rsidRPr="005C213D" w:rsidRDefault="0034692A" w:rsidP="00085CBB">
      <w:pPr>
        <w:keepNext/>
        <w:keepLines/>
        <w:jc w:val="center"/>
        <w:rPr>
          <w:rStyle w:val="longtext"/>
          <w:color w:val="000000"/>
          <w:lang w:val="sr-Cyrl-CS"/>
        </w:rPr>
      </w:pPr>
    </w:p>
    <w:p w:rsidR="0034692A" w:rsidRPr="005C213D" w:rsidRDefault="0034692A" w:rsidP="00C6756C">
      <w:pPr>
        <w:pStyle w:val="Heading3"/>
        <w:rPr>
          <w:lang w:val="sr-Cyrl-CS"/>
        </w:rPr>
      </w:pPr>
      <w:r w:rsidRPr="005C213D">
        <w:rPr>
          <w:rStyle w:val="longtext"/>
          <w:lang w:val="sr-Cyrl-CS"/>
        </w:rPr>
        <w:t>Члан 14.</w:t>
      </w:r>
    </w:p>
    <w:p w:rsidR="0034692A" w:rsidRPr="005C213D" w:rsidRDefault="0034692A" w:rsidP="006B1E4C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Национални центар за превенцију безбедносних ризика у ИКТ системима (у даљем тексту: Национални ЦЕРТ) обавља послове координације превенције и заштите од безбедносних ризика у ИКТ системима у Републици Србији на националном нивоу.</w:t>
      </w:r>
    </w:p>
    <w:p w:rsidR="0034692A" w:rsidRPr="005C213D" w:rsidRDefault="0034692A" w:rsidP="006B1E4C">
      <w:pPr>
        <w:ind w:firstLine="720"/>
        <w:jc w:val="both"/>
        <w:rPr>
          <w:lang w:val="sr-Cyrl-CS"/>
        </w:rPr>
      </w:pPr>
      <w:r w:rsidRPr="005C213D">
        <w:rPr>
          <w:rStyle w:val="longtext"/>
          <w:lang w:val="sr-Cyrl-CS"/>
        </w:rPr>
        <w:t>За послове Националног ЦЕРТ-а надлежна је Регулаторна агенција за електронске комуникације и поштанске услуге.</w:t>
      </w:r>
    </w:p>
    <w:p w:rsidR="0034692A" w:rsidRPr="005C213D" w:rsidRDefault="0034692A" w:rsidP="00085CBB">
      <w:pPr>
        <w:rPr>
          <w:lang w:val="sr-Cyrl-CS"/>
        </w:rPr>
      </w:pPr>
    </w:p>
    <w:p w:rsidR="0034692A" w:rsidRPr="005C213D" w:rsidRDefault="0034692A" w:rsidP="00C6756C">
      <w:pPr>
        <w:pStyle w:val="Heading3"/>
        <w:rPr>
          <w:lang w:val="sr-Cyrl-CS"/>
        </w:rPr>
      </w:pPr>
      <w:r w:rsidRPr="005C213D">
        <w:rPr>
          <w:lang w:val="sr-Cyrl-CS"/>
        </w:rPr>
        <w:t xml:space="preserve">Члан 15. </w:t>
      </w:r>
    </w:p>
    <w:p w:rsidR="0034692A" w:rsidRPr="005C213D" w:rsidRDefault="0034692A" w:rsidP="001322E9">
      <w:pPr>
        <w:tabs>
          <w:tab w:val="left" w:pos="5507"/>
        </w:tabs>
        <w:ind w:firstLine="720"/>
        <w:jc w:val="both"/>
        <w:rPr>
          <w:lang w:val="sr-Cyrl-CS"/>
        </w:rPr>
      </w:pPr>
      <w:r w:rsidRPr="005C213D">
        <w:rPr>
          <w:rStyle w:val="longtext"/>
          <w:color w:val="000000"/>
          <w:lang w:val="sr-Cyrl-CS"/>
        </w:rPr>
        <w:t>Национални ЦЕРТ прикупља и размењује информације о ризицима за безбедност ИКТ система, као и догађајима који угрожавају безбедност ИКТ система и у вези тога обавештава, упозорава и саветује лица која управљају ИКТ системима у Републици Србији, као и јавност, а посебно: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1) прати стање о инцидентима на националном нивоу,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lastRenderedPageBreak/>
        <w:t>2) пружа рана упозорења, узбуне и најаве и информише релевантна лица о ризицима и инцидентима,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3) реагује по пријављеним или на други начин откривеним инцидентима, тако што пружа савете на основу расположивих информација лицима која су погођена инцидентом и предузима друге потребне мере из своје надлежности на основу добијених сазнања,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4) континуирано израђује анализе ризика и инцидената,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5) подиже свест код грађана, привредних субјеката и органа јавне власти о значају информационе безбедности, о ризицима и мерама заштите, укључујући спровођење кампања у циљу подизања те свести,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6) води евиденцију Посебних ЦЕРТ-ова.</w:t>
      </w:r>
    </w:p>
    <w:p w:rsidR="0034692A" w:rsidRPr="005C213D" w:rsidRDefault="0034692A" w:rsidP="00914808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Евиденција из става 1. тачка 6) овог члана од података о личности садржи податке о одговорним лицима, и то: име, презиме, функцију и контакт податке као што су адреса, број телефона и адреса електронске поште.</w:t>
      </w:r>
    </w:p>
    <w:p w:rsidR="0034692A" w:rsidRPr="005C213D" w:rsidRDefault="0034692A" w:rsidP="00085CBB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Национални ЦЕРТ непосредно сарађује са Надлежним органом, Посебним ЦЕРТ-овима у Републици Србији, сличним организацијама у другим земљама, са јавним и привредним субјектима, ЦЕРТ-овима самосталних оператора ИКТ система, као и са ЦЕРТ-ом републичких органа.</w:t>
      </w:r>
    </w:p>
    <w:p w:rsidR="0034692A" w:rsidRPr="005C213D" w:rsidRDefault="0034692A" w:rsidP="00085CBB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Национални ЦЕРТ промовише усвајање и коришћење прописаних и стандардизованих правила за: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1) управљање и санирање ризика и инцидената;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2) класификацију информација о ризицима и инцидентима;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3) класификацију озбиљности инцидената и ризика;</w:t>
      </w:r>
    </w:p>
    <w:p w:rsidR="0034692A" w:rsidRPr="005C213D" w:rsidRDefault="0034692A" w:rsidP="00137B97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4) дефиницију формата и модела података за размену информација о ризицима и инцидентима и дефиницију правила по којима ће се именовати значајни системи.</w:t>
      </w:r>
    </w:p>
    <w:p w:rsidR="0034692A" w:rsidRPr="005C213D" w:rsidRDefault="0034692A" w:rsidP="00C6756C">
      <w:pPr>
        <w:pStyle w:val="Heading3"/>
        <w:rPr>
          <w:lang w:val="sr-Cyrl-CS"/>
        </w:rPr>
      </w:pPr>
    </w:p>
    <w:p w:rsidR="0034692A" w:rsidRPr="005C213D" w:rsidRDefault="0034692A" w:rsidP="00C6756C">
      <w:pPr>
        <w:pStyle w:val="Heading3"/>
        <w:rPr>
          <w:lang w:val="sr-Cyrl-CS"/>
        </w:rPr>
      </w:pPr>
      <w:r w:rsidRPr="005C213D">
        <w:rPr>
          <w:lang w:val="sr-Cyrl-CS"/>
        </w:rPr>
        <w:t>Члан 16.</w:t>
      </w:r>
    </w:p>
    <w:p w:rsidR="0034692A" w:rsidRPr="005C213D" w:rsidRDefault="0034692A" w:rsidP="00085CBB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Надзор над радом Националног ЦЕРТ-а у вршењу послова поверених овим законом врши Надлежни орган, који периодично, а најмање једном годишње, проверава да ли Национални ЦЕРТ располаже одговарајућим ресурсима, врши послове у складу са чланом 15. овог закона и контролише учинак успостављених процеса за управљање сигурносним инцидентима.</w:t>
      </w:r>
    </w:p>
    <w:p w:rsidR="0034692A" w:rsidRPr="005C213D" w:rsidRDefault="0034692A" w:rsidP="00085CBB">
      <w:pPr>
        <w:ind w:firstLine="720"/>
        <w:jc w:val="both"/>
        <w:rPr>
          <w:lang w:val="sr-Cyrl-CS"/>
        </w:rPr>
      </w:pPr>
    </w:p>
    <w:p w:rsidR="0034692A" w:rsidRPr="005C213D" w:rsidRDefault="0034692A" w:rsidP="00BE16FB">
      <w:pPr>
        <w:ind w:firstLine="720"/>
        <w:jc w:val="center"/>
        <w:rPr>
          <w:b/>
          <w:lang w:val="sr-Cyrl-CS"/>
        </w:rPr>
      </w:pPr>
      <w:r w:rsidRPr="005C213D">
        <w:rPr>
          <w:b/>
          <w:lang w:val="sr-Cyrl-CS"/>
        </w:rPr>
        <w:t xml:space="preserve">Посебни центри за превенцију </w:t>
      </w:r>
      <w:r w:rsidRPr="005C213D">
        <w:rPr>
          <w:rStyle w:val="longtext"/>
          <w:b/>
          <w:lang w:val="sr-Cyrl-CS"/>
        </w:rPr>
        <w:t>безбедносних ризика у ИКТ системима</w:t>
      </w:r>
    </w:p>
    <w:p w:rsidR="0034692A" w:rsidRPr="005C213D" w:rsidRDefault="0034692A" w:rsidP="00BE16FB">
      <w:pPr>
        <w:jc w:val="center"/>
        <w:rPr>
          <w:rStyle w:val="longtext"/>
          <w:lang w:val="sr-Cyrl-CS"/>
        </w:rPr>
      </w:pPr>
    </w:p>
    <w:p w:rsidR="0034692A" w:rsidRPr="005C213D" w:rsidRDefault="0034692A" w:rsidP="00BE16FB">
      <w:pPr>
        <w:jc w:val="center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Члан 17.</w:t>
      </w:r>
    </w:p>
    <w:p w:rsidR="0034692A" w:rsidRPr="005C213D" w:rsidRDefault="0034692A" w:rsidP="00BE16FB">
      <w:pPr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ab/>
        <w:t xml:space="preserve">Посебан центар за превенцију безбедносних ризика у ИКТ системима (у даљем тексту: Посебан ЦЕРТ) обавља послове превенције и заштите од безбедносних ризика у ИКТ системима у оквиру одређеног правног лица, групе правних лица, области пословања и слично. </w:t>
      </w:r>
    </w:p>
    <w:p w:rsidR="0034692A" w:rsidRPr="005C213D" w:rsidRDefault="0034692A" w:rsidP="00BE16FB">
      <w:pPr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ab/>
        <w:t xml:space="preserve">Посебан ЦЕРТ је правно лице или организациона јединица у оквиру правног лица, које је уписано у евиденцију посебних ЦЕРТ-ова коју води Национални ЦЕРТ. </w:t>
      </w:r>
    </w:p>
    <w:p w:rsidR="0034692A" w:rsidRPr="005C213D" w:rsidRDefault="0034692A" w:rsidP="00BE16FB">
      <w:pPr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ab/>
        <w:t xml:space="preserve">Упис у евиденцију посебних ЦЕРТ-ова врши се на основу пријаве правног лица у оквиру кога се налази посебан ЦЕРТ. </w:t>
      </w:r>
    </w:p>
    <w:p w:rsidR="0034692A" w:rsidRPr="005C213D" w:rsidRDefault="0034692A" w:rsidP="00B45D4C">
      <w:pPr>
        <w:ind w:firstLine="720"/>
        <w:jc w:val="both"/>
        <w:rPr>
          <w:rStyle w:val="longtext"/>
          <w:lang w:val="sr-Cyrl-CS"/>
        </w:rPr>
      </w:pPr>
      <w:r w:rsidRPr="005C213D">
        <w:rPr>
          <w:lang w:val="sr-Cyrl-CS"/>
        </w:rPr>
        <w:t>Евиденција посебних ЦЕРТ-ова од података о личности садржи податке о одговорним лицима, и то: име, презиме, функцију и контакт податке као што су адреса, број телефона и адреса електронске поште.</w:t>
      </w:r>
    </w:p>
    <w:p w:rsidR="0034692A" w:rsidRPr="005C213D" w:rsidRDefault="0034692A" w:rsidP="00BE16FB">
      <w:pPr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ab/>
        <w:t>Ближе услове за упис у евиденцију из става 3.</w:t>
      </w:r>
      <w:r>
        <w:rPr>
          <w:rStyle w:val="longtext"/>
          <w:lang w:val="sr-Cyrl-CS"/>
        </w:rPr>
        <w:t xml:space="preserve"> овог члана</w:t>
      </w:r>
      <w:r w:rsidRPr="005C213D">
        <w:rPr>
          <w:rStyle w:val="longtext"/>
          <w:lang w:val="sr-Cyrl-CS"/>
        </w:rPr>
        <w:t xml:space="preserve"> доноси Надлежни орган. </w:t>
      </w:r>
    </w:p>
    <w:p w:rsidR="0034692A" w:rsidRPr="005C213D" w:rsidRDefault="0034692A" w:rsidP="00FD0C7B">
      <w:pPr>
        <w:rPr>
          <w:rStyle w:val="longtext"/>
          <w:lang w:val="sr-Cyrl-CS"/>
        </w:rPr>
      </w:pPr>
    </w:p>
    <w:p w:rsidR="0034692A" w:rsidRPr="005C213D" w:rsidRDefault="0034692A" w:rsidP="00FD0C7B">
      <w:pPr>
        <w:pStyle w:val="Heading2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lastRenderedPageBreak/>
        <w:t>Центар за безбедност ИКТ система у републичким органима</w:t>
      </w:r>
    </w:p>
    <w:p w:rsidR="0034692A" w:rsidRPr="005C213D" w:rsidRDefault="0034692A" w:rsidP="00FD0C7B">
      <w:pPr>
        <w:pStyle w:val="Heading2"/>
        <w:rPr>
          <w:lang w:val="sr-Cyrl-CS"/>
        </w:rPr>
      </w:pPr>
      <w:r w:rsidRPr="005C213D">
        <w:rPr>
          <w:rStyle w:val="longtext"/>
          <w:lang w:val="sr-Cyrl-CS"/>
        </w:rPr>
        <w:t>(ЦЕРТ републичких органа)</w:t>
      </w:r>
    </w:p>
    <w:p w:rsidR="0034692A" w:rsidRPr="005C213D" w:rsidRDefault="0034692A" w:rsidP="00E63EED">
      <w:pPr>
        <w:keepNext/>
        <w:keepLines/>
        <w:ind w:firstLine="720"/>
        <w:jc w:val="both"/>
        <w:rPr>
          <w:lang w:val="sr-Cyrl-CS"/>
        </w:rPr>
      </w:pPr>
    </w:p>
    <w:p w:rsidR="0034692A" w:rsidRPr="005C213D" w:rsidRDefault="0034692A" w:rsidP="00C6756C">
      <w:pPr>
        <w:pStyle w:val="Heading3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Члан 18.</w:t>
      </w:r>
    </w:p>
    <w:p w:rsidR="0034692A" w:rsidRPr="005C213D" w:rsidRDefault="0034692A" w:rsidP="002C2435">
      <w:pPr>
        <w:keepNext/>
        <w:keepLines/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 xml:space="preserve">Центар за безбедност ИКТ система у републичким органима (у даљем тексту: ЦЕРТ републичких органа) обавља послове који се односе на заштиту од инцидената у ИКТ системима републичких органа, изузев ИКТ система самосталних оператора. </w:t>
      </w:r>
    </w:p>
    <w:p w:rsidR="0034692A" w:rsidRPr="005C213D" w:rsidRDefault="0034692A" w:rsidP="005E4DC1">
      <w:pPr>
        <w:keepNext/>
        <w:keepLines/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Послове ЦЕРТ-а републичких органа обавља Управа за заједничке послове републичких органа.</w:t>
      </w:r>
    </w:p>
    <w:p w:rsidR="0034692A" w:rsidRPr="005C213D" w:rsidRDefault="0034692A" w:rsidP="009B00CA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Послови ЦЕРТ-а републичких органа обухватају:</w:t>
      </w:r>
    </w:p>
    <w:p w:rsidR="0034692A" w:rsidRPr="005C213D" w:rsidRDefault="0034692A" w:rsidP="006F6499">
      <w:pPr>
        <w:pStyle w:val="ListParagraph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заштиту ИКТ система Рачунарске мреже републичких органа (у даљем тексту: РМРО);</w:t>
      </w:r>
    </w:p>
    <w:p w:rsidR="0034692A" w:rsidRPr="005C213D" w:rsidRDefault="0034692A" w:rsidP="006F6499">
      <w:pPr>
        <w:pStyle w:val="ListParagraph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координацију и сарадњу са операторима ИКТ система које повезује РМРО у превенцији инцидената, откривању инцидената, прикупљању информација о инцидентима и отклањању последица инцидената;</w:t>
      </w:r>
    </w:p>
    <w:p w:rsidR="0034692A" w:rsidRPr="005C213D" w:rsidRDefault="0034692A" w:rsidP="006F6499">
      <w:pPr>
        <w:pStyle w:val="ListParagraph"/>
        <w:numPr>
          <w:ilvl w:val="0"/>
          <w:numId w:val="6"/>
        </w:numPr>
        <w:tabs>
          <w:tab w:val="left" w:pos="993"/>
        </w:tabs>
        <w:ind w:left="0"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издавање стручних препорука за заштиту ИКТ система републичких органа, осим ИКТ система за рад са тајним подацима.</w:t>
      </w:r>
    </w:p>
    <w:p w:rsidR="0034692A" w:rsidRPr="005C213D" w:rsidRDefault="0034692A" w:rsidP="009B00CA">
      <w:pPr>
        <w:ind w:firstLine="720"/>
        <w:jc w:val="both"/>
        <w:rPr>
          <w:rStyle w:val="longtext"/>
          <w:color w:val="000000"/>
          <w:lang w:val="sr-Cyrl-CS"/>
        </w:rPr>
      </w:pPr>
    </w:p>
    <w:p w:rsidR="0034692A" w:rsidRPr="005C213D" w:rsidRDefault="0034692A" w:rsidP="00C6756C">
      <w:pPr>
        <w:pStyle w:val="Heading3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 xml:space="preserve">Члан </w:t>
      </w:r>
      <w:r w:rsidRPr="005C213D">
        <w:rPr>
          <w:rStyle w:val="longtext"/>
          <w:color w:val="auto"/>
          <w:lang w:val="sr-Cyrl-CS"/>
        </w:rPr>
        <w:t>19.</w:t>
      </w:r>
    </w:p>
    <w:p w:rsidR="0034692A" w:rsidRPr="005C213D" w:rsidRDefault="0034692A" w:rsidP="00FB5842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 xml:space="preserve">Самостални оператори ИКТ система су у обавези да формирају сопствене центре за безбедност ИКТ система ради управљања инцидентима у својим системима. </w:t>
      </w:r>
    </w:p>
    <w:p w:rsidR="0034692A" w:rsidRPr="005C213D" w:rsidRDefault="0034692A" w:rsidP="00FB5842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Центри из става 1. овог члана међусобно размењују информације о инцидентима, као и са националним ЦЕРТ-ом и са ЦЕРТ-ом републичких органа, а по потреби и са другим организацијама.</w:t>
      </w:r>
    </w:p>
    <w:p w:rsidR="0034692A" w:rsidRPr="005C213D" w:rsidRDefault="0034692A" w:rsidP="002D7390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Делокруг центра за безбедност ИКТ система, као организационе јединице самосталног оператора ИКТ система, поред послова из ст. 1. и 2. овог члана, може обухватати:</w:t>
      </w:r>
    </w:p>
    <w:p w:rsidR="0034692A" w:rsidRPr="005C213D" w:rsidRDefault="0034692A" w:rsidP="002D7390">
      <w:pPr>
        <w:ind w:firstLine="720"/>
        <w:jc w:val="both"/>
        <w:rPr>
          <w:rStyle w:val="longtext"/>
          <w:lang w:val="sr-Cyrl-CS"/>
        </w:rPr>
      </w:pPr>
      <w:r>
        <w:rPr>
          <w:rStyle w:val="longtext"/>
          <w:lang w:val="sr-Cyrl-CS"/>
        </w:rPr>
        <w:t>1) израду</w:t>
      </w:r>
      <w:r w:rsidRPr="005C213D">
        <w:rPr>
          <w:rStyle w:val="longtext"/>
          <w:lang w:val="sr-Cyrl-CS"/>
        </w:rPr>
        <w:t xml:space="preserve"> интерних аката у области информационе безбедности;</w:t>
      </w:r>
    </w:p>
    <w:p w:rsidR="0034692A" w:rsidRPr="006F6499" w:rsidRDefault="0034692A" w:rsidP="00917B57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2) избор, тестирање и имплементација техничких, физичких и организационих мера заштите, опреме и програма</w:t>
      </w:r>
      <w:r>
        <w:rPr>
          <w:rStyle w:val="longtext"/>
          <w:lang w:val="sr-Cyrl-CS"/>
        </w:rPr>
        <w:t>;</w:t>
      </w:r>
    </w:p>
    <w:p w:rsidR="0034692A" w:rsidRPr="005C213D" w:rsidRDefault="0034692A" w:rsidP="00917B57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3) избор, тестирање и имплементацију мера заштите од КЕМЗ;</w:t>
      </w:r>
    </w:p>
    <w:p w:rsidR="0034692A" w:rsidRPr="005C213D" w:rsidRDefault="0034692A" w:rsidP="00917B57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4) надзор имплементације и примене безбедносних процедура;</w:t>
      </w:r>
    </w:p>
    <w:p w:rsidR="0034692A" w:rsidRPr="005C213D" w:rsidRDefault="0034692A" w:rsidP="00917B57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5) управљање и коришћење криптографских производа;</w:t>
      </w:r>
    </w:p>
    <w:p w:rsidR="0034692A" w:rsidRPr="005C213D" w:rsidRDefault="0034692A" w:rsidP="002D7390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6) анализу безбедности ИКТ система у циљу процене ризика;</w:t>
      </w:r>
    </w:p>
    <w:p w:rsidR="0034692A" w:rsidRPr="005C213D" w:rsidRDefault="0034692A" w:rsidP="002D7390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7) обуку запослених у области информационе безбедности.</w:t>
      </w:r>
    </w:p>
    <w:p w:rsidR="0034692A" w:rsidRPr="005C213D" w:rsidRDefault="0034692A" w:rsidP="00FB5842">
      <w:pPr>
        <w:ind w:firstLine="720"/>
        <w:jc w:val="both"/>
        <w:rPr>
          <w:rStyle w:val="longtext"/>
          <w:lang w:val="sr-Cyrl-CS"/>
        </w:rPr>
      </w:pPr>
    </w:p>
    <w:p w:rsidR="0034692A" w:rsidRPr="005C213D" w:rsidRDefault="0034692A" w:rsidP="00FB5842">
      <w:pPr>
        <w:ind w:firstLine="720"/>
        <w:jc w:val="both"/>
        <w:rPr>
          <w:rStyle w:val="longtext"/>
          <w:lang w:val="sr-Cyrl-CS"/>
        </w:rPr>
      </w:pPr>
    </w:p>
    <w:p w:rsidR="0034692A" w:rsidRPr="005C213D" w:rsidRDefault="0034692A" w:rsidP="001358CF">
      <w:pPr>
        <w:pStyle w:val="Heading1"/>
        <w:rPr>
          <w:rStyle w:val="longtext"/>
          <w:color w:val="auto"/>
          <w:lang w:val="sr-Cyrl-CS"/>
        </w:rPr>
      </w:pPr>
      <w:r w:rsidRPr="005C213D">
        <w:rPr>
          <w:rStyle w:val="longtext"/>
          <w:color w:val="auto"/>
          <w:lang w:val="sr-Cyrl-CS"/>
        </w:rPr>
        <w:t>IV. КРИПТОБЕЗБЕДНОСТ И ЗАШТИТA ОД КОМПРОМИТУЈУЋЕГ ЕЛЕКТРОМАГНЕТНОГ ЗРАЧЕЊА</w:t>
      </w:r>
    </w:p>
    <w:p w:rsidR="0034692A" w:rsidRPr="005C213D" w:rsidRDefault="0034692A" w:rsidP="001358CF">
      <w:pPr>
        <w:keepNext/>
        <w:keepLines/>
        <w:jc w:val="center"/>
        <w:rPr>
          <w:rStyle w:val="longtext"/>
          <w:b/>
          <w:bCs/>
          <w:color w:val="FF0000"/>
          <w:u w:val="single"/>
          <w:lang w:val="sr-Cyrl-CS"/>
        </w:rPr>
      </w:pPr>
    </w:p>
    <w:p w:rsidR="0034692A" w:rsidRPr="005C213D" w:rsidRDefault="0034692A" w:rsidP="00B01C5D">
      <w:pPr>
        <w:pStyle w:val="Heading2"/>
        <w:numPr>
          <w:ilvl w:val="1"/>
          <w:numId w:val="8"/>
        </w:numPr>
        <w:suppressAutoHyphens/>
        <w:rPr>
          <w:color w:val="auto"/>
          <w:lang w:val="sr-Cyrl-CS"/>
        </w:rPr>
      </w:pPr>
      <w:r w:rsidRPr="005C213D">
        <w:rPr>
          <w:color w:val="auto"/>
          <w:lang w:val="sr-Cyrl-CS"/>
        </w:rPr>
        <w:t xml:space="preserve">Надлежност </w:t>
      </w:r>
    </w:p>
    <w:p w:rsidR="0034692A" w:rsidRPr="005C213D" w:rsidRDefault="0034692A" w:rsidP="00B01C5D">
      <w:pPr>
        <w:keepNext/>
        <w:keepLines/>
        <w:jc w:val="center"/>
        <w:rPr>
          <w:b/>
          <w:lang w:val="sr-Cyrl-CS"/>
        </w:rPr>
      </w:pPr>
    </w:p>
    <w:p w:rsidR="0034692A" w:rsidRPr="005C213D" w:rsidRDefault="0034692A" w:rsidP="00D37C90">
      <w:pPr>
        <w:pStyle w:val="Heading3"/>
        <w:numPr>
          <w:ilvl w:val="2"/>
          <w:numId w:val="8"/>
        </w:numPr>
        <w:suppressAutoHyphens/>
        <w:rPr>
          <w:color w:val="auto"/>
          <w:lang w:val="sr-Cyrl-CS"/>
        </w:rPr>
      </w:pPr>
      <w:r w:rsidRPr="005C213D">
        <w:rPr>
          <w:color w:val="auto"/>
          <w:lang w:val="sr-Cyrl-CS"/>
        </w:rPr>
        <w:t>Члан 20.</w:t>
      </w:r>
    </w:p>
    <w:p w:rsidR="0034692A" w:rsidRPr="005C213D" w:rsidRDefault="0034692A" w:rsidP="00B01C5D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 xml:space="preserve">Министарство надлежно за послове одбране је надлежно за послове информационе безбедности који се односе на </w:t>
      </w:r>
      <w:r w:rsidRPr="005C213D">
        <w:rPr>
          <w:rStyle w:val="longtext"/>
          <w:lang w:val="sr-Cyrl-CS"/>
        </w:rPr>
        <w:t>одобравање криптографских производа, дистрибуцију криптоматеријала</w:t>
      </w:r>
      <w:r w:rsidRPr="005C213D">
        <w:rPr>
          <w:lang w:val="sr-Cyrl-CS"/>
        </w:rPr>
        <w:t xml:space="preserve"> и заштиту од компромитујућег електромагнетног зрачења и послове и задатке у складу са законом и прописима донетим на основу закона. </w:t>
      </w:r>
    </w:p>
    <w:p w:rsidR="0034692A" w:rsidRPr="005C213D" w:rsidRDefault="0034692A" w:rsidP="00B01C5D">
      <w:pPr>
        <w:rPr>
          <w:color w:val="0070C0"/>
          <w:u w:val="single"/>
          <w:lang w:val="sr-Cyrl-CS"/>
        </w:rPr>
      </w:pPr>
    </w:p>
    <w:p w:rsidR="0034692A" w:rsidRPr="005C213D" w:rsidRDefault="0034692A" w:rsidP="00B01C5D">
      <w:pPr>
        <w:pStyle w:val="Heading2"/>
        <w:numPr>
          <w:ilvl w:val="1"/>
          <w:numId w:val="8"/>
        </w:numPr>
        <w:suppressAutoHyphens/>
        <w:rPr>
          <w:color w:val="auto"/>
          <w:lang w:val="sr-Cyrl-CS"/>
        </w:rPr>
      </w:pPr>
      <w:r w:rsidRPr="005C213D">
        <w:rPr>
          <w:color w:val="auto"/>
          <w:lang w:val="sr-Cyrl-CS"/>
        </w:rPr>
        <w:lastRenderedPageBreak/>
        <w:t xml:space="preserve">Послови и задаци </w:t>
      </w:r>
    </w:p>
    <w:p w:rsidR="0034692A" w:rsidRPr="005C213D" w:rsidRDefault="0034692A" w:rsidP="00B01C5D">
      <w:pPr>
        <w:keepNext/>
        <w:keepLines/>
        <w:jc w:val="center"/>
        <w:rPr>
          <w:b/>
          <w:lang w:val="sr-Cyrl-CS"/>
        </w:rPr>
      </w:pPr>
    </w:p>
    <w:p w:rsidR="0034692A" w:rsidRPr="005C213D" w:rsidRDefault="0034692A" w:rsidP="00D37C90">
      <w:pPr>
        <w:pStyle w:val="Heading3"/>
        <w:numPr>
          <w:ilvl w:val="2"/>
          <w:numId w:val="8"/>
        </w:numPr>
        <w:suppressAutoHyphens/>
        <w:rPr>
          <w:color w:val="auto"/>
          <w:lang w:val="sr-Cyrl-CS"/>
        </w:rPr>
      </w:pPr>
      <w:r w:rsidRPr="005C213D">
        <w:rPr>
          <w:color w:val="auto"/>
          <w:lang w:val="sr-Cyrl-CS"/>
        </w:rPr>
        <w:t>Члан 21.</w:t>
      </w:r>
    </w:p>
    <w:p w:rsidR="0034692A" w:rsidRPr="005C213D" w:rsidRDefault="0034692A" w:rsidP="00AB55A2">
      <w:pPr>
        <w:tabs>
          <w:tab w:val="left" w:pos="5760"/>
        </w:tabs>
        <w:ind w:firstLine="720"/>
        <w:rPr>
          <w:lang w:val="sr-Cyrl-CS"/>
        </w:rPr>
      </w:pPr>
      <w:r w:rsidRPr="005C213D">
        <w:rPr>
          <w:lang w:val="sr-Cyrl-CS"/>
        </w:rPr>
        <w:t xml:space="preserve">У складу са овим законом, </w:t>
      </w:r>
      <w:r w:rsidRPr="005C213D">
        <w:rPr>
          <w:rStyle w:val="longtext"/>
          <w:lang w:val="sr-Cyrl-CS"/>
        </w:rPr>
        <w:t>министарство надлежно за послове одбране</w:t>
      </w:r>
      <w:r w:rsidRPr="005C213D">
        <w:rPr>
          <w:lang w:val="sr-Cyrl-CS"/>
        </w:rPr>
        <w:t>: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1) организује и реализује научноистраживачки рад у области криптографске безбедности и заштите од КЕМЗ;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 xml:space="preserve">2) развија, имплементира, верификује и класификује криптографске алгоритме; 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 xml:space="preserve">3) истражује, развија, верификује и класификује сопствене криптографске производе и решења заштите од КЕМЗ; 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 xml:space="preserve">4) верификује и класификује домаће и стране криптографске производе и решења заштите од КЕМЗ; 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5) дефинише процедуре и критеријуме за евалуацију криптографских безбедносних решења;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 xml:space="preserve">6) врши функцију националног органа за одобрења криптографских производа и обезбеђује да ти производи буду одобрени у складу са одговарајућим прописима; 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 xml:space="preserve">7) врши функцију националног органа за заштиту од КЕМЗ; 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8) врши проверу ИКТ система са аспекта криптобезбедности и заштите од КЕМЗ;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 xml:space="preserve">9) врши функцију националног органа за дистрибуцију криптоматеријала  и дефинише управљање, руковање, чување, дистрибуцију и евиденцију криптоматеријала у складу са прописима; 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10) планира и координира израду криптопараметара (параметара криптографског алгоритма), дистрибуцију криптоматеријала и заштите од компромитујућег електромагнетног зрачења у сарадњи са самосталним операторима ИКТ система;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11) формира и води централни регистар верификованог и дистрибуираног криптоматеријала;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12) формира и води регистар изадатих одобрења за криптографске производе;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 xml:space="preserve">13) израђује електронске сертификате за криптографске системe заснованe на инфраструктури јавних кључева (Public Key Infrastructure – PKI), 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14) предлаже доношење прописа из области криптобезбедности и заштите од КЕМЗ на основу овог закона;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15) врши послове стручног надзора у вези криптобезбедности и заштите од КЕМЗ;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 xml:space="preserve">16) пружа стручну помоћ носиоцу инспекцијског надзора информационе безбедности у области криптобезбедности и заштите од КЕМЗ; 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 xml:space="preserve">17) пружа услуге уз накнаду правним и физичким лицима, изван система јавне власти, у области криптобезбедности и заштите од КЕМЗ према пропису Владе на предлог министра одбране; 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18) сарађује са домаћим и међународним органима и организацијама у оквиру надлежности уређених овим законом.</w:t>
      </w:r>
    </w:p>
    <w:p w:rsidR="0034692A" w:rsidRPr="005C213D" w:rsidRDefault="0034692A" w:rsidP="00AB55A2">
      <w:pPr>
        <w:ind w:firstLine="709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Средства остварена од накнаде за пружање услуга из става 1. тачка 17) овог члана су приход буџета Републике Србије.</w:t>
      </w:r>
    </w:p>
    <w:p w:rsidR="0034692A" w:rsidRPr="005C213D" w:rsidRDefault="0034692A" w:rsidP="00AB55A2">
      <w:pPr>
        <w:tabs>
          <w:tab w:val="left" w:pos="-284"/>
        </w:tabs>
        <w:rPr>
          <w:rStyle w:val="longtext"/>
          <w:lang w:val="sr-Cyrl-CS"/>
        </w:rPr>
      </w:pPr>
    </w:p>
    <w:p w:rsidR="0034692A" w:rsidRPr="005C213D" w:rsidRDefault="0034692A" w:rsidP="00B01C5D">
      <w:pPr>
        <w:pStyle w:val="Heading2"/>
        <w:numPr>
          <w:ilvl w:val="1"/>
          <w:numId w:val="8"/>
        </w:numPr>
        <w:tabs>
          <w:tab w:val="left" w:pos="5760"/>
        </w:tabs>
        <w:suppressAutoHyphens/>
        <w:rPr>
          <w:rStyle w:val="longtext"/>
          <w:color w:val="auto"/>
          <w:lang w:val="sr-Cyrl-CS"/>
        </w:rPr>
      </w:pPr>
      <w:r w:rsidRPr="005C213D">
        <w:rPr>
          <w:rStyle w:val="longtext"/>
          <w:color w:val="auto"/>
          <w:lang w:val="sr-Cyrl-CS"/>
        </w:rPr>
        <w:t>Компромитујуће електромагнетно зрачење</w:t>
      </w:r>
    </w:p>
    <w:p w:rsidR="0034692A" w:rsidRPr="005C213D" w:rsidRDefault="0034692A" w:rsidP="00B01C5D">
      <w:pPr>
        <w:keepNext/>
        <w:keepLines/>
        <w:tabs>
          <w:tab w:val="left" w:pos="5760"/>
        </w:tabs>
        <w:jc w:val="center"/>
        <w:rPr>
          <w:rStyle w:val="longtext"/>
          <w:b/>
          <w:lang w:val="sr-Cyrl-CS"/>
        </w:rPr>
      </w:pPr>
    </w:p>
    <w:p w:rsidR="0034692A" w:rsidRPr="005C213D" w:rsidRDefault="0034692A" w:rsidP="00D37C90">
      <w:pPr>
        <w:pStyle w:val="Heading3"/>
        <w:numPr>
          <w:ilvl w:val="2"/>
          <w:numId w:val="8"/>
        </w:numPr>
        <w:tabs>
          <w:tab w:val="left" w:pos="5760"/>
        </w:tabs>
        <w:suppressAutoHyphens/>
        <w:rPr>
          <w:lang w:val="sr-Cyrl-CS"/>
        </w:rPr>
      </w:pPr>
      <w:r w:rsidRPr="005C213D">
        <w:rPr>
          <w:rStyle w:val="longtext"/>
          <w:color w:val="auto"/>
          <w:lang w:val="sr-Cyrl-CS"/>
        </w:rPr>
        <w:t>Члан 22.</w:t>
      </w:r>
    </w:p>
    <w:p w:rsidR="0034692A" w:rsidRPr="005C213D" w:rsidRDefault="0034692A" w:rsidP="00B01C5D">
      <w:pPr>
        <w:tabs>
          <w:tab w:val="left" w:pos="5760"/>
        </w:tabs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Мере заштите од КЕМЗ за руковање са тајним подацима у ИКТ системима примењују се у складу са прописима којима се уређује заштита тајних података.</w:t>
      </w:r>
    </w:p>
    <w:p w:rsidR="0034692A" w:rsidRPr="005C213D" w:rsidRDefault="0034692A" w:rsidP="00B01C5D">
      <w:pPr>
        <w:tabs>
          <w:tab w:val="left" w:pos="5760"/>
        </w:tabs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Мере заштите од КЕМЗ могу примењивати на сопствену иницијативу и оператори ИКТ система којима то није законска обавеза.</w:t>
      </w:r>
    </w:p>
    <w:p w:rsidR="0034692A" w:rsidRPr="005C213D" w:rsidRDefault="0034692A" w:rsidP="00B01C5D">
      <w:pPr>
        <w:tabs>
          <w:tab w:val="left" w:pos="5760"/>
        </w:tabs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lastRenderedPageBreak/>
        <w:t>За све техничке компоненте система (уређаје, комуникационе канале и просторе) код којих постоји ризик од КЕМЗ, а што би могло довести до нарушавања информационе безбедности из става 1. овог члана, врши се провера заштићености од КЕМЗ и процена ризика од неовлашћеног приступа тајним подацима путем КЕМЗ.</w:t>
      </w:r>
    </w:p>
    <w:p w:rsidR="0034692A" w:rsidRPr="005C213D" w:rsidRDefault="0034692A" w:rsidP="00B01C5D">
      <w:pPr>
        <w:tabs>
          <w:tab w:val="left" w:pos="5760"/>
        </w:tabs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 xml:space="preserve">Проверу заштићености од КЕМЗ врши министарство надлежно за послове одбране. </w:t>
      </w:r>
    </w:p>
    <w:p w:rsidR="0034692A" w:rsidRPr="005C213D" w:rsidRDefault="0034692A" w:rsidP="00B01C5D">
      <w:pPr>
        <w:tabs>
          <w:tab w:val="left" w:pos="5760"/>
        </w:tabs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Самостални оператори ИКТ система могу вршити проверу КЕМЗ за сопствене потребе.</w:t>
      </w:r>
    </w:p>
    <w:p w:rsidR="0034692A" w:rsidRPr="005C213D" w:rsidRDefault="0034692A" w:rsidP="00B01C5D">
      <w:pPr>
        <w:tabs>
          <w:tab w:val="left" w:pos="5760"/>
        </w:tabs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Ближе услове за проверу КЕМЗ и начин процене ризика од отицања података путем КЕМЗ уређује Влада, на предлог министарства надлежног за послове одбране.</w:t>
      </w:r>
    </w:p>
    <w:p w:rsidR="0034692A" w:rsidRPr="005C213D" w:rsidRDefault="0034692A" w:rsidP="00B01C5D">
      <w:pPr>
        <w:ind w:firstLine="720"/>
        <w:jc w:val="both"/>
        <w:rPr>
          <w:rStyle w:val="longtext"/>
          <w:color w:val="0070C0"/>
          <w:lang w:val="sr-Cyrl-CS"/>
        </w:rPr>
      </w:pPr>
    </w:p>
    <w:p w:rsidR="0034692A" w:rsidRPr="005C213D" w:rsidRDefault="0034692A" w:rsidP="00B01C5D">
      <w:pPr>
        <w:pStyle w:val="Heading2"/>
        <w:rPr>
          <w:rStyle w:val="longtext"/>
          <w:b w:val="0"/>
          <w:bCs/>
          <w:color w:val="auto"/>
          <w:lang w:val="sr-Cyrl-CS"/>
        </w:rPr>
      </w:pPr>
      <w:r w:rsidRPr="005C213D">
        <w:rPr>
          <w:rStyle w:val="longtext"/>
          <w:color w:val="auto"/>
          <w:lang w:val="sr-Cyrl-CS"/>
        </w:rPr>
        <w:t xml:space="preserve"> Мере криптозаштите</w:t>
      </w:r>
    </w:p>
    <w:p w:rsidR="0034692A" w:rsidRPr="005C213D" w:rsidRDefault="0034692A" w:rsidP="00B01C5D">
      <w:pPr>
        <w:keepNext/>
        <w:keepLines/>
        <w:jc w:val="center"/>
        <w:rPr>
          <w:rStyle w:val="longtext"/>
          <w:b/>
          <w:bCs/>
          <w:lang w:val="sr-Cyrl-CS"/>
        </w:rPr>
      </w:pPr>
    </w:p>
    <w:p w:rsidR="0034692A" w:rsidRPr="005C213D" w:rsidRDefault="0034692A" w:rsidP="00B01C5D">
      <w:pPr>
        <w:pStyle w:val="Heading3"/>
        <w:rPr>
          <w:rStyle w:val="longtext"/>
          <w:color w:val="auto"/>
          <w:lang w:val="sr-Cyrl-CS"/>
        </w:rPr>
      </w:pPr>
      <w:r w:rsidRPr="005C213D">
        <w:rPr>
          <w:rStyle w:val="longtext"/>
          <w:color w:val="auto"/>
          <w:lang w:val="sr-Cyrl-CS"/>
        </w:rPr>
        <w:t>Члан 23.</w:t>
      </w:r>
    </w:p>
    <w:p w:rsidR="0034692A" w:rsidRPr="005C213D" w:rsidRDefault="0034692A" w:rsidP="001322E9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Мере криптозаштите за руковање са тајним подацима у ИКТ системима примењују се у складу са прописима којима се уређује заштита тајних података.</w:t>
      </w:r>
    </w:p>
    <w:p w:rsidR="0034692A" w:rsidRPr="005C213D" w:rsidRDefault="0034692A" w:rsidP="00B01C5D">
      <w:pPr>
        <w:ind w:firstLine="720"/>
        <w:jc w:val="both"/>
        <w:rPr>
          <w:rStyle w:val="longtext"/>
          <w:color w:val="FF0000"/>
          <w:lang w:val="sr-Cyrl-CS"/>
        </w:rPr>
      </w:pPr>
      <w:r w:rsidRPr="005C213D">
        <w:rPr>
          <w:rStyle w:val="longtext"/>
          <w:lang w:val="sr-Cyrl-CS"/>
        </w:rPr>
        <w:t>Мере криптозаштите се могу применити и приликом преноса и чувања података који нису означени као тајни у складу са законом који уређује тајност података, када је на основу закона или другог правног акта потребно применити техничке мере  ограничења приступа подацима и ради заштите интегритета, аутентичности и непорецивости података.</w:t>
      </w:r>
    </w:p>
    <w:p w:rsidR="0034692A" w:rsidRPr="005C213D" w:rsidRDefault="0034692A" w:rsidP="00B01C5D">
      <w:pPr>
        <w:ind w:firstLine="709"/>
        <w:jc w:val="both"/>
        <w:rPr>
          <w:rStyle w:val="longtext"/>
          <w:color w:val="0070C0"/>
          <w:lang w:val="sr-Cyrl-CS"/>
        </w:rPr>
      </w:pPr>
      <w:r w:rsidRPr="005C213D">
        <w:rPr>
          <w:rStyle w:val="longtext"/>
          <w:color w:val="0070C0"/>
          <w:lang w:val="sr-Cyrl-CS"/>
        </w:rPr>
        <w:tab/>
      </w:r>
      <w:r w:rsidRPr="005C213D">
        <w:rPr>
          <w:rStyle w:val="longtext"/>
          <w:lang w:val="sr-Cyrl-CS"/>
        </w:rPr>
        <w:t>Влада, на предлог министарства надлежног за послове одбране уређује техничке услове за криптографске алгоритме, параметре, протоколе и информациона добра у области криптозаштите који се у Републици Србији користе у криптографским производима ради заштите тајности, интегритета, аутентичности, односно непорецивости података.</w:t>
      </w:r>
      <w:r w:rsidRPr="005C213D">
        <w:rPr>
          <w:rStyle w:val="longtext"/>
          <w:color w:val="0070C0"/>
          <w:lang w:val="sr-Cyrl-CS"/>
        </w:rPr>
        <w:t xml:space="preserve"> </w:t>
      </w:r>
    </w:p>
    <w:p w:rsidR="0034692A" w:rsidRPr="005C213D" w:rsidRDefault="0034692A" w:rsidP="00B01C5D">
      <w:pPr>
        <w:rPr>
          <w:rStyle w:val="longtext"/>
          <w:color w:val="0070C0"/>
          <w:lang w:val="sr-Cyrl-CS"/>
        </w:rPr>
      </w:pPr>
    </w:p>
    <w:p w:rsidR="0034692A" w:rsidRPr="005C213D" w:rsidRDefault="0034692A" w:rsidP="00B01C5D">
      <w:pPr>
        <w:pStyle w:val="Heading2"/>
        <w:rPr>
          <w:rStyle w:val="longtext"/>
          <w:b w:val="0"/>
          <w:bCs/>
          <w:color w:val="auto"/>
          <w:lang w:val="sr-Cyrl-CS"/>
        </w:rPr>
      </w:pPr>
      <w:r w:rsidRPr="005C213D">
        <w:rPr>
          <w:rStyle w:val="longtext"/>
          <w:color w:val="auto"/>
          <w:lang w:val="sr-Cyrl-CS"/>
        </w:rPr>
        <w:t>Одобрење за криптографски производ</w:t>
      </w:r>
    </w:p>
    <w:p w:rsidR="0034692A" w:rsidRPr="005C213D" w:rsidRDefault="0034692A" w:rsidP="00B01C5D">
      <w:pPr>
        <w:keepNext/>
        <w:keepLines/>
        <w:rPr>
          <w:lang w:val="sr-Cyrl-CS"/>
        </w:rPr>
      </w:pPr>
    </w:p>
    <w:p w:rsidR="0034692A" w:rsidRPr="005C213D" w:rsidRDefault="0034692A" w:rsidP="00B01C5D">
      <w:pPr>
        <w:pStyle w:val="Heading3"/>
        <w:rPr>
          <w:rStyle w:val="longtext"/>
          <w:color w:val="auto"/>
          <w:lang w:val="sr-Cyrl-CS"/>
        </w:rPr>
      </w:pPr>
      <w:r w:rsidRPr="005C213D">
        <w:rPr>
          <w:rStyle w:val="longtext"/>
          <w:color w:val="auto"/>
          <w:lang w:val="sr-Cyrl-CS"/>
        </w:rPr>
        <w:t>Члан 24.</w:t>
      </w:r>
    </w:p>
    <w:p w:rsidR="0034692A" w:rsidRPr="005C213D" w:rsidRDefault="0034692A" w:rsidP="00B01C5D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Криптографски производи који се користе за заштиту преноса и чувања података који су одређени као тајни, у складу са законом, морају бити верификовани и одобрени за коришћење.</w:t>
      </w:r>
    </w:p>
    <w:p w:rsidR="0034692A" w:rsidRPr="005C213D" w:rsidRDefault="0034692A" w:rsidP="00B01C5D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Влада, на предлог министарства надлежног за послове одбране, ближе уређује услове које морају да испуњавају криптографски производи из става 1. овог члана.</w:t>
      </w:r>
    </w:p>
    <w:p w:rsidR="0034692A" w:rsidRPr="005C213D" w:rsidRDefault="0034692A" w:rsidP="00B01C5D">
      <w:pPr>
        <w:jc w:val="both"/>
        <w:rPr>
          <w:rStyle w:val="longtext"/>
          <w:color w:val="0070C0"/>
          <w:lang w:val="sr-Cyrl-CS"/>
        </w:rPr>
      </w:pPr>
    </w:p>
    <w:p w:rsidR="0034692A" w:rsidRPr="005C213D" w:rsidRDefault="0034692A" w:rsidP="00B01C5D">
      <w:pPr>
        <w:pStyle w:val="Heading2"/>
        <w:rPr>
          <w:rStyle w:val="longtext"/>
          <w:color w:val="auto"/>
          <w:lang w:val="sr-Cyrl-CS"/>
        </w:rPr>
      </w:pPr>
      <w:r w:rsidRPr="005C213D">
        <w:rPr>
          <w:rStyle w:val="longtext"/>
          <w:color w:val="auto"/>
          <w:lang w:val="sr-Cyrl-CS"/>
        </w:rPr>
        <w:t>Издавање одобрења за криптографски производ</w:t>
      </w:r>
    </w:p>
    <w:p w:rsidR="0034692A" w:rsidRPr="005C213D" w:rsidRDefault="0034692A" w:rsidP="00B01C5D">
      <w:pPr>
        <w:keepNext/>
        <w:keepLines/>
        <w:jc w:val="center"/>
        <w:rPr>
          <w:rStyle w:val="longtext"/>
          <w:lang w:val="sr-Cyrl-CS"/>
        </w:rPr>
      </w:pPr>
    </w:p>
    <w:p w:rsidR="0034692A" w:rsidRPr="005C213D" w:rsidRDefault="0034692A" w:rsidP="00B01C5D">
      <w:pPr>
        <w:pStyle w:val="Heading3"/>
        <w:rPr>
          <w:rStyle w:val="longtext"/>
          <w:color w:val="auto"/>
          <w:lang w:val="sr-Cyrl-CS"/>
        </w:rPr>
      </w:pPr>
      <w:r w:rsidRPr="005C213D">
        <w:rPr>
          <w:rStyle w:val="longtext"/>
          <w:color w:val="auto"/>
          <w:lang w:val="sr-Cyrl-CS"/>
        </w:rPr>
        <w:t>Члан 25.</w:t>
      </w:r>
    </w:p>
    <w:p w:rsidR="0034692A" w:rsidRPr="005C213D" w:rsidRDefault="0034692A" w:rsidP="001322E9">
      <w:pPr>
        <w:keepNext/>
        <w:keepLines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ab/>
        <w:t>Oдобрење за криптографски производ издаје министарство надлежно за послове одбране, на захтев оператора ИКТ система, произвођача криптографског производа или другог заинтересованог лица.</w:t>
      </w:r>
    </w:p>
    <w:p w:rsidR="0034692A" w:rsidRPr="005C213D" w:rsidRDefault="0034692A" w:rsidP="001322E9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Одобрење за криптографски производ се може односити на појединачни примерак криптографског производа или на одређени модел криптографског производа који се серијски производи.</w:t>
      </w:r>
    </w:p>
    <w:p w:rsidR="0034692A" w:rsidRPr="005C213D" w:rsidRDefault="0034692A" w:rsidP="00B01C5D">
      <w:pPr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ab/>
        <w:t>Одобрење за криптографски производ може имати рок важења.</w:t>
      </w:r>
    </w:p>
    <w:p w:rsidR="0034692A" w:rsidRPr="005C213D" w:rsidRDefault="0034692A" w:rsidP="00B01C5D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Министарство надлежно за послове одбране решава по захтеву за издавање одобрења за криптографски производ у року од 60 дана од дана подношења уредног захтева, који се може продужити у случају посебне сложености провере највише за још 90 дана.</w:t>
      </w:r>
    </w:p>
    <w:p w:rsidR="0034692A" w:rsidRPr="005C213D" w:rsidRDefault="0034692A" w:rsidP="00B01C5D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lastRenderedPageBreak/>
        <w:t xml:space="preserve">Против решења из става 4. овог члана жалба није допуштена, али може да се покрене управни спор. </w:t>
      </w:r>
    </w:p>
    <w:p w:rsidR="0034692A" w:rsidRPr="005C213D" w:rsidRDefault="0034692A" w:rsidP="00BB2966">
      <w:pPr>
        <w:ind w:firstLine="720"/>
        <w:jc w:val="both"/>
        <w:rPr>
          <w:lang w:val="sr-Cyrl-CS"/>
        </w:rPr>
      </w:pPr>
      <w:r w:rsidRPr="005C213D">
        <w:rPr>
          <w:rStyle w:val="longtext"/>
          <w:lang w:val="sr-Cyrl-CS"/>
        </w:rPr>
        <w:t xml:space="preserve">Министарство надлежно за послове одбране </w:t>
      </w:r>
      <w:r w:rsidRPr="005C213D">
        <w:rPr>
          <w:lang w:val="sr-Cyrl-CS"/>
        </w:rPr>
        <w:t>води регистар издатих одобрења за криптографски производ.</w:t>
      </w:r>
    </w:p>
    <w:p w:rsidR="0034692A" w:rsidRPr="005C213D" w:rsidRDefault="0034692A" w:rsidP="00F94A55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Регистар из става 6. овог члана од података о личности садржи податке о одговорним лицима, и то: име, презиме, функција и контакт податке као што су адреса, број телефона и адреса електронске поште.</w:t>
      </w:r>
    </w:p>
    <w:p w:rsidR="0034692A" w:rsidRPr="005C213D" w:rsidRDefault="0034692A" w:rsidP="00B01C5D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 xml:space="preserve">Министарство надлежно за послове одбране </w:t>
      </w:r>
      <w:r w:rsidRPr="005C213D">
        <w:rPr>
          <w:lang w:val="sr-Cyrl-CS"/>
        </w:rPr>
        <w:t>објављује јавну листу одобрених модела криптографских производа за све моделе криптографских производа за које је у захтеву за издавање одобрења наглашено да модел криптографског производа треба да буде на јавној листи и ако је захтев поднео произвођач или лице овлашћено од стране произвођача предметног криптографског производа.</w:t>
      </w:r>
    </w:p>
    <w:p w:rsidR="0034692A" w:rsidRPr="005C213D" w:rsidRDefault="0034692A" w:rsidP="00B01C5D">
      <w:pPr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ab/>
        <w:t xml:space="preserve">Министарство надлежно за послове одбране претходно издато одобрење за криптографски производ може повући или променити услове из ст. 3. и 4. овог члана из разлога нових сазнања везаних за техничка решења примењена у производу, а која утичу на оцену степена заштите који пружа производ. </w:t>
      </w:r>
    </w:p>
    <w:p w:rsidR="0034692A" w:rsidRPr="005C213D" w:rsidRDefault="0034692A" w:rsidP="00B01C5D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Влада, на предлог министарства надлежног за послове одбране, ближе уређује садржај захтева за издавање одобрења за криптографски производ, услове за издавање одобрења за криптографски производ, начин издавања одобрења и садржај регистра издатих одобрења за криптографски производ.</w:t>
      </w:r>
    </w:p>
    <w:p w:rsidR="0034692A" w:rsidRPr="005C213D" w:rsidRDefault="0034692A" w:rsidP="00B01C5D">
      <w:pPr>
        <w:jc w:val="both"/>
        <w:rPr>
          <w:rStyle w:val="longtext"/>
          <w:color w:val="0070C0"/>
          <w:lang w:val="sr-Cyrl-CS"/>
        </w:rPr>
      </w:pPr>
    </w:p>
    <w:p w:rsidR="0034692A" w:rsidRPr="005C213D" w:rsidRDefault="0034692A" w:rsidP="00B01C5D">
      <w:pPr>
        <w:pStyle w:val="Heading2"/>
        <w:rPr>
          <w:rStyle w:val="longtext"/>
          <w:color w:val="auto"/>
          <w:lang w:val="sr-Cyrl-CS"/>
        </w:rPr>
      </w:pPr>
      <w:r w:rsidRPr="005C213D">
        <w:rPr>
          <w:rStyle w:val="longtext"/>
          <w:color w:val="auto"/>
          <w:lang w:val="sr-Cyrl-CS"/>
        </w:rPr>
        <w:t>Опште одобрење за коришћење криптографских производа</w:t>
      </w:r>
    </w:p>
    <w:p w:rsidR="0034692A" w:rsidRPr="005C213D" w:rsidRDefault="0034692A" w:rsidP="00B01C5D">
      <w:pPr>
        <w:keepNext/>
        <w:keepLines/>
        <w:jc w:val="center"/>
        <w:rPr>
          <w:rStyle w:val="longtext"/>
          <w:lang w:val="sr-Cyrl-CS"/>
        </w:rPr>
      </w:pPr>
    </w:p>
    <w:p w:rsidR="0034692A" w:rsidRPr="005C213D" w:rsidRDefault="0034692A" w:rsidP="00B01C5D">
      <w:pPr>
        <w:pStyle w:val="Heading3"/>
        <w:rPr>
          <w:rStyle w:val="longtext"/>
          <w:color w:val="auto"/>
          <w:lang w:val="sr-Cyrl-CS"/>
        </w:rPr>
      </w:pPr>
      <w:r w:rsidRPr="005C213D">
        <w:rPr>
          <w:rStyle w:val="longtext"/>
          <w:color w:val="auto"/>
          <w:lang w:val="sr-Cyrl-CS"/>
        </w:rPr>
        <w:t>Члан 26.</w:t>
      </w:r>
    </w:p>
    <w:p w:rsidR="0034692A" w:rsidRPr="005C213D" w:rsidRDefault="0034692A" w:rsidP="00B01C5D">
      <w:pPr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ab/>
      </w:r>
      <w:r w:rsidRPr="005C213D">
        <w:rPr>
          <w:lang w:val="sr-Cyrl-CS"/>
        </w:rPr>
        <w:t>Самостални оператори ИКТ система</w:t>
      </w:r>
      <w:r w:rsidRPr="005C213D">
        <w:rPr>
          <w:rStyle w:val="longtext"/>
          <w:lang w:val="sr-Cyrl-CS"/>
        </w:rPr>
        <w:t xml:space="preserve"> имају опште одобрење за коришћење криптографских производа</w:t>
      </w:r>
      <w:r w:rsidRPr="005C213D">
        <w:rPr>
          <w:lang w:val="sr-Cyrl-CS"/>
        </w:rPr>
        <w:t>.</w:t>
      </w:r>
    </w:p>
    <w:p w:rsidR="0034692A" w:rsidRPr="005C213D" w:rsidRDefault="0034692A" w:rsidP="00B01C5D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Оператор ИКТ система из става 1. овог члана самостално оцењује степен заштите који пружа сваки појединачни криптографски производ који користи, а у складу са прописаним условима.</w:t>
      </w:r>
    </w:p>
    <w:p w:rsidR="0034692A" w:rsidRPr="005C213D" w:rsidRDefault="0034692A" w:rsidP="00B01C5D">
      <w:pPr>
        <w:ind w:firstLine="720"/>
        <w:jc w:val="both"/>
        <w:rPr>
          <w:rStyle w:val="longtext"/>
          <w:color w:val="0070C0"/>
          <w:lang w:val="sr-Cyrl-CS"/>
        </w:rPr>
      </w:pPr>
    </w:p>
    <w:p w:rsidR="0034692A" w:rsidRPr="005C213D" w:rsidRDefault="0034692A" w:rsidP="00B01C5D">
      <w:pPr>
        <w:pStyle w:val="Heading2"/>
        <w:rPr>
          <w:rStyle w:val="longtext"/>
          <w:color w:val="auto"/>
          <w:lang w:val="sr-Cyrl-CS"/>
        </w:rPr>
      </w:pPr>
      <w:r w:rsidRPr="005C213D">
        <w:rPr>
          <w:rStyle w:val="longtext"/>
          <w:color w:val="auto"/>
          <w:lang w:val="sr-Cyrl-CS"/>
        </w:rPr>
        <w:t xml:space="preserve">Регистри у криптозаштити </w:t>
      </w:r>
    </w:p>
    <w:p w:rsidR="0034692A" w:rsidRPr="005C213D" w:rsidRDefault="0034692A" w:rsidP="00B01C5D">
      <w:pPr>
        <w:jc w:val="center"/>
        <w:rPr>
          <w:rStyle w:val="longtext"/>
          <w:lang w:val="sr-Cyrl-CS"/>
        </w:rPr>
      </w:pPr>
    </w:p>
    <w:p w:rsidR="0034692A" w:rsidRPr="005C213D" w:rsidRDefault="0034692A" w:rsidP="00B01C5D">
      <w:pPr>
        <w:pStyle w:val="Heading3"/>
        <w:rPr>
          <w:rStyle w:val="longtext"/>
          <w:color w:val="auto"/>
          <w:lang w:val="sr-Cyrl-CS"/>
        </w:rPr>
      </w:pPr>
      <w:r w:rsidRPr="005C213D">
        <w:rPr>
          <w:rStyle w:val="longtext"/>
          <w:color w:val="auto"/>
          <w:lang w:val="sr-Cyrl-CS"/>
        </w:rPr>
        <w:t>Члан 27.</w:t>
      </w:r>
    </w:p>
    <w:p w:rsidR="0034692A" w:rsidRPr="005C213D" w:rsidRDefault="0034692A" w:rsidP="001322E9">
      <w:pPr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ab/>
        <w:t>Самостални оператори ИКТ система који имају опште одобрење за коришћење криптографских производа устројавају и воде регистре криптографских производа, криптоматеријала, правила и прописа и лица која обављају послове криптозаштите.</w:t>
      </w:r>
    </w:p>
    <w:p w:rsidR="0034692A" w:rsidRPr="005C213D" w:rsidRDefault="0034692A" w:rsidP="001322E9">
      <w:pPr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ab/>
        <w:t xml:space="preserve">Регистар </w:t>
      </w:r>
      <w:r>
        <w:rPr>
          <w:rStyle w:val="longtext"/>
          <w:lang w:val="sr-Cyrl-CS"/>
        </w:rPr>
        <w:t>лица која обављ</w:t>
      </w:r>
      <w:r w:rsidRPr="005C213D">
        <w:rPr>
          <w:rStyle w:val="longtext"/>
          <w:lang w:val="sr-Cyrl-CS"/>
        </w:rPr>
        <w:t>ају послове криптозаштите од података о личности садржи следеће податке о лицима која обављају послове криптозаштите: презиме, име оца и име, датум и место рођења, матични број, телефон,  адресу електронске поште, школску спрему, податке о завршеном стручном оспособљавању за послове криптозаштите, назив радног места, датум почетка и завршетка рада на пословима криптозаштите.</w:t>
      </w:r>
    </w:p>
    <w:p w:rsidR="0034692A" w:rsidRPr="005C213D" w:rsidRDefault="0034692A" w:rsidP="0067231E">
      <w:pPr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ab/>
        <w:t>Регистар криптоматеријала за руковање са страним тајним подацима води Канцеларија Савета за националну безбедност и заштиту тајних података, у складу са ратификованим међународним споразумима.</w:t>
      </w:r>
    </w:p>
    <w:p w:rsidR="0034692A" w:rsidRPr="005C213D" w:rsidRDefault="0034692A" w:rsidP="00B01C5D">
      <w:pPr>
        <w:ind w:firstLine="720"/>
        <w:jc w:val="both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Влада, на предлог министарства надлежног за послове одбране, ближе уређује вођење регистара из ст</w:t>
      </w:r>
      <w:r>
        <w:rPr>
          <w:rStyle w:val="longtext"/>
          <w:lang w:val="sr-Cyrl-CS"/>
        </w:rPr>
        <w:t>ава</w:t>
      </w:r>
      <w:r w:rsidRPr="005C213D">
        <w:rPr>
          <w:rStyle w:val="longtext"/>
          <w:lang w:val="sr-Cyrl-CS"/>
        </w:rPr>
        <w:t xml:space="preserve"> 1. овог члана.</w:t>
      </w:r>
    </w:p>
    <w:p w:rsidR="0034692A" w:rsidRPr="005C213D" w:rsidRDefault="0034692A" w:rsidP="004E5044">
      <w:pPr>
        <w:pStyle w:val="Heading1"/>
        <w:rPr>
          <w:rStyle w:val="longtext"/>
          <w:lang w:val="sr-Cyrl-CS"/>
        </w:rPr>
      </w:pPr>
      <w:r>
        <w:rPr>
          <w:rStyle w:val="longtext"/>
          <w:lang w:val="sr-Cyrl-CS"/>
        </w:rPr>
        <w:lastRenderedPageBreak/>
        <w:t>V</w:t>
      </w:r>
      <w:r w:rsidRPr="005C213D">
        <w:rPr>
          <w:rStyle w:val="longtext"/>
          <w:lang w:val="sr-Cyrl-CS"/>
        </w:rPr>
        <w:t>. ИНСПЕКЦИЈА ЗА ИНФОРМАЦИОНУ БЕЗБЕДНОСТ</w:t>
      </w:r>
    </w:p>
    <w:p w:rsidR="0034692A" w:rsidRPr="005C213D" w:rsidRDefault="0034692A" w:rsidP="004E5044">
      <w:pPr>
        <w:keepNext/>
        <w:keepLines/>
        <w:rPr>
          <w:lang w:val="sr-Cyrl-CS"/>
        </w:rPr>
      </w:pPr>
    </w:p>
    <w:p w:rsidR="0034692A" w:rsidRPr="005C213D" w:rsidRDefault="0034692A" w:rsidP="004E5044">
      <w:pPr>
        <w:pStyle w:val="Heading2"/>
        <w:rPr>
          <w:lang w:val="sr-Cyrl-CS"/>
        </w:rPr>
      </w:pPr>
      <w:r w:rsidRPr="005C213D">
        <w:rPr>
          <w:lang w:val="sr-Cyrl-CS"/>
        </w:rPr>
        <w:t>Послови инспекције за информациону безбедност</w:t>
      </w:r>
    </w:p>
    <w:p w:rsidR="0034692A" w:rsidRPr="005C213D" w:rsidRDefault="0034692A" w:rsidP="004E5044">
      <w:pPr>
        <w:keepNext/>
        <w:keepLines/>
        <w:rPr>
          <w:lang w:val="sr-Cyrl-CS"/>
        </w:rPr>
      </w:pPr>
    </w:p>
    <w:p w:rsidR="0034692A" w:rsidRPr="005C213D" w:rsidRDefault="0034692A" w:rsidP="004E5044">
      <w:pPr>
        <w:pStyle w:val="Heading3"/>
        <w:rPr>
          <w:lang w:val="sr-Cyrl-CS"/>
        </w:rPr>
      </w:pPr>
      <w:r w:rsidRPr="005C213D">
        <w:rPr>
          <w:lang w:val="sr-Cyrl-CS"/>
        </w:rPr>
        <w:t>Члан 28.</w:t>
      </w:r>
    </w:p>
    <w:p w:rsidR="0034692A" w:rsidRPr="005C213D" w:rsidRDefault="0034692A" w:rsidP="008A3195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Инспекција за информациону безбедност врши инспекцијски надзор над применом овог закона и радом оператора ИКТ система од посебног значаја, осим самосталних оператора ИКТ система и ИКТ система за рад са тајним подацима, а у складу са законом којим се уређује инспекцијски надзор.</w:t>
      </w:r>
    </w:p>
    <w:p w:rsidR="0034692A" w:rsidRPr="005C213D" w:rsidRDefault="0034692A" w:rsidP="00E975F2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Послове инспекције за информациону безбедност обавља министарство надлежно за послове информационе безбедности преко инспектора за информациону безбедност.</w:t>
      </w:r>
    </w:p>
    <w:p w:rsidR="0034692A" w:rsidRPr="005C213D" w:rsidRDefault="0034692A" w:rsidP="007F665A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У оквиру инспекцијског надзора рада оператора ИКТ система, инспектор за информациону безбедност утврђује да ли су испуњени услови прописани овим законом и прописима донетим на основу овог закона.</w:t>
      </w:r>
    </w:p>
    <w:p w:rsidR="0034692A" w:rsidRPr="005C213D" w:rsidRDefault="0034692A" w:rsidP="004C24DB">
      <w:pPr>
        <w:rPr>
          <w:lang w:val="sr-Cyrl-CS"/>
        </w:rPr>
      </w:pPr>
    </w:p>
    <w:p w:rsidR="0034692A" w:rsidRPr="005C213D" w:rsidRDefault="0034692A" w:rsidP="003D126A">
      <w:pPr>
        <w:pStyle w:val="Heading2"/>
        <w:rPr>
          <w:lang w:val="sr-Cyrl-CS"/>
        </w:rPr>
      </w:pPr>
      <w:r w:rsidRPr="005C213D">
        <w:rPr>
          <w:lang w:val="sr-Cyrl-CS"/>
        </w:rPr>
        <w:t>Овлашћења инспектора за информациону безбедност</w:t>
      </w:r>
    </w:p>
    <w:p w:rsidR="0034692A" w:rsidRPr="005C213D" w:rsidRDefault="0034692A" w:rsidP="003D126A">
      <w:pPr>
        <w:keepNext/>
        <w:keepLines/>
        <w:jc w:val="center"/>
        <w:rPr>
          <w:lang w:val="sr-Cyrl-CS"/>
        </w:rPr>
      </w:pPr>
    </w:p>
    <w:p w:rsidR="0034692A" w:rsidRPr="005C213D" w:rsidRDefault="0034692A" w:rsidP="003D126A">
      <w:pPr>
        <w:pStyle w:val="Heading3"/>
        <w:rPr>
          <w:lang w:val="sr-Cyrl-CS"/>
        </w:rPr>
      </w:pPr>
      <w:r w:rsidRPr="005C213D">
        <w:rPr>
          <w:lang w:val="sr-Cyrl-CS"/>
        </w:rPr>
        <w:t>Члан 29.</w:t>
      </w:r>
    </w:p>
    <w:p w:rsidR="0034692A" w:rsidRPr="005C213D" w:rsidRDefault="0034692A" w:rsidP="006E5B7D">
      <w:pPr>
        <w:pStyle w:val="ListParagraph"/>
        <w:tabs>
          <w:tab w:val="left" w:pos="1134"/>
        </w:tabs>
        <w:ind w:left="0" w:firstLine="720"/>
        <w:jc w:val="both"/>
        <w:rPr>
          <w:lang w:val="sr-Cyrl-CS"/>
        </w:rPr>
      </w:pPr>
      <w:r w:rsidRPr="005C213D">
        <w:rPr>
          <w:lang w:val="sr-Cyrl-CS"/>
        </w:rPr>
        <w:t>Инспектор за информациону безбедност је овлашћен да у поступку спровођења надзора, поред налагања мера на које је овлашћен инспектор у поступку вршења инспекцијског надзора утврђених законом:</w:t>
      </w:r>
    </w:p>
    <w:p w:rsidR="0034692A" w:rsidRPr="005C213D" w:rsidRDefault="0034692A" w:rsidP="006E5B7D">
      <w:pPr>
        <w:pStyle w:val="ListParagraph"/>
        <w:tabs>
          <w:tab w:val="left" w:pos="1134"/>
        </w:tabs>
        <w:ind w:left="0" w:firstLine="720"/>
        <w:jc w:val="both"/>
        <w:rPr>
          <w:lang w:val="sr-Cyrl-CS"/>
        </w:rPr>
      </w:pPr>
      <w:r w:rsidRPr="005C213D">
        <w:rPr>
          <w:lang w:val="sr-Cyrl-CS"/>
        </w:rPr>
        <w:t>1) наложи отклањањање утврђених неправилности и за то остави рок;</w:t>
      </w:r>
    </w:p>
    <w:p w:rsidR="0034692A" w:rsidRPr="005C213D" w:rsidRDefault="0034692A" w:rsidP="006E5B7D">
      <w:pPr>
        <w:pStyle w:val="ListParagraph"/>
        <w:tabs>
          <w:tab w:val="left" w:pos="1134"/>
        </w:tabs>
        <w:ind w:left="0" w:firstLine="720"/>
        <w:jc w:val="both"/>
        <w:rPr>
          <w:lang w:val="sr-Cyrl-CS"/>
        </w:rPr>
      </w:pPr>
      <w:r w:rsidRPr="005C213D">
        <w:rPr>
          <w:lang w:val="sr-Cyrl-CS"/>
        </w:rPr>
        <w:t>2) забрани коришћење поступака и техничких средстава којима се угрожава или нарушава информациона безбедност и за то остави рок.</w:t>
      </w:r>
    </w:p>
    <w:p w:rsidR="0034692A" w:rsidRPr="005C213D" w:rsidRDefault="0034692A" w:rsidP="008119E1">
      <w:pPr>
        <w:pStyle w:val="Heading1"/>
        <w:rPr>
          <w:rStyle w:val="longtext"/>
          <w:lang w:val="sr-Cyrl-CS"/>
        </w:rPr>
      </w:pPr>
    </w:p>
    <w:p w:rsidR="0034692A" w:rsidRPr="005C213D" w:rsidRDefault="0034692A" w:rsidP="00F63371">
      <w:pPr>
        <w:pStyle w:val="Heading2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VI. КАЗНЕНЕ ОДРЕДБЕ</w:t>
      </w:r>
    </w:p>
    <w:p w:rsidR="0034692A" w:rsidRPr="005C213D" w:rsidRDefault="0034692A" w:rsidP="008119E1">
      <w:pPr>
        <w:pStyle w:val="Heading1"/>
        <w:rPr>
          <w:rStyle w:val="longtext"/>
          <w:lang w:val="sr-Cyrl-CS"/>
        </w:rPr>
      </w:pPr>
    </w:p>
    <w:p w:rsidR="0034692A" w:rsidRPr="005C213D" w:rsidRDefault="0034692A" w:rsidP="00CF66BA">
      <w:pPr>
        <w:pStyle w:val="Heading3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Члан 30.</w:t>
      </w:r>
    </w:p>
    <w:p w:rsidR="0034692A" w:rsidRPr="005C213D" w:rsidRDefault="0034692A" w:rsidP="00DF0223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lang w:val="sr-Cyrl-CS"/>
        </w:rPr>
        <w:t>Новчаном казном у износу од 50.000,00 до 2.000.000,00 динара казниће се за прекршај правно лице ако:</w:t>
      </w:r>
    </w:p>
    <w:p w:rsidR="0034692A" w:rsidRPr="005C213D" w:rsidRDefault="0034692A" w:rsidP="000E1351">
      <w:pPr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ab/>
        <w:t>1) не донесе Акт о безбедности ИКТ система из члана 8. став 1. овог закона;</w:t>
      </w:r>
    </w:p>
    <w:p w:rsidR="0034692A" w:rsidRPr="005C213D" w:rsidRDefault="0034692A" w:rsidP="000E1351">
      <w:pPr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ab/>
        <w:t>2) не примени мере заштите одређене Актом о безбедности ИКТ система из члана 8. став 2. овог закона;</w:t>
      </w:r>
    </w:p>
    <w:p w:rsidR="0034692A" w:rsidRPr="005C213D" w:rsidRDefault="0034692A" w:rsidP="00FD0FF3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3) не изврши проверу усклађености примењених мера из члана 8. став 4. овог закона;</w:t>
      </w:r>
    </w:p>
    <w:p w:rsidR="0034692A" w:rsidRPr="005C213D" w:rsidRDefault="0034692A" w:rsidP="000E1351">
      <w:pPr>
        <w:jc w:val="both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ab/>
        <w:t xml:space="preserve">4) не поступи по налогу инспектора за информациону безбедност у остављеном року из члана </w:t>
      </w:r>
      <w:r>
        <w:rPr>
          <w:rStyle w:val="longtext"/>
          <w:color w:val="000000"/>
          <w:lang w:val="sr-Cyrl-CS"/>
        </w:rPr>
        <w:t>29</w:t>
      </w:r>
      <w:r w:rsidRPr="005C213D">
        <w:rPr>
          <w:rStyle w:val="longtext"/>
          <w:color w:val="000000"/>
          <w:lang w:val="sr-Cyrl-CS"/>
        </w:rPr>
        <w:t>.</w:t>
      </w:r>
      <w:r>
        <w:rPr>
          <w:rStyle w:val="longtext"/>
          <w:color w:val="000000"/>
          <w:lang w:val="sr-Cyrl-CS"/>
        </w:rPr>
        <w:t xml:space="preserve"> став 1. </w:t>
      </w:r>
      <w:r w:rsidRPr="005C213D">
        <w:rPr>
          <w:rStyle w:val="longtext"/>
          <w:color w:val="000000"/>
          <w:lang w:val="sr-Cyrl-CS"/>
        </w:rPr>
        <w:t xml:space="preserve">тачка 1. овог закона. </w:t>
      </w:r>
    </w:p>
    <w:p w:rsidR="0034692A" w:rsidRPr="005C213D" w:rsidRDefault="0034692A" w:rsidP="0022582B">
      <w:pPr>
        <w:ind w:firstLine="720"/>
        <w:jc w:val="both"/>
        <w:rPr>
          <w:lang w:val="sr-Cyrl-CS"/>
        </w:rPr>
      </w:pPr>
      <w:r w:rsidRPr="005C213D">
        <w:rPr>
          <w:rStyle w:val="longtext"/>
          <w:color w:val="000000"/>
          <w:lang w:val="sr-Cyrl-CS"/>
        </w:rPr>
        <w:t>За прекршај из става 1. овог члана казниће се и одговорно лице у правном лицу новчаном казном</w:t>
      </w:r>
      <w:r w:rsidRPr="005C213D">
        <w:rPr>
          <w:lang w:val="sr-Cyrl-CS"/>
        </w:rPr>
        <w:t xml:space="preserve"> у износу од 5.000,00 до 50.000,00 динара.</w:t>
      </w:r>
    </w:p>
    <w:p w:rsidR="0034692A" w:rsidRPr="005C213D" w:rsidRDefault="0034692A" w:rsidP="0022582B">
      <w:pPr>
        <w:jc w:val="both"/>
        <w:rPr>
          <w:lang w:val="sr-Cyrl-CS"/>
        </w:rPr>
      </w:pPr>
    </w:p>
    <w:p w:rsidR="0034692A" w:rsidRPr="005C213D" w:rsidRDefault="0034692A" w:rsidP="0022582B">
      <w:pPr>
        <w:jc w:val="center"/>
        <w:rPr>
          <w:lang w:val="sr-Cyrl-CS"/>
        </w:rPr>
      </w:pPr>
      <w:r w:rsidRPr="005C213D">
        <w:rPr>
          <w:lang w:val="sr-Cyrl-CS"/>
        </w:rPr>
        <w:t>Члан 31.</w:t>
      </w:r>
    </w:p>
    <w:p w:rsidR="0034692A" w:rsidRPr="005C213D" w:rsidRDefault="0034692A" w:rsidP="00F36A51">
      <w:pPr>
        <w:ind w:firstLine="720"/>
        <w:jc w:val="both"/>
        <w:rPr>
          <w:rStyle w:val="longtext"/>
          <w:color w:val="000000"/>
          <w:lang w:val="sr-Cyrl-CS"/>
        </w:rPr>
      </w:pPr>
      <w:r w:rsidRPr="005C213D">
        <w:rPr>
          <w:lang w:val="sr-Cyrl-CS"/>
        </w:rPr>
        <w:t>Новчаном казном у износу од 50.000,00 до 500.000,00 динара казниће се за прекршај правно лице ако о инцидентима у ИКТ систему не обавести Надлежни орган, односно орган надлежан за обезбеђење примене стандарда у области заштите тајних података, Народну банку Србије или регулаторно тело за електронске комуникације (члан 11. ст. 1. и 2.).</w:t>
      </w:r>
    </w:p>
    <w:p w:rsidR="0034692A" w:rsidRPr="005C213D" w:rsidRDefault="0034692A" w:rsidP="005659B2">
      <w:pPr>
        <w:ind w:firstLine="720"/>
        <w:jc w:val="both"/>
        <w:rPr>
          <w:lang w:val="sr-Cyrl-CS"/>
        </w:rPr>
      </w:pPr>
      <w:r w:rsidRPr="005C213D">
        <w:rPr>
          <w:rStyle w:val="longtext"/>
          <w:color w:val="000000"/>
          <w:lang w:val="sr-Cyrl-CS"/>
        </w:rPr>
        <w:t>За прекршај из става 1. овог члана казниће се и одговорно лице у правном лицу новчаном казном</w:t>
      </w:r>
      <w:r w:rsidRPr="005C213D">
        <w:rPr>
          <w:lang w:val="sr-Cyrl-CS"/>
        </w:rPr>
        <w:t xml:space="preserve"> у износу од 5.000,00 до 50.000,00 динара.</w:t>
      </w:r>
    </w:p>
    <w:p w:rsidR="0034692A" w:rsidRPr="005C213D" w:rsidRDefault="0034692A" w:rsidP="005659B2">
      <w:pPr>
        <w:ind w:firstLine="720"/>
        <w:jc w:val="both"/>
        <w:rPr>
          <w:rStyle w:val="longtext"/>
          <w:color w:val="000000"/>
          <w:lang w:val="sr-Cyrl-CS"/>
        </w:rPr>
      </w:pPr>
    </w:p>
    <w:p w:rsidR="0034692A" w:rsidRPr="005C213D" w:rsidRDefault="0034692A" w:rsidP="001F597F">
      <w:pPr>
        <w:pStyle w:val="Heading1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VII. ПРЕЛАЗНЕ И ЗАВРШНЕ ОДРЕДБЕ</w:t>
      </w:r>
    </w:p>
    <w:p w:rsidR="0034692A" w:rsidRPr="005C213D" w:rsidRDefault="0034692A" w:rsidP="00230F5A">
      <w:pPr>
        <w:jc w:val="center"/>
        <w:rPr>
          <w:rStyle w:val="longtext"/>
          <w:color w:val="000000"/>
          <w:lang w:val="sr-Cyrl-CS"/>
        </w:rPr>
      </w:pPr>
    </w:p>
    <w:p w:rsidR="0034692A" w:rsidRPr="005C213D" w:rsidRDefault="0034692A" w:rsidP="00513C22">
      <w:pPr>
        <w:pStyle w:val="Heading2"/>
        <w:rPr>
          <w:lang w:val="sr-Cyrl-CS"/>
        </w:rPr>
      </w:pPr>
      <w:r w:rsidRPr="005C213D">
        <w:rPr>
          <w:lang w:val="sr-Cyrl-CS"/>
        </w:rPr>
        <w:t>Рокови за доношење подзаконских аката</w:t>
      </w:r>
    </w:p>
    <w:p w:rsidR="0034692A" w:rsidRPr="005C213D" w:rsidRDefault="0034692A" w:rsidP="00513C22">
      <w:pPr>
        <w:pStyle w:val="Tacka"/>
        <w:keepNext/>
        <w:keepLines/>
        <w:numPr>
          <w:ilvl w:val="0"/>
          <w:numId w:val="0"/>
        </w:numPr>
        <w:spacing w:after="0"/>
        <w:jc w:val="center"/>
        <w:rPr>
          <w:color w:val="000000"/>
          <w:szCs w:val="24"/>
        </w:rPr>
      </w:pPr>
    </w:p>
    <w:p w:rsidR="0034692A" w:rsidRPr="005C213D" w:rsidRDefault="0034692A" w:rsidP="00CF66BA">
      <w:pPr>
        <w:pStyle w:val="Heading3"/>
        <w:rPr>
          <w:rStyle w:val="longtext"/>
          <w:lang w:val="sr-Cyrl-CS"/>
        </w:rPr>
      </w:pPr>
      <w:r w:rsidRPr="005C213D">
        <w:rPr>
          <w:rStyle w:val="longtext"/>
          <w:lang w:val="sr-Cyrl-CS"/>
        </w:rPr>
        <w:t>Члан 32.</w:t>
      </w:r>
    </w:p>
    <w:p w:rsidR="0034692A" w:rsidRPr="005C213D" w:rsidRDefault="0034692A" w:rsidP="00A87398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>Подзаконска акта предвиђена овим законом донеће се у року од 12 месеци од дана ступања на снагу овог закона.</w:t>
      </w:r>
    </w:p>
    <w:p w:rsidR="0034692A" w:rsidRPr="005C213D" w:rsidRDefault="0034692A" w:rsidP="001E0468">
      <w:pPr>
        <w:pStyle w:val="Tacka"/>
        <w:numPr>
          <w:ilvl w:val="0"/>
          <w:numId w:val="0"/>
        </w:numPr>
        <w:tabs>
          <w:tab w:val="left" w:pos="720"/>
        </w:tabs>
        <w:spacing w:before="60" w:after="0"/>
        <w:ind w:firstLine="720"/>
        <w:rPr>
          <w:rStyle w:val="longtext"/>
          <w:color w:val="000000"/>
          <w:szCs w:val="24"/>
        </w:rPr>
      </w:pPr>
    </w:p>
    <w:p w:rsidR="0034692A" w:rsidRPr="005C213D" w:rsidRDefault="0034692A" w:rsidP="001F597F">
      <w:pPr>
        <w:jc w:val="center"/>
        <w:rPr>
          <w:rStyle w:val="longtext"/>
          <w:color w:val="000000"/>
          <w:lang w:val="sr-Cyrl-CS"/>
        </w:rPr>
      </w:pPr>
      <w:r w:rsidRPr="005C213D">
        <w:rPr>
          <w:rStyle w:val="longtext"/>
          <w:color w:val="000000"/>
          <w:lang w:val="sr-Cyrl-CS"/>
        </w:rPr>
        <w:t>Члан 33.</w:t>
      </w:r>
    </w:p>
    <w:p w:rsidR="0034692A" w:rsidRPr="005C213D" w:rsidRDefault="0034692A" w:rsidP="00A87398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 xml:space="preserve">Оператори ИКТ система од посебног значаја су дужни да донесу акт о безбедности ИКТ система од посебног значаја у року од 90 дана од </w:t>
      </w:r>
      <w:r>
        <w:rPr>
          <w:lang w:val="sr-Cyrl-CS"/>
        </w:rPr>
        <w:t xml:space="preserve">дана </w:t>
      </w:r>
      <w:r w:rsidRPr="005C213D">
        <w:rPr>
          <w:lang w:val="sr-Cyrl-CS"/>
        </w:rPr>
        <w:t>ступања на снагу подзаконског акта из члана 10. овог закона.</w:t>
      </w:r>
    </w:p>
    <w:p w:rsidR="0034692A" w:rsidRPr="005C213D" w:rsidRDefault="0034692A" w:rsidP="001F597F">
      <w:pPr>
        <w:pStyle w:val="Tacka"/>
        <w:numPr>
          <w:ilvl w:val="0"/>
          <w:numId w:val="0"/>
        </w:numPr>
        <w:tabs>
          <w:tab w:val="left" w:pos="720"/>
        </w:tabs>
        <w:spacing w:before="60" w:after="0"/>
        <w:jc w:val="center"/>
        <w:rPr>
          <w:rStyle w:val="longtext"/>
          <w:color w:val="000000"/>
          <w:szCs w:val="24"/>
        </w:rPr>
      </w:pPr>
    </w:p>
    <w:p w:rsidR="0034692A" w:rsidRPr="005C213D" w:rsidRDefault="0034692A" w:rsidP="00513C22">
      <w:pPr>
        <w:pStyle w:val="Heading2"/>
        <w:rPr>
          <w:lang w:val="sr-Cyrl-CS"/>
        </w:rPr>
      </w:pPr>
      <w:r w:rsidRPr="005C213D">
        <w:rPr>
          <w:lang w:val="sr-Cyrl-CS"/>
        </w:rPr>
        <w:t>Ступање на снагу</w:t>
      </w:r>
    </w:p>
    <w:p w:rsidR="0034692A" w:rsidRPr="005C213D" w:rsidRDefault="0034692A" w:rsidP="00513C22">
      <w:pPr>
        <w:keepNext/>
        <w:keepLines/>
        <w:rPr>
          <w:lang w:val="sr-Cyrl-CS"/>
        </w:rPr>
      </w:pPr>
    </w:p>
    <w:p w:rsidR="0034692A" w:rsidRPr="005C213D" w:rsidRDefault="0034692A" w:rsidP="00CF66BA">
      <w:pPr>
        <w:pStyle w:val="Heading3"/>
        <w:rPr>
          <w:lang w:val="sr-Cyrl-CS"/>
        </w:rPr>
      </w:pPr>
      <w:r w:rsidRPr="005C213D">
        <w:rPr>
          <w:lang w:val="sr-Cyrl-CS"/>
        </w:rPr>
        <w:t>Члан 34.</w:t>
      </w:r>
    </w:p>
    <w:p w:rsidR="0034692A" w:rsidRPr="005C213D" w:rsidRDefault="0034692A" w:rsidP="005C213D">
      <w:pPr>
        <w:ind w:firstLine="720"/>
        <w:jc w:val="both"/>
        <w:rPr>
          <w:lang w:val="sr-Cyrl-CS"/>
        </w:rPr>
      </w:pPr>
      <w:r w:rsidRPr="005C213D">
        <w:rPr>
          <w:lang w:val="sr-Cyrl-CS"/>
        </w:rPr>
        <w:t xml:space="preserve">Овај закон ступа на снагу осмог дана од дана објављивања у </w:t>
      </w:r>
      <w:r>
        <w:rPr>
          <w:lang w:val="sr-Cyrl-CS"/>
        </w:rPr>
        <w:t>„</w:t>
      </w:r>
      <w:r w:rsidRPr="005C213D">
        <w:rPr>
          <w:lang w:val="sr-Cyrl-CS"/>
        </w:rPr>
        <w:t>Службеном гласнику Републике Србије</w:t>
      </w:r>
      <w:r>
        <w:rPr>
          <w:lang w:val="sr-Cyrl-CS"/>
        </w:rPr>
        <w:t>”</w:t>
      </w:r>
      <w:r w:rsidRPr="005C213D">
        <w:rPr>
          <w:lang w:val="sr-Cyrl-CS"/>
        </w:rPr>
        <w:t>.</w:t>
      </w:r>
    </w:p>
    <w:p w:rsidR="0034692A" w:rsidRPr="005C213D" w:rsidRDefault="0034692A" w:rsidP="00CB3D3D">
      <w:pPr>
        <w:ind w:firstLine="720"/>
        <w:jc w:val="both"/>
        <w:rPr>
          <w:lang w:val="sr-Cyrl-CS"/>
        </w:rPr>
      </w:pPr>
      <w:bookmarkStart w:id="0" w:name="_GoBack"/>
      <w:bookmarkEnd w:id="0"/>
    </w:p>
    <w:sectPr w:rsidR="0034692A" w:rsidRPr="005C213D" w:rsidSect="0083667E">
      <w:headerReference w:type="even" r:id="rId7"/>
      <w:headerReference w:type="default" r:id="rId8"/>
      <w:pgSz w:w="12240" w:h="15840"/>
      <w:pgMar w:top="1440" w:right="1440" w:bottom="1135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5FD" w:rsidRDefault="00A725FD" w:rsidP="00323459">
      <w:r>
        <w:separator/>
      </w:r>
    </w:p>
  </w:endnote>
  <w:endnote w:type="continuationSeparator" w:id="0">
    <w:p w:rsidR="00A725FD" w:rsidRDefault="00A725FD" w:rsidP="00323459">
      <w:r>
        <w:continuationSeparator/>
      </w:r>
    </w:p>
  </w:endnote>
  <w:endnote w:type="continuationNotice" w:id="1">
    <w:p w:rsidR="00A725FD" w:rsidRDefault="00A725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5FD" w:rsidRDefault="00A725FD" w:rsidP="00323459">
      <w:r>
        <w:separator/>
      </w:r>
    </w:p>
  </w:footnote>
  <w:footnote w:type="continuationSeparator" w:id="0">
    <w:p w:rsidR="00A725FD" w:rsidRDefault="00A725FD" w:rsidP="00323459">
      <w:r>
        <w:continuationSeparator/>
      </w:r>
    </w:p>
  </w:footnote>
  <w:footnote w:type="continuationNotice" w:id="1">
    <w:p w:rsidR="00A725FD" w:rsidRDefault="00A725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92A" w:rsidRDefault="0034692A" w:rsidP="003460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692A" w:rsidRDefault="003469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92A" w:rsidRDefault="0034692A" w:rsidP="003460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57EB">
      <w:rPr>
        <w:rStyle w:val="PageNumber"/>
        <w:noProof/>
      </w:rPr>
      <w:t>14</w:t>
    </w:r>
    <w:r>
      <w:rPr>
        <w:rStyle w:val="PageNumber"/>
      </w:rPr>
      <w:fldChar w:fldCharType="end"/>
    </w:r>
  </w:p>
  <w:p w:rsidR="0034692A" w:rsidRDefault="003469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F943810"/>
    <w:lvl w:ilvl="0">
      <w:start w:val="1"/>
      <w:numFmt w:val="bullet"/>
      <w:pStyle w:val="Tac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81A7F8E"/>
    <w:multiLevelType w:val="hybridMultilevel"/>
    <w:tmpl w:val="F3CC624C"/>
    <w:lvl w:ilvl="0" w:tplc="477CE2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D007C4"/>
    <w:multiLevelType w:val="hybridMultilevel"/>
    <w:tmpl w:val="2A6239C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4382103C"/>
    <w:multiLevelType w:val="hybridMultilevel"/>
    <w:tmpl w:val="D5909CAE"/>
    <w:lvl w:ilvl="0" w:tplc="42E49F0A">
      <w:start w:val="1"/>
      <w:numFmt w:val="decimal"/>
      <w:lvlText w:val="%1)"/>
      <w:lvlJc w:val="left"/>
      <w:pPr>
        <w:ind w:left="2070" w:hanging="360"/>
      </w:pPr>
      <w:rPr>
        <w:rFonts w:cs="Times New Roman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AB"/>
    <w:rsid w:val="00000719"/>
    <w:rsid w:val="00001518"/>
    <w:rsid w:val="00001D09"/>
    <w:rsid w:val="00002503"/>
    <w:rsid w:val="00002A32"/>
    <w:rsid w:val="0000361A"/>
    <w:rsid w:val="00006707"/>
    <w:rsid w:val="00006D8B"/>
    <w:rsid w:val="00007164"/>
    <w:rsid w:val="00007F25"/>
    <w:rsid w:val="00010779"/>
    <w:rsid w:val="00012C0B"/>
    <w:rsid w:val="000170DF"/>
    <w:rsid w:val="00020340"/>
    <w:rsid w:val="0002150C"/>
    <w:rsid w:val="000224CA"/>
    <w:rsid w:val="0002307A"/>
    <w:rsid w:val="00023899"/>
    <w:rsid w:val="00024A02"/>
    <w:rsid w:val="00024DBF"/>
    <w:rsid w:val="00024F65"/>
    <w:rsid w:val="00026F7D"/>
    <w:rsid w:val="000276BE"/>
    <w:rsid w:val="00030958"/>
    <w:rsid w:val="00030C51"/>
    <w:rsid w:val="0003184F"/>
    <w:rsid w:val="00032C3C"/>
    <w:rsid w:val="0003301E"/>
    <w:rsid w:val="000336BF"/>
    <w:rsid w:val="00035BE9"/>
    <w:rsid w:val="000362DA"/>
    <w:rsid w:val="00037121"/>
    <w:rsid w:val="00042C9B"/>
    <w:rsid w:val="0004306D"/>
    <w:rsid w:val="00044EF2"/>
    <w:rsid w:val="000453D2"/>
    <w:rsid w:val="00045D92"/>
    <w:rsid w:val="000462DB"/>
    <w:rsid w:val="000471BC"/>
    <w:rsid w:val="00051478"/>
    <w:rsid w:val="00052E96"/>
    <w:rsid w:val="00053455"/>
    <w:rsid w:val="000547E8"/>
    <w:rsid w:val="00054D81"/>
    <w:rsid w:val="00054E19"/>
    <w:rsid w:val="000555D5"/>
    <w:rsid w:val="00060EE5"/>
    <w:rsid w:val="00062243"/>
    <w:rsid w:val="00063CB1"/>
    <w:rsid w:val="00063F35"/>
    <w:rsid w:val="00066072"/>
    <w:rsid w:val="00070B05"/>
    <w:rsid w:val="000719F2"/>
    <w:rsid w:val="0007206D"/>
    <w:rsid w:val="0007284F"/>
    <w:rsid w:val="00074D8D"/>
    <w:rsid w:val="00075D14"/>
    <w:rsid w:val="00076C67"/>
    <w:rsid w:val="00076FDA"/>
    <w:rsid w:val="000778B5"/>
    <w:rsid w:val="00080256"/>
    <w:rsid w:val="00082A31"/>
    <w:rsid w:val="000842BF"/>
    <w:rsid w:val="00084999"/>
    <w:rsid w:val="00085CBB"/>
    <w:rsid w:val="000869C1"/>
    <w:rsid w:val="00086A68"/>
    <w:rsid w:val="000872E1"/>
    <w:rsid w:val="0009019B"/>
    <w:rsid w:val="0009029A"/>
    <w:rsid w:val="000912C5"/>
    <w:rsid w:val="00092C8C"/>
    <w:rsid w:val="00092CA7"/>
    <w:rsid w:val="00092E7C"/>
    <w:rsid w:val="00095121"/>
    <w:rsid w:val="00095CF9"/>
    <w:rsid w:val="00095DD4"/>
    <w:rsid w:val="00096FDD"/>
    <w:rsid w:val="000A043B"/>
    <w:rsid w:val="000A1A54"/>
    <w:rsid w:val="000A49A8"/>
    <w:rsid w:val="000A5C18"/>
    <w:rsid w:val="000A6FA3"/>
    <w:rsid w:val="000A7FD4"/>
    <w:rsid w:val="000B0AD4"/>
    <w:rsid w:val="000B32E2"/>
    <w:rsid w:val="000B631D"/>
    <w:rsid w:val="000B6666"/>
    <w:rsid w:val="000C05CC"/>
    <w:rsid w:val="000C0BD4"/>
    <w:rsid w:val="000C15CE"/>
    <w:rsid w:val="000C1E1E"/>
    <w:rsid w:val="000C22E3"/>
    <w:rsid w:val="000C2E01"/>
    <w:rsid w:val="000C56E2"/>
    <w:rsid w:val="000C6538"/>
    <w:rsid w:val="000C6625"/>
    <w:rsid w:val="000C7A13"/>
    <w:rsid w:val="000D0036"/>
    <w:rsid w:val="000D2323"/>
    <w:rsid w:val="000D523C"/>
    <w:rsid w:val="000D7884"/>
    <w:rsid w:val="000E1351"/>
    <w:rsid w:val="000E2163"/>
    <w:rsid w:val="000E21BC"/>
    <w:rsid w:val="000E279E"/>
    <w:rsid w:val="000E5AB2"/>
    <w:rsid w:val="000E5EE6"/>
    <w:rsid w:val="000F00C5"/>
    <w:rsid w:val="000F2EC3"/>
    <w:rsid w:val="000F3EB8"/>
    <w:rsid w:val="000F5D53"/>
    <w:rsid w:val="000F6633"/>
    <w:rsid w:val="000F6B0B"/>
    <w:rsid w:val="000F7445"/>
    <w:rsid w:val="000F7E55"/>
    <w:rsid w:val="0010223E"/>
    <w:rsid w:val="001027F6"/>
    <w:rsid w:val="00102923"/>
    <w:rsid w:val="001032F1"/>
    <w:rsid w:val="00104040"/>
    <w:rsid w:val="00105173"/>
    <w:rsid w:val="00106D35"/>
    <w:rsid w:val="00107A3B"/>
    <w:rsid w:val="0011015D"/>
    <w:rsid w:val="001118EA"/>
    <w:rsid w:val="0011453E"/>
    <w:rsid w:val="00116225"/>
    <w:rsid w:val="00121747"/>
    <w:rsid w:val="00121E9A"/>
    <w:rsid w:val="00122E71"/>
    <w:rsid w:val="00123C1F"/>
    <w:rsid w:val="001243F1"/>
    <w:rsid w:val="0012488C"/>
    <w:rsid w:val="001252A5"/>
    <w:rsid w:val="00126533"/>
    <w:rsid w:val="00126851"/>
    <w:rsid w:val="00126A55"/>
    <w:rsid w:val="00126AB8"/>
    <w:rsid w:val="0013017D"/>
    <w:rsid w:val="001311C9"/>
    <w:rsid w:val="001322E9"/>
    <w:rsid w:val="00133881"/>
    <w:rsid w:val="001358CF"/>
    <w:rsid w:val="00135AF7"/>
    <w:rsid w:val="001367BF"/>
    <w:rsid w:val="00137B97"/>
    <w:rsid w:val="00140183"/>
    <w:rsid w:val="00140C60"/>
    <w:rsid w:val="0014151A"/>
    <w:rsid w:val="001437A9"/>
    <w:rsid w:val="00143B3F"/>
    <w:rsid w:val="00143B89"/>
    <w:rsid w:val="00144128"/>
    <w:rsid w:val="001515AD"/>
    <w:rsid w:val="001528F8"/>
    <w:rsid w:val="00155709"/>
    <w:rsid w:val="00155917"/>
    <w:rsid w:val="001559A4"/>
    <w:rsid w:val="00155E9D"/>
    <w:rsid w:val="00157927"/>
    <w:rsid w:val="001603BC"/>
    <w:rsid w:val="001627FD"/>
    <w:rsid w:val="001636D5"/>
    <w:rsid w:val="00165824"/>
    <w:rsid w:val="00166302"/>
    <w:rsid w:val="00166439"/>
    <w:rsid w:val="001678FC"/>
    <w:rsid w:val="00167C48"/>
    <w:rsid w:val="001705BB"/>
    <w:rsid w:val="00172496"/>
    <w:rsid w:val="00176A61"/>
    <w:rsid w:val="00177F0E"/>
    <w:rsid w:val="001818C0"/>
    <w:rsid w:val="00181C52"/>
    <w:rsid w:val="001824A9"/>
    <w:rsid w:val="00182B12"/>
    <w:rsid w:val="00184DFC"/>
    <w:rsid w:val="00186520"/>
    <w:rsid w:val="00187445"/>
    <w:rsid w:val="00187A48"/>
    <w:rsid w:val="00190086"/>
    <w:rsid w:val="00191984"/>
    <w:rsid w:val="00192F78"/>
    <w:rsid w:val="001933CD"/>
    <w:rsid w:val="00193FF8"/>
    <w:rsid w:val="001A1FFC"/>
    <w:rsid w:val="001A2E6B"/>
    <w:rsid w:val="001A33DC"/>
    <w:rsid w:val="001A34FA"/>
    <w:rsid w:val="001A608F"/>
    <w:rsid w:val="001B298C"/>
    <w:rsid w:val="001B484D"/>
    <w:rsid w:val="001B4C74"/>
    <w:rsid w:val="001B77E7"/>
    <w:rsid w:val="001C4F64"/>
    <w:rsid w:val="001D0697"/>
    <w:rsid w:val="001D0E7F"/>
    <w:rsid w:val="001D20D8"/>
    <w:rsid w:val="001D3B15"/>
    <w:rsid w:val="001D3FDB"/>
    <w:rsid w:val="001D4B97"/>
    <w:rsid w:val="001D50C0"/>
    <w:rsid w:val="001D5B02"/>
    <w:rsid w:val="001D5E70"/>
    <w:rsid w:val="001D697C"/>
    <w:rsid w:val="001D73D8"/>
    <w:rsid w:val="001D73DD"/>
    <w:rsid w:val="001D7847"/>
    <w:rsid w:val="001E0468"/>
    <w:rsid w:val="001E32F8"/>
    <w:rsid w:val="001E361F"/>
    <w:rsid w:val="001E5133"/>
    <w:rsid w:val="001E790A"/>
    <w:rsid w:val="001E7E50"/>
    <w:rsid w:val="001F198B"/>
    <w:rsid w:val="001F3C28"/>
    <w:rsid w:val="001F48C9"/>
    <w:rsid w:val="001F593E"/>
    <w:rsid w:val="001F597E"/>
    <w:rsid w:val="001F597F"/>
    <w:rsid w:val="001F6B1D"/>
    <w:rsid w:val="0020023E"/>
    <w:rsid w:val="00200DFE"/>
    <w:rsid w:val="00201996"/>
    <w:rsid w:val="002022C5"/>
    <w:rsid w:val="00202E80"/>
    <w:rsid w:val="002044B1"/>
    <w:rsid w:val="00207899"/>
    <w:rsid w:val="00207DA3"/>
    <w:rsid w:val="00210C88"/>
    <w:rsid w:val="00211E00"/>
    <w:rsid w:val="00212379"/>
    <w:rsid w:val="0021709D"/>
    <w:rsid w:val="0021782D"/>
    <w:rsid w:val="0022093F"/>
    <w:rsid w:val="002211FC"/>
    <w:rsid w:val="002220BB"/>
    <w:rsid w:val="0022582B"/>
    <w:rsid w:val="00226718"/>
    <w:rsid w:val="002275A6"/>
    <w:rsid w:val="00227AAD"/>
    <w:rsid w:val="00227EFD"/>
    <w:rsid w:val="00230F5A"/>
    <w:rsid w:val="00232EF1"/>
    <w:rsid w:val="002354A9"/>
    <w:rsid w:val="00235619"/>
    <w:rsid w:val="00235D32"/>
    <w:rsid w:val="00237A90"/>
    <w:rsid w:val="00240755"/>
    <w:rsid w:val="00240EC6"/>
    <w:rsid w:val="00244360"/>
    <w:rsid w:val="002464D9"/>
    <w:rsid w:val="0025054D"/>
    <w:rsid w:val="0025075E"/>
    <w:rsid w:val="00250CB4"/>
    <w:rsid w:val="00251EA9"/>
    <w:rsid w:val="00251F2A"/>
    <w:rsid w:val="00252655"/>
    <w:rsid w:val="002527F7"/>
    <w:rsid w:val="002557EB"/>
    <w:rsid w:val="00255D2C"/>
    <w:rsid w:val="00256940"/>
    <w:rsid w:val="00256E41"/>
    <w:rsid w:val="00256E5A"/>
    <w:rsid w:val="002574DC"/>
    <w:rsid w:val="00257EDB"/>
    <w:rsid w:val="002619C8"/>
    <w:rsid w:val="00263BD1"/>
    <w:rsid w:val="00263E97"/>
    <w:rsid w:val="00265B1B"/>
    <w:rsid w:val="0026741F"/>
    <w:rsid w:val="00271263"/>
    <w:rsid w:val="00272D83"/>
    <w:rsid w:val="002733B2"/>
    <w:rsid w:val="00274046"/>
    <w:rsid w:val="00274164"/>
    <w:rsid w:val="00274F31"/>
    <w:rsid w:val="0027696C"/>
    <w:rsid w:val="00276A80"/>
    <w:rsid w:val="00284740"/>
    <w:rsid w:val="00286421"/>
    <w:rsid w:val="00286E20"/>
    <w:rsid w:val="0029023C"/>
    <w:rsid w:val="00291582"/>
    <w:rsid w:val="00291875"/>
    <w:rsid w:val="00293A82"/>
    <w:rsid w:val="00293AE0"/>
    <w:rsid w:val="002947CF"/>
    <w:rsid w:val="002952C1"/>
    <w:rsid w:val="002A0B7C"/>
    <w:rsid w:val="002A1357"/>
    <w:rsid w:val="002A1843"/>
    <w:rsid w:val="002A2811"/>
    <w:rsid w:val="002A2E9F"/>
    <w:rsid w:val="002A3731"/>
    <w:rsid w:val="002A4F95"/>
    <w:rsid w:val="002A53FE"/>
    <w:rsid w:val="002A55D1"/>
    <w:rsid w:val="002B1529"/>
    <w:rsid w:val="002B1DDB"/>
    <w:rsid w:val="002B1FDF"/>
    <w:rsid w:val="002B2BC4"/>
    <w:rsid w:val="002B320E"/>
    <w:rsid w:val="002B395E"/>
    <w:rsid w:val="002B3D6C"/>
    <w:rsid w:val="002B51BF"/>
    <w:rsid w:val="002B5497"/>
    <w:rsid w:val="002B679A"/>
    <w:rsid w:val="002B6A7C"/>
    <w:rsid w:val="002C0420"/>
    <w:rsid w:val="002C2266"/>
    <w:rsid w:val="002C2435"/>
    <w:rsid w:val="002C30B4"/>
    <w:rsid w:val="002C547F"/>
    <w:rsid w:val="002C5A50"/>
    <w:rsid w:val="002C6507"/>
    <w:rsid w:val="002C715B"/>
    <w:rsid w:val="002D4E13"/>
    <w:rsid w:val="002D63E8"/>
    <w:rsid w:val="002D7390"/>
    <w:rsid w:val="002D7862"/>
    <w:rsid w:val="002E08E5"/>
    <w:rsid w:val="002E1418"/>
    <w:rsid w:val="002E210D"/>
    <w:rsid w:val="002E22F5"/>
    <w:rsid w:val="002E497D"/>
    <w:rsid w:val="002E5141"/>
    <w:rsid w:val="002E6B5C"/>
    <w:rsid w:val="002E7AB9"/>
    <w:rsid w:val="002F011E"/>
    <w:rsid w:val="002F1352"/>
    <w:rsid w:val="002F4E88"/>
    <w:rsid w:val="002F5792"/>
    <w:rsid w:val="002F61F7"/>
    <w:rsid w:val="002F647A"/>
    <w:rsid w:val="003029FB"/>
    <w:rsid w:val="00304E5D"/>
    <w:rsid w:val="00305843"/>
    <w:rsid w:val="00305C25"/>
    <w:rsid w:val="00307885"/>
    <w:rsid w:val="00307986"/>
    <w:rsid w:val="003100A0"/>
    <w:rsid w:val="00312F32"/>
    <w:rsid w:val="00313BAF"/>
    <w:rsid w:val="0031478D"/>
    <w:rsid w:val="0031694C"/>
    <w:rsid w:val="00317334"/>
    <w:rsid w:val="00317CAB"/>
    <w:rsid w:val="0032284A"/>
    <w:rsid w:val="00322D9D"/>
    <w:rsid w:val="00322E45"/>
    <w:rsid w:val="00323459"/>
    <w:rsid w:val="0032597D"/>
    <w:rsid w:val="0033020A"/>
    <w:rsid w:val="003302C1"/>
    <w:rsid w:val="00330949"/>
    <w:rsid w:val="00330A0B"/>
    <w:rsid w:val="0033158E"/>
    <w:rsid w:val="003317E0"/>
    <w:rsid w:val="003318E1"/>
    <w:rsid w:val="00331CE7"/>
    <w:rsid w:val="00332031"/>
    <w:rsid w:val="003340B1"/>
    <w:rsid w:val="00334A43"/>
    <w:rsid w:val="00335658"/>
    <w:rsid w:val="00335770"/>
    <w:rsid w:val="00336B1C"/>
    <w:rsid w:val="00336D79"/>
    <w:rsid w:val="00340618"/>
    <w:rsid w:val="00341636"/>
    <w:rsid w:val="00342D97"/>
    <w:rsid w:val="00343011"/>
    <w:rsid w:val="00346057"/>
    <w:rsid w:val="00346697"/>
    <w:rsid w:val="0034676C"/>
    <w:rsid w:val="0034692A"/>
    <w:rsid w:val="003476D4"/>
    <w:rsid w:val="00351483"/>
    <w:rsid w:val="00351651"/>
    <w:rsid w:val="00353379"/>
    <w:rsid w:val="0035339D"/>
    <w:rsid w:val="00354C75"/>
    <w:rsid w:val="00356C74"/>
    <w:rsid w:val="003600F5"/>
    <w:rsid w:val="00360637"/>
    <w:rsid w:val="00360E6A"/>
    <w:rsid w:val="00362D59"/>
    <w:rsid w:val="003634C5"/>
    <w:rsid w:val="0036350D"/>
    <w:rsid w:val="00364626"/>
    <w:rsid w:val="0036485F"/>
    <w:rsid w:val="00364DA7"/>
    <w:rsid w:val="003669EB"/>
    <w:rsid w:val="00367D66"/>
    <w:rsid w:val="00370418"/>
    <w:rsid w:val="0037180F"/>
    <w:rsid w:val="00371B46"/>
    <w:rsid w:val="00372CB1"/>
    <w:rsid w:val="003743D8"/>
    <w:rsid w:val="00375DEC"/>
    <w:rsid w:val="00376E2E"/>
    <w:rsid w:val="00377499"/>
    <w:rsid w:val="00377792"/>
    <w:rsid w:val="003778F7"/>
    <w:rsid w:val="003779C4"/>
    <w:rsid w:val="00377BBC"/>
    <w:rsid w:val="00381722"/>
    <w:rsid w:val="00383365"/>
    <w:rsid w:val="00383B3E"/>
    <w:rsid w:val="00384804"/>
    <w:rsid w:val="003865ED"/>
    <w:rsid w:val="00387CC9"/>
    <w:rsid w:val="00390E05"/>
    <w:rsid w:val="003913DF"/>
    <w:rsid w:val="0039199E"/>
    <w:rsid w:val="00397083"/>
    <w:rsid w:val="003970F3"/>
    <w:rsid w:val="003A1AB9"/>
    <w:rsid w:val="003A1E50"/>
    <w:rsid w:val="003A21F1"/>
    <w:rsid w:val="003A51D1"/>
    <w:rsid w:val="003A6442"/>
    <w:rsid w:val="003A76AF"/>
    <w:rsid w:val="003A78E8"/>
    <w:rsid w:val="003B015D"/>
    <w:rsid w:val="003B0C00"/>
    <w:rsid w:val="003B2F9D"/>
    <w:rsid w:val="003B48FF"/>
    <w:rsid w:val="003B49B6"/>
    <w:rsid w:val="003B652B"/>
    <w:rsid w:val="003C1B44"/>
    <w:rsid w:val="003C408F"/>
    <w:rsid w:val="003C55A3"/>
    <w:rsid w:val="003D11DE"/>
    <w:rsid w:val="003D126A"/>
    <w:rsid w:val="003D1916"/>
    <w:rsid w:val="003D194C"/>
    <w:rsid w:val="003D48A0"/>
    <w:rsid w:val="003D5C11"/>
    <w:rsid w:val="003D5EB8"/>
    <w:rsid w:val="003D7947"/>
    <w:rsid w:val="003E08AA"/>
    <w:rsid w:val="003E0B78"/>
    <w:rsid w:val="003E0F6A"/>
    <w:rsid w:val="003E123C"/>
    <w:rsid w:val="003E707F"/>
    <w:rsid w:val="003E79F8"/>
    <w:rsid w:val="003F1D26"/>
    <w:rsid w:val="003F20F9"/>
    <w:rsid w:val="003F2FBB"/>
    <w:rsid w:val="003F330F"/>
    <w:rsid w:val="003F53B3"/>
    <w:rsid w:val="003F5D2E"/>
    <w:rsid w:val="003F5F30"/>
    <w:rsid w:val="003F643B"/>
    <w:rsid w:val="003F7617"/>
    <w:rsid w:val="00401308"/>
    <w:rsid w:val="00402E22"/>
    <w:rsid w:val="00405085"/>
    <w:rsid w:val="0040634B"/>
    <w:rsid w:val="0040767C"/>
    <w:rsid w:val="00407CD2"/>
    <w:rsid w:val="00411379"/>
    <w:rsid w:val="004113EF"/>
    <w:rsid w:val="00412183"/>
    <w:rsid w:val="00412404"/>
    <w:rsid w:val="00412E3C"/>
    <w:rsid w:val="004139DE"/>
    <w:rsid w:val="00416DB3"/>
    <w:rsid w:val="004179FA"/>
    <w:rsid w:val="00421B9D"/>
    <w:rsid w:val="004220E2"/>
    <w:rsid w:val="0042225E"/>
    <w:rsid w:val="00425974"/>
    <w:rsid w:val="004309B2"/>
    <w:rsid w:val="0043113E"/>
    <w:rsid w:val="00431F0D"/>
    <w:rsid w:val="0043635D"/>
    <w:rsid w:val="0043787C"/>
    <w:rsid w:val="00440320"/>
    <w:rsid w:val="00440B90"/>
    <w:rsid w:val="00442914"/>
    <w:rsid w:val="00445C3B"/>
    <w:rsid w:val="004477D6"/>
    <w:rsid w:val="00450378"/>
    <w:rsid w:val="00451A75"/>
    <w:rsid w:val="00455F1E"/>
    <w:rsid w:val="004577B7"/>
    <w:rsid w:val="00457B39"/>
    <w:rsid w:val="004605A5"/>
    <w:rsid w:val="004608BC"/>
    <w:rsid w:val="00461817"/>
    <w:rsid w:val="004642C2"/>
    <w:rsid w:val="004643E8"/>
    <w:rsid w:val="004649D3"/>
    <w:rsid w:val="00466D57"/>
    <w:rsid w:val="00470023"/>
    <w:rsid w:val="004705F9"/>
    <w:rsid w:val="0047102A"/>
    <w:rsid w:val="0047368C"/>
    <w:rsid w:val="004737DB"/>
    <w:rsid w:val="00474912"/>
    <w:rsid w:val="0047570A"/>
    <w:rsid w:val="00475A92"/>
    <w:rsid w:val="00481050"/>
    <w:rsid w:val="004824FB"/>
    <w:rsid w:val="0048302B"/>
    <w:rsid w:val="004838E3"/>
    <w:rsid w:val="00483E98"/>
    <w:rsid w:val="00485776"/>
    <w:rsid w:val="00487246"/>
    <w:rsid w:val="0049079B"/>
    <w:rsid w:val="0049088F"/>
    <w:rsid w:val="00490DA9"/>
    <w:rsid w:val="00491944"/>
    <w:rsid w:val="00497284"/>
    <w:rsid w:val="00497AD2"/>
    <w:rsid w:val="004A0CE1"/>
    <w:rsid w:val="004A1F28"/>
    <w:rsid w:val="004A2281"/>
    <w:rsid w:val="004A3BF9"/>
    <w:rsid w:val="004A454B"/>
    <w:rsid w:val="004A4985"/>
    <w:rsid w:val="004A4ACB"/>
    <w:rsid w:val="004A5756"/>
    <w:rsid w:val="004A666D"/>
    <w:rsid w:val="004B0E8E"/>
    <w:rsid w:val="004B2438"/>
    <w:rsid w:val="004B2C75"/>
    <w:rsid w:val="004B392D"/>
    <w:rsid w:val="004B5819"/>
    <w:rsid w:val="004B5BF7"/>
    <w:rsid w:val="004B7990"/>
    <w:rsid w:val="004C02FD"/>
    <w:rsid w:val="004C0D04"/>
    <w:rsid w:val="004C1813"/>
    <w:rsid w:val="004C24DB"/>
    <w:rsid w:val="004C30DA"/>
    <w:rsid w:val="004C33E4"/>
    <w:rsid w:val="004C4E5A"/>
    <w:rsid w:val="004C5EE6"/>
    <w:rsid w:val="004C6019"/>
    <w:rsid w:val="004C67B6"/>
    <w:rsid w:val="004C75CD"/>
    <w:rsid w:val="004C7C55"/>
    <w:rsid w:val="004D06A5"/>
    <w:rsid w:val="004D0C6E"/>
    <w:rsid w:val="004D0EAD"/>
    <w:rsid w:val="004D361A"/>
    <w:rsid w:val="004D3C7F"/>
    <w:rsid w:val="004D42C8"/>
    <w:rsid w:val="004D4A60"/>
    <w:rsid w:val="004D7BFA"/>
    <w:rsid w:val="004D7D9D"/>
    <w:rsid w:val="004E0740"/>
    <w:rsid w:val="004E0BC5"/>
    <w:rsid w:val="004E1AE9"/>
    <w:rsid w:val="004E259F"/>
    <w:rsid w:val="004E2773"/>
    <w:rsid w:val="004E43F1"/>
    <w:rsid w:val="004E47BD"/>
    <w:rsid w:val="004E5044"/>
    <w:rsid w:val="004E5D70"/>
    <w:rsid w:val="004E75F6"/>
    <w:rsid w:val="004E7EDB"/>
    <w:rsid w:val="004F08BB"/>
    <w:rsid w:val="004F0BF5"/>
    <w:rsid w:val="004F0D2E"/>
    <w:rsid w:val="004F415D"/>
    <w:rsid w:val="004F469E"/>
    <w:rsid w:val="004F4D1D"/>
    <w:rsid w:val="004F4DAE"/>
    <w:rsid w:val="004F5A67"/>
    <w:rsid w:val="004F64F9"/>
    <w:rsid w:val="004F6577"/>
    <w:rsid w:val="004F6762"/>
    <w:rsid w:val="00500912"/>
    <w:rsid w:val="00502A05"/>
    <w:rsid w:val="00502C21"/>
    <w:rsid w:val="00502EA0"/>
    <w:rsid w:val="00502ECF"/>
    <w:rsid w:val="00506147"/>
    <w:rsid w:val="00506FA6"/>
    <w:rsid w:val="005117DC"/>
    <w:rsid w:val="00513BFA"/>
    <w:rsid w:val="00513C22"/>
    <w:rsid w:val="00516713"/>
    <w:rsid w:val="005206C0"/>
    <w:rsid w:val="005210E0"/>
    <w:rsid w:val="005224F7"/>
    <w:rsid w:val="005241AD"/>
    <w:rsid w:val="00526032"/>
    <w:rsid w:val="00526D32"/>
    <w:rsid w:val="005318C7"/>
    <w:rsid w:val="005343D3"/>
    <w:rsid w:val="005345F6"/>
    <w:rsid w:val="00543FF5"/>
    <w:rsid w:val="00544ECD"/>
    <w:rsid w:val="0054535B"/>
    <w:rsid w:val="00546368"/>
    <w:rsid w:val="00547993"/>
    <w:rsid w:val="0055005E"/>
    <w:rsid w:val="005510E3"/>
    <w:rsid w:val="00553C5C"/>
    <w:rsid w:val="00554876"/>
    <w:rsid w:val="0055702A"/>
    <w:rsid w:val="00562665"/>
    <w:rsid w:val="00562F68"/>
    <w:rsid w:val="005635FB"/>
    <w:rsid w:val="005641DC"/>
    <w:rsid w:val="00565581"/>
    <w:rsid w:val="005659B2"/>
    <w:rsid w:val="00565D8A"/>
    <w:rsid w:val="0056688F"/>
    <w:rsid w:val="005672A0"/>
    <w:rsid w:val="005676D5"/>
    <w:rsid w:val="005679BA"/>
    <w:rsid w:val="00567E31"/>
    <w:rsid w:val="0057093C"/>
    <w:rsid w:val="00570A3C"/>
    <w:rsid w:val="00571190"/>
    <w:rsid w:val="00571B9B"/>
    <w:rsid w:val="005733CD"/>
    <w:rsid w:val="00573E64"/>
    <w:rsid w:val="00575132"/>
    <w:rsid w:val="00575179"/>
    <w:rsid w:val="005763BB"/>
    <w:rsid w:val="00576A0B"/>
    <w:rsid w:val="00576B14"/>
    <w:rsid w:val="005776A5"/>
    <w:rsid w:val="00580C88"/>
    <w:rsid w:val="005827E4"/>
    <w:rsid w:val="0058290C"/>
    <w:rsid w:val="00582A49"/>
    <w:rsid w:val="00583360"/>
    <w:rsid w:val="00584995"/>
    <w:rsid w:val="00584D98"/>
    <w:rsid w:val="00585E8B"/>
    <w:rsid w:val="005901A8"/>
    <w:rsid w:val="00591061"/>
    <w:rsid w:val="00592F31"/>
    <w:rsid w:val="005932BB"/>
    <w:rsid w:val="0059494F"/>
    <w:rsid w:val="00594F29"/>
    <w:rsid w:val="00595119"/>
    <w:rsid w:val="00596317"/>
    <w:rsid w:val="005976FB"/>
    <w:rsid w:val="005A0F4A"/>
    <w:rsid w:val="005A1689"/>
    <w:rsid w:val="005A2384"/>
    <w:rsid w:val="005A25BF"/>
    <w:rsid w:val="005A349A"/>
    <w:rsid w:val="005A3ABA"/>
    <w:rsid w:val="005A6B9D"/>
    <w:rsid w:val="005A7274"/>
    <w:rsid w:val="005B055D"/>
    <w:rsid w:val="005B0BB8"/>
    <w:rsid w:val="005B2877"/>
    <w:rsid w:val="005B57EC"/>
    <w:rsid w:val="005B5FDF"/>
    <w:rsid w:val="005B6B81"/>
    <w:rsid w:val="005B7168"/>
    <w:rsid w:val="005C0CD6"/>
    <w:rsid w:val="005C1B69"/>
    <w:rsid w:val="005C213D"/>
    <w:rsid w:val="005C23A4"/>
    <w:rsid w:val="005C2733"/>
    <w:rsid w:val="005C274F"/>
    <w:rsid w:val="005C377B"/>
    <w:rsid w:val="005C67CD"/>
    <w:rsid w:val="005C6C35"/>
    <w:rsid w:val="005C7790"/>
    <w:rsid w:val="005D0FB3"/>
    <w:rsid w:val="005D0FB5"/>
    <w:rsid w:val="005D1985"/>
    <w:rsid w:val="005D243A"/>
    <w:rsid w:val="005D25EE"/>
    <w:rsid w:val="005D3E54"/>
    <w:rsid w:val="005D49C2"/>
    <w:rsid w:val="005D4F93"/>
    <w:rsid w:val="005D4FF1"/>
    <w:rsid w:val="005D6FC4"/>
    <w:rsid w:val="005D73BB"/>
    <w:rsid w:val="005E1073"/>
    <w:rsid w:val="005E1D15"/>
    <w:rsid w:val="005E4DC1"/>
    <w:rsid w:val="005E59BC"/>
    <w:rsid w:val="005F0FD5"/>
    <w:rsid w:val="005F3147"/>
    <w:rsid w:val="005F3188"/>
    <w:rsid w:val="005F3240"/>
    <w:rsid w:val="005F35AB"/>
    <w:rsid w:val="005F670D"/>
    <w:rsid w:val="0060072D"/>
    <w:rsid w:val="00600DED"/>
    <w:rsid w:val="00602B0F"/>
    <w:rsid w:val="00603BB1"/>
    <w:rsid w:val="00604E35"/>
    <w:rsid w:val="0060522E"/>
    <w:rsid w:val="00605235"/>
    <w:rsid w:val="00607842"/>
    <w:rsid w:val="00607FE4"/>
    <w:rsid w:val="0061052D"/>
    <w:rsid w:val="006109FA"/>
    <w:rsid w:val="00612879"/>
    <w:rsid w:val="0061293B"/>
    <w:rsid w:val="00613180"/>
    <w:rsid w:val="0061777E"/>
    <w:rsid w:val="00621293"/>
    <w:rsid w:val="00622EEB"/>
    <w:rsid w:val="00623564"/>
    <w:rsid w:val="00624502"/>
    <w:rsid w:val="006248B8"/>
    <w:rsid w:val="00624DB0"/>
    <w:rsid w:val="006255CE"/>
    <w:rsid w:val="00625AC9"/>
    <w:rsid w:val="00625C0A"/>
    <w:rsid w:val="006261A7"/>
    <w:rsid w:val="006262B0"/>
    <w:rsid w:val="00626826"/>
    <w:rsid w:val="00627428"/>
    <w:rsid w:val="00627450"/>
    <w:rsid w:val="006312D6"/>
    <w:rsid w:val="00631BBA"/>
    <w:rsid w:val="00633E29"/>
    <w:rsid w:val="006343C9"/>
    <w:rsid w:val="00636540"/>
    <w:rsid w:val="00636CCC"/>
    <w:rsid w:val="00640799"/>
    <w:rsid w:val="00641E69"/>
    <w:rsid w:val="00643A72"/>
    <w:rsid w:val="006449D1"/>
    <w:rsid w:val="00645D8A"/>
    <w:rsid w:val="006513B7"/>
    <w:rsid w:val="00652F95"/>
    <w:rsid w:val="006537F3"/>
    <w:rsid w:val="00660E7D"/>
    <w:rsid w:val="0066184E"/>
    <w:rsid w:val="00661AEE"/>
    <w:rsid w:val="00661FC5"/>
    <w:rsid w:val="006622E2"/>
    <w:rsid w:val="0066269A"/>
    <w:rsid w:val="0066339A"/>
    <w:rsid w:val="00664A29"/>
    <w:rsid w:val="00667020"/>
    <w:rsid w:val="006672FB"/>
    <w:rsid w:val="00667649"/>
    <w:rsid w:val="0067228D"/>
    <w:rsid w:val="0067231E"/>
    <w:rsid w:val="0068144B"/>
    <w:rsid w:val="00681D0D"/>
    <w:rsid w:val="00682DEC"/>
    <w:rsid w:val="00682E0A"/>
    <w:rsid w:val="00682E44"/>
    <w:rsid w:val="0068336F"/>
    <w:rsid w:val="00684549"/>
    <w:rsid w:val="00687811"/>
    <w:rsid w:val="006928EE"/>
    <w:rsid w:val="00693C1C"/>
    <w:rsid w:val="006A0784"/>
    <w:rsid w:val="006A2487"/>
    <w:rsid w:val="006A470C"/>
    <w:rsid w:val="006A4D56"/>
    <w:rsid w:val="006A59CB"/>
    <w:rsid w:val="006A7428"/>
    <w:rsid w:val="006A7DAA"/>
    <w:rsid w:val="006A7E18"/>
    <w:rsid w:val="006B11B9"/>
    <w:rsid w:val="006B1E4C"/>
    <w:rsid w:val="006B23AD"/>
    <w:rsid w:val="006B2AAD"/>
    <w:rsid w:val="006B6A33"/>
    <w:rsid w:val="006B7973"/>
    <w:rsid w:val="006C00C6"/>
    <w:rsid w:val="006C01B8"/>
    <w:rsid w:val="006C01FF"/>
    <w:rsid w:val="006C189E"/>
    <w:rsid w:val="006C2883"/>
    <w:rsid w:val="006C3BBB"/>
    <w:rsid w:val="006C40AD"/>
    <w:rsid w:val="006C6A7C"/>
    <w:rsid w:val="006D09C1"/>
    <w:rsid w:val="006D0D69"/>
    <w:rsid w:val="006D0E57"/>
    <w:rsid w:val="006D1914"/>
    <w:rsid w:val="006D4181"/>
    <w:rsid w:val="006D4889"/>
    <w:rsid w:val="006D4BAF"/>
    <w:rsid w:val="006D5493"/>
    <w:rsid w:val="006D6045"/>
    <w:rsid w:val="006D7A85"/>
    <w:rsid w:val="006E0C55"/>
    <w:rsid w:val="006E0DA0"/>
    <w:rsid w:val="006E1272"/>
    <w:rsid w:val="006E143A"/>
    <w:rsid w:val="006E1F09"/>
    <w:rsid w:val="006E2199"/>
    <w:rsid w:val="006E47EA"/>
    <w:rsid w:val="006E5354"/>
    <w:rsid w:val="006E56EC"/>
    <w:rsid w:val="006E578D"/>
    <w:rsid w:val="006E5869"/>
    <w:rsid w:val="006E5B7D"/>
    <w:rsid w:val="006F07FE"/>
    <w:rsid w:val="006F0991"/>
    <w:rsid w:val="006F1A64"/>
    <w:rsid w:val="006F1E6E"/>
    <w:rsid w:val="006F2213"/>
    <w:rsid w:val="006F2555"/>
    <w:rsid w:val="006F2611"/>
    <w:rsid w:val="006F3B31"/>
    <w:rsid w:val="006F3EA0"/>
    <w:rsid w:val="006F3F91"/>
    <w:rsid w:val="006F499D"/>
    <w:rsid w:val="006F5977"/>
    <w:rsid w:val="006F5E6F"/>
    <w:rsid w:val="006F6499"/>
    <w:rsid w:val="006F69F2"/>
    <w:rsid w:val="006F6D6E"/>
    <w:rsid w:val="006F6E50"/>
    <w:rsid w:val="007013FC"/>
    <w:rsid w:val="00703D4F"/>
    <w:rsid w:val="007044EC"/>
    <w:rsid w:val="00706128"/>
    <w:rsid w:val="00706721"/>
    <w:rsid w:val="007078C9"/>
    <w:rsid w:val="00707C58"/>
    <w:rsid w:val="00712E8C"/>
    <w:rsid w:val="00713348"/>
    <w:rsid w:val="0071762E"/>
    <w:rsid w:val="00717F4F"/>
    <w:rsid w:val="0072191E"/>
    <w:rsid w:val="00721A26"/>
    <w:rsid w:val="00722402"/>
    <w:rsid w:val="00722A65"/>
    <w:rsid w:val="00722BEC"/>
    <w:rsid w:val="00723180"/>
    <w:rsid w:val="00723496"/>
    <w:rsid w:val="007249EC"/>
    <w:rsid w:val="0072510F"/>
    <w:rsid w:val="00725399"/>
    <w:rsid w:val="00725A81"/>
    <w:rsid w:val="00731D6D"/>
    <w:rsid w:val="00732806"/>
    <w:rsid w:val="007329EC"/>
    <w:rsid w:val="00733D34"/>
    <w:rsid w:val="00736D10"/>
    <w:rsid w:val="00740E5C"/>
    <w:rsid w:val="0074154B"/>
    <w:rsid w:val="007415F5"/>
    <w:rsid w:val="007418FE"/>
    <w:rsid w:val="00742653"/>
    <w:rsid w:val="00743ED4"/>
    <w:rsid w:val="00744733"/>
    <w:rsid w:val="007451F1"/>
    <w:rsid w:val="007465A1"/>
    <w:rsid w:val="007467EE"/>
    <w:rsid w:val="00746898"/>
    <w:rsid w:val="00746AC6"/>
    <w:rsid w:val="007478A8"/>
    <w:rsid w:val="00750F6D"/>
    <w:rsid w:val="0075243E"/>
    <w:rsid w:val="007555DA"/>
    <w:rsid w:val="007576E7"/>
    <w:rsid w:val="007616AF"/>
    <w:rsid w:val="00762897"/>
    <w:rsid w:val="00762931"/>
    <w:rsid w:val="00762963"/>
    <w:rsid w:val="00763F31"/>
    <w:rsid w:val="007644BE"/>
    <w:rsid w:val="00764EF3"/>
    <w:rsid w:val="007671E6"/>
    <w:rsid w:val="007675A1"/>
    <w:rsid w:val="00767FB7"/>
    <w:rsid w:val="00770FFE"/>
    <w:rsid w:val="007722DB"/>
    <w:rsid w:val="007722DE"/>
    <w:rsid w:val="0077528B"/>
    <w:rsid w:val="00777334"/>
    <w:rsid w:val="0077749C"/>
    <w:rsid w:val="00780D2E"/>
    <w:rsid w:val="00782588"/>
    <w:rsid w:val="007826A9"/>
    <w:rsid w:val="007828B3"/>
    <w:rsid w:val="00782A10"/>
    <w:rsid w:val="00782F03"/>
    <w:rsid w:val="00784016"/>
    <w:rsid w:val="00786053"/>
    <w:rsid w:val="00786B48"/>
    <w:rsid w:val="00787765"/>
    <w:rsid w:val="007915DA"/>
    <w:rsid w:val="0079331F"/>
    <w:rsid w:val="0079387D"/>
    <w:rsid w:val="00794960"/>
    <w:rsid w:val="00795BBC"/>
    <w:rsid w:val="00797016"/>
    <w:rsid w:val="007A0C49"/>
    <w:rsid w:val="007A2C1D"/>
    <w:rsid w:val="007A3A3F"/>
    <w:rsid w:val="007A5012"/>
    <w:rsid w:val="007A661B"/>
    <w:rsid w:val="007A7EC3"/>
    <w:rsid w:val="007B027B"/>
    <w:rsid w:val="007B081D"/>
    <w:rsid w:val="007B288D"/>
    <w:rsid w:val="007B2CE8"/>
    <w:rsid w:val="007B36A2"/>
    <w:rsid w:val="007B4555"/>
    <w:rsid w:val="007B7592"/>
    <w:rsid w:val="007B76A1"/>
    <w:rsid w:val="007C3270"/>
    <w:rsid w:val="007C4630"/>
    <w:rsid w:val="007C54FF"/>
    <w:rsid w:val="007C58E6"/>
    <w:rsid w:val="007C5FB4"/>
    <w:rsid w:val="007C6670"/>
    <w:rsid w:val="007C667F"/>
    <w:rsid w:val="007C6C9A"/>
    <w:rsid w:val="007D087F"/>
    <w:rsid w:val="007D097A"/>
    <w:rsid w:val="007D1195"/>
    <w:rsid w:val="007D5C05"/>
    <w:rsid w:val="007D6A6C"/>
    <w:rsid w:val="007E0E2F"/>
    <w:rsid w:val="007E1EAE"/>
    <w:rsid w:val="007E25E0"/>
    <w:rsid w:val="007E26AD"/>
    <w:rsid w:val="007E27C5"/>
    <w:rsid w:val="007E31AE"/>
    <w:rsid w:val="007E3302"/>
    <w:rsid w:val="007E76D6"/>
    <w:rsid w:val="007F0048"/>
    <w:rsid w:val="007F0A96"/>
    <w:rsid w:val="007F3046"/>
    <w:rsid w:val="007F4597"/>
    <w:rsid w:val="007F4889"/>
    <w:rsid w:val="007F665A"/>
    <w:rsid w:val="008015FA"/>
    <w:rsid w:val="00801AAE"/>
    <w:rsid w:val="00801BC0"/>
    <w:rsid w:val="0080326D"/>
    <w:rsid w:val="008037F9"/>
    <w:rsid w:val="008046B6"/>
    <w:rsid w:val="00804A00"/>
    <w:rsid w:val="00805330"/>
    <w:rsid w:val="00805F2F"/>
    <w:rsid w:val="00807372"/>
    <w:rsid w:val="00810778"/>
    <w:rsid w:val="00810B88"/>
    <w:rsid w:val="00810F61"/>
    <w:rsid w:val="008117E4"/>
    <w:rsid w:val="008119E1"/>
    <w:rsid w:val="00811FB8"/>
    <w:rsid w:val="00813493"/>
    <w:rsid w:val="00814FFC"/>
    <w:rsid w:val="008158B1"/>
    <w:rsid w:val="00816B9F"/>
    <w:rsid w:val="0082016C"/>
    <w:rsid w:val="008209A1"/>
    <w:rsid w:val="0082243C"/>
    <w:rsid w:val="008228DC"/>
    <w:rsid w:val="00832F4F"/>
    <w:rsid w:val="00833E6F"/>
    <w:rsid w:val="008354F7"/>
    <w:rsid w:val="0083667E"/>
    <w:rsid w:val="008377A1"/>
    <w:rsid w:val="008378C9"/>
    <w:rsid w:val="00843658"/>
    <w:rsid w:val="00847128"/>
    <w:rsid w:val="008476E2"/>
    <w:rsid w:val="00847EAB"/>
    <w:rsid w:val="00851AE4"/>
    <w:rsid w:val="008530E0"/>
    <w:rsid w:val="00854B1F"/>
    <w:rsid w:val="00854C29"/>
    <w:rsid w:val="008563F0"/>
    <w:rsid w:val="0085774D"/>
    <w:rsid w:val="00860F0E"/>
    <w:rsid w:val="00862321"/>
    <w:rsid w:val="00862ABF"/>
    <w:rsid w:val="00866E82"/>
    <w:rsid w:val="00867827"/>
    <w:rsid w:val="00867E01"/>
    <w:rsid w:val="00870669"/>
    <w:rsid w:val="008720B4"/>
    <w:rsid w:val="008745B2"/>
    <w:rsid w:val="0087517C"/>
    <w:rsid w:val="008760C4"/>
    <w:rsid w:val="008776C0"/>
    <w:rsid w:val="00880622"/>
    <w:rsid w:val="00882BA7"/>
    <w:rsid w:val="008832B7"/>
    <w:rsid w:val="00884CB0"/>
    <w:rsid w:val="00884FBE"/>
    <w:rsid w:val="00885CAC"/>
    <w:rsid w:val="0088687F"/>
    <w:rsid w:val="008875C8"/>
    <w:rsid w:val="008900B1"/>
    <w:rsid w:val="00890494"/>
    <w:rsid w:val="0089223E"/>
    <w:rsid w:val="00892799"/>
    <w:rsid w:val="008930B9"/>
    <w:rsid w:val="00893719"/>
    <w:rsid w:val="00893E06"/>
    <w:rsid w:val="00894A2C"/>
    <w:rsid w:val="008970D7"/>
    <w:rsid w:val="008A018A"/>
    <w:rsid w:val="008A0508"/>
    <w:rsid w:val="008A0576"/>
    <w:rsid w:val="008A0798"/>
    <w:rsid w:val="008A3195"/>
    <w:rsid w:val="008A352C"/>
    <w:rsid w:val="008A4BA6"/>
    <w:rsid w:val="008A65B0"/>
    <w:rsid w:val="008B1B89"/>
    <w:rsid w:val="008B4E42"/>
    <w:rsid w:val="008B707E"/>
    <w:rsid w:val="008C1898"/>
    <w:rsid w:val="008C24FA"/>
    <w:rsid w:val="008C4559"/>
    <w:rsid w:val="008C5933"/>
    <w:rsid w:val="008C5E94"/>
    <w:rsid w:val="008C6A5C"/>
    <w:rsid w:val="008D0E75"/>
    <w:rsid w:val="008D2231"/>
    <w:rsid w:val="008D2A56"/>
    <w:rsid w:val="008D34A6"/>
    <w:rsid w:val="008D4167"/>
    <w:rsid w:val="008D46D8"/>
    <w:rsid w:val="008D4F82"/>
    <w:rsid w:val="008D6028"/>
    <w:rsid w:val="008D69F7"/>
    <w:rsid w:val="008D6A3A"/>
    <w:rsid w:val="008E05C2"/>
    <w:rsid w:val="008E0887"/>
    <w:rsid w:val="008E1AC8"/>
    <w:rsid w:val="008E1F76"/>
    <w:rsid w:val="008E2DAD"/>
    <w:rsid w:val="008E3A59"/>
    <w:rsid w:val="008E6541"/>
    <w:rsid w:val="008E7D7B"/>
    <w:rsid w:val="008F02D5"/>
    <w:rsid w:val="008F051D"/>
    <w:rsid w:val="008F0B4C"/>
    <w:rsid w:val="008F15EF"/>
    <w:rsid w:val="008F2C94"/>
    <w:rsid w:val="008F33AA"/>
    <w:rsid w:val="008F695F"/>
    <w:rsid w:val="008F7642"/>
    <w:rsid w:val="008F78B6"/>
    <w:rsid w:val="008F7DC9"/>
    <w:rsid w:val="0090110E"/>
    <w:rsid w:val="00901560"/>
    <w:rsid w:val="00907257"/>
    <w:rsid w:val="00907571"/>
    <w:rsid w:val="009101DC"/>
    <w:rsid w:val="00910CBF"/>
    <w:rsid w:val="00911DF8"/>
    <w:rsid w:val="00911EC5"/>
    <w:rsid w:val="009127DE"/>
    <w:rsid w:val="00912E30"/>
    <w:rsid w:val="00913FC0"/>
    <w:rsid w:val="009141B3"/>
    <w:rsid w:val="009147BB"/>
    <w:rsid w:val="00914808"/>
    <w:rsid w:val="00915205"/>
    <w:rsid w:val="009175D9"/>
    <w:rsid w:val="00917B57"/>
    <w:rsid w:val="00917E81"/>
    <w:rsid w:val="0092560F"/>
    <w:rsid w:val="009262CA"/>
    <w:rsid w:val="00927299"/>
    <w:rsid w:val="00930988"/>
    <w:rsid w:val="00931198"/>
    <w:rsid w:val="00931940"/>
    <w:rsid w:val="00931A49"/>
    <w:rsid w:val="00932093"/>
    <w:rsid w:val="00932BC4"/>
    <w:rsid w:val="00934AC4"/>
    <w:rsid w:val="00935EF6"/>
    <w:rsid w:val="00935F11"/>
    <w:rsid w:val="00937142"/>
    <w:rsid w:val="00941905"/>
    <w:rsid w:val="00941E5B"/>
    <w:rsid w:val="00942F33"/>
    <w:rsid w:val="0094419D"/>
    <w:rsid w:val="009443BB"/>
    <w:rsid w:val="0094681B"/>
    <w:rsid w:val="00950149"/>
    <w:rsid w:val="00952DC3"/>
    <w:rsid w:val="00955147"/>
    <w:rsid w:val="00955928"/>
    <w:rsid w:val="009567B0"/>
    <w:rsid w:val="00956AF6"/>
    <w:rsid w:val="009600A5"/>
    <w:rsid w:val="00960604"/>
    <w:rsid w:val="00960EDC"/>
    <w:rsid w:val="009612E4"/>
    <w:rsid w:val="00963BCB"/>
    <w:rsid w:val="0096565A"/>
    <w:rsid w:val="00965D42"/>
    <w:rsid w:val="009664DF"/>
    <w:rsid w:val="00967DB9"/>
    <w:rsid w:val="00967DF9"/>
    <w:rsid w:val="00970A61"/>
    <w:rsid w:val="00970C54"/>
    <w:rsid w:val="009718BA"/>
    <w:rsid w:val="00972F5B"/>
    <w:rsid w:val="009730F2"/>
    <w:rsid w:val="00974A8E"/>
    <w:rsid w:val="00974AED"/>
    <w:rsid w:val="009759B1"/>
    <w:rsid w:val="0098029A"/>
    <w:rsid w:val="00981033"/>
    <w:rsid w:val="009814F3"/>
    <w:rsid w:val="0098167F"/>
    <w:rsid w:val="00982B9B"/>
    <w:rsid w:val="0098739A"/>
    <w:rsid w:val="00987CA9"/>
    <w:rsid w:val="009905FB"/>
    <w:rsid w:val="00992188"/>
    <w:rsid w:val="00992AF8"/>
    <w:rsid w:val="00995639"/>
    <w:rsid w:val="009A0884"/>
    <w:rsid w:val="009A60F2"/>
    <w:rsid w:val="009A6776"/>
    <w:rsid w:val="009B00CA"/>
    <w:rsid w:val="009B01D0"/>
    <w:rsid w:val="009B68CD"/>
    <w:rsid w:val="009C1709"/>
    <w:rsid w:val="009C19B8"/>
    <w:rsid w:val="009C1D73"/>
    <w:rsid w:val="009C41AC"/>
    <w:rsid w:val="009C4B6F"/>
    <w:rsid w:val="009C6985"/>
    <w:rsid w:val="009D03E0"/>
    <w:rsid w:val="009D070B"/>
    <w:rsid w:val="009D0C04"/>
    <w:rsid w:val="009D6DFE"/>
    <w:rsid w:val="009D7662"/>
    <w:rsid w:val="009E0604"/>
    <w:rsid w:val="009E06BE"/>
    <w:rsid w:val="009E0F41"/>
    <w:rsid w:val="009E2981"/>
    <w:rsid w:val="009E33B2"/>
    <w:rsid w:val="009E490A"/>
    <w:rsid w:val="009E4F5E"/>
    <w:rsid w:val="009E5331"/>
    <w:rsid w:val="009E6468"/>
    <w:rsid w:val="009E68FF"/>
    <w:rsid w:val="009E6D96"/>
    <w:rsid w:val="009E6F0A"/>
    <w:rsid w:val="009E7A0B"/>
    <w:rsid w:val="009F099B"/>
    <w:rsid w:val="009F245C"/>
    <w:rsid w:val="009F28F3"/>
    <w:rsid w:val="009F2B9A"/>
    <w:rsid w:val="009F3BEF"/>
    <w:rsid w:val="009F4E57"/>
    <w:rsid w:val="009F5765"/>
    <w:rsid w:val="009F7D0C"/>
    <w:rsid w:val="00A00949"/>
    <w:rsid w:val="00A01A8B"/>
    <w:rsid w:val="00A03255"/>
    <w:rsid w:val="00A0513E"/>
    <w:rsid w:val="00A055E0"/>
    <w:rsid w:val="00A06974"/>
    <w:rsid w:val="00A13494"/>
    <w:rsid w:val="00A137F4"/>
    <w:rsid w:val="00A13F26"/>
    <w:rsid w:val="00A144C4"/>
    <w:rsid w:val="00A14FE4"/>
    <w:rsid w:val="00A1734F"/>
    <w:rsid w:val="00A176BF"/>
    <w:rsid w:val="00A218CC"/>
    <w:rsid w:val="00A22513"/>
    <w:rsid w:val="00A244E8"/>
    <w:rsid w:val="00A26E34"/>
    <w:rsid w:val="00A270A0"/>
    <w:rsid w:val="00A31EDE"/>
    <w:rsid w:val="00A324CE"/>
    <w:rsid w:val="00A32F4D"/>
    <w:rsid w:val="00A33DA9"/>
    <w:rsid w:val="00A349D4"/>
    <w:rsid w:val="00A35688"/>
    <w:rsid w:val="00A35C62"/>
    <w:rsid w:val="00A37FFB"/>
    <w:rsid w:val="00A402E3"/>
    <w:rsid w:val="00A409FB"/>
    <w:rsid w:val="00A41355"/>
    <w:rsid w:val="00A413A8"/>
    <w:rsid w:val="00A41832"/>
    <w:rsid w:val="00A41F74"/>
    <w:rsid w:val="00A43D72"/>
    <w:rsid w:val="00A44503"/>
    <w:rsid w:val="00A44532"/>
    <w:rsid w:val="00A47AA3"/>
    <w:rsid w:val="00A47E28"/>
    <w:rsid w:val="00A514B4"/>
    <w:rsid w:val="00A514B5"/>
    <w:rsid w:val="00A516BA"/>
    <w:rsid w:val="00A544ED"/>
    <w:rsid w:val="00A5530F"/>
    <w:rsid w:val="00A554AE"/>
    <w:rsid w:val="00A55550"/>
    <w:rsid w:val="00A5555A"/>
    <w:rsid w:val="00A55661"/>
    <w:rsid w:val="00A55C9C"/>
    <w:rsid w:val="00A5753C"/>
    <w:rsid w:val="00A57CD7"/>
    <w:rsid w:val="00A61190"/>
    <w:rsid w:val="00A62109"/>
    <w:rsid w:val="00A62247"/>
    <w:rsid w:val="00A64F57"/>
    <w:rsid w:val="00A64F5D"/>
    <w:rsid w:val="00A662A6"/>
    <w:rsid w:val="00A66FFD"/>
    <w:rsid w:val="00A67081"/>
    <w:rsid w:val="00A719FB"/>
    <w:rsid w:val="00A725FD"/>
    <w:rsid w:val="00A7502C"/>
    <w:rsid w:val="00A765D7"/>
    <w:rsid w:val="00A7729A"/>
    <w:rsid w:val="00A8081F"/>
    <w:rsid w:val="00A8293F"/>
    <w:rsid w:val="00A83B73"/>
    <w:rsid w:val="00A85067"/>
    <w:rsid w:val="00A87398"/>
    <w:rsid w:val="00A87A35"/>
    <w:rsid w:val="00A919FC"/>
    <w:rsid w:val="00A94374"/>
    <w:rsid w:val="00AA4E1E"/>
    <w:rsid w:val="00AA6DB5"/>
    <w:rsid w:val="00AB43CF"/>
    <w:rsid w:val="00AB4E20"/>
    <w:rsid w:val="00AB55A2"/>
    <w:rsid w:val="00AB5B52"/>
    <w:rsid w:val="00AB72EA"/>
    <w:rsid w:val="00AB74CD"/>
    <w:rsid w:val="00AB7FE0"/>
    <w:rsid w:val="00AC156C"/>
    <w:rsid w:val="00AC38E7"/>
    <w:rsid w:val="00AC487B"/>
    <w:rsid w:val="00AC5538"/>
    <w:rsid w:val="00AC5893"/>
    <w:rsid w:val="00AC5AC0"/>
    <w:rsid w:val="00AC7488"/>
    <w:rsid w:val="00AD27A0"/>
    <w:rsid w:val="00AD2E8F"/>
    <w:rsid w:val="00AD419C"/>
    <w:rsid w:val="00AD471D"/>
    <w:rsid w:val="00AD4B6C"/>
    <w:rsid w:val="00AE1FE1"/>
    <w:rsid w:val="00AE4401"/>
    <w:rsid w:val="00AE4498"/>
    <w:rsid w:val="00AE519B"/>
    <w:rsid w:val="00AE73DF"/>
    <w:rsid w:val="00AE7861"/>
    <w:rsid w:val="00AF09A0"/>
    <w:rsid w:val="00AF16F2"/>
    <w:rsid w:val="00AF2426"/>
    <w:rsid w:val="00AF3EB0"/>
    <w:rsid w:val="00AF5B38"/>
    <w:rsid w:val="00AF6287"/>
    <w:rsid w:val="00AF67E8"/>
    <w:rsid w:val="00AF6929"/>
    <w:rsid w:val="00AF6ED3"/>
    <w:rsid w:val="00B00143"/>
    <w:rsid w:val="00B009A6"/>
    <w:rsid w:val="00B01C5D"/>
    <w:rsid w:val="00B01E40"/>
    <w:rsid w:val="00B03255"/>
    <w:rsid w:val="00B03F48"/>
    <w:rsid w:val="00B055CC"/>
    <w:rsid w:val="00B07582"/>
    <w:rsid w:val="00B115CA"/>
    <w:rsid w:val="00B11F2B"/>
    <w:rsid w:val="00B12247"/>
    <w:rsid w:val="00B122F0"/>
    <w:rsid w:val="00B12752"/>
    <w:rsid w:val="00B13417"/>
    <w:rsid w:val="00B134D3"/>
    <w:rsid w:val="00B13B97"/>
    <w:rsid w:val="00B14862"/>
    <w:rsid w:val="00B14AF8"/>
    <w:rsid w:val="00B15993"/>
    <w:rsid w:val="00B15999"/>
    <w:rsid w:val="00B21AF4"/>
    <w:rsid w:val="00B252B4"/>
    <w:rsid w:val="00B260A3"/>
    <w:rsid w:val="00B2739E"/>
    <w:rsid w:val="00B33740"/>
    <w:rsid w:val="00B33EC3"/>
    <w:rsid w:val="00B3544E"/>
    <w:rsid w:val="00B35837"/>
    <w:rsid w:val="00B36E2C"/>
    <w:rsid w:val="00B4097C"/>
    <w:rsid w:val="00B4113C"/>
    <w:rsid w:val="00B41848"/>
    <w:rsid w:val="00B41EDB"/>
    <w:rsid w:val="00B426A9"/>
    <w:rsid w:val="00B43C34"/>
    <w:rsid w:val="00B45D4C"/>
    <w:rsid w:val="00B465D7"/>
    <w:rsid w:val="00B46B0B"/>
    <w:rsid w:val="00B46CDB"/>
    <w:rsid w:val="00B473B9"/>
    <w:rsid w:val="00B5080E"/>
    <w:rsid w:val="00B50B0C"/>
    <w:rsid w:val="00B520F1"/>
    <w:rsid w:val="00B53A4B"/>
    <w:rsid w:val="00B552AD"/>
    <w:rsid w:val="00B55E16"/>
    <w:rsid w:val="00B57CCB"/>
    <w:rsid w:val="00B57E5E"/>
    <w:rsid w:val="00B61748"/>
    <w:rsid w:val="00B61AD6"/>
    <w:rsid w:val="00B624C2"/>
    <w:rsid w:val="00B62D45"/>
    <w:rsid w:val="00B62E4E"/>
    <w:rsid w:val="00B63915"/>
    <w:rsid w:val="00B63C2C"/>
    <w:rsid w:val="00B707F7"/>
    <w:rsid w:val="00B709ED"/>
    <w:rsid w:val="00B70B30"/>
    <w:rsid w:val="00B712D7"/>
    <w:rsid w:val="00B71635"/>
    <w:rsid w:val="00B726F6"/>
    <w:rsid w:val="00B72EB4"/>
    <w:rsid w:val="00B73D2D"/>
    <w:rsid w:val="00B7417F"/>
    <w:rsid w:val="00B74221"/>
    <w:rsid w:val="00B7485C"/>
    <w:rsid w:val="00B74DAE"/>
    <w:rsid w:val="00B75A44"/>
    <w:rsid w:val="00B8102E"/>
    <w:rsid w:val="00B81DBE"/>
    <w:rsid w:val="00B81DEB"/>
    <w:rsid w:val="00B82815"/>
    <w:rsid w:val="00B83444"/>
    <w:rsid w:val="00B84BFB"/>
    <w:rsid w:val="00B85DF4"/>
    <w:rsid w:val="00B8662B"/>
    <w:rsid w:val="00B87A88"/>
    <w:rsid w:val="00B90A28"/>
    <w:rsid w:val="00B915C2"/>
    <w:rsid w:val="00B926A5"/>
    <w:rsid w:val="00B933AC"/>
    <w:rsid w:val="00B93989"/>
    <w:rsid w:val="00B93992"/>
    <w:rsid w:val="00B93C2A"/>
    <w:rsid w:val="00B95BA2"/>
    <w:rsid w:val="00B95E72"/>
    <w:rsid w:val="00B96FB4"/>
    <w:rsid w:val="00B97DE4"/>
    <w:rsid w:val="00BA0B33"/>
    <w:rsid w:val="00BA0B56"/>
    <w:rsid w:val="00BA2DF6"/>
    <w:rsid w:val="00BA3044"/>
    <w:rsid w:val="00BA3F2A"/>
    <w:rsid w:val="00BA53DE"/>
    <w:rsid w:val="00BA711F"/>
    <w:rsid w:val="00BA768B"/>
    <w:rsid w:val="00BA7D86"/>
    <w:rsid w:val="00BB2966"/>
    <w:rsid w:val="00BB54F2"/>
    <w:rsid w:val="00BB6923"/>
    <w:rsid w:val="00BC0AFA"/>
    <w:rsid w:val="00BC1527"/>
    <w:rsid w:val="00BC1938"/>
    <w:rsid w:val="00BC33FF"/>
    <w:rsid w:val="00BC6ABC"/>
    <w:rsid w:val="00BD0989"/>
    <w:rsid w:val="00BD0B2E"/>
    <w:rsid w:val="00BD3093"/>
    <w:rsid w:val="00BD351A"/>
    <w:rsid w:val="00BD4B1B"/>
    <w:rsid w:val="00BD4E4D"/>
    <w:rsid w:val="00BD631C"/>
    <w:rsid w:val="00BD7056"/>
    <w:rsid w:val="00BD7234"/>
    <w:rsid w:val="00BE02CF"/>
    <w:rsid w:val="00BE06E9"/>
    <w:rsid w:val="00BE16FB"/>
    <w:rsid w:val="00BE1D1C"/>
    <w:rsid w:val="00BE48E2"/>
    <w:rsid w:val="00BE55A0"/>
    <w:rsid w:val="00BE6EDA"/>
    <w:rsid w:val="00BF0543"/>
    <w:rsid w:val="00BF0947"/>
    <w:rsid w:val="00BF1C44"/>
    <w:rsid w:val="00BF2011"/>
    <w:rsid w:val="00BF28FD"/>
    <w:rsid w:val="00BF2DC1"/>
    <w:rsid w:val="00BF4A77"/>
    <w:rsid w:val="00BF50D2"/>
    <w:rsid w:val="00BF77A7"/>
    <w:rsid w:val="00BF7B39"/>
    <w:rsid w:val="00BF7ED3"/>
    <w:rsid w:val="00C03526"/>
    <w:rsid w:val="00C03883"/>
    <w:rsid w:val="00C03EE4"/>
    <w:rsid w:val="00C06262"/>
    <w:rsid w:val="00C07629"/>
    <w:rsid w:val="00C078E6"/>
    <w:rsid w:val="00C10ADC"/>
    <w:rsid w:val="00C1258E"/>
    <w:rsid w:val="00C12712"/>
    <w:rsid w:val="00C13190"/>
    <w:rsid w:val="00C13340"/>
    <w:rsid w:val="00C1382E"/>
    <w:rsid w:val="00C13BC6"/>
    <w:rsid w:val="00C13ECA"/>
    <w:rsid w:val="00C1684E"/>
    <w:rsid w:val="00C16FB4"/>
    <w:rsid w:val="00C20671"/>
    <w:rsid w:val="00C226A5"/>
    <w:rsid w:val="00C22C56"/>
    <w:rsid w:val="00C231E3"/>
    <w:rsid w:val="00C232A0"/>
    <w:rsid w:val="00C236FE"/>
    <w:rsid w:val="00C23F9C"/>
    <w:rsid w:val="00C275E7"/>
    <w:rsid w:val="00C275FC"/>
    <w:rsid w:val="00C27E1B"/>
    <w:rsid w:val="00C27F88"/>
    <w:rsid w:val="00C3019F"/>
    <w:rsid w:val="00C30618"/>
    <w:rsid w:val="00C31B63"/>
    <w:rsid w:val="00C31ED6"/>
    <w:rsid w:val="00C31FA4"/>
    <w:rsid w:val="00C323E0"/>
    <w:rsid w:val="00C3419D"/>
    <w:rsid w:val="00C3540F"/>
    <w:rsid w:val="00C35B01"/>
    <w:rsid w:val="00C362BF"/>
    <w:rsid w:val="00C406F9"/>
    <w:rsid w:val="00C40B7C"/>
    <w:rsid w:val="00C41445"/>
    <w:rsid w:val="00C44354"/>
    <w:rsid w:val="00C44371"/>
    <w:rsid w:val="00C469BD"/>
    <w:rsid w:val="00C46D99"/>
    <w:rsid w:val="00C47160"/>
    <w:rsid w:val="00C51447"/>
    <w:rsid w:val="00C517AE"/>
    <w:rsid w:val="00C52187"/>
    <w:rsid w:val="00C54096"/>
    <w:rsid w:val="00C54E8B"/>
    <w:rsid w:val="00C55302"/>
    <w:rsid w:val="00C564F8"/>
    <w:rsid w:val="00C578B3"/>
    <w:rsid w:val="00C601B9"/>
    <w:rsid w:val="00C603A7"/>
    <w:rsid w:val="00C60C94"/>
    <w:rsid w:val="00C62ECB"/>
    <w:rsid w:val="00C63103"/>
    <w:rsid w:val="00C63E3D"/>
    <w:rsid w:val="00C65F00"/>
    <w:rsid w:val="00C6756C"/>
    <w:rsid w:val="00C70248"/>
    <w:rsid w:val="00C722AF"/>
    <w:rsid w:val="00C72862"/>
    <w:rsid w:val="00C738A8"/>
    <w:rsid w:val="00C745B7"/>
    <w:rsid w:val="00C76DBC"/>
    <w:rsid w:val="00C77AF5"/>
    <w:rsid w:val="00C81566"/>
    <w:rsid w:val="00C817A8"/>
    <w:rsid w:val="00C820C2"/>
    <w:rsid w:val="00C8225E"/>
    <w:rsid w:val="00C83C8A"/>
    <w:rsid w:val="00C85606"/>
    <w:rsid w:val="00C90619"/>
    <w:rsid w:val="00C91923"/>
    <w:rsid w:val="00C91FD6"/>
    <w:rsid w:val="00C92886"/>
    <w:rsid w:val="00C92B14"/>
    <w:rsid w:val="00C92B7B"/>
    <w:rsid w:val="00C92D28"/>
    <w:rsid w:val="00C949F8"/>
    <w:rsid w:val="00C96B11"/>
    <w:rsid w:val="00C979E9"/>
    <w:rsid w:val="00C97DA4"/>
    <w:rsid w:val="00CA2428"/>
    <w:rsid w:val="00CA2CAD"/>
    <w:rsid w:val="00CA30B3"/>
    <w:rsid w:val="00CA32EA"/>
    <w:rsid w:val="00CA3BDC"/>
    <w:rsid w:val="00CA515E"/>
    <w:rsid w:val="00CA5389"/>
    <w:rsid w:val="00CA63B3"/>
    <w:rsid w:val="00CB0A6F"/>
    <w:rsid w:val="00CB25F0"/>
    <w:rsid w:val="00CB3D3D"/>
    <w:rsid w:val="00CB6451"/>
    <w:rsid w:val="00CB7765"/>
    <w:rsid w:val="00CC093D"/>
    <w:rsid w:val="00CC1B32"/>
    <w:rsid w:val="00CC1B5C"/>
    <w:rsid w:val="00CC377E"/>
    <w:rsid w:val="00CC42C9"/>
    <w:rsid w:val="00CC4790"/>
    <w:rsid w:val="00CC49C6"/>
    <w:rsid w:val="00CC4AD2"/>
    <w:rsid w:val="00CC746B"/>
    <w:rsid w:val="00CD01D3"/>
    <w:rsid w:val="00CD11D6"/>
    <w:rsid w:val="00CD1790"/>
    <w:rsid w:val="00CD26CD"/>
    <w:rsid w:val="00CD2EE1"/>
    <w:rsid w:val="00CE1BF6"/>
    <w:rsid w:val="00CE2128"/>
    <w:rsid w:val="00CE3A3B"/>
    <w:rsid w:val="00CE69FE"/>
    <w:rsid w:val="00CE76F4"/>
    <w:rsid w:val="00CE7D31"/>
    <w:rsid w:val="00CF1EEA"/>
    <w:rsid w:val="00CF3640"/>
    <w:rsid w:val="00CF3CAD"/>
    <w:rsid w:val="00CF5D6D"/>
    <w:rsid w:val="00CF66BA"/>
    <w:rsid w:val="00D0112A"/>
    <w:rsid w:val="00D02901"/>
    <w:rsid w:val="00D02C5D"/>
    <w:rsid w:val="00D03324"/>
    <w:rsid w:val="00D0497A"/>
    <w:rsid w:val="00D0536E"/>
    <w:rsid w:val="00D06A3B"/>
    <w:rsid w:val="00D07A9D"/>
    <w:rsid w:val="00D07BE2"/>
    <w:rsid w:val="00D132F1"/>
    <w:rsid w:val="00D15BBC"/>
    <w:rsid w:val="00D16224"/>
    <w:rsid w:val="00D175B0"/>
    <w:rsid w:val="00D230C5"/>
    <w:rsid w:val="00D234C5"/>
    <w:rsid w:val="00D24FBB"/>
    <w:rsid w:val="00D278BD"/>
    <w:rsid w:val="00D279F6"/>
    <w:rsid w:val="00D301E7"/>
    <w:rsid w:val="00D312CC"/>
    <w:rsid w:val="00D32B53"/>
    <w:rsid w:val="00D33B46"/>
    <w:rsid w:val="00D374AB"/>
    <w:rsid w:val="00D37C90"/>
    <w:rsid w:val="00D401BB"/>
    <w:rsid w:val="00D407D9"/>
    <w:rsid w:val="00D4207C"/>
    <w:rsid w:val="00D4212E"/>
    <w:rsid w:val="00D42AE2"/>
    <w:rsid w:val="00D4324E"/>
    <w:rsid w:val="00D43C73"/>
    <w:rsid w:val="00D43E29"/>
    <w:rsid w:val="00D446B3"/>
    <w:rsid w:val="00D44ACD"/>
    <w:rsid w:val="00D44B74"/>
    <w:rsid w:val="00D45EFF"/>
    <w:rsid w:val="00D45F15"/>
    <w:rsid w:val="00D46A69"/>
    <w:rsid w:val="00D47273"/>
    <w:rsid w:val="00D47806"/>
    <w:rsid w:val="00D527E0"/>
    <w:rsid w:val="00D53E5B"/>
    <w:rsid w:val="00D55188"/>
    <w:rsid w:val="00D57D82"/>
    <w:rsid w:val="00D6287A"/>
    <w:rsid w:val="00D66DE4"/>
    <w:rsid w:val="00D66EB4"/>
    <w:rsid w:val="00D67065"/>
    <w:rsid w:val="00D7034B"/>
    <w:rsid w:val="00D719A2"/>
    <w:rsid w:val="00D74484"/>
    <w:rsid w:val="00D76FAD"/>
    <w:rsid w:val="00D83796"/>
    <w:rsid w:val="00D83880"/>
    <w:rsid w:val="00D86B2C"/>
    <w:rsid w:val="00D90AD6"/>
    <w:rsid w:val="00D90D93"/>
    <w:rsid w:val="00D91911"/>
    <w:rsid w:val="00D941A2"/>
    <w:rsid w:val="00D9443D"/>
    <w:rsid w:val="00D95885"/>
    <w:rsid w:val="00D96005"/>
    <w:rsid w:val="00D971C3"/>
    <w:rsid w:val="00D97555"/>
    <w:rsid w:val="00DA11E8"/>
    <w:rsid w:val="00DA200A"/>
    <w:rsid w:val="00DA49A7"/>
    <w:rsid w:val="00DA51D8"/>
    <w:rsid w:val="00DA5918"/>
    <w:rsid w:val="00DA5C66"/>
    <w:rsid w:val="00DA5FEA"/>
    <w:rsid w:val="00DA62FD"/>
    <w:rsid w:val="00DA65A7"/>
    <w:rsid w:val="00DB48DD"/>
    <w:rsid w:val="00DB5159"/>
    <w:rsid w:val="00DB5579"/>
    <w:rsid w:val="00DB6C30"/>
    <w:rsid w:val="00DB7D99"/>
    <w:rsid w:val="00DB7DA1"/>
    <w:rsid w:val="00DC147C"/>
    <w:rsid w:val="00DC15E4"/>
    <w:rsid w:val="00DC2FB5"/>
    <w:rsid w:val="00DC4AA2"/>
    <w:rsid w:val="00DC67FC"/>
    <w:rsid w:val="00DC79CE"/>
    <w:rsid w:val="00DD04E6"/>
    <w:rsid w:val="00DD13AE"/>
    <w:rsid w:val="00DD1491"/>
    <w:rsid w:val="00DD24A7"/>
    <w:rsid w:val="00DD3083"/>
    <w:rsid w:val="00DD3308"/>
    <w:rsid w:val="00DD678E"/>
    <w:rsid w:val="00DE0431"/>
    <w:rsid w:val="00DE16DA"/>
    <w:rsid w:val="00DE2129"/>
    <w:rsid w:val="00DE2B73"/>
    <w:rsid w:val="00DE2C5B"/>
    <w:rsid w:val="00DE32BB"/>
    <w:rsid w:val="00DE4A0B"/>
    <w:rsid w:val="00DF0223"/>
    <w:rsid w:val="00DF057E"/>
    <w:rsid w:val="00DF1383"/>
    <w:rsid w:val="00DF1DE1"/>
    <w:rsid w:val="00DF2C34"/>
    <w:rsid w:val="00DF3940"/>
    <w:rsid w:val="00DF5092"/>
    <w:rsid w:val="00DF53EE"/>
    <w:rsid w:val="00DF574E"/>
    <w:rsid w:val="00DF5BDB"/>
    <w:rsid w:val="00DF5FED"/>
    <w:rsid w:val="00DF6493"/>
    <w:rsid w:val="00DF65F6"/>
    <w:rsid w:val="00E0340B"/>
    <w:rsid w:val="00E0413D"/>
    <w:rsid w:val="00E0452C"/>
    <w:rsid w:val="00E05676"/>
    <w:rsid w:val="00E0776D"/>
    <w:rsid w:val="00E1034A"/>
    <w:rsid w:val="00E1318F"/>
    <w:rsid w:val="00E15253"/>
    <w:rsid w:val="00E17DE1"/>
    <w:rsid w:val="00E21B8A"/>
    <w:rsid w:val="00E21FF0"/>
    <w:rsid w:val="00E221EB"/>
    <w:rsid w:val="00E24F19"/>
    <w:rsid w:val="00E24FC0"/>
    <w:rsid w:val="00E26697"/>
    <w:rsid w:val="00E26A2A"/>
    <w:rsid w:val="00E313EF"/>
    <w:rsid w:val="00E32392"/>
    <w:rsid w:val="00E32C1C"/>
    <w:rsid w:val="00E33F43"/>
    <w:rsid w:val="00E347AA"/>
    <w:rsid w:val="00E351EA"/>
    <w:rsid w:val="00E354FF"/>
    <w:rsid w:val="00E35E55"/>
    <w:rsid w:val="00E36BA6"/>
    <w:rsid w:val="00E36C15"/>
    <w:rsid w:val="00E40768"/>
    <w:rsid w:val="00E43F04"/>
    <w:rsid w:val="00E46CE1"/>
    <w:rsid w:val="00E50DC9"/>
    <w:rsid w:val="00E518AE"/>
    <w:rsid w:val="00E53306"/>
    <w:rsid w:val="00E54175"/>
    <w:rsid w:val="00E54C3F"/>
    <w:rsid w:val="00E571C7"/>
    <w:rsid w:val="00E603FE"/>
    <w:rsid w:val="00E60889"/>
    <w:rsid w:val="00E61A78"/>
    <w:rsid w:val="00E62A3E"/>
    <w:rsid w:val="00E63EED"/>
    <w:rsid w:val="00E6429F"/>
    <w:rsid w:val="00E711E8"/>
    <w:rsid w:val="00E720CD"/>
    <w:rsid w:val="00E73E1B"/>
    <w:rsid w:val="00E76164"/>
    <w:rsid w:val="00E76995"/>
    <w:rsid w:val="00E77CF8"/>
    <w:rsid w:val="00E804F4"/>
    <w:rsid w:val="00E81466"/>
    <w:rsid w:val="00E81F1B"/>
    <w:rsid w:val="00E82AD6"/>
    <w:rsid w:val="00E837BE"/>
    <w:rsid w:val="00E87F25"/>
    <w:rsid w:val="00E939DE"/>
    <w:rsid w:val="00E94AFC"/>
    <w:rsid w:val="00E954B1"/>
    <w:rsid w:val="00E96780"/>
    <w:rsid w:val="00E975F2"/>
    <w:rsid w:val="00EA36EB"/>
    <w:rsid w:val="00EA3FC1"/>
    <w:rsid w:val="00EA5E54"/>
    <w:rsid w:val="00EA7319"/>
    <w:rsid w:val="00EA76CC"/>
    <w:rsid w:val="00EB190B"/>
    <w:rsid w:val="00EB1C9D"/>
    <w:rsid w:val="00EB2F51"/>
    <w:rsid w:val="00EB324B"/>
    <w:rsid w:val="00EB4E85"/>
    <w:rsid w:val="00EB6B72"/>
    <w:rsid w:val="00EC147B"/>
    <w:rsid w:val="00EC1B07"/>
    <w:rsid w:val="00EC33C4"/>
    <w:rsid w:val="00EC4A04"/>
    <w:rsid w:val="00EC6896"/>
    <w:rsid w:val="00ED1750"/>
    <w:rsid w:val="00ED49A9"/>
    <w:rsid w:val="00ED4E88"/>
    <w:rsid w:val="00ED54E4"/>
    <w:rsid w:val="00ED6395"/>
    <w:rsid w:val="00ED6F8F"/>
    <w:rsid w:val="00ED7CE9"/>
    <w:rsid w:val="00EE0850"/>
    <w:rsid w:val="00EE09EA"/>
    <w:rsid w:val="00EE196E"/>
    <w:rsid w:val="00EE222D"/>
    <w:rsid w:val="00EE3267"/>
    <w:rsid w:val="00EE346E"/>
    <w:rsid w:val="00EE3854"/>
    <w:rsid w:val="00EE3FF1"/>
    <w:rsid w:val="00EE502A"/>
    <w:rsid w:val="00EE5104"/>
    <w:rsid w:val="00EE53A7"/>
    <w:rsid w:val="00EE5480"/>
    <w:rsid w:val="00EE5AB9"/>
    <w:rsid w:val="00EE6511"/>
    <w:rsid w:val="00EE6D07"/>
    <w:rsid w:val="00EE711B"/>
    <w:rsid w:val="00EE774C"/>
    <w:rsid w:val="00EF0E85"/>
    <w:rsid w:val="00EF16FB"/>
    <w:rsid w:val="00EF41C6"/>
    <w:rsid w:val="00EF433C"/>
    <w:rsid w:val="00EF4890"/>
    <w:rsid w:val="00EF4C32"/>
    <w:rsid w:val="00EF6F35"/>
    <w:rsid w:val="00EF6FB4"/>
    <w:rsid w:val="00EF7A33"/>
    <w:rsid w:val="00F05531"/>
    <w:rsid w:val="00F06281"/>
    <w:rsid w:val="00F10FC7"/>
    <w:rsid w:val="00F11861"/>
    <w:rsid w:val="00F12C41"/>
    <w:rsid w:val="00F12D72"/>
    <w:rsid w:val="00F1589C"/>
    <w:rsid w:val="00F15A34"/>
    <w:rsid w:val="00F15DAF"/>
    <w:rsid w:val="00F1638E"/>
    <w:rsid w:val="00F16F2A"/>
    <w:rsid w:val="00F20786"/>
    <w:rsid w:val="00F22CE0"/>
    <w:rsid w:val="00F23AB2"/>
    <w:rsid w:val="00F27498"/>
    <w:rsid w:val="00F3000C"/>
    <w:rsid w:val="00F32CE5"/>
    <w:rsid w:val="00F33430"/>
    <w:rsid w:val="00F339E1"/>
    <w:rsid w:val="00F33BE6"/>
    <w:rsid w:val="00F34CB6"/>
    <w:rsid w:val="00F36A51"/>
    <w:rsid w:val="00F41D3F"/>
    <w:rsid w:val="00F43D5C"/>
    <w:rsid w:val="00F443C0"/>
    <w:rsid w:val="00F44EB1"/>
    <w:rsid w:val="00F45868"/>
    <w:rsid w:val="00F469FD"/>
    <w:rsid w:val="00F47E48"/>
    <w:rsid w:val="00F50355"/>
    <w:rsid w:val="00F5143F"/>
    <w:rsid w:val="00F52AAB"/>
    <w:rsid w:val="00F56636"/>
    <w:rsid w:val="00F566B9"/>
    <w:rsid w:val="00F56DFE"/>
    <w:rsid w:val="00F57788"/>
    <w:rsid w:val="00F57ADF"/>
    <w:rsid w:val="00F603A1"/>
    <w:rsid w:val="00F61162"/>
    <w:rsid w:val="00F61BB8"/>
    <w:rsid w:val="00F62357"/>
    <w:rsid w:val="00F63371"/>
    <w:rsid w:val="00F63D0E"/>
    <w:rsid w:val="00F648C2"/>
    <w:rsid w:val="00F6568D"/>
    <w:rsid w:val="00F671E5"/>
    <w:rsid w:val="00F677B2"/>
    <w:rsid w:val="00F67F30"/>
    <w:rsid w:val="00F71617"/>
    <w:rsid w:val="00F7343D"/>
    <w:rsid w:val="00F7387B"/>
    <w:rsid w:val="00F75DAB"/>
    <w:rsid w:val="00F76736"/>
    <w:rsid w:val="00F76EC3"/>
    <w:rsid w:val="00F776DA"/>
    <w:rsid w:val="00F77CD7"/>
    <w:rsid w:val="00F808EA"/>
    <w:rsid w:val="00F812A7"/>
    <w:rsid w:val="00F83D13"/>
    <w:rsid w:val="00F856B2"/>
    <w:rsid w:val="00F85C5F"/>
    <w:rsid w:val="00F86677"/>
    <w:rsid w:val="00F86888"/>
    <w:rsid w:val="00F877D9"/>
    <w:rsid w:val="00F94121"/>
    <w:rsid w:val="00F94A55"/>
    <w:rsid w:val="00F96D48"/>
    <w:rsid w:val="00F97735"/>
    <w:rsid w:val="00FA0302"/>
    <w:rsid w:val="00FA3CC2"/>
    <w:rsid w:val="00FA48AE"/>
    <w:rsid w:val="00FA4E34"/>
    <w:rsid w:val="00FA55AD"/>
    <w:rsid w:val="00FA55D8"/>
    <w:rsid w:val="00FA6358"/>
    <w:rsid w:val="00FB0895"/>
    <w:rsid w:val="00FB0FA6"/>
    <w:rsid w:val="00FB164E"/>
    <w:rsid w:val="00FB3CF9"/>
    <w:rsid w:val="00FB3D4C"/>
    <w:rsid w:val="00FB3D92"/>
    <w:rsid w:val="00FB4D01"/>
    <w:rsid w:val="00FB5842"/>
    <w:rsid w:val="00FB6041"/>
    <w:rsid w:val="00FC196E"/>
    <w:rsid w:val="00FC2F55"/>
    <w:rsid w:val="00FC411F"/>
    <w:rsid w:val="00FC55B6"/>
    <w:rsid w:val="00FC5E28"/>
    <w:rsid w:val="00FC6F98"/>
    <w:rsid w:val="00FD0C7B"/>
    <w:rsid w:val="00FD0FF3"/>
    <w:rsid w:val="00FD3C37"/>
    <w:rsid w:val="00FD472D"/>
    <w:rsid w:val="00FD54FE"/>
    <w:rsid w:val="00FD614D"/>
    <w:rsid w:val="00FE130B"/>
    <w:rsid w:val="00FE2898"/>
    <w:rsid w:val="00FE41CD"/>
    <w:rsid w:val="00FE4D46"/>
    <w:rsid w:val="00FE7410"/>
    <w:rsid w:val="00FE78C4"/>
    <w:rsid w:val="00FE7FC6"/>
    <w:rsid w:val="00FF04BB"/>
    <w:rsid w:val="00FF1AD7"/>
    <w:rsid w:val="00FF1B23"/>
    <w:rsid w:val="00FF2054"/>
    <w:rsid w:val="00FF269B"/>
    <w:rsid w:val="00FF5EC6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4284A91-CA7F-4AE8-8E70-7A0720D8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02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19E1"/>
    <w:pPr>
      <w:keepNext/>
      <w:keepLines/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7862"/>
    <w:pPr>
      <w:keepNext/>
      <w:keepLines/>
      <w:jc w:val="center"/>
      <w:outlineLvl w:val="1"/>
    </w:pPr>
    <w:rPr>
      <w:b/>
      <w:color w:val="00000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7862"/>
    <w:pPr>
      <w:keepNext/>
      <w:keepLines/>
      <w:jc w:val="center"/>
      <w:outlineLvl w:val="2"/>
    </w:pPr>
    <w:rPr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6A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19E1"/>
    <w:rPr>
      <w:rFonts w:cs="Times New Roman"/>
      <w:b/>
      <w:color w:val="000000"/>
      <w:sz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7862"/>
    <w:rPr>
      <w:rFonts w:cs="Times New Roman"/>
      <w:b/>
      <w:color w:val="000000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D7862"/>
    <w:rPr>
      <w:rFonts w:cs="Times New Roman"/>
      <w:color w:val="000000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06A3B"/>
    <w:rPr>
      <w:rFonts w:ascii="Calibri" w:hAnsi="Calibri" w:cs="Times New Roman"/>
      <w:b/>
      <w:sz w:val="28"/>
    </w:rPr>
  </w:style>
  <w:style w:type="paragraph" w:customStyle="1" w:styleId="Default">
    <w:name w:val="Default"/>
    <w:uiPriority w:val="99"/>
    <w:rsid w:val="00317CAB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longtext">
    <w:name w:val="long_text"/>
    <w:basedOn w:val="DefaultParagraphFont"/>
    <w:uiPriority w:val="99"/>
    <w:rsid w:val="006F6D6E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6F6D6E"/>
    <w:rPr>
      <w:rFonts w:cs="Times New Roman"/>
    </w:rPr>
  </w:style>
  <w:style w:type="character" w:customStyle="1" w:styleId="gt-ft-text1">
    <w:name w:val="gt-ft-text1"/>
    <w:basedOn w:val="DefaultParagraphFont"/>
    <w:uiPriority w:val="99"/>
    <w:rsid w:val="006F6D6E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AC156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C15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C156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C156C"/>
    <w:rPr>
      <w:b/>
      <w:bCs/>
      <w:lang w:eastAsia="sr-Latn-CS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C156C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rsid w:val="00AC156C"/>
    <w:rPr>
      <w:rFonts w:ascii="Tahoma" w:hAnsi="Tahoma"/>
      <w:sz w:val="16"/>
      <w:szCs w:val="16"/>
      <w:lang w:eastAsia="sr-Latn-C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C156C"/>
    <w:rPr>
      <w:rFonts w:ascii="Tahoma" w:hAnsi="Tahoma" w:cs="Times New Roman"/>
      <w:sz w:val="16"/>
    </w:rPr>
  </w:style>
  <w:style w:type="paragraph" w:styleId="NormalWeb">
    <w:name w:val="Normal (Web)"/>
    <w:basedOn w:val="Normal"/>
    <w:uiPriority w:val="99"/>
    <w:rsid w:val="00322D9D"/>
    <w:pPr>
      <w:spacing w:before="100" w:beforeAutospacing="1" w:after="115"/>
    </w:pPr>
  </w:style>
  <w:style w:type="paragraph" w:styleId="PlainText">
    <w:name w:val="Plain Text"/>
    <w:basedOn w:val="Normal"/>
    <w:link w:val="PlainTextChar"/>
    <w:uiPriority w:val="99"/>
    <w:rsid w:val="00D234C5"/>
    <w:pPr>
      <w:jc w:val="both"/>
    </w:pPr>
    <w:rPr>
      <w:rFonts w:ascii="Courier New" w:hAnsi="Courier New"/>
      <w:sz w:val="20"/>
      <w:szCs w:val="20"/>
      <w:lang w:eastAsia="sr-Latn-C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234C5"/>
    <w:rPr>
      <w:rFonts w:ascii="Courier New" w:hAnsi="Courier New" w:cs="Times New Roman"/>
    </w:rPr>
  </w:style>
  <w:style w:type="paragraph" w:customStyle="1" w:styleId="Tacka">
    <w:name w:val="Tacka"/>
    <w:basedOn w:val="Normal"/>
    <w:uiPriority w:val="99"/>
    <w:rsid w:val="00E26A2A"/>
    <w:pPr>
      <w:numPr>
        <w:numId w:val="1"/>
      </w:numPr>
      <w:tabs>
        <w:tab w:val="clear" w:pos="360"/>
        <w:tab w:val="num" w:pos="-492"/>
      </w:tabs>
      <w:autoSpaceDE w:val="0"/>
      <w:autoSpaceDN w:val="0"/>
      <w:adjustRightInd w:val="0"/>
      <w:spacing w:after="120"/>
      <w:ind w:left="-682" w:hanging="170"/>
      <w:jc w:val="both"/>
    </w:pPr>
    <w:rPr>
      <w:szCs w:val="16"/>
      <w:lang w:val="sr-Cyrl-CS"/>
    </w:rPr>
  </w:style>
  <w:style w:type="paragraph" w:styleId="ListParagraph">
    <w:name w:val="List Paragraph"/>
    <w:basedOn w:val="Normal"/>
    <w:uiPriority w:val="99"/>
    <w:qFormat/>
    <w:rsid w:val="001B484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EE502A"/>
    <w:pPr>
      <w:jc w:val="center"/>
    </w:pPr>
    <w:rPr>
      <w:b/>
      <w:color w:val="00000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EE502A"/>
    <w:rPr>
      <w:rFonts w:cs="Times New Roman"/>
      <w:b/>
      <w:color w:val="000000"/>
      <w:sz w:val="28"/>
      <w:lang w:eastAsia="en-US"/>
    </w:rPr>
  </w:style>
  <w:style w:type="paragraph" w:customStyle="1" w:styleId="Clantekst">
    <w:name w:val="Clan tekst"/>
    <w:basedOn w:val="Normal"/>
    <w:link w:val="ClantekstChar"/>
    <w:uiPriority w:val="99"/>
    <w:rsid w:val="004220E2"/>
    <w:pPr>
      <w:autoSpaceDE w:val="0"/>
      <w:autoSpaceDN w:val="0"/>
      <w:adjustRightInd w:val="0"/>
      <w:jc w:val="both"/>
    </w:pPr>
    <w:rPr>
      <w:noProof/>
      <w:color w:val="000000"/>
      <w:sz w:val="22"/>
      <w:szCs w:val="20"/>
      <w:lang w:val="pl-PL" w:eastAsia="sr-Latn-CS"/>
    </w:rPr>
  </w:style>
  <w:style w:type="character" w:customStyle="1" w:styleId="ClantekstChar">
    <w:name w:val="Clan tekst Char"/>
    <w:link w:val="Clantekst"/>
    <w:uiPriority w:val="99"/>
    <w:locked/>
    <w:rsid w:val="004220E2"/>
    <w:rPr>
      <w:rFonts w:eastAsia="Times New Roman"/>
      <w:noProof/>
      <w:color w:val="000000"/>
      <w:sz w:val="22"/>
      <w:lang w:val="pl-PL"/>
    </w:rPr>
  </w:style>
  <w:style w:type="paragraph" w:styleId="ListBullet">
    <w:name w:val="List Bullet"/>
    <w:aliases w:val="Булет 1"/>
    <w:basedOn w:val="List"/>
    <w:link w:val="ListBulletChar"/>
    <w:uiPriority w:val="99"/>
    <w:rsid w:val="00F77CD7"/>
    <w:pPr>
      <w:tabs>
        <w:tab w:val="num" w:pos="-1701"/>
        <w:tab w:val="num" w:pos="-492"/>
      </w:tabs>
      <w:spacing w:after="120"/>
      <w:ind w:left="1134"/>
      <w:contextualSpacing w:val="0"/>
      <w:jc w:val="both"/>
    </w:pPr>
    <w:rPr>
      <w:rFonts w:ascii="Arial" w:hAnsi="Arial"/>
      <w:sz w:val="22"/>
      <w:szCs w:val="20"/>
      <w:lang w:val="sr-Latn-CS" w:eastAsia="sr-Latn-CS"/>
    </w:rPr>
  </w:style>
  <w:style w:type="character" w:customStyle="1" w:styleId="ListBulletChar">
    <w:name w:val="List Bullet Char"/>
    <w:aliases w:val="Булет 1 Char"/>
    <w:link w:val="ListBullet"/>
    <w:uiPriority w:val="99"/>
    <w:locked/>
    <w:rsid w:val="00F77CD7"/>
    <w:rPr>
      <w:rFonts w:ascii="Arial" w:hAnsi="Arial"/>
      <w:sz w:val="22"/>
      <w:lang w:val="sr-Latn-CS"/>
    </w:rPr>
  </w:style>
  <w:style w:type="paragraph" w:styleId="List">
    <w:name w:val="List"/>
    <w:basedOn w:val="Normal"/>
    <w:uiPriority w:val="99"/>
    <w:rsid w:val="00F77CD7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rsid w:val="007E1EAE"/>
    <w:pPr>
      <w:spacing w:after="120"/>
      <w:ind w:left="567"/>
      <w:jc w:val="both"/>
    </w:pPr>
    <w:rPr>
      <w:rFonts w:ascii="Arial" w:hAnsi="Arial"/>
      <w:sz w:val="22"/>
      <w:szCs w:val="20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E1EAE"/>
    <w:rPr>
      <w:rFonts w:ascii="Arial" w:hAnsi="Arial" w:cs="Times New Roman"/>
      <w:sz w:val="22"/>
      <w:lang w:val="sr-Latn-CS"/>
    </w:rPr>
  </w:style>
  <w:style w:type="paragraph" w:styleId="Header">
    <w:name w:val="header"/>
    <w:basedOn w:val="Normal"/>
    <w:link w:val="HeaderChar"/>
    <w:uiPriority w:val="99"/>
    <w:rsid w:val="003234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23459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3234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23459"/>
    <w:rPr>
      <w:rFonts w:cs="Times New Roman"/>
      <w:sz w:val="24"/>
      <w:lang w:val="en-US" w:eastAsia="en-US"/>
    </w:rPr>
  </w:style>
  <w:style w:type="paragraph" w:styleId="Revision">
    <w:name w:val="Revision"/>
    <w:hidden/>
    <w:uiPriority w:val="99"/>
    <w:semiHidden/>
    <w:rsid w:val="00847128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8366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75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5695">
              <w:marLeft w:val="0"/>
              <w:marRight w:val="0"/>
              <w:marTop w:val="480"/>
              <w:marBottom w:val="0"/>
              <w:divBdr>
                <w:top w:val="single" w:sz="6" w:space="12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75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75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75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75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75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755706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75571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755693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755708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1755703">
              <w:marLeft w:val="0"/>
              <w:marRight w:val="0"/>
              <w:marTop w:val="1440"/>
              <w:marBottom w:val="0"/>
              <w:divBdr>
                <w:top w:val="single" w:sz="6" w:space="12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5709">
              <w:marLeft w:val="0"/>
              <w:marRight w:val="0"/>
              <w:marTop w:val="24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75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4944</Words>
  <Characters>28185</Characters>
  <Application>Microsoft Office Word</Application>
  <DocSecurity>0</DocSecurity>
  <Lines>234</Lines>
  <Paragraphs>66</Paragraphs>
  <ScaleCrop>false</ScaleCrop>
  <Company>none</Company>
  <LinksUpToDate>false</LinksUpToDate>
  <CharactersWithSpaces>33063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Nacrt z</dc:title>
  <dc:subject/>
  <dc:creator>Gajic</dc:creator>
  <cp:keywords/>
  <dc:description/>
  <cp:lastModifiedBy>Bojan Grgic</cp:lastModifiedBy>
  <cp:revision>2</cp:revision>
  <cp:lastPrinted>2015-12-18T10:47:00Z</cp:lastPrinted>
  <dcterms:created xsi:type="dcterms:W3CDTF">2015-12-21T13:00:00Z</dcterms:created>
  <dcterms:modified xsi:type="dcterms:W3CDTF">2015-12-21T13:00:00Z</dcterms:modified>
</cp:coreProperties>
</file>