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648D" w14:textId="77777777" w:rsidR="00B7371D" w:rsidRPr="00B7371D" w:rsidRDefault="00B7371D" w:rsidP="00B7371D">
      <w:pPr>
        <w:shd w:val="clear" w:color="auto" w:fill="FFFFFF"/>
        <w:spacing w:line="256" w:lineRule="auto"/>
        <w:ind w:right="62"/>
        <w:jc w:val="center"/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Б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Р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З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Л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Ж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Њ</w:t>
      </w:r>
      <w:r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b/>
          <w:bCs/>
          <w:color w:val="000000"/>
          <w:spacing w:val="-12"/>
          <w:sz w:val="24"/>
          <w:szCs w:val="24"/>
          <w:lang w:val="sr-Cyrl-CS"/>
        </w:rPr>
        <w:t>Е</w:t>
      </w:r>
    </w:p>
    <w:p w14:paraId="0D81324B" w14:textId="77777777" w:rsidR="00B7371D" w:rsidRPr="00B7371D" w:rsidRDefault="00B7371D" w:rsidP="00B7371D">
      <w:pPr>
        <w:shd w:val="clear" w:color="auto" w:fill="FFFFFF"/>
        <w:spacing w:line="256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0731C26" w14:textId="77777777" w:rsidR="00B7371D" w:rsidRPr="00B7371D" w:rsidRDefault="00B7371D" w:rsidP="00B7371D">
      <w:pPr>
        <w:shd w:val="clear" w:color="auto" w:fill="FFFFFF"/>
        <w:tabs>
          <w:tab w:val="left" w:pos="245"/>
        </w:tabs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7371D">
        <w:rPr>
          <w:rFonts w:ascii="Times New Roman" w:eastAsia="Calibri" w:hAnsi="Times New Roman" w:cs="Times New Roman"/>
          <w:b/>
          <w:bCs/>
          <w:iCs/>
          <w:color w:val="000000"/>
          <w:spacing w:val="-9"/>
          <w:sz w:val="24"/>
          <w:szCs w:val="24"/>
        </w:rPr>
        <w:t>I</w:t>
      </w:r>
      <w:r w:rsidRPr="00B7371D">
        <w:rPr>
          <w:rFonts w:ascii="Times New Roman" w:eastAsia="Calibri" w:hAnsi="Times New Roman" w:cs="Times New Roman"/>
          <w:b/>
          <w:bCs/>
          <w:iCs/>
          <w:color w:val="000000"/>
          <w:spacing w:val="-9"/>
          <w:sz w:val="24"/>
          <w:szCs w:val="24"/>
          <w:lang w:val="sr-Cyrl-RS"/>
        </w:rPr>
        <w:t>.</w:t>
      </w:r>
      <w:r w:rsidRPr="00B7371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sr-Cyrl-CS"/>
        </w:rPr>
        <w:tab/>
      </w:r>
      <w:r w:rsidRPr="00B7371D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sr-Cyrl-CS"/>
        </w:rPr>
        <w:t>УСТАВНИ ОСНОВ ЗА ДОНОШЕЊЕ ЗАКОНА</w:t>
      </w:r>
    </w:p>
    <w:p w14:paraId="4B0B9A6C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ru-RU"/>
        </w:rPr>
        <w:t>Уставни основ за доношење Закон</w:t>
      </w:r>
      <w:r w:rsidRPr="00B7371D">
        <w:rPr>
          <w:rFonts w:ascii="Times New Roman" w:eastAsia="Calibri" w:hAnsi="Times New Roman" w:cs="Times New Roman"/>
          <w:sz w:val="24"/>
          <w:szCs w:val="24"/>
        </w:rPr>
        <w:t>a</w:t>
      </w:r>
      <w:r w:rsidRPr="00B7371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потврђивању</w:t>
      </w:r>
      <w:r w:rsidRPr="00B7371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Споразума о приступу високом образовању и пријему на студије на Западном Балкану</w:t>
      </w:r>
      <w:r w:rsidRPr="00B737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потписан у Бер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лину, 14. октобра 2024. године</w:t>
      </w:r>
      <w:r w:rsidRPr="00B7371D"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val="sr-Cyrl-CS"/>
        </w:rPr>
        <w:t xml:space="preserve"> садржан је у члану 99. став 1. тачка 4</w:t>
      </w:r>
      <w:r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val="sr-Cyrl-CS"/>
        </w:rPr>
        <w:t xml:space="preserve"> Устава Републике Србије</w:t>
      </w:r>
      <w:r w:rsidRPr="00B7371D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sr-Cyrl-CS"/>
        </w:rPr>
        <w:t>, који прописује да Народна скупштина Републике Србије потврђује међународне уговоре када је законом предвиђена обавеза њиховог потврђивања.</w:t>
      </w:r>
    </w:p>
    <w:p w14:paraId="172FF90E" w14:textId="77777777" w:rsidR="00B7371D" w:rsidRPr="00B7371D" w:rsidRDefault="00B7371D" w:rsidP="00B7371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6723D11" w14:textId="77777777" w:rsidR="00B7371D" w:rsidRPr="00B7371D" w:rsidRDefault="00B7371D" w:rsidP="00B7371D">
      <w:pPr>
        <w:shd w:val="clear" w:color="auto" w:fill="FFFFFF"/>
        <w:spacing w:line="256" w:lineRule="auto"/>
        <w:ind w:right="53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1"/>
          <w:sz w:val="24"/>
          <w:szCs w:val="24"/>
          <w:lang w:val="sr-Cyrl-RS"/>
        </w:rPr>
      </w:pPr>
      <w:r w:rsidRPr="00B7371D">
        <w:rPr>
          <w:rFonts w:ascii="Times New Roman" w:eastAsia="Calibri" w:hAnsi="Times New Roman" w:cs="Times New Roman"/>
          <w:b/>
          <w:sz w:val="24"/>
          <w:szCs w:val="24"/>
        </w:rPr>
        <w:t>II</w:t>
      </w:r>
      <w:r w:rsidRPr="00B737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.</w:t>
      </w:r>
      <w:r w:rsidRPr="00B7371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РАЗЛОЗИ ЗБОГ КОЈИХ СЕ ПРЕДЛАЖЕ </w:t>
      </w:r>
      <w:r w:rsidRPr="00B737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ПОТВРЂИВАЊЕ СПОРАЗУМА</w:t>
      </w:r>
    </w:p>
    <w:p w14:paraId="079D8ABF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На Самиту лидера западног Балкана у Софији, одржаног под окриљем Берлинског процеса, потписана и усвојена политичка Декларација лидера Западног Балкана о Заједничком регионалном тржишту (Common Regional Market – CRM).</w:t>
      </w:r>
    </w:p>
    <w:p w14:paraId="41E0857F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Поменуту Декларацију је потписала председница Владе Републике Србије и овим чином, Република Србија је званично дала подршку и усвојила Акциони план за успостављање Заједничког регионалног тржишта за период 2021. – 2024. године, који је заснован на четири основне слободе ЕУ (слобода кретања робе, услуга, капитала и људи) и обогаћен плановима за сарадњу у дигиталној, инвестиционој, иновационој и индустријској области. У спровођењу АП поред економија Западног Балкана уз подршку ЕК учествују регионалне и међународне организације и то пре свега RCC и CEFTA, као и Коморски инвестициони форум за Западни Балкан – КИФ, Транспортна заједница, Светска банка и други.</w:t>
      </w:r>
    </w:p>
    <w:p w14:paraId="5D6E373F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У склопу припреме за самит Берлинског процеса који је одржан 3. новембра 2022. године у Берлину закључена су три споразума из области образовања: Споразум о признавању академских квалификација, Споразум о међусобном признању професионалних квалификација за докторе медицине, докторе стоматологије, архитекте и грађевинске инжењере, и накнадно, Споразум о међусобном признању професионалних квалификација за професије: медицинска сестра, бабица, доктор ветеринарске медицине и магистар фармације, чијом ратификацијом у парламенту је створен правни оквир за успостављање и развијање сарадње у области образовања на простору Западног Балкана, а у контексту Централно-европског Споразума о слободној трговини, те представља проширење истог Споразума у области приступа високом образовању и пријему на студије на Западном Балкану.</w:t>
      </w:r>
    </w:p>
    <w:p w14:paraId="684A4B1E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Имајући у виду циљеве и приоритете предвиђене Заједничким регионалним акционим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D66AE3">
        <w:rPr>
          <w:rFonts w:ascii="Times New Roman" w:eastAsia="Calibri" w:hAnsi="Times New Roman" w:cs="Times New Roman"/>
          <w:sz w:val="24"/>
          <w:szCs w:val="24"/>
          <w:lang w:val="sr-Cyrl-CS"/>
        </w:rPr>
        <w:t>планом тржишта 2021-2024 („CRM</w:t>
      </w:r>
      <w:r w:rsidR="00D66AE3" w:rsidRPr="00D66AE3">
        <w:rPr>
          <w:rFonts w:ascii="Times New Roman" w:eastAsia="Calibri" w:hAnsi="Times New Roman" w:cs="Times New Roman"/>
          <w:sz w:val="24"/>
          <w:szCs w:val="24"/>
          <w:lang w:val="ru-RU"/>
        </w:rPr>
        <w:t>”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) у циљу отклањања препрека за приступ високом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образовању и пријему на студије на Западном Балкану, представници Албаније, Босне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и Херцеговине, Црне Горе, Северне Македоније, Србије и Привремених институција самоуправе у П</w:t>
      </w:r>
      <w:r w:rsidR="00D66AE3">
        <w:rPr>
          <w:rFonts w:ascii="Times New Roman" w:eastAsia="Calibri" w:hAnsi="Times New Roman" w:cs="Times New Roman"/>
          <w:sz w:val="24"/>
          <w:szCs w:val="24"/>
          <w:lang w:val="sr-Cyrl-CS"/>
        </w:rPr>
        <w:t>риштини (у даљем тексту „Стране</w:t>
      </w:r>
      <w:r w:rsidR="00D66AE3" w:rsidRPr="00D66AE3">
        <w:rPr>
          <w:rFonts w:ascii="Times New Roman" w:eastAsia="Calibri" w:hAnsi="Times New Roman" w:cs="Times New Roman"/>
          <w:sz w:val="24"/>
          <w:szCs w:val="24"/>
          <w:lang w:val="ru-RU"/>
        </w:rPr>
        <w:t>”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), усагласиле су текст Споразума о приступу високом образовању и пријему на студије на Западном Балкану, у контексту Централно-европског Споразума о слободној трговини.</w:t>
      </w:r>
    </w:p>
    <w:p w14:paraId="0530B8EF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У преамбули се потврђује жеља уговорних страна за олакшаном сарадњом у области приступа високом образовању и пријему на студије, поштујући законодавство које је на снази у уговорним странама и принципе и међународне стандарде приступа студирању и слободном кретању грађана, дефинисаних у међународним документима, споразумима и конвенцијама, узимајући у обзир Декларацију лидера Западног Балкана о Заједничком регионалном тржишту – „Катализатор за дубљу регионалну економску интеграцију и к</w:t>
      </w:r>
      <w:r w:rsidR="00D66AE3">
        <w:rPr>
          <w:rFonts w:ascii="Times New Roman" w:eastAsia="Calibri" w:hAnsi="Times New Roman" w:cs="Times New Roman"/>
          <w:sz w:val="24"/>
          <w:szCs w:val="24"/>
          <w:lang w:val="sr-Cyrl-CS"/>
        </w:rPr>
        <w:t>орак ка јединственом тржишту ЕУ</w:t>
      </w:r>
      <w:r w:rsidR="00D66AE3" w:rsidRPr="00D66AE3">
        <w:rPr>
          <w:rFonts w:ascii="Times New Roman" w:eastAsia="Calibri" w:hAnsi="Times New Roman" w:cs="Times New Roman"/>
          <w:sz w:val="24"/>
          <w:szCs w:val="24"/>
          <w:lang w:val="ru-RU"/>
        </w:rPr>
        <w:t>”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, усвојену на Самиту лидера Западног Балкана у оквиру Берлинског процеса.</w:t>
      </w:r>
    </w:p>
    <w:p w14:paraId="3933660B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У даљем тексту Споразума (чл. 1-5) прописана је сврха и циљ овог Споразума којим  је предвиђена олакшана институционална сарадња у области приступа високом  образовању  и пријему на студије, повећање академске мобилности, као и чињеница да овај Споразум не утиче на и не умањује било који претходни договор, праксе или споразум између две или више страна који су повољнији за носиоце квалификација из средњег образовања, уколико је применљиво, као и високог образовања, и не представља препреку за успостављање било ког будућег договора, праксе или споразума.</w:t>
      </w:r>
    </w:p>
    <w:p w14:paraId="03DE76D6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Чланом 6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регулисано је признавање квалификација из средњег образовања за сврхе пријема и приступа високом образовању, одговорне институције и начини сарадње, олакшане процедуре признавања стечених квалификација, као и рокови за наведене процедуре. За сврхе приступа и пријема у високо образовање, заједничка листа установа средњег образовања биће прегледана и договорена од стране Заједничке комисије за приступ и пријем на студије/признавање квалификација из средњег образовања на Западном Балкану, како је дефинисано у члану 8</w:t>
      </w:r>
      <w:r w:rsidR="00CB0560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Споразума.</w:t>
      </w:r>
    </w:p>
    <w:p w14:paraId="0881A41F" w14:textId="77777777" w:rsidR="00B7371D" w:rsidRPr="00B7371D" w:rsidRDefault="00B7371D" w:rsidP="00CB0560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Завршне одредбе Споразума (чл.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6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. 7</w:t>
      </w:r>
      <w:r w:rsidR="00CB0560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8) односе се на ступање на снагу Споразума као и на чињеницу да Споразум може бити измењен само уз писмени пристанак свих страна, уз поштовање исте процедуре која је неопходна за закључивање овог Споразума, као и образовање и дефинисање задатака и обавеза Заједничке комисије.</w:t>
      </w:r>
    </w:p>
    <w:p w14:paraId="7081EB76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Чл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9-11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односе се на решавање спорова, одређују депозитара овог Споразума, као и његово важење у случају иступања неке од страна.</w:t>
      </w:r>
    </w:p>
    <w:p w14:paraId="43330288" w14:textId="77777777" w:rsidR="00B7371D" w:rsidRPr="00B7371D" w:rsidRDefault="00B7371D" w:rsidP="00B7371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16F4EE34" w14:textId="77777777" w:rsidR="00B7371D" w:rsidRPr="00B7371D" w:rsidRDefault="00B7371D" w:rsidP="00B7371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III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.</w:t>
      </w:r>
      <w:r w:rsidRPr="00B7371D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ПРОЦЕНА ПОТРЕБНИХ ФИНАНСИЈСКИХ СРЕДСТАВА</w:t>
      </w:r>
    </w:p>
    <w:p w14:paraId="4D630FB7" w14:textId="77777777" w:rsidR="00B7371D" w:rsidRPr="00B7371D" w:rsidRDefault="00B7371D" w:rsidP="00B7371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14:paraId="6C5EBC9D" w14:textId="77777777" w:rsidR="00B7371D" w:rsidRPr="00B7371D" w:rsidRDefault="00B7371D" w:rsidP="00B7371D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За реализацију овог споразума није потребно обезбедити средства у буџету Републике Србије, тако да и за реализацију предметног закључка нису потребна средства из буџета Републике Србије.</w:t>
      </w:r>
    </w:p>
    <w:p w14:paraId="0976CAC6" w14:textId="77777777" w:rsidR="00B7371D" w:rsidRPr="00B7371D" w:rsidRDefault="00B7371D" w:rsidP="00B7371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2D4DCB99" w14:textId="77777777" w:rsidR="00B7371D" w:rsidRPr="00CB0560" w:rsidRDefault="00B7371D" w:rsidP="00CB0560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Уколико се за реализацију наведеног споразума буде појавила потреба за непредвиђеним средствима, Министарство просвете ће предвиђене активности спровести у складу са билансним могућностима на разделу Министарства просвете, а у складу са Законом о буџету Републике Србије за сваку појединачну годину</w:t>
      </w:r>
      <w:r w:rsidR="00CB056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CS"/>
        </w:rPr>
        <w:t>спровођења Споразума током његовог трајања.</w:t>
      </w:r>
      <w:r w:rsidRPr="00B737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14:paraId="1C8872DE" w14:textId="77777777" w:rsidR="00B7371D" w:rsidRPr="00B7371D" w:rsidRDefault="00B7371D" w:rsidP="00B7371D">
      <w:pPr>
        <w:tabs>
          <w:tab w:val="left" w:pos="0"/>
        </w:tabs>
        <w:spacing w:after="0" w:line="256" w:lineRule="auto"/>
        <w:jc w:val="both"/>
        <w:rPr>
          <w:rFonts w:ascii="Times New Roman" w:eastAsia="NanumGothic" w:hAnsi="Times New Roman" w:cs="Times New Roman"/>
          <w:sz w:val="24"/>
          <w:szCs w:val="24"/>
          <w:lang w:val="sr-Cyrl-CS"/>
        </w:rPr>
      </w:pPr>
    </w:p>
    <w:p w14:paraId="39AB70A9" w14:textId="77777777" w:rsidR="00B7371D" w:rsidRPr="00B7371D" w:rsidRDefault="00B7371D" w:rsidP="00B7371D">
      <w:pPr>
        <w:tabs>
          <w:tab w:val="left" w:pos="0"/>
        </w:tabs>
        <w:spacing w:after="0" w:line="256" w:lineRule="auto"/>
        <w:jc w:val="both"/>
        <w:rPr>
          <w:rFonts w:ascii="Times New Roman" w:eastAsia="NanumGothic" w:hAnsi="Times New Roman" w:cs="Times New Roman"/>
          <w:sz w:val="24"/>
          <w:szCs w:val="24"/>
          <w:lang w:val="sr-Cyrl-CS"/>
        </w:rPr>
      </w:pPr>
    </w:p>
    <w:p w14:paraId="010DDE36" w14:textId="77777777" w:rsidR="00B7371D" w:rsidRPr="00B7371D" w:rsidRDefault="00B7371D" w:rsidP="00B7371D">
      <w:pPr>
        <w:tabs>
          <w:tab w:val="left" w:pos="0"/>
        </w:tabs>
        <w:spacing w:after="0" w:line="256" w:lineRule="auto"/>
        <w:jc w:val="both"/>
        <w:rPr>
          <w:rFonts w:ascii="Times New Roman" w:eastAsia="NanumGothic" w:hAnsi="Times New Roman" w:cs="Times New Roman"/>
          <w:sz w:val="24"/>
          <w:szCs w:val="24"/>
          <w:lang w:val="sr-Cyrl-CS"/>
        </w:rPr>
      </w:pPr>
    </w:p>
    <w:p w14:paraId="0C1276CA" w14:textId="77777777" w:rsidR="00A87D53" w:rsidRDefault="00A87D53"/>
    <w:sectPr w:rsidR="00A87D53" w:rsidSect="00B7371D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8CAD2" w14:textId="77777777" w:rsidR="0047070D" w:rsidRDefault="0047070D" w:rsidP="00B7371D">
      <w:pPr>
        <w:spacing w:after="0" w:line="240" w:lineRule="auto"/>
      </w:pPr>
      <w:r>
        <w:separator/>
      </w:r>
    </w:p>
  </w:endnote>
  <w:endnote w:type="continuationSeparator" w:id="0">
    <w:p w14:paraId="3BE783CC" w14:textId="77777777" w:rsidR="0047070D" w:rsidRDefault="0047070D" w:rsidP="00B7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0C088" w14:textId="77777777" w:rsidR="0047070D" w:rsidRDefault="0047070D" w:rsidP="00B7371D">
      <w:pPr>
        <w:spacing w:after="0" w:line="240" w:lineRule="auto"/>
      </w:pPr>
      <w:r>
        <w:separator/>
      </w:r>
    </w:p>
  </w:footnote>
  <w:footnote w:type="continuationSeparator" w:id="0">
    <w:p w14:paraId="58931234" w14:textId="77777777" w:rsidR="0047070D" w:rsidRDefault="0047070D" w:rsidP="00B73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28902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1BEB68" w14:textId="77777777" w:rsidR="00B7371D" w:rsidRDefault="00B7371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A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22D331" w14:textId="77777777" w:rsidR="00B7371D" w:rsidRDefault="00B737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275"/>
    <w:rsid w:val="00083422"/>
    <w:rsid w:val="0047070D"/>
    <w:rsid w:val="00712275"/>
    <w:rsid w:val="00907931"/>
    <w:rsid w:val="00A87D53"/>
    <w:rsid w:val="00B7371D"/>
    <w:rsid w:val="00CB0560"/>
    <w:rsid w:val="00D6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44904"/>
  <w15:chartTrackingRefBased/>
  <w15:docId w15:val="{BB0A44A1-6D82-42C0-BD09-25B081A1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3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71D"/>
  </w:style>
  <w:style w:type="paragraph" w:styleId="Footer">
    <w:name w:val="footer"/>
    <w:basedOn w:val="Normal"/>
    <w:link w:val="FooterChar"/>
    <w:uiPriority w:val="99"/>
    <w:unhideWhenUsed/>
    <w:rsid w:val="00B73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71D"/>
  </w:style>
  <w:style w:type="paragraph" w:styleId="BalloonText">
    <w:name w:val="Balloon Text"/>
    <w:basedOn w:val="Normal"/>
    <w:link w:val="BalloonTextChar"/>
    <w:uiPriority w:val="99"/>
    <w:semiHidden/>
    <w:unhideWhenUsed/>
    <w:rsid w:val="00D66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Vojinović</cp:lastModifiedBy>
  <cp:revision>2</cp:revision>
  <cp:lastPrinted>2026-04-03T08:16:00Z</cp:lastPrinted>
  <dcterms:created xsi:type="dcterms:W3CDTF">2026-04-17T13:00:00Z</dcterms:created>
  <dcterms:modified xsi:type="dcterms:W3CDTF">2026-04-17T13:00:00Z</dcterms:modified>
</cp:coreProperties>
</file>